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230B0CBD" w:rsidR="00E53792" w:rsidRPr="00EC54F9" w:rsidRDefault="00EC54F9" w:rsidP="00EC54F9">
      <w:pPr>
        <w:rPr>
          <w:rFonts w:ascii="Times New Roman" w:hAnsi="Times New Roman"/>
          <w:bCs/>
          <w:sz w:val="24"/>
          <w:szCs w:val="24"/>
        </w:rPr>
      </w:pPr>
      <w:bookmarkStart w:id="0" w:name="_heading=h.nihyyvbcuu4v" w:colFirst="0" w:colLast="0"/>
      <w:bookmarkEnd w:id="0"/>
      <w:r w:rsidRPr="00EC54F9">
        <w:rPr>
          <w:rFonts w:ascii="Times New Roman" w:eastAsia="Times New Roman" w:hAnsi="Times New Roman" w:cs="Times New Roman"/>
          <w:b/>
          <w:sz w:val="24"/>
          <w:szCs w:val="24"/>
        </w:rPr>
        <w:t xml:space="preserve">ДК 021:2015: 33600000-6: Фармацевтична продукція (Натрію хлорид розчин для </w:t>
      </w:r>
      <w:proofErr w:type="spellStart"/>
      <w:r w:rsidRPr="00EC54F9">
        <w:rPr>
          <w:rFonts w:ascii="Times New Roman" w:eastAsia="Times New Roman" w:hAnsi="Times New Roman" w:cs="Times New Roman"/>
          <w:b/>
          <w:sz w:val="24"/>
          <w:szCs w:val="24"/>
        </w:rPr>
        <w:t>інфузій</w:t>
      </w:r>
      <w:proofErr w:type="spellEnd"/>
      <w:r w:rsidRPr="00EC54F9">
        <w:rPr>
          <w:rFonts w:ascii="Times New Roman" w:eastAsia="Times New Roman" w:hAnsi="Times New Roman" w:cs="Times New Roman"/>
          <w:b/>
          <w:sz w:val="24"/>
          <w:szCs w:val="24"/>
        </w:rPr>
        <w:t xml:space="preserve">, 9 мг/мл по 200 мл, МНН: </w:t>
      </w:r>
      <w:proofErr w:type="spellStart"/>
      <w:r w:rsidRPr="00EC54F9">
        <w:rPr>
          <w:rFonts w:ascii="Times New Roman" w:eastAsia="Times New Roman" w:hAnsi="Times New Roman" w:cs="Times New Roman"/>
          <w:b/>
          <w:sz w:val="24"/>
          <w:szCs w:val="24"/>
        </w:rPr>
        <w:t>Sodium</w:t>
      </w:r>
      <w:proofErr w:type="spellEnd"/>
      <w:r w:rsidRPr="00EC54F9">
        <w:rPr>
          <w:rFonts w:ascii="Times New Roman" w:eastAsia="Times New Roman" w:hAnsi="Times New Roman" w:cs="Times New Roman"/>
          <w:b/>
          <w:sz w:val="24"/>
          <w:szCs w:val="24"/>
        </w:rPr>
        <w:t xml:space="preserve"> </w:t>
      </w:r>
      <w:proofErr w:type="spellStart"/>
      <w:r w:rsidRPr="00EC54F9">
        <w:rPr>
          <w:rFonts w:ascii="Times New Roman" w:eastAsia="Times New Roman" w:hAnsi="Times New Roman" w:cs="Times New Roman"/>
          <w:b/>
          <w:sz w:val="24"/>
          <w:szCs w:val="24"/>
        </w:rPr>
        <w:t>chloride</w:t>
      </w:r>
      <w:proofErr w:type="spellEnd"/>
      <w:r w:rsidRPr="00EC54F9">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4F64A7C7" w:rsidR="00E53792" w:rsidRDefault="001E5B73" w:rsidP="00EC54F9">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 xml:space="preserve">33600000-6: Фармацевтична продукція (Натрію хлорид розчин для </w:t>
      </w:r>
      <w:proofErr w:type="spellStart"/>
      <w:r w:rsidR="00EC54F9" w:rsidRPr="00EC54F9">
        <w:rPr>
          <w:rFonts w:ascii="Times New Roman" w:hAnsi="Times New Roman"/>
          <w:b/>
          <w:bCs/>
          <w:sz w:val="24"/>
          <w:szCs w:val="24"/>
        </w:rPr>
        <w:t>інфузій</w:t>
      </w:r>
      <w:proofErr w:type="spellEnd"/>
      <w:r w:rsidR="00EC54F9" w:rsidRPr="00EC54F9">
        <w:rPr>
          <w:rFonts w:ascii="Times New Roman" w:hAnsi="Times New Roman"/>
          <w:b/>
          <w:bCs/>
          <w:sz w:val="24"/>
          <w:szCs w:val="24"/>
        </w:rPr>
        <w:t xml:space="preserve">, 9 мг/мл по 200 мл, МНН: </w:t>
      </w:r>
      <w:proofErr w:type="spellStart"/>
      <w:r w:rsidR="00EC54F9" w:rsidRPr="00EC54F9">
        <w:rPr>
          <w:rFonts w:ascii="Times New Roman" w:hAnsi="Times New Roman"/>
          <w:b/>
          <w:bCs/>
          <w:sz w:val="24"/>
          <w:szCs w:val="24"/>
        </w:rPr>
        <w:t>Sodium</w:t>
      </w:r>
      <w:proofErr w:type="spellEnd"/>
      <w:r w:rsidR="00EC54F9" w:rsidRPr="00EC54F9">
        <w:rPr>
          <w:rFonts w:ascii="Times New Roman" w:hAnsi="Times New Roman"/>
          <w:b/>
          <w:bCs/>
          <w:sz w:val="24"/>
          <w:szCs w:val="24"/>
        </w:rPr>
        <w:t xml:space="preserve"> </w:t>
      </w:r>
      <w:proofErr w:type="spellStart"/>
      <w:r w:rsidR="00EC54F9" w:rsidRPr="00EC54F9">
        <w:rPr>
          <w:rFonts w:ascii="Times New Roman" w:hAnsi="Times New Roman"/>
          <w:b/>
          <w:bCs/>
          <w:sz w:val="24"/>
          <w:szCs w:val="24"/>
        </w:rPr>
        <w:t>chloride</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605491C" w14:textId="77777777" w:rsidR="00EC54F9" w:rsidRPr="00B52F21" w:rsidRDefault="001E5B73" w:rsidP="00EC54F9">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EC54F9" w:rsidRPr="00C35BF0">
        <w:rPr>
          <w:rFonts w:ascii="Times New Roman" w:hAnsi="Times New Roman" w:cs="Times New Roman"/>
          <w:color w:val="000000" w:themeColor="text1"/>
          <w:sz w:val="24"/>
          <w:szCs w:val="24"/>
        </w:rPr>
        <w:t>1 301 689,44</w:t>
      </w:r>
      <w:r>
        <w:rPr>
          <w:rFonts w:ascii="Times New Roman" w:eastAsia="Times New Roman" w:hAnsi="Times New Roman" w:cs="Times New Roman"/>
          <w:sz w:val="24"/>
          <w:szCs w:val="24"/>
        </w:rPr>
        <w:t xml:space="preserve"> грн без ПДВ. </w:t>
      </w:r>
      <w:r w:rsidR="00EC54F9" w:rsidRPr="00B52F21">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w:t>
      </w:r>
      <w:r w:rsidR="00EC54F9">
        <w:rPr>
          <w:rFonts w:ascii="Times New Roman" w:hAnsi="Times New Roman" w:cs="Times New Roman"/>
          <w:sz w:val="24"/>
          <w:szCs w:val="24"/>
        </w:rPr>
        <w:t>,</w:t>
      </w:r>
      <w:r w:rsidR="00EC54F9" w:rsidRPr="00B52F21">
        <w:rPr>
          <w:rFonts w:ascii="Times New Roman" w:hAnsi="Times New Roman" w:cs="Times New Roman"/>
          <w:sz w:val="24"/>
          <w:szCs w:val="24"/>
        </w:rPr>
        <w:t xml:space="preserve"> не перевищує оптово-відпускні ціни згідно </w:t>
      </w:r>
      <w:r w:rsidR="00EC54F9" w:rsidRPr="00315A59">
        <w:rPr>
          <w:rFonts w:ascii="Times New Roman" w:hAnsi="Times New Roman" w:cs="Times New Roman"/>
          <w:sz w:val="24"/>
          <w:szCs w:val="24"/>
        </w:rPr>
        <w:t xml:space="preserve">Наказ МОЗ України від </w:t>
      </w:r>
      <w:r w:rsidR="00EC54F9" w:rsidRPr="00582A8C">
        <w:rPr>
          <w:rFonts w:ascii="Times New Roman" w:hAnsi="Times New Roman" w:cs="Times New Roman"/>
          <w:sz w:val="24"/>
          <w:szCs w:val="24"/>
        </w:rPr>
        <w:t>13.03.2025 № 442 "Про затвердження Реєстру відомостей щодо граничних оптово-відпускних цін на деякі лікарські засоби, що закуповуються за бюджетні кошти та підлягають референтному ціноутворенню, станом на 01 лютого 2025 року"</w:t>
      </w:r>
      <w:r w:rsidR="00EC54F9">
        <w:rPr>
          <w:rFonts w:ascii="Times New Roman" w:hAnsi="Times New Roman" w:cs="Times New Roman"/>
          <w:sz w:val="24"/>
          <w:szCs w:val="24"/>
        </w:rPr>
        <w:t xml:space="preserve"> </w:t>
      </w:r>
      <w:r w:rsidR="00EC54F9" w:rsidRPr="00B52F21">
        <w:rPr>
          <w:rFonts w:ascii="Times New Roman" w:hAnsi="Times New Roman" w:cs="Times New Roman"/>
          <w:sz w:val="24"/>
          <w:szCs w:val="24"/>
        </w:rPr>
        <w:t>та граничні постачальницько-збутові надбавки згідно Постанови КМУ від 17.10.2008 №955 «Про заходи щодо стабілізації цін на лікарські засоби та медичні вироби»</w:t>
      </w:r>
      <w:r w:rsidR="00EC54F9">
        <w:rPr>
          <w:rFonts w:ascii="Times New Roman" w:hAnsi="Times New Roman" w:cs="Times New Roman"/>
          <w:sz w:val="24"/>
          <w:szCs w:val="24"/>
        </w:rPr>
        <w:t xml:space="preserve"> із змінами.</w:t>
      </w:r>
    </w:p>
    <w:p w14:paraId="00000011" w14:textId="63D26686" w:rsidR="00E53792" w:rsidRDefault="00EC54F9" w:rsidP="00EC54F9">
      <w:pPr>
        <w:spacing w:after="0" w:line="240" w:lineRule="auto"/>
        <w:jc w:val="both"/>
        <w:rPr>
          <w:rFonts w:ascii="Times New Roman" w:eastAsia="Times New Roman" w:hAnsi="Times New Roman" w:cs="Times New Roman"/>
          <w:sz w:val="24"/>
          <w:szCs w:val="24"/>
        </w:rPr>
      </w:pPr>
      <w:r w:rsidRPr="00B52F21">
        <w:rPr>
          <w:rFonts w:ascii="Times New Roman" w:hAnsi="Times New Roman" w:cs="Times New Roman"/>
          <w:sz w:val="24"/>
          <w:szCs w:val="24"/>
        </w:rPr>
        <w:t>Розрахунки зазначені у таблиці згідно Додатку 1</w:t>
      </w:r>
    </w:p>
    <w:p w14:paraId="00000012" w14:textId="77777777" w:rsidR="00E53792" w:rsidRDefault="00E53792">
      <w:pPr>
        <w:spacing w:after="0" w:line="240" w:lineRule="auto"/>
        <w:jc w:val="both"/>
        <w:rPr>
          <w:rFonts w:ascii="Times New Roman" w:eastAsia="Times New Roman" w:hAnsi="Times New Roman" w:cs="Times New Roman"/>
          <w:sz w:val="24"/>
          <w:szCs w:val="24"/>
        </w:rPr>
      </w:pPr>
    </w:p>
    <w:p w14:paraId="00000013" w14:textId="5BAF7E7F"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EC54F9" w:rsidRPr="00C35BF0">
        <w:rPr>
          <w:rFonts w:ascii="Times New Roman" w:hAnsi="Times New Roman" w:cs="Times New Roman"/>
          <w:color w:val="000000" w:themeColor="text1"/>
          <w:sz w:val="24"/>
          <w:szCs w:val="24"/>
        </w:rPr>
        <w:t>1 301 689,44</w:t>
      </w:r>
      <w:r>
        <w:rPr>
          <w:rFonts w:ascii="Times New Roman" w:eastAsia="Times New Roman" w:hAnsi="Times New Roman" w:cs="Times New Roman"/>
          <w:sz w:val="24"/>
          <w:szCs w:val="24"/>
        </w:rPr>
        <w:t xml:space="preserve"> 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77777777"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EC54F9" w:rsidRPr="00EC54F9">
        <w:rPr>
          <w:rFonts w:ascii="Times New Roman" w:hAnsi="Times New Roman"/>
          <w:color w:val="000000" w:themeColor="text1"/>
          <w:sz w:val="24"/>
          <w:szCs w:val="24"/>
        </w:rPr>
        <w:t>МЕДИКО-ТЕХНІЧНІ ВИМОГИ»</w:t>
      </w:r>
    </w:p>
    <w:p w14:paraId="4C9B15FE" w14:textId="77777777"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lastRenderedPageBreak/>
        <w:t>Строк поставки товару—</w:t>
      </w:r>
      <w:r w:rsidRPr="00EC54F9">
        <w:t xml:space="preserve"> </w:t>
      </w:r>
      <w:r w:rsidR="00EC54F9" w:rsidRPr="00EC54F9">
        <w:rPr>
          <w:rFonts w:ascii="Times New Roman" w:hAnsi="Times New Roman"/>
          <w:sz w:val="24"/>
          <w:szCs w:val="24"/>
        </w:rPr>
        <w:t>поставка може здійснюватися партіями, але не пізніше 15 грудня 2025 року</w:t>
      </w:r>
      <w:r w:rsidR="00EC54F9" w:rsidRPr="00D92A62">
        <w:rPr>
          <w:rFonts w:ascii="Times New Roman" w:hAnsi="Times New Roman"/>
          <w:b/>
          <w:bCs/>
          <w:sz w:val="24"/>
          <w:szCs w:val="24"/>
        </w:rPr>
        <w:t xml:space="preserve"> </w:t>
      </w:r>
    </w:p>
    <w:p w14:paraId="00000019" w14:textId="5993876A" w:rsidR="00E53792" w:rsidRDefault="001E5B73">
      <w:pPr>
        <w:spacing w:after="0" w:line="240" w:lineRule="auto"/>
        <w:jc w:val="both"/>
        <w:rPr>
          <w:rFonts w:ascii="Times New Roman" w:eastAsia="Times New Roman" w:hAnsi="Times New Roman" w:cs="Times New Roman"/>
          <w:sz w:val="24"/>
          <w:szCs w:val="24"/>
        </w:rPr>
      </w:pPr>
      <w:bookmarkStart w:id="1" w:name="_GoBack"/>
      <w:bookmarkEnd w:id="1"/>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44CA37ED" w14:textId="77777777" w:rsidR="00DE30C4" w:rsidRPr="00C3018A" w:rsidRDefault="00DE30C4" w:rsidP="00DE30C4">
      <w:pPr>
        <w:autoSpaceDE w:val="0"/>
        <w:autoSpaceDN w:val="0"/>
        <w:adjustRightInd w:val="0"/>
        <w:spacing w:after="0" w:line="240" w:lineRule="auto"/>
        <w:ind w:firstLine="709"/>
        <w:jc w:val="center"/>
        <w:rPr>
          <w:rFonts w:ascii="Times New Roman" w:hAnsi="Times New Roman"/>
          <w:b/>
          <w:color w:val="000000"/>
          <w:sz w:val="24"/>
          <w:szCs w:val="24"/>
        </w:rPr>
      </w:pPr>
      <w:bookmarkStart w:id="2" w:name="_heading=h.q8etrab0597" w:colFirst="0" w:colLast="0"/>
      <w:bookmarkStart w:id="3" w:name="_Hlk88138937"/>
      <w:bookmarkEnd w:id="2"/>
      <w:r w:rsidRPr="00C3018A">
        <w:rPr>
          <w:rFonts w:ascii="Times New Roman" w:hAnsi="Times New Roman"/>
          <w:b/>
          <w:color w:val="000000"/>
          <w:sz w:val="24"/>
          <w:szCs w:val="24"/>
        </w:rPr>
        <w:t>МЕДИКО-ТЕХНІЧНІ ВИМОГИ</w:t>
      </w:r>
    </w:p>
    <w:p w14:paraId="1CD065AD" w14:textId="77777777" w:rsidR="00DE30C4" w:rsidRPr="00C3018A" w:rsidRDefault="00DE30C4" w:rsidP="00DE30C4">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3"/>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559"/>
        <w:gridCol w:w="1417"/>
        <w:gridCol w:w="1276"/>
        <w:gridCol w:w="1418"/>
        <w:gridCol w:w="1417"/>
      </w:tblGrid>
      <w:tr w:rsidR="00DE30C4" w:rsidRPr="00C3018A" w14:paraId="1055C42C" w14:textId="77777777" w:rsidTr="00191CAA">
        <w:trPr>
          <w:trHeight w:val="1134"/>
        </w:trPr>
        <w:tc>
          <w:tcPr>
            <w:tcW w:w="425" w:type="dxa"/>
            <w:vAlign w:val="center"/>
          </w:tcPr>
          <w:p w14:paraId="01D96AE1"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1843" w:type="dxa"/>
            <w:shd w:val="clear" w:color="auto" w:fill="auto"/>
            <w:vAlign w:val="center"/>
            <w:hideMark/>
          </w:tcPr>
          <w:p w14:paraId="0CE5E2BA"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4"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1559" w:type="dxa"/>
            <w:vAlign w:val="center"/>
          </w:tcPr>
          <w:p w14:paraId="6A37BAC2"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844A04">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7704965B"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Pr="00C3018A">
              <w:rPr>
                <w:rFonts w:ascii="Times New Roman" w:eastAsia="Times New Roman" w:hAnsi="Times New Roman" w:cs="Times New Roman"/>
                <w:b/>
                <w:bCs/>
                <w:sz w:val="24"/>
                <w:szCs w:val="24"/>
                <w:lang w:eastAsia="ru-RU"/>
              </w:rPr>
              <w:t>озування</w:t>
            </w:r>
          </w:p>
        </w:tc>
        <w:tc>
          <w:tcPr>
            <w:tcW w:w="1276" w:type="dxa"/>
            <w:vAlign w:val="center"/>
          </w:tcPr>
          <w:p w14:paraId="06091593" w14:textId="77777777" w:rsidR="00DE30C4" w:rsidRPr="00C3018A"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p>
        </w:tc>
        <w:tc>
          <w:tcPr>
            <w:tcW w:w="1418" w:type="dxa"/>
            <w:shd w:val="clear" w:color="auto" w:fill="auto"/>
            <w:vAlign w:val="center"/>
            <w:hideMark/>
          </w:tcPr>
          <w:p w14:paraId="258D6D43" w14:textId="77777777" w:rsidR="00DE30C4" w:rsidRPr="00C3018A" w:rsidRDefault="00DE30C4" w:rsidP="00191CAA">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417" w:type="dxa"/>
            <w:vAlign w:val="center"/>
          </w:tcPr>
          <w:p w14:paraId="3DA57A68" w14:textId="77777777" w:rsidR="00DE30C4" w:rsidRPr="00C3018A" w:rsidRDefault="00DE30C4" w:rsidP="00191CAA">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Строк  поставки</w:t>
            </w:r>
          </w:p>
        </w:tc>
      </w:tr>
      <w:tr w:rsidR="00DE30C4" w:rsidRPr="00C3018A" w14:paraId="4AD37443" w14:textId="77777777" w:rsidTr="00191CAA">
        <w:trPr>
          <w:trHeight w:val="2160"/>
        </w:trPr>
        <w:tc>
          <w:tcPr>
            <w:tcW w:w="425" w:type="dxa"/>
            <w:vAlign w:val="center"/>
          </w:tcPr>
          <w:p w14:paraId="45537E09" w14:textId="77777777" w:rsidR="00DE30C4" w:rsidRDefault="00DE30C4" w:rsidP="00191CAA">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F1705FF" w14:textId="77777777" w:rsidR="00DE30C4" w:rsidRDefault="00DE30C4" w:rsidP="00191CAA">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shd w:val="clear" w:color="auto" w:fill="auto"/>
            <w:vAlign w:val="center"/>
          </w:tcPr>
          <w:p w14:paraId="214DE29A" w14:textId="77777777" w:rsidR="00DE30C4" w:rsidRPr="00844A04" w:rsidRDefault="00DE30C4" w:rsidP="00191CAA">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F66CF3">
              <w:rPr>
                <w:rFonts w:ascii="Times New Roman" w:eastAsia="Times New Roman" w:hAnsi="Times New Roman" w:cs="Times New Roman"/>
                <w:sz w:val="24"/>
                <w:szCs w:val="24"/>
                <w:lang w:eastAsia="ru-RU"/>
              </w:rPr>
              <w:t>Натрію хлорид</w:t>
            </w:r>
          </w:p>
        </w:tc>
        <w:tc>
          <w:tcPr>
            <w:tcW w:w="1559" w:type="dxa"/>
            <w:vAlign w:val="center"/>
          </w:tcPr>
          <w:p w14:paraId="43FAF50D" w14:textId="77777777" w:rsidR="00DE30C4" w:rsidRPr="003932C5" w:rsidRDefault="00DE30C4" w:rsidP="00191CAA">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D61C9E">
              <w:rPr>
                <w:rFonts w:ascii="Times New Roman" w:eastAsia="Times New Roman" w:hAnsi="Times New Roman" w:cs="Times New Roman"/>
                <w:sz w:val="24"/>
                <w:szCs w:val="24"/>
                <w:lang w:eastAsia="ru-RU"/>
              </w:rPr>
              <w:t xml:space="preserve">розчин для </w:t>
            </w:r>
            <w:proofErr w:type="spellStart"/>
            <w:r w:rsidRPr="00D61C9E">
              <w:rPr>
                <w:rFonts w:ascii="Times New Roman" w:eastAsia="Times New Roman" w:hAnsi="Times New Roman" w:cs="Times New Roman"/>
                <w:sz w:val="24"/>
                <w:szCs w:val="24"/>
                <w:lang w:eastAsia="ru-RU"/>
              </w:rPr>
              <w:t>інфузій</w:t>
            </w:r>
            <w:proofErr w:type="spellEnd"/>
          </w:p>
        </w:tc>
        <w:tc>
          <w:tcPr>
            <w:tcW w:w="1417" w:type="dxa"/>
            <w:vAlign w:val="center"/>
          </w:tcPr>
          <w:p w14:paraId="0D97DC07" w14:textId="77777777" w:rsidR="00DE30C4" w:rsidRPr="00C3018A" w:rsidRDefault="00DE30C4" w:rsidP="00191CAA">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мг/мл по 200 мл</w:t>
            </w:r>
          </w:p>
        </w:tc>
        <w:tc>
          <w:tcPr>
            <w:tcW w:w="1276" w:type="dxa"/>
            <w:shd w:val="clear" w:color="auto" w:fill="auto"/>
            <w:vAlign w:val="center"/>
          </w:tcPr>
          <w:p w14:paraId="15E0A607" w14:textId="77777777" w:rsidR="00DE30C4" w:rsidRPr="00194FFF"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флакон</w:t>
            </w:r>
          </w:p>
        </w:tc>
        <w:tc>
          <w:tcPr>
            <w:tcW w:w="1418" w:type="dxa"/>
            <w:noWrap/>
            <w:vAlign w:val="center"/>
          </w:tcPr>
          <w:p w14:paraId="664E17D5" w14:textId="77777777" w:rsidR="00DE30C4" w:rsidRPr="00844A04"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4B79C0">
              <w:rPr>
                <w:rFonts w:ascii="Times New Roman" w:eastAsia="Times New Roman" w:hAnsi="Times New Roman" w:cs="Times New Roman"/>
                <w:sz w:val="24"/>
                <w:szCs w:val="24"/>
                <w:lang w:eastAsia="ru-RU"/>
              </w:rPr>
              <w:t>25 644</w:t>
            </w:r>
          </w:p>
        </w:tc>
        <w:tc>
          <w:tcPr>
            <w:tcW w:w="1417" w:type="dxa"/>
            <w:vAlign w:val="center"/>
          </w:tcPr>
          <w:p w14:paraId="5CF5368C" w14:textId="77777777" w:rsidR="00DE30C4"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але не пізніше</w:t>
            </w:r>
          </w:p>
          <w:p w14:paraId="463A6F7A" w14:textId="77777777" w:rsidR="00DE30C4" w:rsidRPr="00DC7B89" w:rsidRDefault="00DE30C4" w:rsidP="00191CAA">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грудня 2025 року.</w:t>
            </w:r>
          </w:p>
        </w:tc>
      </w:tr>
      <w:bookmarkEnd w:id="4"/>
    </w:tbl>
    <w:p w14:paraId="2D1FF91F" w14:textId="77777777" w:rsidR="00DE30C4" w:rsidRPr="00B44D0F" w:rsidRDefault="00DE30C4" w:rsidP="00DE30C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0D305BBF" w14:textId="77777777" w:rsidR="00DE30C4" w:rsidRPr="00C3018A" w:rsidRDefault="00DE30C4" w:rsidP="00DE30C4">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133C6516" w14:textId="77777777" w:rsidR="00DE30C4" w:rsidRPr="00C3018A" w:rsidRDefault="00DE30C4" w:rsidP="00DE30C4">
      <w:pPr>
        <w:numPr>
          <w:ilvl w:val="0"/>
          <w:numId w:val="1"/>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Pr="00E00041">
        <w:t xml:space="preserve"> </w:t>
      </w:r>
      <w:r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Pr>
          <w:rFonts w:ascii="Times New Roman" w:hAnsi="Times New Roman" w:cs="Times New Roman"/>
          <w:sz w:val="24"/>
          <w:szCs w:val="24"/>
          <w:lang w:eastAsia="en-US"/>
        </w:rPr>
        <w:t>.</w:t>
      </w:r>
    </w:p>
    <w:p w14:paraId="0EFEC766" w14:textId="77777777" w:rsidR="00DE30C4" w:rsidRPr="00A176B6" w:rsidRDefault="00DE30C4" w:rsidP="00DE30C4">
      <w:pPr>
        <w:numPr>
          <w:ilvl w:val="0"/>
          <w:numId w:val="1"/>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0BBDD692" w14:textId="77777777" w:rsidR="00DE30C4" w:rsidRPr="00DE30C4" w:rsidRDefault="00DE30C4" w:rsidP="00DE30C4">
      <w:pPr>
        <w:numPr>
          <w:ilvl w:val="0"/>
          <w:numId w:val="1"/>
        </w:numPr>
        <w:suppressAutoHyphens/>
        <w:autoSpaceDN w:val="0"/>
        <w:snapToGrid w:val="0"/>
        <w:spacing w:before="20" w:after="0" w:line="240" w:lineRule="auto"/>
        <w:ind w:left="709" w:hanging="283"/>
        <w:contextualSpacing/>
        <w:jc w:val="both"/>
        <w:rPr>
          <w:rFonts w:ascii="Times New Roman" w:hAnsi="Times New Roman" w:cs="Times New Roman"/>
          <w:sz w:val="24"/>
          <w:szCs w:val="24"/>
          <w:lang w:eastAsia="en-US"/>
        </w:rPr>
      </w:pPr>
      <w:r w:rsidRPr="00C766C4">
        <w:rPr>
          <w:rFonts w:ascii="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w:t>
      </w:r>
      <w:r w:rsidRPr="00DE30C4">
        <w:rPr>
          <w:rFonts w:ascii="Times New Roman" w:hAnsi="Times New Roman" w:cs="Times New Roman"/>
          <w:sz w:val="24"/>
          <w:szCs w:val="24"/>
          <w:lang w:eastAsia="en-US"/>
        </w:rPr>
        <w:t xml:space="preserve">норм та правил, </w:t>
      </w:r>
      <w:r w:rsidRPr="00DE30C4">
        <w:rPr>
          <w:rFonts w:ascii="Times New Roman" w:hAnsi="Times New Roman" w:cs="Times New Roman"/>
          <w:bCs/>
          <w:color w:val="000000"/>
          <w:sz w:val="24"/>
          <w:szCs w:val="24"/>
          <w:shd w:val="clear" w:color="auto" w:fill="FFFFFF"/>
        </w:rPr>
        <w:t xml:space="preserve">забезпечувати належний температурний режим при </w:t>
      </w:r>
      <w:proofErr w:type="spellStart"/>
      <w:r w:rsidRPr="00DE30C4">
        <w:rPr>
          <w:rFonts w:ascii="Times New Roman" w:hAnsi="Times New Roman" w:cs="Times New Roman"/>
          <w:sz w:val="24"/>
          <w:szCs w:val="24"/>
          <w:lang w:eastAsia="en-US"/>
        </w:rPr>
        <w:t>транспортувані</w:t>
      </w:r>
      <w:proofErr w:type="spellEnd"/>
      <w:r w:rsidRPr="00DE30C4">
        <w:rPr>
          <w:rFonts w:ascii="Times New Roman" w:hAnsi="Times New Roman" w:cs="Times New Roman"/>
          <w:sz w:val="24"/>
          <w:szCs w:val="24"/>
          <w:lang w:eastAsia="en-US"/>
        </w:rPr>
        <w:t>.</w:t>
      </w:r>
    </w:p>
    <w:p w14:paraId="0000001F" w14:textId="40C2C9A0" w:rsidR="00E53792" w:rsidRPr="00DE30C4" w:rsidRDefault="00DE30C4" w:rsidP="00DE30C4">
      <w:pPr>
        <w:numPr>
          <w:ilvl w:val="0"/>
          <w:numId w:val="1"/>
        </w:numPr>
        <w:suppressAutoHyphens/>
        <w:autoSpaceDN w:val="0"/>
        <w:snapToGrid w:val="0"/>
        <w:spacing w:before="20" w:after="0" w:line="240" w:lineRule="auto"/>
        <w:ind w:left="709" w:hanging="283"/>
        <w:contextualSpacing/>
        <w:jc w:val="both"/>
        <w:rPr>
          <w:rFonts w:ascii="Times New Roman" w:hAnsi="Times New Roman" w:cs="Times New Roman"/>
          <w:sz w:val="24"/>
          <w:szCs w:val="24"/>
          <w:lang w:eastAsia="en-US"/>
        </w:rPr>
      </w:pPr>
      <w:r w:rsidRPr="00DE30C4">
        <w:rPr>
          <w:rFonts w:ascii="Times New Roman" w:hAnsi="Times New Roman" w:cs="Times New Roman"/>
          <w:sz w:val="24"/>
          <w:szCs w:val="24"/>
          <w:lang w:eastAsia="en-US"/>
        </w:rPr>
        <w:t>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046AD8D2" w14:textId="77777777" w:rsidR="00EC54F9" w:rsidRDefault="00EC54F9">
      <w:pPr>
        <w:rPr>
          <w:rFonts w:ascii="Times New Roman" w:eastAsia="Times New Roman" w:hAnsi="Times New Roman" w:cs="Times New Roman"/>
          <w:color w:val="000000"/>
          <w:sz w:val="24"/>
          <w:szCs w:val="24"/>
          <w:highlight w:val="white"/>
        </w:rPr>
        <w:sectPr w:rsidR="00EC54F9">
          <w:pgSz w:w="11906" w:h="16838"/>
          <w:pgMar w:top="850" w:right="850" w:bottom="850" w:left="1417" w:header="708" w:footer="708" w:gutter="0"/>
          <w:pgNumType w:start="1"/>
          <w:cols w:space="720"/>
        </w:sectPr>
      </w:pPr>
    </w:p>
    <w:p w14:paraId="61E7028A" w14:textId="66CB4126" w:rsidR="00EC54F9" w:rsidRPr="00EC54F9" w:rsidRDefault="00EC54F9" w:rsidP="00DE30C4">
      <w:pPr>
        <w:spacing w:before="280" w:after="0" w:line="240" w:lineRule="auto"/>
        <w:ind w:left="10490"/>
        <w:rPr>
          <w:rFonts w:ascii="Times New Roman" w:eastAsia="Times New Roman" w:hAnsi="Times New Roman" w:cs="Times New Roman"/>
          <w:b/>
          <w:sz w:val="24"/>
          <w:szCs w:val="24"/>
        </w:rPr>
      </w:pPr>
      <w:r w:rsidRPr="00EC54F9">
        <w:rPr>
          <w:rFonts w:ascii="Times New Roman" w:hAnsi="Times New Roman" w:cs="Times New Roman"/>
          <w:color w:val="000000"/>
          <w:sz w:val="24"/>
          <w:szCs w:val="24"/>
        </w:rPr>
        <w:lastRenderedPageBreak/>
        <w:t xml:space="preserve">Додаток 1 до </w:t>
      </w:r>
      <w:r w:rsidRPr="00EC54F9">
        <w:rPr>
          <w:rFonts w:ascii="Times New Roman" w:eastAsia="Times New Roman" w:hAnsi="Times New Roman" w:cs="Times New Roman"/>
          <w:sz w:val="24"/>
          <w:szCs w:val="24"/>
        </w:rPr>
        <w:t xml:space="preserve">обґрунтування </w:t>
      </w:r>
    </w:p>
    <w:p w14:paraId="6F4FBF06" w14:textId="43428914" w:rsidR="00EC54F9" w:rsidRDefault="00EC54F9" w:rsidP="00DE30C4">
      <w:pPr>
        <w:spacing w:after="0" w:line="240" w:lineRule="auto"/>
        <w:ind w:left="10490"/>
        <w:rPr>
          <w:rFonts w:ascii="Times New Roman" w:eastAsia="Times New Roman" w:hAnsi="Times New Roman" w:cs="Times New Roman"/>
          <w:sz w:val="24"/>
          <w:szCs w:val="24"/>
        </w:rPr>
      </w:pPr>
      <w:r w:rsidRPr="00EC54F9">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p>
    <w:p w14:paraId="6A919077" w14:textId="6D601B04" w:rsidR="00EC54F9" w:rsidRDefault="00EC54F9" w:rsidP="00DE30C4">
      <w:pPr>
        <w:spacing w:after="0" w:line="240" w:lineRule="auto"/>
        <w:ind w:left="5954"/>
        <w:rPr>
          <w:rFonts w:ascii="Times New Roman" w:eastAsia="Times New Roman" w:hAnsi="Times New Roman" w:cs="Times New Roman"/>
          <w:color w:val="000000"/>
          <w:sz w:val="24"/>
          <w:szCs w:val="24"/>
          <w:highlight w:val="white"/>
        </w:rPr>
      </w:pPr>
    </w:p>
    <w:tbl>
      <w:tblPr>
        <w:tblW w:w="15489" w:type="dxa"/>
        <w:tblInd w:w="-10" w:type="dxa"/>
        <w:tblLayout w:type="fixed"/>
        <w:tblLook w:val="04A0" w:firstRow="1" w:lastRow="0" w:firstColumn="1" w:lastColumn="0" w:noHBand="0" w:noVBand="1"/>
      </w:tblPr>
      <w:tblGrid>
        <w:gridCol w:w="458"/>
        <w:gridCol w:w="1403"/>
        <w:gridCol w:w="1365"/>
        <w:gridCol w:w="1941"/>
        <w:gridCol w:w="1321"/>
        <w:gridCol w:w="3802"/>
        <w:gridCol w:w="909"/>
        <w:gridCol w:w="1275"/>
        <w:gridCol w:w="993"/>
        <w:gridCol w:w="2022"/>
      </w:tblGrid>
      <w:tr w:rsidR="00EC54F9" w:rsidRPr="00EC54F9" w14:paraId="1FE84F86" w14:textId="77777777" w:rsidTr="00EC54F9">
        <w:trPr>
          <w:trHeight w:val="3465"/>
        </w:trPr>
        <w:tc>
          <w:tcPr>
            <w:tcW w:w="458" w:type="dxa"/>
            <w:tcBorders>
              <w:top w:val="single" w:sz="8" w:space="0" w:color="auto"/>
              <w:left w:val="single" w:sz="8" w:space="0" w:color="auto"/>
              <w:bottom w:val="single" w:sz="4" w:space="0" w:color="auto"/>
              <w:right w:val="nil"/>
            </w:tcBorders>
            <w:shd w:val="clear" w:color="000000" w:fill="D0CECE"/>
            <w:vAlign w:val="center"/>
            <w:hideMark/>
          </w:tcPr>
          <w:p w14:paraId="55263CB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w:t>
            </w:r>
          </w:p>
        </w:tc>
        <w:tc>
          <w:tcPr>
            <w:tcW w:w="140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6F49778"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Конкретна назва предмету закупівлі</w:t>
            </w:r>
          </w:p>
        </w:tc>
        <w:tc>
          <w:tcPr>
            <w:tcW w:w="1365" w:type="dxa"/>
            <w:tcBorders>
              <w:top w:val="single" w:sz="4" w:space="0" w:color="auto"/>
              <w:left w:val="nil"/>
              <w:bottom w:val="single" w:sz="4" w:space="0" w:color="auto"/>
              <w:right w:val="single" w:sz="4" w:space="0" w:color="auto"/>
            </w:tcBorders>
            <w:shd w:val="clear" w:color="000000" w:fill="D0CECE"/>
            <w:vAlign w:val="center"/>
            <w:hideMark/>
          </w:tcPr>
          <w:p w14:paraId="60639FA6"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Номер бюджетної лінії </w:t>
            </w:r>
          </w:p>
        </w:tc>
        <w:tc>
          <w:tcPr>
            <w:tcW w:w="1941" w:type="dxa"/>
            <w:tcBorders>
              <w:top w:val="single" w:sz="4" w:space="0" w:color="auto"/>
              <w:left w:val="nil"/>
              <w:bottom w:val="single" w:sz="4" w:space="0" w:color="auto"/>
              <w:right w:val="single" w:sz="4" w:space="0" w:color="auto"/>
            </w:tcBorders>
            <w:shd w:val="clear" w:color="000000" w:fill="D0CECE"/>
            <w:vAlign w:val="center"/>
            <w:hideMark/>
          </w:tcPr>
          <w:p w14:paraId="68F080F6"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Назва бюджетної лінії</w:t>
            </w:r>
          </w:p>
        </w:tc>
        <w:tc>
          <w:tcPr>
            <w:tcW w:w="1321" w:type="dxa"/>
            <w:tcBorders>
              <w:top w:val="single" w:sz="4" w:space="0" w:color="auto"/>
              <w:left w:val="nil"/>
              <w:bottom w:val="single" w:sz="4" w:space="0" w:color="auto"/>
              <w:right w:val="single" w:sz="4" w:space="0" w:color="auto"/>
            </w:tcBorders>
            <w:shd w:val="clear" w:color="000000" w:fill="D0CECE"/>
            <w:vAlign w:val="center"/>
            <w:hideMark/>
          </w:tcPr>
          <w:p w14:paraId="6D905F84"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Закупівля 2025 рік (од.)</w:t>
            </w:r>
          </w:p>
        </w:tc>
        <w:tc>
          <w:tcPr>
            <w:tcW w:w="3802" w:type="dxa"/>
            <w:tcBorders>
              <w:top w:val="single" w:sz="4" w:space="0" w:color="auto"/>
              <w:left w:val="nil"/>
              <w:bottom w:val="single" w:sz="4" w:space="0" w:color="auto"/>
              <w:right w:val="single" w:sz="4" w:space="0" w:color="auto"/>
            </w:tcBorders>
            <w:shd w:val="clear" w:color="000000" w:fill="D0CECE"/>
            <w:vAlign w:val="center"/>
            <w:hideMark/>
          </w:tcPr>
          <w:p w14:paraId="56AD3859"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Джерело інформації прогнозованої ціни</w:t>
            </w:r>
          </w:p>
        </w:tc>
        <w:tc>
          <w:tcPr>
            <w:tcW w:w="909" w:type="dxa"/>
            <w:tcBorders>
              <w:top w:val="single" w:sz="4" w:space="0" w:color="auto"/>
              <w:left w:val="nil"/>
              <w:bottom w:val="single" w:sz="4" w:space="0" w:color="auto"/>
              <w:right w:val="single" w:sz="4" w:space="0" w:color="auto"/>
            </w:tcBorders>
            <w:shd w:val="clear" w:color="000000" w:fill="D0CECE"/>
            <w:vAlign w:val="center"/>
            <w:hideMark/>
          </w:tcPr>
          <w:p w14:paraId="4E578FA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Ціни в грн. в реєстрі граничних оптово-відпускних цін </w:t>
            </w:r>
          </w:p>
        </w:tc>
        <w:tc>
          <w:tcPr>
            <w:tcW w:w="1275" w:type="dxa"/>
            <w:tcBorders>
              <w:top w:val="single" w:sz="4" w:space="0" w:color="auto"/>
              <w:left w:val="nil"/>
              <w:bottom w:val="single" w:sz="4" w:space="0" w:color="auto"/>
              <w:right w:val="single" w:sz="4" w:space="0" w:color="auto"/>
            </w:tcBorders>
            <w:shd w:val="clear" w:color="000000" w:fill="D0CECE"/>
            <w:vAlign w:val="center"/>
            <w:hideMark/>
          </w:tcPr>
          <w:p w14:paraId="102F44BA"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Ціни в грн. перелік задекларованих оптово - відпускних цін на лікарські засоби станом на 11.07.2025 </w:t>
            </w:r>
          </w:p>
        </w:tc>
        <w:tc>
          <w:tcPr>
            <w:tcW w:w="993" w:type="dxa"/>
            <w:tcBorders>
              <w:top w:val="single" w:sz="4" w:space="0" w:color="auto"/>
              <w:left w:val="nil"/>
              <w:bottom w:val="single" w:sz="4" w:space="0" w:color="auto"/>
              <w:right w:val="single" w:sz="4" w:space="0" w:color="auto"/>
            </w:tcBorders>
            <w:shd w:val="clear" w:color="000000" w:fill="D0CECE"/>
            <w:vAlign w:val="center"/>
            <w:hideMark/>
          </w:tcPr>
          <w:p w14:paraId="006C507E"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Ціна в </w:t>
            </w:r>
            <w:proofErr w:type="spellStart"/>
            <w:r w:rsidRPr="00EC54F9">
              <w:rPr>
                <w:rFonts w:ascii="Times New Roman" w:eastAsia="Times New Roman" w:hAnsi="Times New Roman" w:cs="Times New Roman"/>
                <w:b/>
                <w:bCs/>
                <w:color w:val="000000"/>
                <w:sz w:val="24"/>
                <w:szCs w:val="24"/>
              </w:rPr>
              <w:t>грн.згідно</w:t>
            </w:r>
            <w:proofErr w:type="spellEnd"/>
            <w:r w:rsidRPr="00EC54F9">
              <w:rPr>
                <w:rFonts w:ascii="Times New Roman" w:eastAsia="Times New Roman" w:hAnsi="Times New Roman" w:cs="Times New Roman"/>
                <w:b/>
                <w:bCs/>
                <w:color w:val="000000"/>
                <w:sz w:val="24"/>
                <w:szCs w:val="24"/>
              </w:rPr>
              <w:t xml:space="preserve">  граничних постачальницько-збутових надбавок +8%</w:t>
            </w:r>
          </w:p>
        </w:tc>
        <w:tc>
          <w:tcPr>
            <w:tcW w:w="2022" w:type="dxa"/>
            <w:tcBorders>
              <w:top w:val="single" w:sz="4" w:space="0" w:color="auto"/>
              <w:left w:val="nil"/>
              <w:bottom w:val="single" w:sz="4" w:space="0" w:color="auto"/>
              <w:right w:val="single" w:sz="4" w:space="0" w:color="auto"/>
            </w:tcBorders>
            <w:shd w:val="clear" w:color="000000" w:fill="D0CECE"/>
            <w:vAlign w:val="center"/>
            <w:hideMark/>
          </w:tcPr>
          <w:p w14:paraId="565898BC" w14:textId="77777777" w:rsidR="00EC54F9" w:rsidRPr="00EC54F9" w:rsidRDefault="00EC54F9" w:rsidP="00EC54F9">
            <w:pPr>
              <w:spacing w:after="0" w:line="240" w:lineRule="auto"/>
              <w:jc w:val="center"/>
              <w:rPr>
                <w:rFonts w:ascii="Times New Roman" w:eastAsia="Times New Roman" w:hAnsi="Times New Roman" w:cs="Times New Roman"/>
                <w:b/>
                <w:bCs/>
                <w:color w:val="000000"/>
                <w:sz w:val="24"/>
                <w:szCs w:val="24"/>
              </w:rPr>
            </w:pPr>
            <w:r w:rsidRPr="00EC54F9">
              <w:rPr>
                <w:rFonts w:ascii="Times New Roman" w:eastAsia="Times New Roman" w:hAnsi="Times New Roman" w:cs="Times New Roman"/>
                <w:b/>
                <w:bCs/>
                <w:color w:val="000000"/>
                <w:sz w:val="24"/>
                <w:szCs w:val="24"/>
              </w:rPr>
              <w:t xml:space="preserve">Сума видатків з урахуванням граничних оптово-відпускних цін та цін </w:t>
            </w:r>
            <w:proofErr w:type="spellStart"/>
            <w:r w:rsidRPr="00EC54F9">
              <w:rPr>
                <w:rFonts w:ascii="Times New Roman" w:eastAsia="Times New Roman" w:hAnsi="Times New Roman" w:cs="Times New Roman"/>
                <w:b/>
                <w:bCs/>
                <w:color w:val="000000"/>
                <w:sz w:val="24"/>
                <w:szCs w:val="24"/>
              </w:rPr>
              <w:t>забюджетованих</w:t>
            </w:r>
            <w:proofErr w:type="spellEnd"/>
            <w:r w:rsidRPr="00EC54F9">
              <w:rPr>
                <w:rFonts w:ascii="Times New Roman" w:eastAsia="Times New Roman" w:hAnsi="Times New Roman" w:cs="Times New Roman"/>
                <w:b/>
                <w:bCs/>
                <w:color w:val="000000"/>
                <w:sz w:val="24"/>
                <w:szCs w:val="24"/>
              </w:rPr>
              <w:t xml:space="preserve"> в гранті ГФ, грн.</w:t>
            </w:r>
          </w:p>
        </w:tc>
      </w:tr>
      <w:tr w:rsidR="00EC54F9" w:rsidRPr="00EC54F9" w14:paraId="14E46B29" w14:textId="77777777" w:rsidTr="00EC54F9">
        <w:trPr>
          <w:trHeight w:val="2835"/>
        </w:trPr>
        <w:tc>
          <w:tcPr>
            <w:tcW w:w="458" w:type="dxa"/>
            <w:tcBorders>
              <w:top w:val="nil"/>
              <w:left w:val="single" w:sz="8" w:space="0" w:color="auto"/>
              <w:bottom w:val="single" w:sz="4" w:space="0" w:color="auto"/>
              <w:right w:val="nil"/>
            </w:tcBorders>
            <w:shd w:val="clear" w:color="000000" w:fill="FFFFFF"/>
            <w:vAlign w:val="center"/>
            <w:hideMark/>
          </w:tcPr>
          <w:p w14:paraId="2E3F83D9" w14:textId="77777777" w:rsidR="00EC54F9" w:rsidRPr="00EC54F9" w:rsidRDefault="00EC54F9" w:rsidP="00EC54F9">
            <w:pPr>
              <w:spacing w:after="0" w:line="240" w:lineRule="auto"/>
              <w:jc w:val="center"/>
              <w:rPr>
                <w:rFonts w:ascii="Times New Roman" w:eastAsia="Times New Roman" w:hAnsi="Times New Roman" w:cs="Times New Roman"/>
                <w:color w:val="000000"/>
                <w:sz w:val="24"/>
                <w:szCs w:val="24"/>
              </w:rPr>
            </w:pPr>
            <w:r w:rsidRPr="00EC54F9">
              <w:rPr>
                <w:rFonts w:ascii="Times New Roman" w:eastAsia="Times New Roman" w:hAnsi="Times New Roman" w:cs="Times New Roman"/>
                <w:color w:val="000000"/>
                <w:sz w:val="24"/>
                <w:szCs w:val="24"/>
              </w:rPr>
              <w:t>17</w:t>
            </w:r>
          </w:p>
        </w:tc>
        <w:tc>
          <w:tcPr>
            <w:tcW w:w="1403" w:type="dxa"/>
            <w:tcBorders>
              <w:top w:val="nil"/>
              <w:left w:val="single" w:sz="4" w:space="0" w:color="auto"/>
              <w:bottom w:val="single" w:sz="4" w:space="0" w:color="auto"/>
              <w:right w:val="single" w:sz="4" w:space="0" w:color="auto"/>
            </w:tcBorders>
            <w:shd w:val="clear" w:color="000000" w:fill="FFFFFF"/>
            <w:vAlign w:val="center"/>
            <w:hideMark/>
          </w:tcPr>
          <w:p w14:paraId="55B1F033" w14:textId="77777777" w:rsidR="00EC54F9" w:rsidRPr="00EC54F9" w:rsidRDefault="00EC54F9" w:rsidP="00EC54F9">
            <w:pPr>
              <w:spacing w:after="0" w:line="240" w:lineRule="auto"/>
              <w:rPr>
                <w:rFonts w:ascii="Times New Roman" w:eastAsia="Times New Roman" w:hAnsi="Times New Roman" w:cs="Times New Roman"/>
                <w:color w:val="000000"/>
                <w:sz w:val="24"/>
                <w:szCs w:val="24"/>
              </w:rPr>
            </w:pPr>
            <w:r w:rsidRPr="00EC54F9">
              <w:rPr>
                <w:rFonts w:ascii="Times New Roman" w:eastAsia="Times New Roman" w:hAnsi="Times New Roman" w:cs="Times New Roman"/>
                <w:color w:val="000000"/>
                <w:sz w:val="24"/>
                <w:szCs w:val="24"/>
              </w:rPr>
              <w:t xml:space="preserve">Натрію хлорид розчин для </w:t>
            </w:r>
            <w:proofErr w:type="spellStart"/>
            <w:r w:rsidRPr="00EC54F9">
              <w:rPr>
                <w:rFonts w:ascii="Times New Roman" w:eastAsia="Times New Roman" w:hAnsi="Times New Roman" w:cs="Times New Roman"/>
                <w:color w:val="000000"/>
                <w:sz w:val="24"/>
                <w:szCs w:val="24"/>
              </w:rPr>
              <w:t>інфузій</w:t>
            </w:r>
            <w:proofErr w:type="spellEnd"/>
            <w:r w:rsidRPr="00EC54F9">
              <w:rPr>
                <w:rFonts w:ascii="Times New Roman" w:eastAsia="Times New Roman" w:hAnsi="Times New Roman" w:cs="Times New Roman"/>
                <w:color w:val="000000"/>
                <w:sz w:val="24"/>
                <w:szCs w:val="24"/>
              </w:rPr>
              <w:t>, 9 мг/мл (по 200 мл)</w:t>
            </w:r>
          </w:p>
        </w:tc>
        <w:tc>
          <w:tcPr>
            <w:tcW w:w="1365" w:type="dxa"/>
            <w:tcBorders>
              <w:top w:val="nil"/>
              <w:left w:val="nil"/>
              <w:bottom w:val="single" w:sz="4" w:space="0" w:color="auto"/>
              <w:right w:val="single" w:sz="4" w:space="0" w:color="auto"/>
            </w:tcBorders>
            <w:shd w:val="clear" w:color="000000" w:fill="FFFFFF"/>
            <w:noWrap/>
            <w:vAlign w:val="center"/>
            <w:hideMark/>
          </w:tcPr>
          <w:p w14:paraId="2658C299" w14:textId="77777777" w:rsidR="00EC54F9" w:rsidRPr="00EC54F9" w:rsidRDefault="00EC54F9" w:rsidP="00EC54F9">
            <w:pPr>
              <w:spacing w:after="0" w:line="240" w:lineRule="auto"/>
              <w:jc w:val="center"/>
              <w:rPr>
                <w:rFonts w:ascii="Times New Roman" w:eastAsia="Times New Roman" w:hAnsi="Times New Roman" w:cs="Times New Roman"/>
                <w:color w:val="000000"/>
                <w:sz w:val="24"/>
                <w:szCs w:val="24"/>
              </w:rPr>
            </w:pPr>
            <w:r w:rsidRPr="00EC54F9">
              <w:rPr>
                <w:rFonts w:ascii="Times New Roman" w:eastAsia="Times New Roman" w:hAnsi="Times New Roman" w:cs="Times New Roman"/>
                <w:color w:val="000000"/>
                <w:sz w:val="24"/>
                <w:szCs w:val="24"/>
              </w:rPr>
              <w:t>186</w:t>
            </w:r>
          </w:p>
        </w:tc>
        <w:tc>
          <w:tcPr>
            <w:tcW w:w="1941" w:type="dxa"/>
            <w:tcBorders>
              <w:top w:val="nil"/>
              <w:left w:val="nil"/>
              <w:bottom w:val="single" w:sz="4" w:space="0" w:color="auto"/>
              <w:right w:val="single" w:sz="4" w:space="0" w:color="auto"/>
            </w:tcBorders>
            <w:shd w:val="clear" w:color="000000" w:fill="FFFFFF"/>
            <w:noWrap/>
            <w:vAlign w:val="center"/>
            <w:hideMark/>
          </w:tcPr>
          <w:p w14:paraId="362E3AE7" w14:textId="77777777" w:rsidR="00EC54F9" w:rsidRPr="00EC54F9" w:rsidRDefault="00EC54F9" w:rsidP="00EC54F9">
            <w:pPr>
              <w:spacing w:after="0" w:line="240" w:lineRule="auto"/>
              <w:rPr>
                <w:rFonts w:ascii="Times New Roman" w:eastAsia="Times New Roman" w:hAnsi="Times New Roman" w:cs="Times New Roman"/>
                <w:color w:val="000000"/>
                <w:sz w:val="24"/>
                <w:szCs w:val="24"/>
              </w:rPr>
            </w:pPr>
            <w:r w:rsidRPr="00EC54F9">
              <w:rPr>
                <w:rFonts w:ascii="Times New Roman" w:eastAsia="Times New Roman" w:hAnsi="Times New Roman" w:cs="Times New Roman"/>
                <w:color w:val="000000"/>
                <w:sz w:val="24"/>
                <w:szCs w:val="24"/>
              </w:rPr>
              <w:t xml:space="preserve">4.7 </w:t>
            </w:r>
            <w:proofErr w:type="spellStart"/>
            <w:r w:rsidRPr="00EC54F9">
              <w:rPr>
                <w:rFonts w:ascii="Times New Roman" w:eastAsia="Times New Roman" w:hAnsi="Times New Roman" w:cs="Times New Roman"/>
                <w:color w:val="000000"/>
                <w:sz w:val="24"/>
                <w:szCs w:val="24"/>
              </w:rPr>
              <w:t>Other</w:t>
            </w:r>
            <w:proofErr w:type="spellEnd"/>
            <w:r w:rsidRPr="00EC54F9">
              <w:rPr>
                <w:rFonts w:ascii="Times New Roman" w:eastAsia="Times New Roman" w:hAnsi="Times New Roman" w:cs="Times New Roman"/>
                <w:color w:val="000000"/>
                <w:sz w:val="24"/>
                <w:szCs w:val="24"/>
              </w:rPr>
              <w:t xml:space="preserve"> </w:t>
            </w:r>
            <w:proofErr w:type="spellStart"/>
            <w:r w:rsidRPr="00EC54F9">
              <w:rPr>
                <w:rFonts w:ascii="Times New Roman" w:eastAsia="Times New Roman" w:hAnsi="Times New Roman" w:cs="Times New Roman"/>
                <w:color w:val="000000"/>
                <w:sz w:val="24"/>
                <w:szCs w:val="24"/>
              </w:rPr>
              <w:t>medicines</w:t>
            </w:r>
            <w:proofErr w:type="spellEnd"/>
          </w:p>
        </w:tc>
        <w:tc>
          <w:tcPr>
            <w:tcW w:w="1321" w:type="dxa"/>
            <w:tcBorders>
              <w:top w:val="nil"/>
              <w:left w:val="nil"/>
              <w:bottom w:val="single" w:sz="4" w:space="0" w:color="auto"/>
              <w:right w:val="single" w:sz="4" w:space="0" w:color="auto"/>
            </w:tcBorders>
            <w:shd w:val="clear" w:color="000000" w:fill="FFFFFF"/>
            <w:noWrap/>
            <w:vAlign w:val="center"/>
            <w:hideMark/>
          </w:tcPr>
          <w:p w14:paraId="26968929" w14:textId="77777777" w:rsidR="00EC54F9" w:rsidRPr="00EC54F9" w:rsidRDefault="00EC54F9" w:rsidP="00EC54F9">
            <w:pPr>
              <w:spacing w:after="0" w:line="240" w:lineRule="auto"/>
              <w:jc w:val="center"/>
              <w:rPr>
                <w:rFonts w:ascii="Times New Roman" w:eastAsia="Times New Roman" w:hAnsi="Times New Roman" w:cs="Times New Roman"/>
                <w:color w:val="000000"/>
              </w:rPr>
            </w:pPr>
            <w:r w:rsidRPr="00EC54F9">
              <w:rPr>
                <w:rFonts w:ascii="Times New Roman" w:eastAsia="Times New Roman" w:hAnsi="Times New Roman" w:cs="Times New Roman"/>
                <w:color w:val="000000"/>
              </w:rPr>
              <w:t>25644</w:t>
            </w:r>
          </w:p>
        </w:tc>
        <w:tc>
          <w:tcPr>
            <w:tcW w:w="3802" w:type="dxa"/>
            <w:tcBorders>
              <w:top w:val="nil"/>
              <w:left w:val="nil"/>
              <w:bottom w:val="single" w:sz="4" w:space="0" w:color="auto"/>
              <w:right w:val="single" w:sz="4" w:space="0" w:color="auto"/>
            </w:tcBorders>
            <w:shd w:val="clear" w:color="000000" w:fill="FFFFFF"/>
            <w:vAlign w:val="center"/>
            <w:hideMark/>
          </w:tcPr>
          <w:p w14:paraId="7818AA2E" w14:textId="77777777" w:rsidR="00EC54F9" w:rsidRPr="00EC54F9" w:rsidRDefault="0056768B" w:rsidP="00EC54F9">
            <w:pPr>
              <w:spacing w:after="0" w:line="240" w:lineRule="auto"/>
              <w:jc w:val="center"/>
              <w:rPr>
                <w:rFonts w:ascii="Times New Roman" w:eastAsia="Times New Roman" w:hAnsi="Times New Roman" w:cs="Times New Roman"/>
                <w:color w:val="000000"/>
                <w:sz w:val="24"/>
                <w:szCs w:val="24"/>
              </w:rPr>
            </w:pPr>
            <w:hyperlink r:id="rId6" w:history="1">
              <w:r w:rsidR="00EC54F9" w:rsidRPr="00EC54F9">
                <w:rPr>
                  <w:rFonts w:ascii="Times New Roman" w:eastAsia="Times New Roman" w:hAnsi="Times New Roman" w:cs="Times New Roman"/>
                  <w:color w:val="000000"/>
                  <w:sz w:val="24"/>
                  <w:szCs w:val="24"/>
                  <w:u w:val="single"/>
                </w:rPr>
                <w:t>Наказ Міністерства охорони здоров’я України 13 березня 2025 року № 442</w:t>
              </w:r>
              <w:r w:rsidR="00EC54F9" w:rsidRPr="00EC54F9">
                <w:rPr>
                  <w:rFonts w:ascii="Times New Roman" w:eastAsia="Times New Roman" w:hAnsi="Times New Roman" w:cs="Times New Roman"/>
                  <w:color w:val="000000"/>
                  <w:sz w:val="24"/>
                  <w:szCs w:val="24"/>
                  <w:u w:val="single"/>
                </w:rPr>
                <w:br/>
              </w:r>
              <w:r w:rsidR="00EC54F9" w:rsidRPr="00EC54F9">
                <w:rPr>
                  <w:rFonts w:ascii="Times New Roman" w:eastAsia="Times New Roman" w:hAnsi="Times New Roman" w:cs="Times New Roman"/>
                  <w:color w:val="000000"/>
                  <w:sz w:val="24"/>
                  <w:szCs w:val="24"/>
                  <w:u w:val="single"/>
                </w:rPr>
                <w:br/>
              </w:r>
              <w:r w:rsidR="00EC54F9" w:rsidRPr="00EC54F9">
                <w:rPr>
                  <w:rFonts w:ascii="Times New Roman" w:eastAsia="Times New Roman" w:hAnsi="Times New Roman" w:cs="Times New Roman"/>
                  <w:color w:val="1155CC"/>
                  <w:sz w:val="24"/>
                  <w:szCs w:val="24"/>
                  <w:u w:val="single"/>
                </w:rPr>
                <w:t>https://moz.gov.ua/uk/decrees/nakaz-moz-ukrayini-vid-13-03-2025-442-pro-zatverdzhennya-pereliku-vidomostej-shodo-granichnih-optovo-vidpusknih-cin-na-deyaki-likarski-zasobi-sho-zakupovuyutsya-za-byudzhetni-koshti-ta-pidlyagayut</w:t>
              </w:r>
              <w:r w:rsidR="00EC54F9" w:rsidRPr="00EC54F9">
                <w:rPr>
                  <w:rFonts w:ascii="Times New Roman" w:eastAsia="Times New Roman" w:hAnsi="Times New Roman" w:cs="Times New Roman"/>
                  <w:color w:val="000000"/>
                  <w:sz w:val="24"/>
                  <w:szCs w:val="24"/>
                  <w:u w:val="single"/>
                </w:rPr>
                <w:br/>
              </w:r>
            </w:hyperlink>
          </w:p>
        </w:tc>
        <w:tc>
          <w:tcPr>
            <w:tcW w:w="909" w:type="dxa"/>
            <w:tcBorders>
              <w:top w:val="nil"/>
              <w:left w:val="nil"/>
              <w:bottom w:val="single" w:sz="4" w:space="0" w:color="auto"/>
              <w:right w:val="single" w:sz="4" w:space="0" w:color="auto"/>
            </w:tcBorders>
            <w:shd w:val="clear" w:color="000000" w:fill="FFFFFF"/>
            <w:noWrap/>
            <w:vAlign w:val="center"/>
            <w:hideMark/>
          </w:tcPr>
          <w:p w14:paraId="6545A111" w14:textId="77777777" w:rsidR="00EC54F9" w:rsidRPr="00EC54F9" w:rsidRDefault="00EC54F9" w:rsidP="00EC54F9">
            <w:pPr>
              <w:spacing w:after="0" w:line="240" w:lineRule="auto"/>
              <w:jc w:val="center"/>
              <w:rPr>
                <w:rFonts w:ascii="Times New Roman" w:eastAsia="Times New Roman" w:hAnsi="Times New Roman" w:cs="Times New Roman"/>
                <w:color w:val="000000"/>
                <w:sz w:val="24"/>
                <w:szCs w:val="24"/>
              </w:rPr>
            </w:pPr>
            <w:r w:rsidRPr="00EC54F9">
              <w:rPr>
                <w:rFonts w:ascii="Times New Roman" w:eastAsia="Times New Roman" w:hAnsi="Times New Roman" w:cs="Times New Roman"/>
                <w:color w:val="000000"/>
                <w:sz w:val="24"/>
                <w:szCs w:val="24"/>
              </w:rPr>
              <w:t>47</w:t>
            </w:r>
          </w:p>
        </w:tc>
        <w:tc>
          <w:tcPr>
            <w:tcW w:w="1275" w:type="dxa"/>
            <w:tcBorders>
              <w:top w:val="nil"/>
              <w:left w:val="nil"/>
              <w:bottom w:val="single" w:sz="4" w:space="0" w:color="auto"/>
              <w:right w:val="single" w:sz="4" w:space="0" w:color="auto"/>
            </w:tcBorders>
            <w:shd w:val="clear" w:color="000000" w:fill="FFFFFF"/>
            <w:noWrap/>
            <w:vAlign w:val="center"/>
            <w:hideMark/>
          </w:tcPr>
          <w:p w14:paraId="3B40FAD8" w14:textId="77777777" w:rsidR="00EC54F9" w:rsidRPr="00EC54F9" w:rsidRDefault="00EC54F9" w:rsidP="00EC54F9">
            <w:pPr>
              <w:spacing w:after="0" w:line="240" w:lineRule="auto"/>
              <w:jc w:val="center"/>
              <w:rPr>
                <w:rFonts w:ascii="Times New Roman" w:eastAsia="Times New Roman" w:hAnsi="Times New Roman" w:cs="Times New Roman"/>
                <w:color w:val="000000"/>
                <w:sz w:val="24"/>
                <w:szCs w:val="24"/>
              </w:rPr>
            </w:pPr>
            <w:r w:rsidRPr="00EC54F9">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6E3F900" w14:textId="77777777" w:rsidR="00EC54F9" w:rsidRPr="00EC54F9" w:rsidRDefault="00EC54F9" w:rsidP="00EC54F9">
            <w:pPr>
              <w:spacing w:after="0" w:line="240" w:lineRule="auto"/>
              <w:jc w:val="center"/>
              <w:rPr>
                <w:rFonts w:ascii="Times New Roman" w:eastAsia="Times New Roman" w:hAnsi="Times New Roman" w:cs="Times New Roman"/>
                <w:color w:val="000000"/>
                <w:sz w:val="24"/>
                <w:szCs w:val="24"/>
              </w:rPr>
            </w:pPr>
            <w:r w:rsidRPr="00EC54F9">
              <w:rPr>
                <w:rFonts w:ascii="Times New Roman" w:eastAsia="Times New Roman" w:hAnsi="Times New Roman" w:cs="Times New Roman"/>
                <w:color w:val="000000"/>
                <w:sz w:val="24"/>
                <w:szCs w:val="24"/>
              </w:rPr>
              <w:t>50,76</w:t>
            </w:r>
          </w:p>
        </w:tc>
        <w:tc>
          <w:tcPr>
            <w:tcW w:w="2022" w:type="dxa"/>
            <w:tcBorders>
              <w:top w:val="nil"/>
              <w:left w:val="nil"/>
              <w:bottom w:val="single" w:sz="4" w:space="0" w:color="auto"/>
              <w:right w:val="single" w:sz="4" w:space="0" w:color="auto"/>
            </w:tcBorders>
            <w:shd w:val="clear" w:color="000000" w:fill="FFFFFF"/>
            <w:noWrap/>
            <w:vAlign w:val="center"/>
            <w:hideMark/>
          </w:tcPr>
          <w:p w14:paraId="32D4483F" w14:textId="77777777" w:rsidR="00EC54F9" w:rsidRPr="00EC54F9" w:rsidRDefault="00EC54F9" w:rsidP="00EC54F9">
            <w:pPr>
              <w:spacing w:after="0" w:line="240" w:lineRule="auto"/>
              <w:jc w:val="center"/>
              <w:rPr>
                <w:rFonts w:ascii="Times New Roman" w:eastAsia="Times New Roman" w:hAnsi="Times New Roman" w:cs="Times New Roman"/>
                <w:color w:val="000000"/>
                <w:sz w:val="24"/>
                <w:szCs w:val="24"/>
              </w:rPr>
            </w:pPr>
            <w:r w:rsidRPr="00EC54F9">
              <w:rPr>
                <w:rFonts w:ascii="Times New Roman" w:eastAsia="Times New Roman" w:hAnsi="Times New Roman" w:cs="Times New Roman"/>
                <w:color w:val="000000"/>
                <w:sz w:val="24"/>
                <w:szCs w:val="24"/>
              </w:rPr>
              <w:t>1 301 689,44</w:t>
            </w:r>
          </w:p>
        </w:tc>
      </w:tr>
    </w:tbl>
    <w:p w14:paraId="1AF956FA" w14:textId="77777777" w:rsidR="00EC54F9" w:rsidRPr="00EC54F9" w:rsidRDefault="00EC54F9" w:rsidP="00EC54F9">
      <w:pPr>
        <w:spacing w:after="0" w:line="240" w:lineRule="auto"/>
        <w:rPr>
          <w:rFonts w:ascii="Times New Roman" w:eastAsia="Times New Roman" w:hAnsi="Times New Roman" w:cs="Times New Roman"/>
          <w:color w:val="000000"/>
          <w:sz w:val="24"/>
          <w:szCs w:val="24"/>
          <w:highlight w:val="white"/>
        </w:rPr>
      </w:pPr>
    </w:p>
    <w:sectPr w:rsidR="00EC54F9" w:rsidRPr="00EC54F9" w:rsidSect="00EC54F9">
      <w:pgSz w:w="16838" w:h="11906" w:orient="landscape"/>
      <w:pgMar w:top="1417" w:right="850" w:bottom="850" w:left="85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1E5B73"/>
    <w:rsid w:val="002414FC"/>
    <w:rsid w:val="002D4B7D"/>
    <w:rsid w:val="003976BE"/>
    <w:rsid w:val="0056768B"/>
    <w:rsid w:val="00BB762B"/>
    <w:rsid w:val="00DE30C4"/>
    <w:rsid w:val="00E53792"/>
    <w:rsid w:val="00EC54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z.gov.ua/uk/decrees/nakaz-moz-ukrayini-vid-13-03-2025-442-pro-zatverdzhennya-pereliku-vidomostej-shodo-granichnih-optovo-vidpusknih-cin-na-deyaki-likarski-zasobi-sho-zakupovuyutsya-za-byudzhetni-koshti-ta-pidlyagayu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4055</Words>
  <Characters>2312</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3</cp:revision>
  <dcterms:created xsi:type="dcterms:W3CDTF">2025-09-11T12:21:00Z</dcterms:created>
  <dcterms:modified xsi:type="dcterms:W3CDTF">2025-09-11T12:22:00Z</dcterms:modified>
</cp:coreProperties>
</file>