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09D08947" w:rsidR="002B72AC" w:rsidRDefault="0024518F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bookmarkStart w:id="0" w:name="_Hlk188967728"/>
      <w:r w:rsidRPr="0024518F">
        <w:rPr>
          <w:rFonts w:ascii="Times New Roman" w:hAnsi="Times New Roman"/>
          <w:b/>
          <w:bCs/>
          <w:sz w:val="24"/>
          <w:szCs w:val="24"/>
        </w:rPr>
        <w:t>ДК 021:2015:63520000-0 - Послуги транспортних агентств (Послуга дорожнього перевезення небезпечного вантажу біологічного матеріалу категорії B (код UN 3373) – зразки крові)</w:t>
      </w:r>
      <w:r w:rsidR="00C93795" w:rsidRPr="00C9379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bookmarkEnd w:id="0"/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6AD5407D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18F" w:rsidRPr="0024518F">
        <w:rPr>
          <w:rFonts w:ascii="Times New Roman" w:hAnsi="Times New Roman"/>
          <w:bCs/>
          <w:sz w:val="24"/>
          <w:szCs w:val="24"/>
        </w:rPr>
        <w:t>ДК 021:2015:63520000-0 - Послуги транспортних агентств (Послуга дорожнього перевезення небезпечного вантажу біологічного матеріалу категорії B (код UN 3373) – зразки крові)</w:t>
      </w:r>
      <w:r w:rsidR="00781DC3">
        <w:rPr>
          <w:rFonts w:ascii="Times New Roman" w:hAnsi="Times New Roman"/>
          <w:bCs/>
          <w:sz w:val="24"/>
          <w:szCs w:val="24"/>
        </w:rPr>
        <w:t>.</w:t>
      </w:r>
    </w:p>
    <w:p w14:paraId="4439A3F5" w14:textId="1B5AF0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особливостями</w:t>
      </w:r>
    </w:p>
    <w:p w14:paraId="5E0DC7CF" w14:textId="26BCE4BB" w:rsidR="00AC3818" w:rsidRPr="00AB3720" w:rsidRDefault="00AB3720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720">
        <w:rPr>
          <w:rFonts w:ascii="Times New Roman" w:hAnsi="Times New Roman"/>
          <w:sz w:val="24"/>
          <w:szCs w:val="24"/>
        </w:rPr>
        <w:t>UA-2025-03-25-013769-a</w:t>
      </w:r>
    </w:p>
    <w:p w14:paraId="32EAD83B" w14:textId="77777777" w:rsidR="007D0E44" w:rsidRPr="0024553B" w:rsidRDefault="007D0E44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130BF353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AB3720" w:rsidRPr="00AB3720">
        <w:rPr>
          <w:rFonts w:ascii="Times New Roman" w:hAnsi="Times New Roman"/>
          <w:sz w:val="24"/>
          <w:szCs w:val="24"/>
        </w:rPr>
        <w:t>435 786,75</w:t>
      </w:r>
      <w:r w:rsidR="007971B6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AB3720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38D0A44D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AB3720" w:rsidRPr="00AB3720">
        <w:rPr>
          <w:rFonts w:ascii="Times New Roman" w:hAnsi="Times New Roman"/>
          <w:sz w:val="24"/>
          <w:szCs w:val="24"/>
        </w:rPr>
        <w:t>435 786,75</w:t>
      </w:r>
      <w:r w:rsidR="007D0E44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AB3720">
        <w:rPr>
          <w:rFonts w:ascii="Times New Roman" w:hAnsi="Times New Roman"/>
          <w:sz w:val="24"/>
          <w:szCs w:val="24"/>
        </w:rPr>
        <w:t>без</w:t>
      </w:r>
      <w:r w:rsidR="007B5C52" w:rsidRPr="007B5C52">
        <w:rPr>
          <w:rFonts w:ascii="Times New Roman" w:hAnsi="Times New Roman"/>
          <w:sz w:val="24"/>
          <w:szCs w:val="24"/>
        </w:rPr>
        <w:t xml:space="preserve">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63CB0F92" w14:textId="7A4CB5C0" w:rsidR="0024518F" w:rsidRDefault="00A71EB1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A71EB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Джерело фінансування –</w:t>
      </w:r>
      <w:r w:rsidR="0024518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 к</w:t>
      </w:r>
      <w:r w:rsidR="0024518F" w:rsidRPr="0024518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ошти міжнародної технічної допомоги, виділені за проектом SILTP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(PEPFAR)».</w:t>
      </w:r>
    </w:p>
    <w:p w14:paraId="7EEF8683" w14:textId="06722390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289A9FC" w14:textId="2232438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338DFAC3" w:rsidR="002B72AC" w:rsidRPr="007D0E44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24518F">
        <w:rPr>
          <w:rFonts w:ascii="Times New Roman" w:hAnsi="Times New Roman"/>
          <w:sz w:val="24"/>
          <w:szCs w:val="24"/>
        </w:rPr>
        <w:t>надання послуг</w:t>
      </w:r>
      <w:r w:rsidRPr="0024553B">
        <w:rPr>
          <w:rFonts w:ascii="Times New Roman" w:hAnsi="Times New Roman"/>
          <w:sz w:val="24"/>
          <w:szCs w:val="24"/>
        </w:rPr>
        <w:t xml:space="preserve"> — </w:t>
      </w:r>
      <w:r w:rsidR="0024518F" w:rsidRPr="0024518F">
        <w:rPr>
          <w:rFonts w:ascii="Times New Roman" w:hAnsi="Times New Roman"/>
          <w:sz w:val="24"/>
          <w:szCs w:val="24"/>
        </w:rPr>
        <w:t>по 15</w:t>
      </w:r>
      <w:r w:rsidR="0024518F">
        <w:rPr>
          <w:rFonts w:ascii="Times New Roman" w:hAnsi="Times New Roman"/>
          <w:sz w:val="24"/>
          <w:szCs w:val="24"/>
        </w:rPr>
        <w:t>.</w:t>
      </w:r>
      <w:r w:rsidR="0024518F" w:rsidRPr="0024518F">
        <w:rPr>
          <w:rFonts w:ascii="Times New Roman" w:hAnsi="Times New Roman"/>
          <w:sz w:val="24"/>
          <w:szCs w:val="24"/>
        </w:rPr>
        <w:t>11</w:t>
      </w:r>
      <w:r w:rsidR="0024518F">
        <w:rPr>
          <w:rFonts w:ascii="Times New Roman" w:hAnsi="Times New Roman"/>
          <w:sz w:val="24"/>
          <w:szCs w:val="24"/>
        </w:rPr>
        <w:t>.</w:t>
      </w:r>
      <w:r w:rsidR="0024518F" w:rsidRPr="0024518F">
        <w:rPr>
          <w:rFonts w:ascii="Times New Roman" w:hAnsi="Times New Roman"/>
          <w:sz w:val="24"/>
          <w:szCs w:val="24"/>
        </w:rPr>
        <w:t>2025</w:t>
      </w:r>
      <w:r w:rsidR="0024518F">
        <w:rPr>
          <w:rFonts w:ascii="Times New Roman" w:hAnsi="Times New Roman"/>
          <w:sz w:val="24"/>
          <w:szCs w:val="24"/>
        </w:rPr>
        <w:t xml:space="preserve"> року</w:t>
      </w:r>
      <w:r w:rsidR="007D0E44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1D1701EA" w14:textId="5D74E357" w:rsidR="002B72AC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21502A78" w14:textId="77777777" w:rsidR="0024518F" w:rsidRPr="0024518F" w:rsidRDefault="0024518F" w:rsidP="002451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92775967"/>
      <w:bookmarkStart w:id="2" w:name="_Hlk160714144"/>
      <w:r w:rsidRPr="002451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ІНФОРМАЦІЯ ПРО НЕОБХІДНІ ТЕХНІЧНІ, ЯКІСНІ ТА КІЛЬКІСНІ ХАРАКТЕРИСТИКИ ПРЕДМЕТА ЗАКУПІВЛІ</w:t>
      </w:r>
    </w:p>
    <w:p w14:paraId="1B79F318" w14:textId="77777777" w:rsidR="0024518F" w:rsidRPr="0024518F" w:rsidRDefault="0024518F" w:rsidP="002451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451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</w:t>
      </w:r>
    </w:p>
    <w:p w14:paraId="306FADB8" w14:textId="77777777" w:rsidR="0024518F" w:rsidRPr="0024518F" w:rsidRDefault="0024518F" w:rsidP="002451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451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ДК 021:2015:63520000-0 - Послуги транспортних агентств (Послуга дорожнього перевезення небезпечного вантажу біологічного матеріалу категорії B (код UN 3373) – зразки крові)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451"/>
        <w:gridCol w:w="6481"/>
      </w:tblGrid>
      <w:tr w:rsidR="0024518F" w:rsidRPr="0024518F" w14:paraId="0024772E" w14:textId="77777777" w:rsidTr="00F43273">
        <w:trPr>
          <w:jc w:val="center"/>
        </w:trPr>
        <w:tc>
          <w:tcPr>
            <w:tcW w:w="719" w:type="dxa"/>
          </w:tcPr>
          <w:p w14:paraId="4768490E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84" w:type="dxa"/>
          </w:tcPr>
          <w:p w14:paraId="06C7766E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послуг</w:t>
            </w:r>
          </w:p>
          <w:p w14:paraId="2D17135C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</w:tcPr>
          <w:p w14:paraId="694E6924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Послуга дорожнього перевезення небезпечного вантажу біологічного матеріалу категорії B (код UN 3373) – зразки крові</w:t>
            </w: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(далі – Послуга).</w:t>
            </w:r>
          </w:p>
        </w:tc>
      </w:tr>
      <w:tr w:rsidR="0024518F" w:rsidRPr="0024518F" w14:paraId="150EBD19" w14:textId="77777777" w:rsidTr="00F43273">
        <w:trPr>
          <w:jc w:val="center"/>
        </w:trPr>
        <w:tc>
          <w:tcPr>
            <w:tcW w:w="719" w:type="dxa"/>
          </w:tcPr>
          <w:p w14:paraId="11FCBECF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84" w:type="dxa"/>
          </w:tcPr>
          <w:p w14:paraId="2830CD4A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послуг</w:t>
            </w:r>
          </w:p>
        </w:tc>
        <w:tc>
          <w:tcPr>
            <w:tcW w:w="6993" w:type="dxa"/>
          </w:tcPr>
          <w:p w14:paraId="734059AA" w14:textId="77777777" w:rsidR="0024518F" w:rsidRPr="0024518F" w:rsidRDefault="0024518F" w:rsidP="0024518F">
            <w:pPr>
              <w:widowControl w:val="0"/>
              <w:tabs>
                <w:tab w:val="left" w:pos="317"/>
                <w:tab w:val="left" w:pos="884"/>
              </w:tabs>
              <w:spacing w:after="0" w:line="228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5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Послуга </w:t>
            </w:r>
            <w:r w:rsidRPr="00245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включає в себе 203 доставки біологічного вантажу з</w:t>
            </w:r>
            <w:r w:rsidRPr="0024518F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45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приміщення </w:t>
            </w:r>
            <w:proofErr w:type="spellStart"/>
            <w:r w:rsidRPr="00245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45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-лабораторії з діагностики ВІЛ/СНІДу, вірусних та особливо небезпечних патогенів ДУ «Центр громадського здоров’я МОЗ України» (далі – </w:t>
            </w:r>
            <w:proofErr w:type="spellStart"/>
            <w:r w:rsidRPr="00245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45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-лабораторія), що знаходиться за </w:t>
            </w:r>
            <w:proofErr w:type="spellStart"/>
            <w:r w:rsidRPr="00245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245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: 04071, м. Київ, вул. Ярославська,41 до 29 установ, вказаних у Таблиці № 1 до Додатку 1 Договору.</w:t>
            </w:r>
          </w:p>
          <w:p w14:paraId="06BCD39C" w14:textId="77777777" w:rsidR="0024518F" w:rsidRPr="0024518F" w:rsidRDefault="0024518F" w:rsidP="0024518F">
            <w:pPr>
              <w:widowControl w:val="0"/>
              <w:tabs>
                <w:tab w:val="left" w:pos="317"/>
                <w:tab w:val="left" w:pos="884"/>
              </w:tabs>
              <w:spacing w:after="0" w:line="228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Кількість доставок може бути зменшена відповідно до потреб Замовника.</w:t>
            </w:r>
          </w:p>
        </w:tc>
      </w:tr>
      <w:tr w:rsidR="0024518F" w:rsidRPr="0024518F" w14:paraId="72C0222F" w14:textId="77777777" w:rsidTr="00F43273">
        <w:trPr>
          <w:jc w:val="center"/>
        </w:trPr>
        <w:tc>
          <w:tcPr>
            <w:tcW w:w="719" w:type="dxa"/>
          </w:tcPr>
          <w:p w14:paraId="71792F1D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4" w:type="dxa"/>
          </w:tcPr>
          <w:p w14:paraId="51114CDE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Строк надання послуг</w:t>
            </w:r>
          </w:p>
        </w:tc>
        <w:tc>
          <w:tcPr>
            <w:tcW w:w="6993" w:type="dxa"/>
          </w:tcPr>
          <w:p w14:paraId="1FBEB8B1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15 листопада 2025 року.</w:t>
            </w:r>
          </w:p>
        </w:tc>
      </w:tr>
      <w:tr w:rsidR="0024518F" w:rsidRPr="0024518F" w14:paraId="10CD8DD3" w14:textId="77777777" w:rsidTr="00F43273">
        <w:trPr>
          <w:jc w:val="center"/>
        </w:trPr>
        <w:tc>
          <w:tcPr>
            <w:tcW w:w="719" w:type="dxa"/>
          </w:tcPr>
          <w:p w14:paraId="4FEC54A4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4" w:type="dxa"/>
          </w:tcPr>
          <w:p w14:paraId="38780340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транспортування, обсяг</w:t>
            </w:r>
            <w:r w:rsidRPr="0024518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 назва вантажу</w:t>
            </w:r>
          </w:p>
        </w:tc>
        <w:tc>
          <w:tcPr>
            <w:tcW w:w="6993" w:type="dxa"/>
          </w:tcPr>
          <w:p w14:paraId="6F2188C3" w14:textId="77777777" w:rsidR="0024518F" w:rsidRPr="0024518F" w:rsidRDefault="0024518F" w:rsidP="0024518F">
            <w:pPr>
              <w:numPr>
                <w:ilvl w:val="0"/>
                <w:numId w:val="49"/>
              </w:numPr>
              <w:tabs>
                <w:tab w:val="left" w:pos="317"/>
                <w:tab w:val="right" w:pos="8306"/>
              </w:tabs>
              <w:spacing w:after="0" w:line="228" w:lineRule="auto"/>
              <w:ind w:left="5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Зразки висушеної сироватки крові,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мікропробірка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 мл та 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мікропробірка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об'ємом 2 мл буфер для розведення, що сформовані у панелі.</w:t>
            </w:r>
          </w:p>
          <w:p w14:paraId="74888ADC" w14:textId="77777777" w:rsidR="0024518F" w:rsidRPr="0024518F" w:rsidRDefault="0024518F" w:rsidP="0024518F">
            <w:pPr>
              <w:numPr>
                <w:ilvl w:val="0"/>
                <w:numId w:val="49"/>
              </w:numPr>
              <w:tabs>
                <w:tab w:val="left" w:pos="317"/>
                <w:tab w:val="right" w:pos="8306"/>
              </w:tabs>
              <w:spacing w:after="0" w:line="228" w:lineRule="auto"/>
              <w:ind w:left="5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Супровідні документи до вантажу </w:t>
            </w:r>
          </w:p>
          <w:p w14:paraId="35441B06" w14:textId="77777777" w:rsidR="0024518F" w:rsidRPr="0024518F" w:rsidRDefault="0024518F" w:rsidP="0024518F">
            <w:pPr>
              <w:numPr>
                <w:ilvl w:val="0"/>
                <w:numId w:val="49"/>
              </w:numPr>
              <w:tabs>
                <w:tab w:val="left" w:pos="317"/>
                <w:tab w:val="right" w:pos="8306"/>
              </w:tabs>
              <w:spacing w:after="0" w:line="228" w:lineRule="auto"/>
              <w:ind w:left="5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245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потребують спеціальних температурних умов для перевезення.</w:t>
            </w:r>
          </w:p>
        </w:tc>
      </w:tr>
      <w:tr w:rsidR="0024518F" w:rsidRPr="0024518F" w14:paraId="7DC39EDF" w14:textId="77777777" w:rsidTr="00F43273">
        <w:trPr>
          <w:jc w:val="center"/>
        </w:trPr>
        <w:tc>
          <w:tcPr>
            <w:tcW w:w="719" w:type="dxa"/>
          </w:tcPr>
          <w:p w14:paraId="38C6868F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4" w:type="dxa"/>
          </w:tcPr>
          <w:p w14:paraId="3324EA8D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вантажу</w:t>
            </w:r>
          </w:p>
        </w:tc>
        <w:tc>
          <w:tcPr>
            <w:tcW w:w="6993" w:type="dxa"/>
          </w:tcPr>
          <w:p w14:paraId="2A46EB75" w14:textId="77777777" w:rsidR="0024518F" w:rsidRPr="0024518F" w:rsidRDefault="0024518F" w:rsidP="0024518F">
            <w:pPr>
              <w:tabs>
                <w:tab w:val="left" w:pos="317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Небезпечний вантаж є біологічним матеріалом категорії B (код UN 3373) – зразки крові.</w:t>
            </w:r>
          </w:p>
        </w:tc>
      </w:tr>
      <w:tr w:rsidR="0024518F" w:rsidRPr="0024518F" w14:paraId="1A7965BD" w14:textId="77777777" w:rsidTr="00F43273">
        <w:trPr>
          <w:jc w:val="center"/>
        </w:trPr>
        <w:tc>
          <w:tcPr>
            <w:tcW w:w="719" w:type="dxa"/>
          </w:tcPr>
          <w:p w14:paraId="54B2DA21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4" w:type="dxa"/>
          </w:tcPr>
          <w:p w14:paraId="6C670D69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Вимоги до пакування вантажу</w:t>
            </w:r>
          </w:p>
        </w:tc>
        <w:tc>
          <w:tcPr>
            <w:tcW w:w="6993" w:type="dxa"/>
          </w:tcPr>
          <w:p w14:paraId="487A64CA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Вантаж упаковується згідно з вимогами до пакування P650 для інфекційних субстанцій UN 3373 категорії B</w:t>
            </w:r>
          </w:p>
        </w:tc>
      </w:tr>
      <w:tr w:rsidR="0024518F" w:rsidRPr="0024518F" w14:paraId="4D5FE0D0" w14:textId="77777777" w:rsidTr="00F43273">
        <w:trPr>
          <w:jc w:val="center"/>
        </w:trPr>
        <w:tc>
          <w:tcPr>
            <w:tcW w:w="719" w:type="dxa"/>
          </w:tcPr>
          <w:p w14:paraId="3E40BAA8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4" w:type="dxa"/>
          </w:tcPr>
          <w:p w14:paraId="5445A54F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 надання послуг</w:t>
            </w:r>
          </w:p>
        </w:tc>
        <w:tc>
          <w:tcPr>
            <w:tcW w:w="6993" w:type="dxa"/>
          </w:tcPr>
          <w:p w14:paraId="0EE39F38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24518F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Послуга надається в межах території України. </w:t>
            </w:r>
          </w:p>
        </w:tc>
      </w:tr>
      <w:tr w:rsidR="0024518F" w:rsidRPr="0024518F" w14:paraId="7EC313D2" w14:textId="77777777" w:rsidTr="00F43273">
        <w:trPr>
          <w:jc w:val="center"/>
        </w:trPr>
        <w:tc>
          <w:tcPr>
            <w:tcW w:w="719" w:type="dxa"/>
          </w:tcPr>
          <w:p w14:paraId="7240719D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4" w:type="dxa"/>
          </w:tcPr>
          <w:p w14:paraId="2D537D03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Маршрут перевезення</w:t>
            </w:r>
          </w:p>
        </w:tc>
        <w:tc>
          <w:tcPr>
            <w:tcW w:w="6993" w:type="dxa"/>
          </w:tcPr>
          <w:p w14:paraId="76EFA1FF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Адреса завантаження</w:t>
            </w:r>
            <w:r w:rsidRPr="00245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(203 доставки): </w:t>
            </w: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04071, м. Київ, вул. Ярославська,41</w:t>
            </w: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269F88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Адреса розвантаження </w:t>
            </w:r>
            <w:r w:rsidRPr="00245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(203 доставки):</w:t>
            </w:r>
            <w:r w:rsidRPr="0024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згідно </w:t>
            </w:r>
            <w:r w:rsidRPr="002451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Таблиці № 1 до Додатку 1 Договору.</w:t>
            </w:r>
          </w:p>
        </w:tc>
      </w:tr>
      <w:tr w:rsidR="0024518F" w:rsidRPr="0024518F" w14:paraId="4AC5E79F" w14:textId="77777777" w:rsidTr="00F43273">
        <w:trPr>
          <w:jc w:val="center"/>
        </w:trPr>
        <w:tc>
          <w:tcPr>
            <w:tcW w:w="719" w:type="dxa"/>
          </w:tcPr>
          <w:p w14:paraId="1CDC6351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4" w:type="dxa"/>
          </w:tcPr>
          <w:p w14:paraId="4DDAD000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вимоги до надання послуг</w:t>
            </w:r>
          </w:p>
        </w:tc>
        <w:tc>
          <w:tcPr>
            <w:tcW w:w="6993" w:type="dxa"/>
          </w:tcPr>
          <w:p w14:paraId="5E6A64F8" w14:textId="77777777" w:rsidR="0024518F" w:rsidRPr="0024518F" w:rsidRDefault="0024518F" w:rsidP="0024518F">
            <w:pPr>
              <w:numPr>
                <w:ilvl w:val="0"/>
                <w:numId w:val="50"/>
              </w:num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28" w:lineRule="auto"/>
              <w:ind w:left="-3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Послуга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надається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дотриманням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Господарського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Цивільного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кодексів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України, Закону України «Про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перевезення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небезпечних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вантажів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Закону України «Про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автомобільний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транспорт», Закону України «Про транспортно-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експедиторську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Правил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дорожнього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перевезення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небезпечних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вантажів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затверджених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Міністерства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внутрішніх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справ України від 04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серпня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2018 року № 656, Правил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перевезень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вантажів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автомобільним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транспортом в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затвердженими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Міністерства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транспорту України 14.10.1997 № 363 та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нормативно-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правових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актів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чинного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України.</w:t>
            </w:r>
          </w:p>
          <w:p w14:paraId="32B0572F" w14:textId="77777777" w:rsidR="0024518F" w:rsidRPr="0024518F" w:rsidRDefault="0024518F" w:rsidP="0024518F">
            <w:pPr>
              <w:numPr>
                <w:ilvl w:val="0"/>
                <w:numId w:val="50"/>
              </w:num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28" w:lineRule="auto"/>
              <w:ind w:left="-3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надання послуги, Виконавець повинен мати всі необхідні ліцензії, дозволи, свідоцтва, страхові поліси та інші документи, наявність яких є обов’язковою згідно законодавства України.</w:t>
            </w:r>
          </w:p>
          <w:p w14:paraId="320D7ECA" w14:textId="77777777" w:rsidR="0024518F" w:rsidRPr="0024518F" w:rsidRDefault="0024518F" w:rsidP="0024518F">
            <w:pPr>
              <w:numPr>
                <w:ilvl w:val="0"/>
                <w:numId w:val="50"/>
              </w:num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28" w:lineRule="auto"/>
              <w:ind w:left="0" w:hanging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Послуга повинна надаватись без вимог до температурного режиму.</w:t>
            </w:r>
          </w:p>
        </w:tc>
      </w:tr>
      <w:tr w:rsidR="0024518F" w:rsidRPr="0024518F" w14:paraId="47BFF3BA" w14:textId="77777777" w:rsidTr="00F43273">
        <w:trPr>
          <w:trHeight w:val="699"/>
          <w:jc w:val="center"/>
        </w:trPr>
        <w:tc>
          <w:tcPr>
            <w:tcW w:w="719" w:type="dxa"/>
          </w:tcPr>
          <w:p w14:paraId="2553893E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4" w:type="dxa"/>
          </w:tcPr>
          <w:p w14:paraId="10C4D822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надання послуг</w:t>
            </w:r>
          </w:p>
        </w:tc>
        <w:tc>
          <w:tcPr>
            <w:tcW w:w="6993" w:type="dxa"/>
          </w:tcPr>
          <w:p w14:paraId="6AA44433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 надаються на підставі заявок на надання Послуг (надалі – Заявка) Замовника, протягом 7 (семи) календарних днів з моменту отримання Заявки</w:t>
            </w: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3AD94D0B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надати Замовнику автотранспортні засоби у технічно-справному та відповідному санітарному стані.</w:t>
            </w:r>
          </w:p>
          <w:p w14:paraId="3D6D63C8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Замовника.</w:t>
            </w:r>
          </w:p>
          <w:p w14:paraId="2899BFC2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водіїв дорожньою та транспортною документацією, проведення інструктажу з Правил дорожнього руху України, безпеки руху та інших вимог законодавства України.</w:t>
            </w:r>
          </w:p>
          <w:p w14:paraId="2D5E2F9F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автотранспортний засіб паливно-мастильними матеріалами (за власний рахунок).</w:t>
            </w:r>
          </w:p>
          <w:p w14:paraId="1155BECE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ind w:firstLine="4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технічне обслуговування автотранспортних засобів (за власний рахунок).</w:t>
            </w:r>
          </w:p>
          <w:p w14:paraId="2185A8B9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несе витрати, пов’язані з експлуатацією автотранспортного засобу (мийка, заправка пальним, підкачка коліс, балансування коліс тощо).</w:t>
            </w:r>
          </w:p>
          <w:p w14:paraId="1FA68A6A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несе повну матеріальну відповідальність за охорону автотранспортних засобів, їх комплектуючих та паливно-мастильні матеріали.</w:t>
            </w:r>
          </w:p>
          <w:p w14:paraId="5318C9BE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виконання вимог охорони праці, пожежної безпеки та дотримання Правил дорожнього руху України.</w:t>
            </w:r>
          </w:p>
          <w:p w14:paraId="79005191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проведення контролю стану здоров’я водіїв.</w:t>
            </w:r>
          </w:p>
          <w:p w14:paraId="1C4615D3" w14:textId="77777777" w:rsidR="0024518F" w:rsidRPr="0024518F" w:rsidRDefault="0024518F" w:rsidP="0024518F">
            <w:pPr>
              <w:tabs>
                <w:tab w:val="left" w:pos="0"/>
                <w:tab w:val="center" w:pos="4153"/>
                <w:tab w:val="right" w:pos="8306"/>
              </w:tabs>
              <w:spacing w:after="0" w:line="228" w:lineRule="auto"/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дотримання всіх заходів із екологічної безпеки та захисту довкілля.</w:t>
            </w:r>
          </w:p>
        </w:tc>
      </w:tr>
    </w:tbl>
    <w:p w14:paraId="29F609A1" w14:textId="77777777" w:rsidR="0024518F" w:rsidRPr="0024518F" w:rsidRDefault="0024518F" w:rsidP="0024518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C1DE8" w14:textId="77777777" w:rsidR="0024518F" w:rsidRPr="0024518F" w:rsidRDefault="0024518F" w:rsidP="0024518F">
      <w:pPr>
        <w:spacing w:after="0" w:line="240" w:lineRule="auto"/>
        <w:ind w:left="87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№ 1</w:t>
      </w:r>
    </w:p>
    <w:p w14:paraId="3D7444DE" w14:textId="77777777" w:rsidR="0024518F" w:rsidRPr="0024518F" w:rsidRDefault="0024518F" w:rsidP="0024518F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2CE98" w14:textId="77777777" w:rsidR="0024518F" w:rsidRPr="0024518F" w:rsidRDefault="0024518F" w:rsidP="0024518F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45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Перелік установ, до яких має бути здійснена доставка вантажу </w:t>
      </w:r>
      <w:r w:rsidRPr="002451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 </w:t>
      </w:r>
      <w:proofErr w:type="spellStart"/>
      <w:r w:rsidRPr="002451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Референс</w:t>
      </w:r>
      <w:proofErr w:type="spellEnd"/>
      <w:r w:rsidRPr="002451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-лабораторії з діагностики ВІЛ/СНІДу, вірусних та особливо небезпечних патогенів ДУ «Центр громадського здоров’я МОЗ України» </w:t>
      </w:r>
    </w:p>
    <w:p w14:paraId="253C5DCF" w14:textId="77777777" w:rsidR="0024518F" w:rsidRPr="0024518F" w:rsidRDefault="0024518F" w:rsidP="0024518F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414"/>
        <w:gridCol w:w="3162"/>
        <w:gridCol w:w="1377"/>
      </w:tblGrid>
      <w:tr w:rsidR="0024518F" w:rsidRPr="0024518F" w14:paraId="37F0E4BC" w14:textId="77777777" w:rsidTr="00F43273">
        <w:trPr>
          <w:trHeight w:val="1002"/>
          <w:jc w:val="center"/>
        </w:trPr>
        <w:tc>
          <w:tcPr>
            <w:tcW w:w="704" w:type="dxa"/>
            <w:vAlign w:val="center"/>
            <w:hideMark/>
          </w:tcPr>
          <w:p w14:paraId="17E797B5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687" w:type="dxa"/>
            <w:vAlign w:val="center"/>
          </w:tcPr>
          <w:p w14:paraId="2AB3B580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Установи, до яких має бути здійснена доставка вантажу </w:t>
            </w:r>
            <w:r w:rsidRPr="00245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Референс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-лабораторії з діагностики ВІЛ/СНІДу, вірусних та особливо небезпечних патогенів ДУ «Центр громадського здоров’я МОЗ України» (04071, м. Київ, вул. Ярославська,41)</w:t>
            </w:r>
          </w:p>
        </w:tc>
        <w:tc>
          <w:tcPr>
            <w:tcW w:w="3353" w:type="dxa"/>
            <w:vAlign w:val="center"/>
          </w:tcPr>
          <w:p w14:paraId="4B46B28F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Адреса установи</w:t>
            </w:r>
          </w:p>
        </w:tc>
        <w:tc>
          <w:tcPr>
            <w:tcW w:w="1452" w:type="dxa"/>
            <w:vAlign w:val="center"/>
            <w:hideMark/>
          </w:tcPr>
          <w:p w14:paraId="723D0797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послуги</w:t>
            </w:r>
          </w:p>
          <w:p w14:paraId="2A591E6C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(кількість доставок)</w:t>
            </w:r>
          </w:p>
        </w:tc>
      </w:tr>
      <w:tr w:rsidR="0024518F" w:rsidRPr="0024518F" w14:paraId="61CAEC3F" w14:textId="77777777" w:rsidTr="00F43273">
        <w:trPr>
          <w:trHeight w:val="702"/>
          <w:jc w:val="center"/>
        </w:trPr>
        <w:tc>
          <w:tcPr>
            <w:tcW w:w="704" w:type="dxa"/>
            <w:vAlign w:val="center"/>
            <w:hideMark/>
          </w:tcPr>
          <w:p w14:paraId="2F83CF6C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934E1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«Київська міська клінічна лікарня №5»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2E82FD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03115, м. Київ, вул. Відпочинку, 11</w:t>
            </w:r>
          </w:p>
        </w:tc>
        <w:tc>
          <w:tcPr>
            <w:tcW w:w="1452" w:type="dxa"/>
            <w:vAlign w:val="center"/>
          </w:tcPr>
          <w:p w14:paraId="5D640970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5E2AC7F6" w14:textId="77777777" w:rsidTr="00F43273">
        <w:trPr>
          <w:trHeight w:val="702"/>
          <w:jc w:val="center"/>
        </w:trPr>
        <w:tc>
          <w:tcPr>
            <w:tcW w:w="704" w:type="dxa"/>
            <w:vAlign w:val="center"/>
            <w:hideMark/>
          </w:tcPr>
          <w:p w14:paraId="40D60F91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00FFB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Комунальне некомерційне підприємство Вінницької обласної ради «Клінічний центр інфекційних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хвороб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11F603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23222, Вінницька обл., Вінницький район, вулиця Каштанова, будинок 5</w:t>
            </w:r>
          </w:p>
        </w:tc>
        <w:tc>
          <w:tcPr>
            <w:tcW w:w="1452" w:type="dxa"/>
            <w:vAlign w:val="center"/>
          </w:tcPr>
          <w:p w14:paraId="1817A53D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2C810DE6" w14:textId="77777777" w:rsidTr="00F43273">
        <w:trPr>
          <w:trHeight w:val="702"/>
          <w:jc w:val="center"/>
        </w:trPr>
        <w:tc>
          <w:tcPr>
            <w:tcW w:w="704" w:type="dxa"/>
            <w:vAlign w:val="center"/>
            <w:hideMark/>
          </w:tcPr>
          <w:p w14:paraId="2A46080D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B2D6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підприємство  «Волинська обласна інфекційна лікарня» Волинської обласної ради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6CACF5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43001, Волинська обл., місто Луцьк, вулиця Шевченка, будинок 30</w:t>
            </w:r>
          </w:p>
        </w:tc>
        <w:tc>
          <w:tcPr>
            <w:tcW w:w="1452" w:type="dxa"/>
            <w:vAlign w:val="center"/>
          </w:tcPr>
          <w:p w14:paraId="2A341E74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5CB1FD36" w14:textId="77777777" w:rsidTr="00F43273">
        <w:trPr>
          <w:trHeight w:val="702"/>
          <w:jc w:val="center"/>
        </w:trPr>
        <w:tc>
          <w:tcPr>
            <w:tcW w:w="704" w:type="dxa"/>
            <w:vAlign w:val="center"/>
            <w:hideMark/>
          </w:tcPr>
          <w:p w14:paraId="6DFF0E83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CAF3F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Комунальне підприємство "Дніпропетровський обласний медичний центр соціально значущих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хвороб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 Дніпропетровської обласної ради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3C073C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49074, Дніпропетровська область, місто Дніпро, вулиця Данила Самойловича (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Бехтерева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), будинок 12</w:t>
            </w:r>
          </w:p>
        </w:tc>
        <w:tc>
          <w:tcPr>
            <w:tcW w:w="1452" w:type="dxa"/>
            <w:vAlign w:val="center"/>
          </w:tcPr>
          <w:p w14:paraId="3EEE72AC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0746C8DC" w14:textId="77777777" w:rsidTr="00F43273">
        <w:trPr>
          <w:trHeight w:val="702"/>
          <w:jc w:val="center"/>
        </w:trPr>
        <w:tc>
          <w:tcPr>
            <w:tcW w:w="704" w:type="dxa"/>
            <w:vAlign w:val="center"/>
          </w:tcPr>
          <w:p w14:paraId="334BDA75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88C2E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"Покровська клінічна лікарня інтенсивного лікування" Покровської міської ради Донецької області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673BC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Україна, 50000, Дніпропетровська область,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м.Кривий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Ріг,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.Степана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Тільги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71</w:t>
            </w:r>
          </w:p>
        </w:tc>
        <w:tc>
          <w:tcPr>
            <w:tcW w:w="1452" w:type="dxa"/>
            <w:vAlign w:val="center"/>
          </w:tcPr>
          <w:p w14:paraId="23C2E7E4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045DC886" w14:textId="77777777" w:rsidTr="00F43273">
        <w:trPr>
          <w:trHeight w:val="702"/>
          <w:jc w:val="center"/>
        </w:trPr>
        <w:tc>
          <w:tcPr>
            <w:tcW w:w="704" w:type="dxa"/>
            <w:vAlign w:val="center"/>
            <w:hideMark/>
          </w:tcPr>
          <w:p w14:paraId="419447C9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2B5C5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"Донецький обласний центр з профілактики та боротьби із СНІДом"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438E8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84100, Донецька область, м. Слов’янськ, вул. Ярослава Мудрого 13</w:t>
            </w:r>
          </w:p>
        </w:tc>
        <w:tc>
          <w:tcPr>
            <w:tcW w:w="1452" w:type="dxa"/>
            <w:vAlign w:val="center"/>
          </w:tcPr>
          <w:p w14:paraId="0517FD51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5D065019" w14:textId="77777777" w:rsidTr="00F43273">
        <w:trPr>
          <w:trHeight w:val="702"/>
          <w:jc w:val="center"/>
        </w:trPr>
        <w:tc>
          <w:tcPr>
            <w:tcW w:w="704" w:type="dxa"/>
            <w:vAlign w:val="center"/>
          </w:tcPr>
          <w:p w14:paraId="1CE263B8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855AC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некомерційне підприємство “Добропільська лікарня інтенсивного лікування”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9B7A6F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Україна, 85000, Донецька область,  м Добропілля, вул. Гагаріна, 3</w:t>
            </w:r>
          </w:p>
        </w:tc>
        <w:tc>
          <w:tcPr>
            <w:tcW w:w="1452" w:type="dxa"/>
            <w:vAlign w:val="center"/>
          </w:tcPr>
          <w:p w14:paraId="7BB4AAB8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591918A8" w14:textId="77777777" w:rsidTr="00F43273">
        <w:trPr>
          <w:trHeight w:val="702"/>
          <w:jc w:val="center"/>
        </w:trPr>
        <w:tc>
          <w:tcPr>
            <w:tcW w:w="704" w:type="dxa"/>
            <w:vAlign w:val="center"/>
          </w:tcPr>
          <w:p w14:paraId="563BC7A4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6C262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некомерційне підприємство ''Центральна міська клінічна лікарня'' Дружківської міської ради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3C0157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Україна, 84205, Донецька область, м Дружківка вул. Короленка, 12</w:t>
            </w:r>
          </w:p>
        </w:tc>
        <w:tc>
          <w:tcPr>
            <w:tcW w:w="1452" w:type="dxa"/>
            <w:vAlign w:val="center"/>
          </w:tcPr>
          <w:p w14:paraId="340C5B58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22B581D5" w14:textId="77777777" w:rsidTr="00F43273">
        <w:trPr>
          <w:trHeight w:val="702"/>
          <w:jc w:val="center"/>
        </w:trPr>
        <w:tc>
          <w:tcPr>
            <w:tcW w:w="704" w:type="dxa"/>
            <w:vAlign w:val="center"/>
          </w:tcPr>
          <w:p w14:paraId="32D3CF21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BE06A0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некомерційне підприємство «Міська лікарня № 2» Краматорської міської ради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10CF3D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Україна, 84306, Донецька обл., місто Краматорськ, вул. Дніпровська, 14</w:t>
            </w:r>
          </w:p>
        </w:tc>
        <w:tc>
          <w:tcPr>
            <w:tcW w:w="1452" w:type="dxa"/>
            <w:vAlign w:val="center"/>
          </w:tcPr>
          <w:p w14:paraId="52EB29F5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729E7F00" w14:textId="77777777" w:rsidTr="00F43273">
        <w:trPr>
          <w:trHeight w:val="702"/>
          <w:jc w:val="center"/>
        </w:trPr>
        <w:tc>
          <w:tcPr>
            <w:tcW w:w="704" w:type="dxa"/>
            <w:vAlign w:val="center"/>
          </w:tcPr>
          <w:p w14:paraId="28429C73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78B9FA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некомерційне підприємство «Центр первинної медико-санітарної допомоги №1»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836944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Україна, 84306, Донецька обл., місто Краматорськ, вул. Дніпровська, 17</w:t>
            </w:r>
          </w:p>
        </w:tc>
        <w:tc>
          <w:tcPr>
            <w:tcW w:w="1452" w:type="dxa"/>
            <w:vAlign w:val="center"/>
          </w:tcPr>
          <w:p w14:paraId="046A0716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3B90999E" w14:textId="77777777" w:rsidTr="00F43273">
        <w:trPr>
          <w:trHeight w:val="702"/>
          <w:jc w:val="center"/>
        </w:trPr>
        <w:tc>
          <w:tcPr>
            <w:tcW w:w="704" w:type="dxa"/>
            <w:vAlign w:val="center"/>
          </w:tcPr>
          <w:p w14:paraId="457B230D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FC93E6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«Обласний медичний спеціалізований центр» Житомирської обласної ради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2A0CB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12440, м. Житомир, вул. Покровська, 28</w:t>
            </w:r>
          </w:p>
        </w:tc>
        <w:tc>
          <w:tcPr>
            <w:tcW w:w="1452" w:type="dxa"/>
            <w:vAlign w:val="center"/>
          </w:tcPr>
          <w:p w14:paraId="409F551A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0706B1EB" w14:textId="77777777" w:rsidTr="00F43273">
        <w:trPr>
          <w:trHeight w:val="702"/>
          <w:jc w:val="center"/>
        </w:trPr>
        <w:tc>
          <w:tcPr>
            <w:tcW w:w="704" w:type="dxa"/>
            <w:vAlign w:val="center"/>
          </w:tcPr>
          <w:p w14:paraId="35620DB4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B47AED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КНП «Обласний клінічний фтизіопульмонологічний лікувально-діагностичний центр» Закарпатської обласної ради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DC82FA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Україна, 88000, Закарпатська обл.,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м.Ужгород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Нахімова 4</w:t>
            </w:r>
          </w:p>
        </w:tc>
        <w:tc>
          <w:tcPr>
            <w:tcW w:w="1452" w:type="dxa"/>
            <w:vAlign w:val="center"/>
          </w:tcPr>
          <w:p w14:paraId="2999A975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4C98623C" w14:textId="77777777" w:rsidTr="00F43273">
        <w:trPr>
          <w:trHeight w:val="702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6E431A1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B50BC3E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"Обласна інфекційна клінічна лікарня" Запорізької обласної ради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3524655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69035, Запорізька область, м. Запоріжжя, вул. Сталеварів, 28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0660DA03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4757B388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6AA9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19BE6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«Центр інфекційних захворювань» Івано-Франківської обласної ради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6C3D5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76006, Івано-Франківська область, місто Івано-Франківськ, вулиця Сагайдачного, 66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3B731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4C87443A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F555B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CA3B95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"Кіровоградський обласний фтизіопульмонологічний центр Кіровоградської обласної ради"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45C8D75" w14:textId="77777777" w:rsidR="0024518F" w:rsidRPr="0024518F" w:rsidRDefault="0024518F" w:rsidP="0024518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25013, Кіровоградська область, м. Кропивницький, вул. Комарова, 1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BA289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2C4CC2AB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3278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17C9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 КОР “Київський обласний спеціалізований медичний центр"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F4CF7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Україна, 04107,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м.Київ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вул.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Загорівська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Багговутівська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), 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87C7D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2260CD88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EC3F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35C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Комунальне некомерційне підприємство Львівської обласної ради «Львівський регіональний фтизіопульмонологічний </w:t>
            </w: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клінічний лікувально-діагностичний центр»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A1C49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Україна  </w:t>
            </w:r>
            <w:r w:rsidRPr="002451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79008</w:t>
            </w: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м.Львів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вулиця Миколи Лисенка, 45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BEA84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6B23129B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6B98C61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B6B5C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"Миколаївський регіональний фтизіопульмонологічний медичний центр" Миколаївської обласної ради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287A8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54003, м. Миколаїв, вулиця Кропивницького, буд. 138-Б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14:paraId="65FB0CB3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70202C5D" w14:textId="77777777" w:rsidTr="00F43273">
        <w:trPr>
          <w:trHeight w:val="702"/>
          <w:jc w:val="center"/>
        </w:trPr>
        <w:tc>
          <w:tcPr>
            <w:tcW w:w="704" w:type="dxa"/>
            <w:vAlign w:val="center"/>
          </w:tcPr>
          <w:p w14:paraId="3B8DAD82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62EF7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Комунальне некомерційне підприємство "Одеський обласний центр соціально значущих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хвороб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 Одеської обласної ради"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84924C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65014, Одеська область, м. Одеса, вул. Леонтовича 9/1</w:t>
            </w:r>
          </w:p>
        </w:tc>
        <w:tc>
          <w:tcPr>
            <w:tcW w:w="1452" w:type="dxa"/>
            <w:vAlign w:val="center"/>
          </w:tcPr>
          <w:p w14:paraId="68ED3BE8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709C2AE4" w14:textId="77777777" w:rsidTr="00F43273">
        <w:trPr>
          <w:trHeight w:val="702"/>
          <w:jc w:val="center"/>
        </w:trPr>
        <w:tc>
          <w:tcPr>
            <w:tcW w:w="704" w:type="dxa"/>
            <w:vAlign w:val="center"/>
          </w:tcPr>
          <w:p w14:paraId="1D52DA02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239B3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підприємство  «Полтавський обласний клінічний протитуберкульозний диспансер Полтавської обласної ради»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EC39A2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36040, Полтавський р-н, Полтавська обл., село Супрунівка, вулиця Київське шосе, будинок, 1-в</w:t>
            </w:r>
          </w:p>
        </w:tc>
        <w:tc>
          <w:tcPr>
            <w:tcW w:w="1452" w:type="dxa"/>
            <w:vAlign w:val="center"/>
          </w:tcPr>
          <w:p w14:paraId="656BB8C4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2FF24B30" w14:textId="77777777" w:rsidTr="00F43273">
        <w:trPr>
          <w:trHeight w:val="702"/>
          <w:jc w:val="center"/>
        </w:trPr>
        <w:tc>
          <w:tcPr>
            <w:tcW w:w="704" w:type="dxa"/>
            <w:vAlign w:val="center"/>
          </w:tcPr>
          <w:p w14:paraId="3226580D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CC1DE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Комунальний заклад «Обласний інформаційно-аналітичний центр медичної статистики» Рівненської обласної ради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761EA3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Україна, 33028, Рівненська область, м. Рівне, вул.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Ж.Кюрі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будинок 19-А</w:t>
            </w:r>
          </w:p>
        </w:tc>
        <w:tc>
          <w:tcPr>
            <w:tcW w:w="1452" w:type="dxa"/>
            <w:vAlign w:val="center"/>
          </w:tcPr>
          <w:p w14:paraId="66824DDF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4F983F10" w14:textId="77777777" w:rsidTr="00F43273">
        <w:trPr>
          <w:trHeight w:val="702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D3B4ED8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68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4CAF93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Сумської обласної ради  “Обласний клінічний медичний центр соціально небезпечних захворювань”</w:t>
            </w:r>
          </w:p>
        </w:tc>
        <w:tc>
          <w:tcPr>
            <w:tcW w:w="335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3F88507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40009, Сумська область, місто Суми, вулиця Білопільський шлях, буд.22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70142339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1A88FEA3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1E4F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9D8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«Тернопільський обласний медичний центр соціально-небезпечних захворювань» Тернопільської обласної ради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20F57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46027, Тернопільська область, Тернопіль, вул. Тролейбусна, 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33519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12DECBE3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851D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7177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“Харківський обласний клінічний центр профілактики та боротьби зі СНІДом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5CA75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61044, Харківська обл., м. Харків, вулиця Боротьби, будинок, 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4B774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64F89A45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88C7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EE72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«Фтизіопульмонологічний медичний центр» Херсонської обласної ради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74F13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73000, Херсонська область, м. Херсон, Миколаївське шосе, 82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16691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4CAA9980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41DA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1A8B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«Хмельницька обласна лікарня, центр профілактики і боротьби зі СНІДом» Хмельницької обласної ради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11E0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29008, Хмельницька область, місто Хмельницький, вулиця Сковороди, будинок 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78DE0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4B31174E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9625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0B2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“Черкаський обласний спеціалізований медичний центр Черкаської обласної ради “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19BAE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18028, Черкаська область, місто Черкаси, вулиця Нечуя-Левицького, будинок 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E32D5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145E0D89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E3FA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C318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Обласне комунальне некомерційне підприємство "Чернівецький обласний медичний центр соціально значущих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хвороб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617F5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Україна, 58005, Чернівецька область, місто Чернівці, вулиця Еріха </w:t>
            </w:r>
            <w:proofErr w:type="spellStart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Кольбенгаєра</w:t>
            </w:r>
            <w:proofErr w:type="spellEnd"/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1DA3C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5A5495EE" w14:textId="77777777" w:rsidTr="00F43273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FD29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F72C" w14:textId="77777777" w:rsidR="0024518F" w:rsidRPr="0024518F" w:rsidRDefault="0024518F" w:rsidP="0024518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Комунальне некомерційне підприємство “Чернігівська обласна лікарня” ЧОР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40E66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Україна, 14005, Чернігівська область, м. Чернігів, вул. Івана Мазепи 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960D5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4518F" w:rsidRPr="0024518F" w14:paraId="67404C67" w14:textId="77777777" w:rsidTr="00F43273">
        <w:trPr>
          <w:trHeight w:val="97"/>
          <w:jc w:val="center"/>
        </w:trPr>
        <w:tc>
          <w:tcPr>
            <w:tcW w:w="87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165" w14:textId="77777777" w:rsidR="0024518F" w:rsidRPr="0024518F" w:rsidRDefault="0024518F" w:rsidP="0024518F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03C26" w14:textId="77777777" w:rsidR="0024518F" w:rsidRPr="0024518F" w:rsidRDefault="0024518F" w:rsidP="0024518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4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</w:tr>
    </w:tbl>
    <w:p w14:paraId="28BFFA04" w14:textId="77777777" w:rsidR="0024518F" w:rsidRPr="0024518F" w:rsidRDefault="0024518F" w:rsidP="0024518F">
      <w:pPr>
        <w:widowControl w:val="0"/>
        <w:tabs>
          <w:tab w:val="left" w:pos="284"/>
          <w:tab w:val="left" w:pos="709"/>
          <w:tab w:val="left" w:pos="993"/>
          <w:tab w:val="left" w:pos="1134"/>
        </w:tabs>
        <w:spacing w:after="0" w:line="240" w:lineRule="auto"/>
        <w:ind w:right="-3"/>
        <w:jc w:val="both"/>
        <w:rPr>
          <w:rFonts w:ascii="Calibri" w:eastAsia="Calibri" w:hAnsi="Calibri" w:cs="Calibri"/>
          <w:lang w:eastAsia="uk-UA"/>
        </w:rPr>
      </w:pPr>
    </w:p>
    <w:p w14:paraId="67E722D3" w14:textId="77777777" w:rsidR="0024518F" w:rsidRPr="0024518F" w:rsidRDefault="0024518F" w:rsidP="0024518F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24518F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* </w:t>
      </w:r>
      <w:r w:rsidRPr="00245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Локації (населені пункти)</w:t>
      </w:r>
      <w:r w:rsidRPr="0024518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можуть бути змінені у зв’язку з запровадженим воєнним станом на території України.</w:t>
      </w:r>
    </w:p>
    <w:bookmarkEnd w:id="1"/>
    <w:bookmarkEnd w:id="2"/>
    <w:p w14:paraId="4DFCF1C2" w14:textId="77777777" w:rsidR="00A71EB1" w:rsidRDefault="00A71EB1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E8A8F" w14:textId="77777777" w:rsidR="007D0E44" w:rsidRDefault="007D0E44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D0E4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3D793D6" w14:textId="77777777" w:rsidR="00AC3818" w:rsidRPr="00AC3818" w:rsidRDefault="00AC3818" w:rsidP="00AC38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ІНФОРМАЦІЯ ПРО НЕОБХІДНІ ТЕХНІЧНІ, ЯКІСНІ ТА КІЛЬКІСНІ ХАРАКТЕРИСТИКИ ПРЕДМЕТА ЗАКУПІВЛІ</w:t>
      </w:r>
    </w:p>
    <w:p w14:paraId="404F5C3F" w14:textId="77777777" w:rsidR="00AC3818" w:rsidRPr="00AC3818" w:rsidRDefault="00AC3818" w:rsidP="00AC38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C38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</w:t>
      </w:r>
    </w:p>
    <w:p w14:paraId="3F92BF1E" w14:textId="77777777" w:rsidR="00AC3818" w:rsidRPr="00AC3818" w:rsidRDefault="00AC3818" w:rsidP="00AC38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C381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ДК 021:2015: 33690000-3-Лікарські засоби різні (Набір для виявлення нуклеїнової кислоти </w:t>
      </w:r>
      <w:proofErr w:type="spellStart"/>
      <w:r w:rsidRPr="00AC381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Легіонели</w:t>
      </w:r>
      <w:proofErr w:type="spellEnd"/>
      <w:r w:rsidRPr="00AC381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W w:w="15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563"/>
        <w:gridCol w:w="9520"/>
        <w:gridCol w:w="1222"/>
        <w:gridCol w:w="1289"/>
      </w:tblGrid>
      <w:tr w:rsidR="00AC3818" w:rsidRPr="00AC3818" w14:paraId="4681AAAB" w14:textId="77777777" w:rsidTr="00AC3818">
        <w:trPr>
          <w:trHeight w:val="304"/>
          <w:tblHeader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BBAC0C1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ТЕХНІЧНІ ВИМОГИ</w:t>
            </w:r>
          </w:p>
        </w:tc>
      </w:tr>
      <w:tr w:rsidR="00AC3818" w:rsidRPr="00AC3818" w14:paraId="1FD20925" w14:textId="77777777" w:rsidTr="00AC3818">
        <w:trPr>
          <w:trHeight w:val="523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77D3404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9416BC0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предмету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DCF669C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 предмета закупівлі</w:t>
            </w:r>
          </w:p>
          <w:p w14:paraId="18A061EA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(технічні, якісні характеристики)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BD90F92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</w:t>
            </w:r>
          </w:p>
          <w:p w14:paraId="31372B68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C8906AE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AC3818" w:rsidRPr="00AC3818" w14:paraId="528821A9" w14:textId="77777777" w:rsidTr="00AC3818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7B5924D" w14:textId="77777777" w:rsidR="00AC3818" w:rsidRPr="00AC3818" w:rsidRDefault="00AC3818" w:rsidP="00AC3818">
            <w:pPr>
              <w:spacing w:after="0" w:line="240" w:lineRule="auto"/>
              <w:ind w:left="-45" w:firstLin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BBA8736" w14:textId="77777777" w:rsidR="00AC3818" w:rsidRPr="00AC3818" w:rsidRDefault="00AC3818" w:rsidP="00AC3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для виявлення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Легіонели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DE20A64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призначений для кількісного визначення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геномів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різних видів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легіонели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13B58E33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Legionella_spp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), зокрема для виявлення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інтергенного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спейсерного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регіону 23S/5S.</w:t>
            </w:r>
          </w:p>
          <w:p w14:paraId="371CF559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Праймери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що містяться в наборі, мають 100% гомологію з понад 95% еталонних послідовностей у базі даних NCBI.</w:t>
            </w:r>
          </w:p>
          <w:p w14:paraId="6CFD215C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Метод аналізу – ПЛР із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детекцією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</w:t>
            </w:r>
          </w:p>
          <w:p w14:paraId="45F5B1F2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реальному часі з використанням технології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TaqMan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Probe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7DB85D90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Принцип аналізу – ПЛР у реальному часі – протягом аналізу відбувається ампліфікація цільової послідовності.</w:t>
            </w:r>
          </w:p>
          <w:p w14:paraId="24EA568C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здатний виявити менше ніж 100 копій цільової послідовності за оптимальних умов аналізу. </w:t>
            </w:r>
          </w:p>
          <w:p w14:paraId="4D070ECD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повинен включати суміш специфічних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праймерів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/проб для виявлення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Legionella_spp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позитивний контроль (для створення стандартної кривої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Legionella_spp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кількісного аналізу), ендогенний контроль, внутрішній контроль екстракції ДНК (всі вищезгадані компоненти повинні бути у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ліофілізованому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стані). Включати в себе спеціальний буфер для розведення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ліофілізованих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реагентів. </w:t>
            </w:r>
          </w:p>
          <w:p w14:paraId="22CFB56D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Набір не повинен включати в себе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ПЛР.</w:t>
            </w:r>
          </w:p>
          <w:p w14:paraId="156FE01B" w14:textId="77777777" w:rsidR="00AC3818" w:rsidRPr="00AC3818" w:rsidRDefault="00AC3818" w:rsidP="00AC3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Набору повинно бути достатньо для проведення 150 ПЛР-реакцій.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FF5268C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AD4D8A5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C3818" w:rsidRPr="00AC3818" w14:paraId="4CE7352F" w14:textId="77777777" w:rsidTr="00AC3818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B8023A4" w14:textId="77777777" w:rsidR="00AC3818" w:rsidRPr="00AC3818" w:rsidRDefault="00AC3818" w:rsidP="00AC3818">
            <w:pPr>
              <w:spacing w:after="0" w:line="240" w:lineRule="auto"/>
              <w:ind w:left="-45" w:firstLin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DE41CDA" w14:textId="77777777" w:rsidR="00AC3818" w:rsidRPr="00AC3818" w:rsidRDefault="00AC3818" w:rsidP="00AC3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Ліофілізований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ПЛР-майстер-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qPCR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3339B9C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Ліофілізований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ПЛР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повинен підходити для аналізу методом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qPCR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кПЛР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6DE55CED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міксу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повинно вистачати для проведення 150 ПЛР-реакцій.</w:t>
            </w:r>
          </w:p>
          <w:p w14:paraId="132AE537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повинен включати термостабільну ДНК-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полімеразу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Taq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 також буфер,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dNTP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MgCl2 і стабілізатори в концентраціях, оптимізованих для роботи ферментів.</w:t>
            </w:r>
          </w:p>
          <w:p w14:paraId="6FA835C9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Додатково 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міксом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виробник повинен постачати буфер для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ресуспендування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мікса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пробірку 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барвником ROX.</w:t>
            </w:r>
          </w:p>
          <w:p w14:paraId="232452D0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Ліофілізований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ПЛР-майстер-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повинен бути розфасований по 50 реакцій у одній скляній ампулі (150 реакцій міститиметься сумарно у 3х ампулах).</w:t>
            </w:r>
          </w:p>
          <w:p w14:paraId="4389B387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роботи 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майсер-міксом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можуть бути використані всі види матеріалу зразків ДНК (наприклад, вірусна ДНК, ДНК, отримана з культури клітин, ДНК, отримана з біопсії тощо).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4B92434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DAE906C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14:paraId="7F9A69BE" w14:textId="0024384F" w:rsidR="00A52318" w:rsidRPr="0024553B" w:rsidRDefault="00A52318" w:rsidP="00AC3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2318" w:rsidRPr="0024553B" w:rsidSect="00781DC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8E67" w14:textId="77777777" w:rsidR="006A01F7" w:rsidRDefault="006A01F7" w:rsidP="0024553B">
      <w:pPr>
        <w:spacing w:after="0" w:line="240" w:lineRule="auto"/>
      </w:pPr>
      <w:r>
        <w:separator/>
      </w:r>
    </w:p>
  </w:endnote>
  <w:endnote w:type="continuationSeparator" w:id="0">
    <w:p w14:paraId="624889FA" w14:textId="77777777" w:rsidR="006A01F7" w:rsidRDefault="006A01F7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0B74" w14:textId="77777777" w:rsidR="006A01F7" w:rsidRDefault="006A01F7" w:rsidP="0024553B">
      <w:pPr>
        <w:spacing w:after="0" w:line="240" w:lineRule="auto"/>
      </w:pPr>
      <w:r>
        <w:separator/>
      </w:r>
    </w:p>
  </w:footnote>
  <w:footnote w:type="continuationSeparator" w:id="0">
    <w:p w14:paraId="5A96C781" w14:textId="77777777" w:rsidR="006A01F7" w:rsidRDefault="006A01F7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8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0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1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2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5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6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7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9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1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4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5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49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0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1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2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58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0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1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2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3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4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59"/>
  </w:num>
  <w:num w:numId="2" w16cid:durableId="2125691822">
    <w:abstractNumId w:val="47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2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4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0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39"/>
  </w:num>
  <w:num w:numId="16" w16cid:durableId="2039314345">
    <w:abstractNumId w:val="46"/>
  </w:num>
  <w:num w:numId="17" w16cid:durableId="224612994">
    <w:abstractNumId w:val="52"/>
  </w:num>
  <w:num w:numId="18" w16cid:durableId="1751346895">
    <w:abstractNumId w:val="41"/>
  </w:num>
  <w:num w:numId="19" w16cid:durableId="1435906346">
    <w:abstractNumId w:val="21"/>
  </w:num>
  <w:num w:numId="20" w16cid:durableId="1576696269">
    <w:abstractNumId w:val="54"/>
  </w:num>
  <w:num w:numId="21" w16cid:durableId="2133359081">
    <w:abstractNumId w:val="26"/>
  </w:num>
  <w:num w:numId="22" w16cid:durableId="608203045">
    <w:abstractNumId w:val="19"/>
  </w:num>
  <w:num w:numId="23" w16cid:durableId="1859586909">
    <w:abstractNumId w:val="33"/>
  </w:num>
  <w:num w:numId="24" w16cid:durableId="623772542">
    <w:abstractNumId w:val="63"/>
  </w:num>
  <w:num w:numId="25" w16cid:durableId="527529484">
    <w:abstractNumId w:val="44"/>
  </w:num>
  <w:num w:numId="26" w16cid:durableId="246573444">
    <w:abstractNumId w:val="25"/>
  </w:num>
  <w:num w:numId="27" w16cid:durableId="422804416">
    <w:abstractNumId w:val="45"/>
  </w:num>
  <w:num w:numId="28" w16cid:durableId="1148597764">
    <w:abstractNumId w:val="11"/>
  </w:num>
  <w:num w:numId="29" w16cid:durableId="2073773897">
    <w:abstractNumId w:val="64"/>
  </w:num>
  <w:num w:numId="30" w16cid:durableId="1457990860">
    <w:abstractNumId w:val="58"/>
  </w:num>
  <w:num w:numId="31" w16cid:durableId="15905052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29"/>
  </w:num>
  <w:num w:numId="33" w16cid:durableId="1711029731">
    <w:abstractNumId w:val="38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3"/>
  </w:num>
  <w:num w:numId="39" w16cid:durableId="1087114455">
    <w:abstractNumId w:val="60"/>
  </w:num>
  <w:num w:numId="40" w16cid:durableId="1301350935">
    <w:abstractNumId w:val="34"/>
  </w:num>
  <w:num w:numId="41" w16cid:durableId="1000276912">
    <w:abstractNumId w:val="37"/>
  </w:num>
  <w:num w:numId="42" w16cid:durableId="1794901835">
    <w:abstractNumId w:val="6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5"/>
  </w:num>
  <w:num w:numId="50" w16cid:durableId="1577133707">
    <w:abstractNumId w:val="56"/>
  </w:num>
  <w:num w:numId="51" w16cid:durableId="1552378301">
    <w:abstractNumId w:val="32"/>
  </w:num>
  <w:num w:numId="52" w16cid:durableId="1414545155">
    <w:abstractNumId w:val="6"/>
  </w:num>
  <w:num w:numId="53" w16cid:durableId="508372093">
    <w:abstractNumId w:val="57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5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6"/>
  </w:num>
  <w:num w:numId="61" w16cid:durableId="1929338685">
    <w:abstractNumId w:val="50"/>
  </w:num>
  <w:num w:numId="62" w16cid:durableId="1722629812">
    <w:abstractNumId w:val="51"/>
  </w:num>
  <w:num w:numId="63" w16cid:durableId="1158380350">
    <w:abstractNumId w:val="48"/>
  </w:num>
  <w:num w:numId="64" w16cid:durableId="1184631773">
    <w:abstractNumId w:val="27"/>
  </w:num>
  <w:num w:numId="65" w16cid:durableId="1461923680">
    <w:abstractNumId w:val="18"/>
  </w:num>
  <w:num w:numId="66" w16cid:durableId="688025868">
    <w:abstractNumId w:val="61"/>
  </w:num>
  <w:num w:numId="67" w16cid:durableId="510146483">
    <w:abstractNumId w:val="31"/>
  </w:num>
  <w:num w:numId="68" w16cid:durableId="2138718974">
    <w:abstractNumId w:val="43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0"/>
  </w:num>
  <w:num w:numId="72" w16cid:durableId="4024856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C1517"/>
    <w:rsid w:val="00226C86"/>
    <w:rsid w:val="0024518F"/>
    <w:rsid w:val="0024553B"/>
    <w:rsid w:val="002A3EB4"/>
    <w:rsid w:val="002B6E58"/>
    <w:rsid w:val="002B72AC"/>
    <w:rsid w:val="002C1B40"/>
    <w:rsid w:val="002C519E"/>
    <w:rsid w:val="002C7992"/>
    <w:rsid w:val="002D613D"/>
    <w:rsid w:val="002E2676"/>
    <w:rsid w:val="002F70F7"/>
    <w:rsid w:val="00366514"/>
    <w:rsid w:val="00392139"/>
    <w:rsid w:val="00393926"/>
    <w:rsid w:val="00415426"/>
    <w:rsid w:val="00435DBD"/>
    <w:rsid w:val="00474F26"/>
    <w:rsid w:val="00497721"/>
    <w:rsid w:val="004D5770"/>
    <w:rsid w:val="0056319D"/>
    <w:rsid w:val="00570B86"/>
    <w:rsid w:val="00590320"/>
    <w:rsid w:val="005B1813"/>
    <w:rsid w:val="005F6CE1"/>
    <w:rsid w:val="006573D2"/>
    <w:rsid w:val="006A01F7"/>
    <w:rsid w:val="006C75C1"/>
    <w:rsid w:val="00726D70"/>
    <w:rsid w:val="007622E0"/>
    <w:rsid w:val="00781DC3"/>
    <w:rsid w:val="007971B6"/>
    <w:rsid w:val="007B5C52"/>
    <w:rsid w:val="007D0E44"/>
    <w:rsid w:val="0084332E"/>
    <w:rsid w:val="00870D0C"/>
    <w:rsid w:val="00881B32"/>
    <w:rsid w:val="008F229E"/>
    <w:rsid w:val="009178E0"/>
    <w:rsid w:val="009443DC"/>
    <w:rsid w:val="0095518A"/>
    <w:rsid w:val="00A52318"/>
    <w:rsid w:val="00A71EB1"/>
    <w:rsid w:val="00A775EB"/>
    <w:rsid w:val="00A94270"/>
    <w:rsid w:val="00AB3720"/>
    <w:rsid w:val="00AC1C0E"/>
    <w:rsid w:val="00AC3818"/>
    <w:rsid w:val="00B34C3D"/>
    <w:rsid w:val="00B62E3A"/>
    <w:rsid w:val="00BE1FF8"/>
    <w:rsid w:val="00C15F77"/>
    <w:rsid w:val="00C2475A"/>
    <w:rsid w:val="00C93795"/>
    <w:rsid w:val="00CA68EE"/>
    <w:rsid w:val="00CF5A7E"/>
    <w:rsid w:val="00D059F2"/>
    <w:rsid w:val="00D169A9"/>
    <w:rsid w:val="00D626B8"/>
    <w:rsid w:val="00D64641"/>
    <w:rsid w:val="00DD693C"/>
    <w:rsid w:val="00E44481"/>
    <w:rsid w:val="00E51264"/>
    <w:rsid w:val="00F00724"/>
    <w:rsid w:val="00F723AD"/>
    <w:rsid w:val="00F73895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2330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21</cp:revision>
  <dcterms:created xsi:type="dcterms:W3CDTF">2023-07-07T13:56:00Z</dcterms:created>
  <dcterms:modified xsi:type="dcterms:W3CDTF">2025-10-30T14:46:00Z</dcterms:modified>
</cp:coreProperties>
</file>