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AC7E817" w14:textId="77777777" w:rsidR="009671C8" w:rsidRPr="002C55A8" w:rsidRDefault="009671C8" w:rsidP="009671C8">
            <w:pPr>
              <w:pStyle w:val="a8"/>
              <w:jc w:val="center"/>
              <w:rPr>
                <w:rFonts w:ascii="Times New Roman" w:hAnsi="Times New Roman"/>
                <w:sz w:val="24"/>
                <w:szCs w:val="24"/>
                <w:lang w:val="uk-UA"/>
              </w:rPr>
            </w:pPr>
            <w:bookmarkStart w:id="0" w:name="_Hlk164412785"/>
            <w:r w:rsidRPr="00471AB1">
              <w:rPr>
                <w:rFonts w:ascii="Times New Roman" w:hAnsi="Times New Roman"/>
                <w:bCs/>
                <w:iCs/>
                <w:sz w:val="24"/>
                <w:szCs w:val="24"/>
                <w:lang w:val="uk-UA"/>
              </w:rPr>
              <w:t>ДК 021:2015</w:t>
            </w:r>
            <w:r w:rsidRPr="00471AB1">
              <w:rPr>
                <w:rFonts w:ascii="Times New Roman" w:hAnsi="Times New Roman"/>
                <w:b/>
                <w:bCs/>
                <w:iCs/>
                <w:sz w:val="24"/>
                <w:szCs w:val="24"/>
                <w:lang w:val="uk-UA"/>
              </w:rPr>
              <w:t xml:space="preserve"> </w:t>
            </w:r>
            <w:r w:rsidRPr="00471AB1">
              <w:rPr>
                <w:rFonts w:ascii="Times New Roman" w:hAnsi="Times New Roman"/>
                <w:color w:val="000000"/>
                <w:sz w:val="24"/>
                <w:szCs w:val="24"/>
                <w:shd w:val="clear" w:color="auto" w:fill="FFFFFF"/>
                <w:lang w:val="uk-UA"/>
              </w:rPr>
              <w:t>72260000-5 Послуги, пов’язані з програмним забезпеченням</w:t>
            </w:r>
            <w:r w:rsidRPr="00471AB1" w:rsidDel="00FD1AAF">
              <w:rPr>
                <w:rFonts w:ascii="Times New Roman" w:hAnsi="Times New Roman"/>
                <w:sz w:val="24"/>
                <w:szCs w:val="24"/>
                <w:lang w:val="uk-UA"/>
              </w:rPr>
              <w:t xml:space="preserve"> </w:t>
            </w:r>
            <w:r w:rsidRPr="00471AB1">
              <w:rPr>
                <w:rFonts w:ascii="Times New Roman" w:hAnsi="Times New Roman"/>
                <w:color w:val="000000"/>
                <w:sz w:val="24"/>
                <w:szCs w:val="24"/>
                <w:shd w:val="clear" w:color="auto" w:fill="FFFFFF"/>
                <w:lang w:val="uk-UA"/>
              </w:rPr>
              <w:t>(</w:t>
            </w:r>
            <w:r w:rsidRPr="00471AB1">
              <w:rPr>
                <w:rFonts w:ascii="Times New Roman" w:hAnsi="Times New Roman"/>
                <w:color w:val="000000"/>
                <w:sz w:val="24"/>
                <w:szCs w:val="24"/>
                <w:lang w:val="uk-UA"/>
              </w:rPr>
              <w:t>Послуга із надання річної підписки на програмний продукт</w:t>
            </w:r>
            <w:r w:rsidRPr="00471AB1">
              <w:rPr>
                <w:rFonts w:ascii="Times New Roman" w:hAnsi="Times New Roman"/>
                <w:sz w:val="24"/>
                <w:szCs w:val="24"/>
                <w:lang w:val="uk-UA"/>
              </w:rPr>
              <w:t xml:space="preserve"> </w:t>
            </w:r>
            <w:proofErr w:type="spellStart"/>
            <w:r w:rsidRPr="00471AB1">
              <w:rPr>
                <w:rFonts w:ascii="Times New Roman" w:hAnsi="Times New Roman"/>
                <w:sz w:val="24"/>
                <w:szCs w:val="24"/>
                <w:lang w:val="uk-UA"/>
              </w:rPr>
              <w:t>Trello</w:t>
            </w:r>
            <w:proofErr w:type="spellEnd"/>
            <w:r w:rsidRPr="00471AB1">
              <w:rPr>
                <w:rFonts w:ascii="Times New Roman" w:hAnsi="Times New Roman"/>
                <w:sz w:val="24"/>
                <w:szCs w:val="24"/>
                <w:lang w:val="uk-UA"/>
              </w:rPr>
              <w:t xml:space="preserve"> Premium)</w:t>
            </w:r>
          </w:p>
          <w:bookmarkEnd w:id="0"/>
          <w:p w14:paraId="5DC0B260" w14:textId="3B8079A8" w:rsidR="002E523A" w:rsidRPr="00BB5264" w:rsidRDefault="002E523A" w:rsidP="008C6072">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A639EE" w:rsidRPr="00924BE7" w14:paraId="12F68391" w14:textId="77777777" w:rsidTr="009A551C">
        <w:tc>
          <w:tcPr>
            <w:tcW w:w="3681" w:type="dxa"/>
          </w:tcPr>
          <w:p w14:paraId="7258A3DA" w14:textId="5CB7BCB0"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34D4DA5" w:rsidR="00A639EE" w:rsidRPr="006A6E07" w:rsidRDefault="00A639EE" w:rsidP="00A639EE">
            <w:pPr>
              <w:rPr>
                <w:rFonts w:ascii="Times New Roman" w:hAnsi="Times New Roman" w:cs="Times New Roman"/>
                <w:sz w:val="24"/>
                <w:szCs w:val="24"/>
              </w:rPr>
            </w:pPr>
            <w:bookmarkStart w:id="1" w:name="_GoBack"/>
            <w:r w:rsidRPr="006A6E07">
              <w:rPr>
                <w:rFonts w:ascii="Times New Roman" w:hAnsi="Times New Roman" w:cs="Times New Roman"/>
                <w:sz w:val="24"/>
                <w:szCs w:val="24"/>
              </w:rPr>
              <w:t> </w:t>
            </w:r>
            <w:r w:rsidRPr="00A639EE">
              <w:rPr>
                <w:rFonts w:ascii="Times New Roman" w:hAnsi="Times New Roman" w:cs="Times New Roman"/>
                <w:sz w:val="24"/>
                <w:szCs w:val="24"/>
              </w:rPr>
              <w:t> </w:t>
            </w:r>
            <w:r w:rsidR="00F52174" w:rsidRPr="00F52174">
              <w:rPr>
                <w:rFonts w:ascii="Times New Roman" w:hAnsi="Times New Roman" w:cs="Times New Roman"/>
                <w:sz w:val="24"/>
                <w:szCs w:val="24"/>
              </w:rPr>
              <w:t>UA-2025-07-30-004263-a</w:t>
            </w:r>
            <w:bookmarkEnd w:id="1"/>
          </w:p>
        </w:tc>
      </w:tr>
      <w:tr w:rsidR="00A639EE" w:rsidRPr="00924BE7" w14:paraId="2A361A1B" w14:textId="77777777" w:rsidTr="00A64DCA">
        <w:tc>
          <w:tcPr>
            <w:tcW w:w="3681" w:type="dxa"/>
          </w:tcPr>
          <w:p w14:paraId="682F3053" w14:textId="1A8DEFE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755DCAB3" w14:textId="6588DEAB"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Відкриті торги (з особливостями)</w:t>
            </w:r>
          </w:p>
        </w:tc>
      </w:tr>
      <w:tr w:rsidR="00A639EE" w:rsidRPr="00924BE7" w14:paraId="373667A0" w14:textId="77777777" w:rsidTr="00817DDF">
        <w:trPr>
          <w:trHeight w:val="671"/>
        </w:trPr>
        <w:tc>
          <w:tcPr>
            <w:tcW w:w="3681" w:type="dxa"/>
          </w:tcPr>
          <w:p w14:paraId="26CD7B14" w14:textId="1A146FA8"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FB823A8" w:rsidR="00A639EE" w:rsidRPr="00A639EE" w:rsidRDefault="00F52174" w:rsidP="00A639EE">
            <w:pPr>
              <w:rPr>
                <w:rFonts w:ascii="Times New Roman" w:hAnsi="Times New Roman" w:cs="Times New Roman"/>
                <w:sz w:val="24"/>
                <w:szCs w:val="24"/>
              </w:rPr>
            </w:pPr>
            <w:r w:rsidRPr="00F52174">
              <w:rPr>
                <w:rFonts w:ascii="Times New Roman" w:hAnsi="Times New Roman" w:cs="Times New Roman"/>
                <w:sz w:val="24"/>
                <w:szCs w:val="24"/>
              </w:rPr>
              <w:t>192 991,28 </w:t>
            </w:r>
          </w:p>
        </w:tc>
      </w:tr>
      <w:tr w:rsidR="00A639EE" w:rsidRPr="00924BE7" w14:paraId="6DB4BAD5" w14:textId="77777777" w:rsidTr="00A64DCA">
        <w:tc>
          <w:tcPr>
            <w:tcW w:w="3681" w:type="dxa"/>
          </w:tcPr>
          <w:p w14:paraId="2C1832C0" w14:textId="44CE772D"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або надання послуг . </w:t>
            </w:r>
          </w:p>
        </w:tc>
      </w:tr>
      <w:tr w:rsidR="00A639EE" w:rsidRPr="00924BE7" w14:paraId="747DF83D" w14:textId="77777777" w:rsidTr="00A64DCA">
        <w:tc>
          <w:tcPr>
            <w:tcW w:w="3681" w:type="dxa"/>
          </w:tcPr>
          <w:p w14:paraId="49706348" w14:textId="36F45A5E"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3928E43C" w:rsidR="00A639EE"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Pr="004739B2">
              <w:rPr>
                <w:rFonts w:ascii="Times New Roman" w:hAnsi="Times New Roman" w:cs="Times New Roman"/>
                <w:sz w:val="24"/>
                <w:szCs w:val="24"/>
              </w:rPr>
              <w:t xml:space="preserve">: </w:t>
            </w:r>
          </w:p>
          <w:p w14:paraId="3C8D26FC" w14:textId="372F80A2" w:rsidR="00A639EE" w:rsidRPr="004739B2"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здійснення пошуку, збору та аналіз загальнодоступної інформації про ціну товару (тобто інформація про ціни, що містяться в мережі інтернет у відкритому</w:t>
            </w:r>
            <w:r w:rsidR="00F52174">
              <w:rPr>
                <w:rFonts w:ascii="Times New Roman" w:hAnsi="Times New Roman" w:cs="Times New Roman"/>
                <w:sz w:val="24"/>
                <w:szCs w:val="24"/>
              </w:rPr>
              <w:t xml:space="preserve"> доступі</w:t>
            </w:r>
            <w:r w:rsidRPr="00A64DCA">
              <w:rPr>
                <w:rFonts w:ascii="Times New Roman" w:hAnsi="Times New Roman" w:cs="Times New Roman"/>
                <w:sz w:val="24"/>
                <w:szCs w:val="24"/>
              </w:rPr>
              <w:t>, тощо</w:t>
            </w:r>
            <w:r w:rsidR="006E46CA">
              <w:rPr>
                <w:rFonts w:ascii="Times New Roman" w:hAnsi="Times New Roman" w:cs="Times New Roman"/>
                <w:sz w:val="24"/>
                <w:szCs w:val="24"/>
              </w:rPr>
              <w:t>.</w:t>
            </w:r>
          </w:p>
          <w:p w14:paraId="779D9C31" w14:textId="7E1650DB" w:rsidR="00A639EE" w:rsidRPr="004F006F" w:rsidRDefault="00A639EE" w:rsidP="006E46CA">
            <w:pPr>
              <w:rPr>
                <w:rFonts w:ascii="Times New Roman" w:hAnsi="Times New Roman" w:cs="Times New Roman"/>
                <w:sz w:val="24"/>
                <w:szCs w:val="24"/>
              </w:rPr>
            </w:pPr>
          </w:p>
        </w:tc>
      </w:tr>
      <w:tr w:rsidR="00A639EE" w:rsidRPr="00924BE7" w14:paraId="799FCBAE" w14:textId="77777777" w:rsidTr="00A64DCA">
        <w:tc>
          <w:tcPr>
            <w:tcW w:w="3681" w:type="dxa"/>
          </w:tcPr>
          <w:p w14:paraId="7737E581" w14:textId="45668AF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5916FDD" w:rsidR="00A639EE" w:rsidRPr="00BB5264" w:rsidRDefault="00A639EE" w:rsidP="00A639EE">
            <w:pPr>
              <w:rPr>
                <w:rFonts w:ascii="Times New Roman" w:hAnsi="Times New Roman" w:cs="Times New Roman"/>
                <w:sz w:val="24"/>
                <w:szCs w:val="24"/>
              </w:rPr>
            </w:pPr>
            <w:r w:rsidRPr="00A639EE">
              <w:rPr>
                <w:rFonts w:ascii="Times New Roman" w:hAnsi="Times New Roman" w:cs="Times New Roman"/>
                <w:sz w:val="24"/>
                <w:szCs w:val="24"/>
              </w:rPr>
              <w:t xml:space="preserve">Джерело фінансування - </w:t>
            </w:r>
            <w:bookmarkStart w:id="2" w:name="_Hlk151381826"/>
            <w:r w:rsidRPr="00A639EE">
              <w:rPr>
                <w:rFonts w:ascii="Times New Roman" w:hAnsi="Times New Roman" w:cs="Times New Roman"/>
                <w:sz w:val="24"/>
                <w:szCs w:val="24"/>
              </w:rPr>
              <w:t xml:space="preserve">кошти міжнародної технічної допомоги, виділені за проектом SILTP </w:t>
            </w:r>
            <w:bookmarkStart w:id="3" w:name="_Hlk167797778"/>
            <w:r w:rsidRPr="00A639EE">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bookmarkEnd w:id="2"/>
            <w:bookmarkEnd w:id="3"/>
            <w:r w:rsidRPr="00A639EE">
              <w:rPr>
                <w:rFonts w:ascii="Times New Roman" w:hAnsi="Times New Roman" w:cs="Times New Roman"/>
                <w:sz w:val="24"/>
                <w:szCs w:val="24"/>
              </w:rPr>
              <w:t xml:space="preserve">. Загальна сума закупівлі </w:t>
            </w:r>
            <w:r w:rsidR="00F52174" w:rsidRPr="00F52174">
              <w:rPr>
                <w:rFonts w:ascii="Times New Roman" w:hAnsi="Times New Roman" w:cs="Times New Roman"/>
                <w:sz w:val="24"/>
                <w:szCs w:val="24"/>
              </w:rPr>
              <w:t>192 991,28 </w:t>
            </w:r>
            <w:r w:rsidRPr="00A639EE">
              <w:rPr>
                <w:rFonts w:ascii="Times New Roman" w:hAnsi="Times New Roman" w:cs="Times New Roman"/>
                <w:sz w:val="24"/>
                <w:szCs w:val="24"/>
              </w:rPr>
              <w:t>без ПДВ</w:t>
            </w:r>
          </w:p>
        </w:tc>
      </w:tr>
    </w:tbl>
    <w:p w14:paraId="03CD3BB2" w14:textId="77777777" w:rsidR="00E624FB" w:rsidRPr="00924BE7" w:rsidRDefault="0027102A"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D3D885F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7102A"/>
    <w:rsid w:val="002A54E4"/>
    <w:rsid w:val="002D7744"/>
    <w:rsid w:val="002E02C7"/>
    <w:rsid w:val="002E523A"/>
    <w:rsid w:val="00317AEA"/>
    <w:rsid w:val="004739B2"/>
    <w:rsid w:val="004B024E"/>
    <w:rsid w:val="004F006F"/>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E46CA"/>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671C8"/>
    <w:rsid w:val="00975051"/>
    <w:rsid w:val="009A551C"/>
    <w:rsid w:val="00A0432B"/>
    <w:rsid w:val="00A639EE"/>
    <w:rsid w:val="00A64DCA"/>
    <w:rsid w:val="00B04286"/>
    <w:rsid w:val="00B101F3"/>
    <w:rsid w:val="00B353AC"/>
    <w:rsid w:val="00B55857"/>
    <w:rsid w:val="00B6485B"/>
    <w:rsid w:val="00BB5264"/>
    <w:rsid w:val="00C52650"/>
    <w:rsid w:val="00CD539F"/>
    <w:rsid w:val="00CD6DD3"/>
    <w:rsid w:val="00DB1FC8"/>
    <w:rsid w:val="00E240D4"/>
    <w:rsid w:val="00E511CA"/>
    <w:rsid w:val="00E83183"/>
    <w:rsid w:val="00F52174"/>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aliases w:val="Elenco Normale Знак,List Paragraph Знак,Список уровня 2 Знак,название табл/рис Знак,Chapter10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4F006F"/>
  </w:style>
  <w:style w:type="paragraph" w:styleId="a8">
    <w:name w:val="No Spacing"/>
    <w:link w:val="a9"/>
    <w:uiPriority w:val="1"/>
    <w:qFormat/>
    <w:rsid w:val="009671C8"/>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9671C8"/>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819496591">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2436</Words>
  <Characters>1389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2025-08-26T08:24:00Z</dcterms:created>
  <dcterms:modified xsi:type="dcterms:W3CDTF">2025-08-26T08:24:00Z</dcterms:modified>
</cp:coreProperties>
</file>