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3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3402"/>
        <w:gridCol w:w="1418"/>
      </w:tblGrid>
      <w:tr w:rsidR="00907840" w:rsidRPr="001C446D" w14:paraId="03EEA50F" w14:textId="77777777" w:rsidTr="00907840">
        <w:trPr>
          <w:trHeight w:val="674"/>
        </w:trPr>
        <w:tc>
          <w:tcPr>
            <w:tcW w:w="4537" w:type="dxa"/>
            <w:vAlign w:val="center"/>
          </w:tcPr>
          <w:p w14:paraId="7FA1D50C" w14:textId="77777777" w:rsidR="00907840" w:rsidRPr="001C446D" w:rsidRDefault="00907840" w:rsidP="0052414B">
            <w:pPr>
              <w:pStyle w:val="a3"/>
              <w:ind w:left="0"/>
              <w:contextualSpacing/>
              <w:jc w:val="both"/>
              <w:rPr>
                <w:rFonts w:ascii="Tahoma" w:eastAsia="Tahoma" w:hAnsi="Tahoma" w:cs="Tahoma"/>
                <w:b/>
              </w:rPr>
            </w:pPr>
            <w:r w:rsidRPr="001C446D">
              <w:rPr>
                <w:rFonts w:ascii="Tahoma" w:eastAsia="Tahoma" w:hAnsi="Tahoma" w:cs="Tahoma"/>
                <w:b/>
              </w:rPr>
              <w:t>Н</w:t>
            </w:r>
            <w:r>
              <w:rPr>
                <w:rFonts w:ascii="Tahoma" w:eastAsia="Tahoma" w:hAnsi="Tahoma" w:cs="Tahoma"/>
                <w:b/>
              </w:rPr>
              <w:t>азва програмного компоненту</w:t>
            </w:r>
          </w:p>
        </w:tc>
        <w:tc>
          <w:tcPr>
            <w:tcW w:w="3402" w:type="dxa"/>
            <w:vAlign w:val="center"/>
          </w:tcPr>
          <w:p w14:paraId="7E773593" w14:textId="77777777" w:rsidR="00907840" w:rsidRPr="001C446D" w:rsidRDefault="00907840" w:rsidP="00060AD3">
            <w:pPr>
              <w:pStyle w:val="a3"/>
              <w:ind w:left="0"/>
              <w:contextualSpacing/>
              <w:jc w:val="both"/>
              <w:rPr>
                <w:rFonts w:ascii="Tahoma" w:eastAsia="Tahoma" w:hAnsi="Tahoma" w:cs="Tahoma"/>
                <w:b/>
              </w:rPr>
            </w:pPr>
            <w:r w:rsidRPr="001C446D">
              <w:rPr>
                <w:rFonts w:ascii="Tahoma" w:eastAsia="Tahoma" w:hAnsi="Tahoma" w:cs="Tahoma"/>
                <w:b/>
              </w:rPr>
              <w:t>Одиниці розрахунку</w:t>
            </w:r>
          </w:p>
        </w:tc>
        <w:tc>
          <w:tcPr>
            <w:tcW w:w="1418" w:type="dxa"/>
            <w:vAlign w:val="center"/>
          </w:tcPr>
          <w:p w14:paraId="3E4F514C" w14:textId="77777777" w:rsidR="00907840" w:rsidRPr="001C446D" w:rsidRDefault="00907840" w:rsidP="00060AD3">
            <w:pPr>
              <w:pStyle w:val="a3"/>
              <w:ind w:left="0"/>
              <w:contextualSpacing/>
              <w:jc w:val="both"/>
              <w:rPr>
                <w:rFonts w:ascii="Tahoma" w:eastAsia="Tahoma" w:hAnsi="Tahoma" w:cs="Tahoma"/>
                <w:b/>
              </w:rPr>
            </w:pPr>
            <w:r w:rsidRPr="001C446D">
              <w:rPr>
                <w:rFonts w:ascii="Tahoma" w:eastAsia="Tahoma" w:hAnsi="Tahoma" w:cs="Tahoma"/>
                <w:b/>
              </w:rPr>
              <w:t>Вартість гривня</w:t>
            </w:r>
          </w:p>
        </w:tc>
      </w:tr>
      <w:tr w:rsidR="00907840" w:rsidRPr="00155791" w14:paraId="6529CE18" w14:textId="77777777" w:rsidTr="00907840">
        <w:trPr>
          <w:trHeight w:val="2013"/>
        </w:trPr>
        <w:tc>
          <w:tcPr>
            <w:tcW w:w="4537" w:type="dxa"/>
          </w:tcPr>
          <w:p w14:paraId="001CA47E" w14:textId="1D55299E" w:rsidR="00907840" w:rsidRPr="0010567E" w:rsidRDefault="00907840" w:rsidP="00487B30">
            <w:pPr>
              <w:pStyle w:val="a3"/>
              <w:ind w:left="0"/>
              <w:contextualSpacing/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</w:pPr>
            <w:r w:rsidRPr="00487B30">
              <w:rPr>
                <w:rFonts w:ascii="Arial" w:hAnsi="Arial" w:cs="Arial"/>
                <w:color w:val="000000"/>
                <w:shd w:val="clear" w:color="auto" w:fill="FFFFFF"/>
              </w:rPr>
              <w:t>HCV Microelimination in HIV/TB/HCV coinfected patie</w:t>
            </w:r>
            <w:r w:rsidRPr="00487B30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n</w:t>
            </w:r>
            <w:r w:rsidRPr="00487B30">
              <w:rPr>
                <w:rFonts w:ascii="Arial" w:hAnsi="Arial" w:cs="Arial"/>
                <w:color w:val="000000"/>
                <w:shd w:val="clear" w:color="auto" w:fill="FFFFFF"/>
              </w:rPr>
              <w:t xml:space="preserve">ts  from key populations PLWH, PWID and partners, MSM, SW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comprehensive package of services)</w:t>
            </w:r>
          </w:p>
          <w:p w14:paraId="736882B4" w14:textId="77777777" w:rsidR="00907840" w:rsidRPr="00487B30" w:rsidRDefault="00907840" w:rsidP="00487B30">
            <w:pPr>
              <w:pStyle w:val="a3"/>
              <w:ind w:left="0"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4FC417F1" w14:textId="29E1477A" w:rsidR="00907840" w:rsidRPr="00487B30" w:rsidRDefault="00907840" w:rsidP="00487B30">
            <w:pPr>
              <w:pStyle w:val="a3"/>
              <w:ind w:left="0"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87B30">
              <w:rPr>
                <w:rFonts w:ascii="Arial" w:hAnsi="Arial" w:cs="Arial"/>
                <w:color w:val="000000"/>
                <w:shd w:val="clear" w:color="auto" w:fill="FFFFFF"/>
              </w:rPr>
              <w:t>Мікроелімінація ВГС серед ВІЛ/ТБ/ВГС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487B30">
              <w:rPr>
                <w:rFonts w:ascii="Arial" w:hAnsi="Arial" w:cs="Arial"/>
                <w:color w:val="000000"/>
                <w:shd w:val="clear" w:color="auto" w:fill="FFFFFF"/>
              </w:rPr>
              <w:t>коінфікованих пацієнтів  з груп ризику ЛЖВ, ЛВНІ та їх партнери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,</w:t>
            </w:r>
            <w:r w:rsidRPr="00487B30">
              <w:rPr>
                <w:rFonts w:ascii="Arial" w:hAnsi="Arial" w:cs="Arial"/>
                <w:color w:val="000000"/>
                <w:shd w:val="clear" w:color="auto" w:fill="FFFFFF"/>
              </w:rPr>
              <w:t xml:space="preserve"> ЧСЧ, РСБ (комплексний пакет послуг)</w:t>
            </w:r>
          </w:p>
          <w:p w14:paraId="070E800B" w14:textId="0C12FEC2" w:rsidR="00907840" w:rsidRPr="00487B30" w:rsidRDefault="00907840" w:rsidP="00060AD3">
            <w:pPr>
              <w:pStyle w:val="a3"/>
              <w:ind w:left="0"/>
              <w:contextualSpacing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87B30">
              <w:rPr>
                <w:rFonts w:ascii="Arial" w:hAnsi="Arial" w:cs="Arial"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5252D952" w14:textId="681FE750" w:rsidR="00907840" w:rsidRPr="00487B30" w:rsidRDefault="002A17FF" w:rsidP="002A17FF">
            <w:pPr>
              <w:pStyle w:val="a3"/>
              <w:ind w:left="0"/>
              <w:contextualSpacing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hd w:val="clear" w:color="auto" w:fill="FFFFFF"/>
              </w:rPr>
              <w:t>клієнт</w:t>
            </w:r>
            <w:bookmarkEnd w:id="0"/>
          </w:p>
        </w:tc>
        <w:tc>
          <w:tcPr>
            <w:tcW w:w="1418" w:type="dxa"/>
            <w:vAlign w:val="center"/>
          </w:tcPr>
          <w:p w14:paraId="4F6808E3" w14:textId="5FAC7402" w:rsidR="00907840" w:rsidRPr="00487B30" w:rsidRDefault="00907840" w:rsidP="0036664F">
            <w:pPr>
              <w:pStyle w:val="a3"/>
              <w:ind w:left="0"/>
              <w:contextualSpacing/>
              <w:jc w:val="both"/>
              <w:rPr>
                <w:rFonts w:ascii="Arial" w:hAnsi="Arial" w:cs="Arial"/>
                <w:color w:val="000000"/>
                <w:highlight w:val="cyan"/>
                <w:shd w:val="clear" w:color="auto" w:fill="FFFFFF"/>
              </w:rPr>
            </w:pPr>
            <w:r w:rsidRPr="00487B30">
              <w:rPr>
                <w:rFonts w:ascii="Arial" w:hAnsi="Arial" w:cs="Arial"/>
                <w:color w:val="000000"/>
                <w:shd w:val="clear" w:color="auto" w:fill="FFFFFF"/>
              </w:rPr>
              <w:t xml:space="preserve">1438,00 </w:t>
            </w:r>
          </w:p>
        </w:tc>
      </w:tr>
    </w:tbl>
    <w:p w14:paraId="5CE2F56E" w14:textId="77777777" w:rsidR="00907033" w:rsidRDefault="00907033"/>
    <w:p w14:paraId="1C479150" w14:textId="71140057" w:rsidR="00A83BBC" w:rsidRDefault="00A83BBC" w:rsidP="00A83BBC">
      <w:pPr>
        <w:pStyle w:val="1"/>
        <w:jc w:val="both"/>
        <w:rPr>
          <w:rFonts w:ascii="Tahoma" w:hAnsi="Tahoma" w:cs="Tahoma"/>
          <w:color w:val="auto"/>
          <w:sz w:val="24"/>
          <w:szCs w:val="24"/>
        </w:rPr>
      </w:pPr>
      <w:r w:rsidRPr="00487B30">
        <w:rPr>
          <w:rFonts w:ascii="Tahoma" w:hAnsi="Tahoma" w:cs="Tahoma"/>
          <w:color w:val="auto"/>
          <w:sz w:val="24"/>
          <w:szCs w:val="24"/>
        </w:rPr>
        <w:t>НОМЕР ТА НАЗВА ПРОГРАМНОГО КОМПОНЕНТУ</w:t>
      </w:r>
    </w:p>
    <w:p w14:paraId="0810B5E4" w14:textId="77777777" w:rsidR="0010567E" w:rsidRPr="0010567E" w:rsidRDefault="00487B30" w:rsidP="0010567E">
      <w:pPr>
        <w:pStyle w:val="a3"/>
        <w:ind w:left="0"/>
        <w:contextualSpacing/>
        <w:rPr>
          <w:rFonts w:ascii="Arial" w:hAnsi="Arial" w:cs="Arial"/>
          <w:color w:val="000000"/>
          <w:shd w:val="clear" w:color="auto" w:fill="FFFFFF"/>
          <w:lang w:val="en-US"/>
        </w:rPr>
      </w:pPr>
      <w:r w:rsidRPr="00487B30">
        <w:rPr>
          <w:rFonts w:ascii="Arial" w:hAnsi="Arial" w:cs="Arial"/>
          <w:color w:val="000000"/>
          <w:shd w:val="clear" w:color="auto" w:fill="FFFFFF"/>
        </w:rPr>
        <w:t>HCV Microelimination in HIV/TB/HCV coinfected patie</w:t>
      </w:r>
      <w:r w:rsidRPr="00487B30">
        <w:rPr>
          <w:rFonts w:ascii="Arial" w:hAnsi="Arial" w:cs="Arial"/>
          <w:color w:val="000000"/>
          <w:shd w:val="clear" w:color="auto" w:fill="FFFFFF"/>
          <w:lang w:val="en-US"/>
        </w:rPr>
        <w:t>n</w:t>
      </w:r>
      <w:r w:rsidRPr="00487B30">
        <w:rPr>
          <w:rFonts w:ascii="Arial" w:hAnsi="Arial" w:cs="Arial"/>
          <w:color w:val="000000"/>
          <w:shd w:val="clear" w:color="auto" w:fill="FFFFFF"/>
        </w:rPr>
        <w:t>ts  from key populations PLWH, PWID and partners, MSM, SW</w:t>
      </w:r>
      <w:r w:rsidR="0010567E">
        <w:rPr>
          <w:rFonts w:ascii="Arial" w:hAnsi="Arial" w:cs="Arial"/>
          <w:color w:val="000000"/>
          <w:shd w:val="clear" w:color="auto" w:fill="FFFFFF"/>
        </w:rPr>
        <w:t>(</w:t>
      </w:r>
      <w:r w:rsidR="0010567E">
        <w:rPr>
          <w:rFonts w:ascii="Arial" w:hAnsi="Arial" w:cs="Arial"/>
          <w:color w:val="000000"/>
          <w:shd w:val="clear" w:color="auto" w:fill="FFFFFF"/>
          <w:lang w:val="en-US"/>
        </w:rPr>
        <w:t>comprehensive package of services)</w:t>
      </w:r>
    </w:p>
    <w:p w14:paraId="7804CEF3" w14:textId="77777777" w:rsidR="0010567E" w:rsidRPr="0010567E" w:rsidRDefault="0010567E" w:rsidP="00487B30">
      <w:pPr>
        <w:pStyle w:val="a3"/>
        <w:ind w:left="0"/>
        <w:contextualSpacing/>
        <w:jc w:val="both"/>
        <w:rPr>
          <w:rFonts w:ascii="Arial" w:hAnsi="Arial" w:cs="Arial"/>
          <w:color w:val="000000"/>
          <w:shd w:val="clear" w:color="auto" w:fill="FFFFFF"/>
          <w:lang w:val="en-US"/>
        </w:rPr>
      </w:pPr>
    </w:p>
    <w:p w14:paraId="148276F8" w14:textId="326B34ED" w:rsidR="0010567E" w:rsidRPr="00487B30" w:rsidRDefault="0010567E" w:rsidP="0010567E">
      <w:pPr>
        <w:pStyle w:val="a3"/>
        <w:ind w:left="0"/>
        <w:contextualSpacing/>
        <w:rPr>
          <w:rFonts w:ascii="Arial" w:hAnsi="Arial" w:cs="Arial"/>
          <w:color w:val="000000"/>
          <w:shd w:val="clear" w:color="auto" w:fill="FFFFFF"/>
        </w:rPr>
      </w:pPr>
      <w:r w:rsidRPr="00487B30">
        <w:rPr>
          <w:rFonts w:ascii="Arial" w:hAnsi="Arial" w:cs="Arial"/>
          <w:color w:val="000000"/>
          <w:shd w:val="clear" w:color="auto" w:fill="FFFFFF"/>
        </w:rPr>
        <w:t>Мікроелімінація ВГС серед ВІЛ/ТБ/ВГС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87B30">
        <w:rPr>
          <w:rFonts w:ascii="Arial" w:hAnsi="Arial" w:cs="Arial"/>
          <w:color w:val="000000"/>
          <w:shd w:val="clear" w:color="auto" w:fill="FFFFFF"/>
        </w:rPr>
        <w:t>коінфікованих пацієнтів  з груп ризику ЛЖВ, ЛВНІ та їх партнери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Pr="00487B30">
        <w:rPr>
          <w:rFonts w:ascii="Arial" w:hAnsi="Arial" w:cs="Arial"/>
          <w:color w:val="000000"/>
          <w:shd w:val="clear" w:color="auto" w:fill="FFFFFF"/>
        </w:rPr>
        <w:t xml:space="preserve"> ЧСЧ, </w:t>
      </w:r>
      <w:r w:rsidR="006D4727">
        <w:rPr>
          <w:rFonts w:ascii="Arial" w:hAnsi="Arial" w:cs="Arial"/>
          <w:color w:val="000000"/>
          <w:shd w:val="clear" w:color="auto" w:fill="FFFFFF"/>
        </w:rPr>
        <w:t>СП</w:t>
      </w:r>
      <w:r w:rsidRPr="00487B30">
        <w:rPr>
          <w:rFonts w:ascii="Arial" w:hAnsi="Arial" w:cs="Arial"/>
          <w:color w:val="000000"/>
          <w:shd w:val="clear" w:color="auto" w:fill="FFFFFF"/>
        </w:rPr>
        <w:t xml:space="preserve"> (комплексний пакет послуг)</w:t>
      </w:r>
    </w:p>
    <w:p w14:paraId="461DEC86" w14:textId="6ABF6207" w:rsidR="00487B30" w:rsidRPr="00487B30" w:rsidRDefault="00487B30" w:rsidP="00487B30">
      <w:pPr>
        <w:jc w:val="both"/>
        <w:rPr>
          <w:rFonts w:eastAsia="Times New Roman"/>
          <w:color w:val="000000"/>
          <w:lang w:val="en-US" w:eastAsia="ru-RU"/>
        </w:rPr>
      </w:pPr>
      <w:r w:rsidRPr="00C71F3C">
        <w:rPr>
          <w:rFonts w:cs="Arial"/>
          <w:color w:val="000000"/>
          <w:shd w:val="clear" w:color="auto" w:fill="FFFFFF"/>
        </w:rPr>
        <w:t xml:space="preserve">  </w:t>
      </w:r>
    </w:p>
    <w:p w14:paraId="6F08D2DC" w14:textId="65D03490" w:rsidR="00890F2A" w:rsidRPr="00C71F3C" w:rsidRDefault="00A83BBC" w:rsidP="00890F2A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143E3D">
        <w:rPr>
          <w:rFonts w:ascii="Tahoma" w:eastAsia="Tahoma" w:hAnsi="Tahoma"/>
          <w:b/>
        </w:rPr>
        <w:t xml:space="preserve">Завдання: </w:t>
      </w:r>
      <w:r w:rsidR="002000D9" w:rsidRPr="004068DB">
        <w:rPr>
          <w:rFonts w:ascii="Tahoma" w:eastAsia="Tahoma" w:hAnsi="Tahoma"/>
        </w:rPr>
        <w:t xml:space="preserve">пошук </w:t>
      </w:r>
      <w:r w:rsidR="004068DB" w:rsidRPr="004068DB">
        <w:rPr>
          <w:rFonts w:ascii="Tahoma" w:eastAsia="Tahoma" w:hAnsi="Tahoma"/>
        </w:rPr>
        <w:t>та</w:t>
      </w:r>
      <w:r w:rsidR="004068DB">
        <w:rPr>
          <w:rFonts w:ascii="Tahoma" w:eastAsia="Tahoma" w:hAnsi="Tahoma"/>
          <w:b/>
        </w:rPr>
        <w:t xml:space="preserve"> </w:t>
      </w:r>
      <w:r w:rsidR="009269A8" w:rsidRPr="009269A8">
        <w:rPr>
          <w:rFonts w:ascii="Tahoma" w:eastAsia="Tahoma" w:hAnsi="Tahoma"/>
        </w:rPr>
        <w:t>ведення випадку</w:t>
      </w:r>
      <w:r w:rsidR="009269A8">
        <w:rPr>
          <w:rFonts w:ascii="Tahoma" w:eastAsia="Tahoma" w:hAnsi="Tahoma"/>
          <w:b/>
        </w:rPr>
        <w:t xml:space="preserve"> </w:t>
      </w:r>
      <w:r w:rsidR="009269A8">
        <w:rPr>
          <w:rFonts w:ascii="Tahoma" w:eastAsia="Tahoma" w:hAnsi="Tahoma"/>
        </w:rPr>
        <w:t>(</w:t>
      </w:r>
      <w:r w:rsidR="00094743" w:rsidRPr="00094743">
        <w:rPr>
          <w:rFonts w:ascii="Tahoma" w:eastAsia="Tahoma" w:hAnsi="Tahoma"/>
        </w:rPr>
        <w:t>кейс менеджмент</w:t>
      </w:r>
      <w:r w:rsidR="009269A8">
        <w:rPr>
          <w:rFonts w:ascii="Tahoma" w:eastAsia="Tahoma" w:hAnsi="Tahoma"/>
        </w:rPr>
        <w:t>/</w:t>
      </w:r>
      <w:r w:rsidR="00094743">
        <w:rPr>
          <w:rFonts w:ascii="Arial" w:hAnsi="Arial" w:cs="Arial"/>
          <w:color w:val="000000"/>
          <w:shd w:val="clear" w:color="auto" w:fill="FFFFFF"/>
        </w:rPr>
        <w:t xml:space="preserve">соціальний супровід) в ході </w:t>
      </w:r>
      <w:r w:rsidR="00C60A1E" w:rsidRPr="00C71F3C">
        <w:rPr>
          <w:rFonts w:ascii="Arial" w:hAnsi="Arial" w:cs="Arial"/>
          <w:color w:val="000000"/>
          <w:shd w:val="clear" w:color="auto" w:fill="FFFFFF"/>
        </w:rPr>
        <w:t xml:space="preserve">лікування вірусного гепатиту С </w:t>
      </w:r>
      <w:r w:rsidR="00094743">
        <w:rPr>
          <w:rFonts w:ascii="Arial" w:hAnsi="Arial" w:cs="Arial"/>
          <w:color w:val="000000"/>
          <w:shd w:val="clear" w:color="auto" w:fill="FFFFFF"/>
        </w:rPr>
        <w:t xml:space="preserve"> (далі – ВГС) </w:t>
      </w:r>
      <w:r w:rsidR="00E26037">
        <w:rPr>
          <w:rFonts w:ascii="Arial" w:hAnsi="Arial" w:cs="Arial"/>
          <w:color w:val="000000"/>
          <w:shd w:val="clear" w:color="auto" w:fill="FFFFFF"/>
        </w:rPr>
        <w:t xml:space="preserve">у </w:t>
      </w:r>
      <w:r w:rsidR="00C60A1E">
        <w:rPr>
          <w:rFonts w:ascii="Arial" w:hAnsi="Arial" w:cs="Arial"/>
          <w:color w:val="000000"/>
          <w:shd w:val="clear" w:color="auto" w:fill="FFFFFF"/>
        </w:rPr>
        <w:t xml:space="preserve">людей, які живуть з ВІЛ, </w:t>
      </w:r>
      <w:r w:rsidR="003012E9">
        <w:rPr>
          <w:rFonts w:ascii="Arial" w:hAnsi="Arial" w:cs="Arial"/>
          <w:color w:val="000000"/>
          <w:shd w:val="clear" w:color="auto" w:fill="FFFFFF"/>
        </w:rPr>
        <w:t>пацієнтів  ключових груп -</w:t>
      </w:r>
      <w:r w:rsidR="00E26037" w:rsidRPr="00487B30">
        <w:rPr>
          <w:rFonts w:ascii="Arial" w:hAnsi="Arial" w:cs="Arial"/>
          <w:color w:val="000000"/>
          <w:shd w:val="clear" w:color="auto" w:fill="FFFFFF"/>
        </w:rPr>
        <w:t xml:space="preserve"> ЛЖВ, ЛВНІ</w:t>
      </w:r>
      <w:r w:rsidR="00E26037">
        <w:rPr>
          <w:rFonts w:ascii="Arial" w:hAnsi="Arial" w:cs="Arial"/>
          <w:color w:val="000000"/>
          <w:shd w:val="clear" w:color="auto" w:fill="FFFFFF"/>
        </w:rPr>
        <w:t xml:space="preserve"> та їх партнерів,</w:t>
      </w:r>
      <w:r w:rsidR="001522BE">
        <w:rPr>
          <w:rFonts w:ascii="Arial" w:hAnsi="Arial" w:cs="Arial"/>
          <w:color w:val="000000"/>
          <w:shd w:val="clear" w:color="auto" w:fill="FFFFFF"/>
        </w:rPr>
        <w:t xml:space="preserve"> ЧСЧ, СП</w:t>
      </w:r>
      <w:r w:rsidR="00C60A1E">
        <w:rPr>
          <w:rFonts w:ascii="Arial" w:hAnsi="Arial" w:cs="Arial"/>
          <w:color w:val="000000"/>
          <w:shd w:val="clear" w:color="auto" w:fill="FFFFFF"/>
        </w:rPr>
        <w:t>.</w:t>
      </w:r>
      <w:r w:rsidR="00890F2A" w:rsidRPr="00C71F3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60A1E">
        <w:rPr>
          <w:rFonts w:ascii="Arial" w:hAnsi="Arial" w:cs="Arial"/>
          <w:color w:val="000000"/>
          <w:shd w:val="clear" w:color="auto" w:fill="FFFFFF"/>
        </w:rPr>
        <w:t>Лікування здійснюється лікарськими засобами</w:t>
      </w:r>
      <w:r w:rsidR="00C60A1E" w:rsidRPr="00C71F3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489D" w:rsidRPr="00C71F3C">
        <w:rPr>
          <w:rFonts w:ascii="Arial" w:hAnsi="Arial" w:cs="Arial"/>
          <w:color w:val="000000"/>
          <w:shd w:val="clear" w:color="auto" w:fill="FFFFFF"/>
        </w:rPr>
        <w:t xml:space="preserve">прямої противірусної </w:t>
      </w:r>
      <w:r w:rsidR="00890F2A" w:rsidRPr="00C71F3C">
        <w:rPr>
          <w:rFonts w:ascii="Arial" w:hAnsi="Arial" w:cs="Arial"/>
          <w:color w:val="000000"/>
          <w:shd w:val="clear" w:color="auto" w:fill="FFFFFF"/>
        </w:rPr>
        <w:t xml:space="preserve">дії, </w:t>
      </w:r>
      <w:r w:rsidR="00DB48F5" w:rsidRPr="00C71F3C">
        <w:rPr>
          <w:rFonts w:ascii="Arial" w:hAnsi="Arial" w:cs="Arial"/>
          <w:color w:val="000000"/>
          <w:shd w:val="clear" w:color="auto" w:fill="FFFFFF"/>
        </w:rPr>
        <w:t xml:space="preserve">що </w:t>
      </w:r>
      <w:r w:rsidR="00CD489D" w:rsidRPr="00C71F3C">
        <w:rPr>
          <w:rFonts w:ascii="Arial" w:hAnsi="Arial" w:cs="Arial"/>
          <w:color w:val="000000"/>
          <w:shd w:val="clear" w:color="auto" w:fill="FFFFFF"/>
        </w:rPr>
        <w:t>заку</w:t>
      </w:r>
      <w:r w:rsidR="00DB48F5" w:rsidRPr="00C71F3C">
        <w:rPr>
          <w:rFonts w:ascii="Arial" w:hAnsi="Arial" w:cs="Arial"/>
          <w:color w:val="000000"/>
          <w:shd w:val="clear" w:color="auto" w:fill="FFFFFF"/>
        </w:rPr>
        <w:t>плені</w:t>
      </w:r>
      <w:r w:rsidR="00CD489D" w:rsidRPr="00C71F3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90F2A" w:rsidRPr="00C71F3C">
        <w:rPr>
          <w:rFonts w:ascii="Arial" w:hAnsi="Arial" w:cs="Arial"/>
          <w:color w:val="000000"/>
          <w:shd w:val="clear" w:color="auto" w:fill="FFFFFF"/>
        </w:rPr>
        <w:t>за</w:t>
      </w:r>
      <w:r w:rsidR="00DB48F5" w:rsidRPr="00C71F3C">
        <w:rPr>
          <w:rFonts w:ascii="Arial" w:hAnsi="Arial" w:cs="Arial"/>
          <w:color w:val="000000"/>
          <w:shd w:val="clear" w:color="auto" w:fill="FFFFFF"/>
        </w:rPr>
        <w:t xml:space="preserve"> кошти державного бюджету</w:t>
      </w:r>
      <w:r w:rsidR="00C60A1E">
        <w:rPr>
          <w:rFonts w:ascii="Arial" w:hAnsi="Arial" w:cs="Arial"/>
          <w:color w:val="000000"/>
          <w:shd w:val="clear" w:color="auto" w:fill="FFFFFF"/>
        </w:rPr>
        <w:t xml:space="preserve"> України</w:t>
      </w:r>
      <w:r w:rsidR="00DB48F5" w:rsidRPr="00C71F3C">
        <w:rPr>
          <w:rFonts w:ascii="Arial" w:hAnsi="Arial" w:cs="Arial"/>
          <w:color w:val="000000"/>
          <w:shd w:val="clear" w:color="auto" w:fill="FFFFFF"/>
        </w:rPr>
        <w:t xml:space="preserve"> та розподілені у заклади охорони здоров’я</w:t>
      </w:r>
      <w:r w:rsidR="00121418" w:rsidRPr="00C71F3C">
        <w:rPr>
          <w:rFonts w:ascii="Arial" w:hAnsi="Arial" w:cs="Arial"/>
          <w:color w:val="000000"/>
          <w:shd w:val="clear" w:color="auto" w:fill="FFFFFF"/>
        </w:rPr>
        <w:t xml:space="preserve"> (далі – ЗОЗ)</w:t>
      </w:r>
      <w:r w:rsidR="00DB48F5" w:rsidRPr="00C71F3C">
        <w:rPr>
          <w:rFonts w:ascii="Arial" w:hAnsi="Arial" w:cs="Arial"/>
          <w:color w:val="000000"/>
          <w:shd w:val="clear" w:color="auto" w:fill="FFFFFF"/>
        </w:rPr>
        <w:t xml:space="preserve"> України </w:t>
      </w:r>
      <w:r w:rsidR="00094743">
        <w:rPr>
          <w:rFonts w:ascii="Arial" w:hAnsi="Arial" w:cs="Arial"/>
          <w:color w:val="000000"/>
          <w:shd w:val="clear" w:color="auto" w:fill="FFFFFF"/>
        </w:rPr>
        <w:t>у кількості, що зазначена в</w:t>
      </w:r>
      <w:r w:rsidR="00C60A1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B48F5" w:rsidRPr="00C71F3C">
        <w:rPr>
          <w:rFonts w:ascii="Arial" w:hAnsi="Arial" w:cs="Arial"/>
          <w:color w:val="000000"/>
          <w:shd w:val="clear" w:color="auto" w:fill="FFFFFF"/>
        </w:rPr>
        <w:t xml:space="preserve"> Таблиці </w:t>
      </w:r>
      <w:r w:rsidR="00C402B3">
        <w:rPr>
          <w:rFonts w:ascii="Arial" w:hAnsi="Arial" w:cs="Arial"/>
          <w:color w:val="000000"/>
          <w:shd w:val="clear" w:color="auto" w:fill="FFFFFF"/>
        </w:rPr>
        <w:t>№1</w:t>
      </w:r>
      <w:r w:rsidR="00DB48F5" w:rsidRPr="00C71F3C">
        <w:rPr>
          <w:rFonts w:ascii="Arial" w:hAnsi="Arial" w:cs="Arial"/>
          <w:color w:val="000000"/>
          <w:shd w:val="clear" w:color="auto" w:fill="FFFFFF"/>
        </w:rPr>
        <w:t xml:space="preserve">.  </w:t>
      </w:r>
    </w:p>
    <w:p w14:paraId="135A5B85" w14:textId="1A020665" w:rsidR="00DA5B65" w:rsidRPr="00C71F3C" w:rsidRDefault="00DA5B65" w:rsidP="00DA5B65">
      <w:pPr>
        <w:jc w:val="both"/>
        <w:rPr>
          <w:rFonts w:ascii="Arial" w:eastAsia="Tahoma" w:hAnsi="Arial" w:cs="Arial"/>
          <w:b/>
        </w:rPr>
      </w:pPr>
    </w:p>
    <w:p w14:paraId="3FC4FAB7" w14:textId="7B1A1B7B" w:rsidR="00094743" w:rsidRDefault="00A83BBC" w:rsidP="00A83BBC">
      <w:pPr>
        <w:jc w:val="both"/>
        <w:rPr>
          <w:rFonts w:ascii="Arial" w:hAnsi="Arial" w:cs="Arial"/>
        </w:rPr>
      </w:pPr>
      <w:r w:rsidRPr="00C71F3C">
        <w:rPr>
          <w:rFonts w:ascii="Arial" w:eastAsia="Tahoma" w:hAnsi="Arial" w:cs="Arial"/>
          <w:b/>
        </w:rPr>
        <w:t>Цільова група:</w:t>
      </w:r>
      <w:r w:rsidR="00C60A1E">
        <w:rPr>
          <w:rFonts w:ascii="Arial" w:eastAsia="Tahoma" w:hAnsi="Arial" w:cs="Arial"/>
          <w:b/>
        </w:rPr>
        <w:t xml:space="preserve"> </w:t>
      </w:r>
      <w:r w:rsidR="0010567E">
        <w:rPr>
          <w:rFonts w:ascii="Arial" w:hAnsi="Arial" w:cs="Arial"/>
          <w:color w:val="000000"/>
          <w:shd w:val="clear" w:color="auto" w:fill="FFFFFF"/>
        </w:rPr>
        <w:t>пацієнт</w:t>
      </w:r>
      <w:r w:rsidR="0010567E" w:rsidRPr="0010567E">
        <w:rPr>
          <w:rFonts w:ascii="Arial" w:hAnsi="Arial" w:cs="Arial"/>
          <w:shd w:val="clear" w:color="auto" w:fill="FFFFFF"/>
        </w:rPr>
        <w:t xml:space="preserve">и  </w:t>
      </w:r>
      <w:r w:rsidR="0010567E" w:rsidRPr="0010567E">
        <w:rPr>
          <w:rFonts w:ascii="Arial" w:hAnsi="Arial" w:cs="Arial"/>
        </w:rPr>
        <w:t>з ко-інфекцією ВІЛ/ВГС</w:t>
      </w:r>
      <w:r w:rsidR="0010567E" w:rsidRPr="0010567E">
        <w:rPr>
          <w:rFonts w:ascii="Arial" w:hAnsi="Arial" w:cs="Arial"/>
          <w:shd w:val="clear" w:color="auto" w:fill="FFFFFF"/>
        </w:rPr>
        <w:t xml:space="preserve"> </w:t>
      </w:r>
      <w:r w:rsidR="0010567E" w:rsidRPr="00487B30">
        <w:rPr>
          <w:rFonts w:ascii="Arial" w:hAnsi="Arial" w:cs="Arial"/>
          <w:color w:val="000000"/>
          <w:shd w:val="clear" w:color="auto" w:fill="FFFFFF"/>
        </w:rPr>
        <w:t>з груп ризику ЛЖВ, ЛВНІ та їх партнери</w:t>
      </w:r>
      <w:r w:rsidR="0010567E">
        <w:rPr>
          <w:rFonts w:ascii="Arial" w:hAnsi="Arial" w:cs="Arial"/>
          <w:color w:val="000000"/>
          <w:shd w:val="clear" w:color="auto" w:fill="FFFFFF"/>
        </w:rPr>
        <w:t>,</w:t>
      </w:r>
      <w:r w:rsidR="0010567E" w:rsidRPr="00487B3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0567E" w:rsidRPr="00696DE4">
        <w:rPr>
          <w:rFonts w:ascii="Arial" w:hAnsi="Arial" w:cs="Arial"/>
          <w:color w:val="000000"/>
          <w:shd w:val="clear" w:color="auto" w:fill="FFFFFF"/>
        </w:rPr>
        <w:t>ЧСЧ, С</w:t>
      </w:r>
      <w:r w:rsidR="00696DE4" w:rsidRPr="00696DE4">
        <w:rPr>
          <w:rFonts w:ascii="Arial" w:hAnsi="Arial" w:cs="Arial"/>
          <w:color w:val="000000"/>
          <w:shd w:val="clear" w:color="auto" w:fill="FFFFFF"/>
        </w:rPr>
        <w:t>П</w:t>
      </w:r>
      <w:r w:rsidR="0010567E" w:rsidRPr="00696DE4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06627" w:rsidRPr="00696DE4">
        <w:rPr>
          <w:rFonts w:ascii="Arial" w:hAnsi="Arial" w:cs="Arial"/>
        </w:rPr>
        <w:t>(люди, які споживають нарк</w:t>
      </w:r>
      <w:r w:rsidR="00094743" w:rsidRPr="00696DE4">
        <w:rPr>
          <w:rFonts w:ascii="Arial" w:hAnsi="Arial" w:cs="Arial"/>
        </w:rPr>
        <w:t>отики ін’єкційно</w:t>
      </w:r>
      <w:r w:rsidR="0010567E" w:rsidRPr="00696DE4">
        <w:rPr>
          <w:rFonts w:ascii="Arial" w:hAnsi="Arial" w:cs="Arial"/>
        </w:rPr>
        <w:t>,</w:t>
      </w:r>
      <w:r w:rsidR="00094743" w:rsidRPr="00696DE4">
        <w:rPr>
          <w:rFonts w:ascii="Arial" w:hAnsi="Arial" w:cs="Arial"/>
        </w:rPr>
        <w:t xml:space="preserve"> та їх партнери; </w:t>
      </w:r>
      <w:r w:rsidR="00C06627" w:rsidRPr="00696DE4">
        <w:rPr>
          <w:rFonts w:ascii="Arial" w:hAnsi="Arial" w:cs="Arial"/>
        </w:rPr>
        <w:t>чоловіки, що мають секс з чоловіками</w:t>
      </w:r>
      <w:r w:rsidR="0010567E" w:rsidRPr="00696DE4">
        <w:rPr>
          <w:rFonts w:ascii="Arial" w:hAnsi="Arial" w:cs="Arial"/>
        </w:rPr>
        <w:t xml:space="preserve">; секс </w:t>
      </w:r>
      <w:r w:rsidR="00696DE4" w:rsidRPr="00696DE4">
        <w:rPr>
          <w:rFonts w:ascii="Arial" w:hAnsi="Arial" w:cs="Arial"/>
        </w:rPr>
        <w:t>працівники</w:t>
      </w:r>
      <w:r w:rsidR="00094743" w:rsidRPr="00696DE4">
        <w:rPr>
          <w:rFonts w:ascii="Arial" w:hAnsi="Arial" w:cs="Arial"/>
        </w:rPr>
        <w:t>.</w:t>
      </w:r>
      <w:r w:rsidR="00094743">
        <w:rPr>
          <w:rFonts w:ascii="Arial" w:hAnsi="Arial" w:cs="Arial"/>
        </w:rPr>
        <w:t xml:space="preserve"> </w:t>
      </w:r>
      <w:r w:rsidR="00A43FB9">
        <w:rPr>
          <w:rFonts w:ascii="Arial" w:hAnsi="Arial" w:cs="Arial"/>
        </w:rPr>
        <w:t xml:space="preserve"> </w:t>
      </w:r>
    </w:p>
    <w:p w14:paraId="2F462A73" w14:textId="77777777" w:rsidR="00094743" w:rsidRDefault="00094743" w:rsidP="00A83BBC">
      <w:pPr>
        <w:jc w:val="both"/>
        <w:rPr>
          <w:rFonts w:ascii="Arial" w:eastAsia="Tahoma" w:hAnsi="Arial" w:cs="Arial"/>
          <w:b/>
        </w:rPr>
      </w:pPr>
    </w:p>
    <w:p w14:paraId="18E9DCA8" w14:textId="769E3AE4" w:rsidR="00A83BBC" w:rsidRPr="00C71F3C" w:rsidRDefault="00C06627" w:rsidP="00A83BBC">
      <w:pPr>
        <w:jc w:val="both"/>
        <w:rPr>
          <w:rFonts w:ascii="Arial" w:eastAsia="Tahoma" w:hAnsi="Arial" w:cs="Arial"/>
          <w:b/>
        </w:rPr>
      </w:pPr>
      <w:r w:rsidRPr="00C71F3C">
        <w:rPr>
          <w:rFonts w:ascii="Arial" w:eastAsia="Tahoma" w:hAnsi="Arial" w:cs="Arial"/>
          <w:b/>
        </w:rPr>
        <w:t>Географія реалізації проє</w:t>
      </w:r>
      <w:r w:rsidR="00DE7BC8">
        <w:rPr>
          <w:rFonts w:ascii="Arial" w:eastAsia="Tahoma" w:hAnsi="Arial" w:cs="Arial"/>
          <w:b/>
        </w:rPr>
        <w:t>кту</w:t>
      </w:r>
      <w:r w:rsidR="00A83BBC" w:rsidRPr="00C71F3C">
        <w:rPr>
          <w:rFonts w:ascii="Arial" w:eastAsia="Tahoma" w:hAnsi="Arial" w:cs="Arial"/>
          <w:b/>
        </w:rPr>
        <w:t xml:space="preserve">: </w:t>
      </w:r>
    </w:p>
    <w:p w14:paraId="5EC2CFCD" w14:textId="77777777" w:rsidR="00F32608" w:rsidRPr="00C71F3C" w:rsidRDefault="00F32608" w:rsidP="00F32608">
      <w:pPr>
        <w:jc w:val="both"/>
        <w:rPr>
          <w:rStyle w:val="Note"/>
          <w:rFonts w:cs="Arial"/>
          <w:b/>
        </w:rPr>
      </w:pPr>
    </w:p>
    <w:p w14:paraId="72AAE335" w14:textId="77777777" w:rsidR="00F32608" w:rsidRPr="00C71F3C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Вінницька область</w:t>
      </w:r>
    </w:p>
    <w:p w14:paraId="20DB4C23" w14:textId="77777777" w:rsidR="00F32608" w:rsidRPr="0060101E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60101E">
        <w:rPr>
          <w:rFonts w:ascii="Arial" w:hAnsi="Arial" w:cs="Arial"/>
        </w:rPr>
        <w:t>Дніпропетровська область (м. Дніпро, м. Кривий Ріг)</w:t>
      </w:r>
    </w:p>
    <w:p w14:paraId="4C7705BF" w14:textId="77777777" w:rsidR="0060101E" w:rsidRPr="0060101E" w:rsidRDefault="0060101E" w:rsidP="0060101E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60101E">
        <w:rPr>
          <w:rFonts w:ascii="Arial" w:hAnsi="Arial" w:cs="Arial"/>
        </w:rPr>
        <w:t>Донецька область (м. Слов’янськ, м. Маріуполь)</w:t>
      </w:r>
    </w:p>
    <w:p w14:paraId="18049323" w14:textId="6B5800DF" w:rsidR="00F32608" w:rsidRPr="00C71F3C" w:rsidRDefault="0060101E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ru-RU"/>
        </w:rPr>
        <w:t xml:space="preserve">Житомирська </w:t>
      </w:r>
      <w:r w:rsidR="00F32608" w:rsidRPr="00C71F3C">
        <w:rPr>
          <w:rFonts w:ascii="Arial" w:hAnsi="Arial" w:cs="Arial"/>
        </w:rPr>
        <w:t>область</w:t>
      </w:r>
    </w:p>
    <w:p w14:paraId="028D76F1" w14:textId="77777777" w:rsidR="00F32608" w:rsidRPr="00C71F3C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Запорізька область</w:t>
      </w:r>
    </w:p>
    <w:p w14:paraId="7E13CEC4" w14:textId="77777777" w:rsidR="0060101E" w:rsidRPr="00C71F3C" w:rsidRDefault="0060101E" w:rsidP="0060101E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Кіровоградська область</w:t>
      </w:r>
    </w:p>
    <w:p w14:paraId="7A96C65A" w14:textId="77777777" w:rsidR="0060101E" w:rsidRPr="00C71F3C" w:rsidRDefault="0060101E" w:rsidP="0060101E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м. Київ</w:t>
      </w:r>
    </w:p>
    <w:p w14:paraId="3569F7F1" w14:textId="77777777" w:rsidR="00F32608" w:rsidRPr="00C71F3C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Київська область</w:t>
      </w:r>
    </w:p>
    <w:p w14:paraId="0F426079" w14:textId="57CF51C6" w:rsidR="00F32608" w:rsidRPr="00F71242" w:rsidRDefault="00F32608" w:rsidP="00F71242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Львівська область</w:t>
      </w:r>
    </w:p>
    <w:p w14:paraId="5B0BD3E3" w14:textId="77777777" w:rsidR="0060101E" w:rsidRPr="00C71F3C" w:rsidRDefault="0060101E" w:rsidP="0060101E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Миколаївська область</w:t>
      </w:r>
      <w:r w:rsidRPr="00C71F3C">
        <w:rPr>
          <w:rFonts w:ascii="Arial" w:hAnsi="Arial" w:cs="Arial"/>
          <w:lang w:val="en-US"/>
        </w:rPr>
        <w:t xml:space="preserve"> </w:t>
      </w:r>
    </w:p>
    <w:p w14:paraId="007BC7DF" w14:textId="77777777" w:rsidR="00F32608" w:rsidRPr="00C71F3C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Одеська область</w:t>
      </w:r>
    </w:p>
    <w:p w14:paraId="25077525" w14:textId="77777777" w:rsidR="0060101E" w:rsidRPr="00C71F3C" w:rsidRDefault="0060101E" w:rsidP="0060101E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Рівненська область</w:t>
      </w:r>
    </w:p>
    <w:p w14:paraId="68289C26" w14:textId="795EDC2A" w:rsidR="00F32608" w:rsidRPr="0060101E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A43FB9">
        <w:rPr>
          <w:rFonts w:ascii="Arial" w:hAnsi="Arial" w:cs="Arial"/>
        </w:rPr>
        <w:t>Херсонська область</w:t>
      </w:r>
    </w:p>
    <w:p w14:paraId="47312B9F" w14:textId="18E65838" w:rsidR="0060101E" w:rsidRPr="00A43FB9" w:rsidRDefault="0060101E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ru-RU"/>
        </w:rPr>
        <w:t>Хмельницька область</w:t>
      </w:r>
    </w:p>
    <w:p w14:paraId="78FB483D" w14:textId="77777777" w:rsidR="00F32608" w:rsidRPr="00C71F3C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Черкаська область</w:t>
      </w:r>
    </w:p>
    <w:p w14:paraId="5B0F3A01" w14:textId="77777777" w:rsidR="00F32608" w:rsidRPr="00C71F3C" w:rsidRDefault="00F32608" w:rsidP="00F32608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</w:rPr>
      </w:pPr>
      <w:r w:rsidRPr="00C71F3C">
        <w:rPr>
          <w:rFonts w:ascii="Arial" w:hAnsi="Arial" w:cs="Arial"/>
        </w:rPr>
        <w:t>Чернігівська область</w:t>
      </w:r>
    </w:p>
    <w:p w14:paraId="5757CF88" w14:textId="31A8F5C5" w:rsidR="00CB1151" w:rsidRPr="00CB1151" w:rsidRDefault="0060101E" w:rsidP="00CB1151">
      <w:pPr>
        <w:widowControl w:val="0"/>
        <w:numPr>
          <w:ilvl w:val="0"/>
          <w:numId w:val="5"/>
        </w:numPr>
        <w:suppressAutoHyphens/>
        <w:jc w:val="both"/>
        <w:rPr>
          <w:rFonts w:ascii="Arial" w:hAnsi="Arial" w:cs="Arial"/>
          <w:b/>
          <w:sz w:val="18"/>
        </w:rPr>
      </w:pPr>
      <w:r w:rsidRPr="0060101E">
        <w:rPr>
          <w:rFonts w:ascii="Arial" w:hAnsi="Arial" w:cs="Arial"/>
          <w:lang w:val="ru-RU"/>
        </w:rPr>
        <w:t>I</w:t>
      </w:r>
      <w:r w:rsidRPr="0060101E">
        <w:rPr>
          <w:rFonts w:ascii="Arial" w:hAnsi="Arial" w:cs="Arial"/>
        </w:rPr>
        <w:t>нститут  епідеміології та інфекційних хво</w:t>
      </w:r>
      <w:r w:rsidR="00CB1151" w:rsidRPr="00CB1151">
        <w:rPr>
          <w:rFonts w:ascii="Arial" w:hAnsi="Arial" w:cs="Arial"/>
        </w:rPr>
        <w:t>роб ім. Л.В.Громашевського</w:t>
      </w:r>
    </w:p>
    <w:p w14:paraId="66C6BED5" w14:textId="77777777" w:rsidR="00892F39" w:rsidRDefault="00892F39" w:rsidP="00CB1151">
      <w:pPr>
        <w:widowControl w:val="0"/>
        <w:suppressAutoHyphens/>
        <w:ind w:left="360"/>
        <w:jc w:val="both"/>
        <w:rPr>
          <w:rFonts w:ascii="Tahoma" w:eastAsia="Tahoma" w:hAnsi="Tahoma" w:cs="Tahoma"/>
          <w:b/>
        </w:rPr>
      </w:pPr>
    </w:p>
    <w:p w14:paraId="7117B520" w14:textId="77777777" w:rsidR="00907840" w:rsidRDefault="006C250B" w:rsidP="00892F39">
      <w:pPr>
        <w:widowControl w:val="0"/>
        <w:suppressAutoHyphens/>
        <w:jc w:val="center"/>
        <w:rPr>
          <w:rFonts w:ascii="Arial" w:hAnsi="Arial" w:cs="Arial"/>
          <w:bCs/>
          <w:sz w:val="20"/>
        </w:rPr>
      </w:pPr>
      <w:r w:rsidRPr="00892F39">
        <w:rPr>
          <w:rFonts w:ascii="Arial" w:hAnsi="Arial" w:cs="Arial"/>
          <w:bCs/>
          <w:sz w:val="20"/>
        </w:rPr>
        <w:t>Т</w:t>
      </w:r>
    </w:p>
    <w:p w14:paraId="264E05D6" w14:textId="77777777" w:rsidR="00907840" w:rsidRDefault="00907840" w:rsidP="00892F39">
      <w:pPr>
        <w:widowControl w:val="0"/>
        <w:suppressAutoHyphens/>
        <w:jc w:val="center"/>
        <w:rPr>
          <w:rFonts w:ascii="Arial" w:hAnsi="Arial" w:cs="Arial"/>
          <w:bCs/>
          <w:sz w:val="20"/>
        </w:rPr>
      </w:pPr>
    </w:p>
    <w:p w14:paraId="4AC2BB70" w14:textId="77777777" w:rsidR="00907840" w:rsidRDefault="00907840" w:rsidP="00892F39">
      <w:pPr>
        <w:widowControl w:val="0"/>
        <w:suppressAutoHyphens/>
        <w:jc w:val="center"/>
        <w:rPr>
          <w:rFonts w:ascii="Arial" w:hAnsi="Arial" w:cs="Arial"/>
          <w:bCs/>
          <w:sz w:val="20"/>
        </w:rPr>
      </w:pPr>
    </w:p>
    <w:p w14:paraId="0B0CA906" w14:textId="77777777" w:rsidR="00907840" w:rsidRDefault="00907840" w:rsidP="00892F39">
      <w:pPr>
        <w:widowControl w:val="0"/>
        <w:suppressAutoHyphens/>
        <w:jc w:val="center"/>
        <w:rPr>
          <w:rFonts w:ascii="Arial" w:hAnsi="Arial" w:cs="Arial"/>
          <w:bCs/>
          <w:sz w:val="20"/>
        </w:rPr>
      </w:pPr>
    </w:p>
    <w:p w14:paraId="0DBE769C" w14:textId="77777777" w:rsidR="00907840" w:rsidRDefault="00907840" w:rsidP="00892F39">
      <w:pPr>
        <w:widowControl w:val="0"/>
        <w:suppressAutoHyphens/>
        <w:jc w:val="center"/>
        <w:rPr>
          <w:rFonts w:ascii="Arial" w:hAnsi="Arial" w:cs="Arial"/>
          <w:bCs/>
          <w:sz w:val="20"/>
        </w:rPr>
      </w:pPr>
    </w:p>
    <w:p w14:paraId="2540D065" w14:textId="77777777" w:rsidR="00907840" w:rsidRDefault="00907840" w:rsidP="00892F39">
      <w:pPr>
        <w:widowControl w:val="0"/>
        <w:suppressAutoHyphens/>
        <w:jc w:val="center"/>
        <w:rPr>
          <w:rFonts w:ascii="Arial" w:hAnsi="Arial" w:cs="Arial"/>
          <w:bCs/>
          <w:sz w:val="20"/>
        </w:rPr>
      </w:pPr>
    </w:p>
    <w:p w14:paraId="1D48D682" w14:textId="7EDF25F6" w:rsidR="00892F39" w:rsidRPr="00892F39" w:rsidRDefault="00907840" w:rsidP="00892F39">
      <w:pPr>
        <w:widowControl w:val="0"/>
        <w:suppressAutoHyphens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Cs/>
          <w:sz w:val="20"/>
        </w:rPr>
        <w:lastRenderedPageBreak/>
        <w:t>Т</w:t>
      </w:r>
      <w:r w:rsidR="006C250B" w:rsidRPr="00892F39">
        <w:rPr>
          <w:rFonts w:ascii="Arial" w:hAnsi="Arial" w:cs="Arial"/>
          <w:bCs/>
          <w:sz w:val="20"/>
        </w:rPr>
        <w:t>аблиця 1.</w:t>
      </w:r>
      <w:r w:rsidR="006C250B" w:rsidRPr="00892F39">
        <w:rPr>
          <w:rFonts w:ascii="Arial" w:hAnsi="Arial" w:cs="Arial"/>
          <w:b/>
          <w:bCs/>
          <w:sz w:val="20"/>
        </w:rPr>
        <w:t xml:space="preserve"> Перелік  </w:t>
      </w:r>
      <w:r w:rsidR="007D5451" w:rsidRPr="00892F39">
        <w:rPr>
          <w:rFonts w:ascii="Arial" w:hAnsi="Arial" w:cs="Arial"/>
          <w:b/>
          <w:bCs/>
          <w:sz w:val="20"/>
        </w:rPr>
        <w:t>ЗОЗ</w:t>
      </w:r>
      <w:r w:rsidR="00191791" w:rsidRPr="00892F39">
        <w:rPr>
          <w:rFonts w:ascii="Arial" w:hAnsi="Arial" w:cs="Arial"/>
          <w:b/>
          <w:bCs/>
          <w:sz w:val="20"/>
        </w:rPr>
        <w:t xml:space="preserve"> та запланована кількість  12 тижневих курсів</w:t>
      </w:r>
    </w:p>
    <w:p w14:paraId="7AB697E1" w14:textId="34E3ABF6" w:rsidR="007D5451" w:rsidRPr="00892F39" w:rsidRDefault="00191791" w:rsidP="00892F39">
      <w:pPr>
        <w:widowControl w:val="0"/>
        <w:suppressAutoHyphens/>
        <w:jc w:val="center"/>
        <w:rPr>
          <w:rFonts w:ascii="Arial" w:hAnsi="Arial" w:cs="Arial"/>
          <w:b/>
          <w:sz w:val="16"/>
        </w:rPr>
      </w:pPr>
      <w:r w:rsidRPr="00892F39">
        <w:rPr>
          <w:rFonts w:ascii="Arial" w:hAnsi="Arial" w:cs="Arial"/>
          <w:b/>
          <w:bCs/>
          <w:sz w:val="20"/>
        </w:rPr>
        <w:t>лікування ВГС</w:t>
      </w:r>
      <w:r w:rsidR="006C250B" w:rsidRPr="00892F39">
        <w:rPr>
          <w:rFonts w:ascii="Arial" w:hAnsi="Arial" w:cs="Arial"/>
          <w:b/>
          <w:bCs/>
          <w:sz w:val="20"/>
        </w:rPr>
        <w:t>-інфекції</w:t>
      </w:r>
    </w:p>
    <w:tbl>
      <w:tblPr>
        <w:tblW w:w="9644" w:type="dxa"/>
        <w:tblLook w:val="04A0" w:firstRow="1" w:lastRow="0" w:firstColumn="1" w:lastColumn="0" w:noHBand="0" w:noVBand="1"/>
      </w:tblPr>
      <w:tblGrid>
        <w:gridCol w:w="445"/>
        <w:gridCol w:w="7347"/>
        <w:gridCol w:w="1852"/>
      </w:tblGrid>
      <w:tr w:rsidR="00DB48F5" w:rsidRPr="00DB48F5" w14:paraId="38E2E950" w14:textId="77777777" w:rsidTr="00892F39">
        <w:trPr>
          <w:trHeight w:val="107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B5BC" w14:textId="39D2F53B" w:rsidR="00DB48F5" w:rsidRPr="00892F39" w:rsidRDefault="00CB37E9" w:rsidP="00DB48F5">
            <w:pP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892F3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№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C20A" w14:textId="77777777" w:rsidR="00DB48F5" w:rsidRPr="00892F39" w:rsidRDefault="00DB48F5" w:rsidP="00DB48F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92F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4"/>
                <w:lang w:eastAsia="ru-RU"/>
              </w:rPr>
              <w:t>Назва ЗОЗ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A2DE" w14:textId="77777777" w:rsidR="004068DB" w:rsidRPr="00892F39" w:rsidRDefault="00DB48F5" w:rsidP="00892F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92F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4"/>
                <w:lang w:eastAsia="ru-RU"/>
              </w:rPr>
              <w:t xml:space="preserve">Запланована кількість </w:t>
            </w:r>
          </w:p>
          <w:p w14:paraId="621B878F" w14:textId="76E1B291" w:rsidR="00DB48F5" w:rsidRPr="00892F39" w:rsidRDefault="004068DB" w:rsidP="00892F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92F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4"/>
                <w:lang w:eastAsia="ru-RU"/>
              </w:rPr>
              <w:t>12 тижневих курсів лікування ВГС</w:t>
            </w:r>
          </w:p>
          <w:p w14:paraId="06279DF1" w14:textId="2C0BF750" w:rsidR="00DB48F5" w:rsidRPr="00094743" w:rsidRDefault="00DB48F5" w:rsidP="00DB48F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DB48F5" w:rsidRPr="00696DE4" w14:paraId="3702AC4A" w14:textId="77777777" w:rsidTr="00696DE4">
        <w:trPr>
          <w:trHeight w:val="59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75D4" w14:textId="77777777" w:rsidR="00DB48F5" w:rsidRPr="00892F39" w:rsidRDefault="00DB48F5" w:rsidP="00DB48F5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</w:t>
            </w:r>
          </w:p>
        </w:tc>
        <w:tc>
          <w:tcPr>
            <w:tcW w:w="7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4911" w14:textId="77777777" w:rsidR="00DB48F5" w:rsidRPr="00892F39" w:rsidRDefault="00DB48F5" w:rsidP="00DB48F5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КНП «Вінницький обласний клінічний Центр профілактики та боротьби зі СНІДом Вінницької обласної Ради»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F9E90" w14:textId="39072EF6" w:rsidR="00DB48F5" w:rsidRPr="00696DE4" w:rsidRDefault="00A43FB9" w:rsidP="00DB48F5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696DE4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100</w:t>
            </w:r>
            <w:r w:rsidR="00DB48F5" w:rsidRPr="00696DE4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 </w:t>
            </w:r>
          </w:p>
        </w:tc>
      </w:tr>
      <w:tr w:rsidR="00DE7BC8" w:rsidRPr="00696DE4" w14:paraId="4252D463" w14:textId="77777777" w:rsidTr="00696DE4">
        <w:trPr>
          <w:trHeight w:val="59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800F7" w14:textId="270A2F46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2</w:t>
            </w:r>
          </w:p>
        </w:tc>
        <w:tc>
          <w:tcPr>
            <w:tcW w:w="7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CA77" w14:textId="7E8667F6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КП «Дніпропетровський обласний центр соціально значущих хвороб»  Дніпропетровської обласної ради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88FCB1" w14:textId="75D715F0" w:rsidR="00DE7BC8" w:rsidRPr="00696DE4" w:rsidRDefault="00821EEF" w:rsidP="00821EEF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300</w:t>
            </w:r>
            <w:r w:rsidR="00DE7BC8" w:rsidRPr="00696DE4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 </w:t>
            </w:r>
          </w:p>
        </w:tc>
      </w:tr>
      <w:tr w:rsidR="00DE7BC8" w:rsidRPr="001A7666" w14:paraId="720F40B8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72A3" w14:textId="77B821D8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3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DCA9" w14:textId="418A059D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КНП «</w:t>
            </w:r>
            <w:r w:rsidR="00B14FFF"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Донецький обласний центр з профілактики та боротьби зі СНІДом</w:t>
            </w: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22832E" w14:textId="410447F1" w:rsidR="00DE7BC8" w:rsidRPr="001A7666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1A7666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200 </w:t>
            </w:r>
          </w:p>
        </w:tc>
      </w:tr>
      <w:tr w:rsidR="00DE7BC8" w:rsidRPr="00094743" w14:paraId="13408CFC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72E9D" w14:textId="3A538A81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4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38E5" w14:textId="3293BE8E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КНП «Обласний медичний спеціалізований центр» Житомирської обласної ради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976668" w14:textId="69021D3C" w:rsidR="00DE7BC8" w:rsidRPr="00094743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200</w:t>
            </w:r>
          </w:p>
        </w:tc>
      </w:tr>
      <w:tr w:rsidR="00DE7BC8" w:rsidRPr="00094743" w14:paraId="014AE753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078F" w14:textId="2726D6E6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5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D5A4" w14:textId="69AAD6CE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КНП «Обласна інфекційна клінічна лікарня» Запорізької обласної ради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B89C23" w14:textId="2E1EDBB3" w:rsidR="00DE7BC8" w:rsidRPr="00094743" w:rsidRDefault="00322566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5</w:t>
            </w:r>
            <w:r w:rsidR="00DE7BC8"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0</w:t>
            </w:r>
          </w:p>
        </w:tc>
      </w:tr>
      <w:tr w:rsidR="00DE7BC8" w:rsidRPr="00094743" w14:paraId="59063CF5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E2E7F" w14:textId="1F69D451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6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BF16" w14:textId="23D4AA2D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ДУ «Інститут епідеміології та інфекційних хвороб ім. Л.В. Громашевського НАМН України»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21A00F" w14:textId="30915218" w:rsidR="00DE7BC8" w:rsidRPr="00094743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300</w:t>
            </w:r>
          </w:p>
        </w:tc>
      </w:tr>
      <w:tr w:rsidR="00DE7BC8" w:rsidRPr="00094743" w14:paraId="0C2B0C8E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2B7D9" w14:textId="400EB87C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7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3D3FB" w14:textId="2C4345D3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КП «Криворізький Центр профілактики та боротьби зі СНІДом» Дніпропетровської обласної ради"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B013A" w14:textId="2BDA6E38" w:rsidR="00DE7BC8" w:rsidRPr="00094743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300</w:t>
            </w:r>
          </w:p>
        </w:tc>
      </w:tr>
      <w:tr w:rsidR="00DE7BC8" w:rsidRPr="00094743" w14:paraId="381790F6" w14:textId="77777777" w:rsidTr="00DE7BC8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4813" w14:textId="6F215B4C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8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EC59" w14:textId="544BB54E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Київська міська клінічна лікарня №5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C65C" w14:textId="77775297" w:rsidR="00DE7BC8" w:rsidRPr="00094743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200</w:t>
            </w:r>
          </w:p>
        </w:tc>
      </w:tr>
      <w:tr w:rsidR="00DE7BC8" w:rsidRPr="00094743" w14:paraId="7B0EA359" w14:textId="77777777" w:rsidTr="00DE7BC8">
        <w:trPr>
          <w:trHeight w:val="65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3B90" w14:textId="5D88ACBC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9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E253" w14:textId="3AF0D84E" w:rsidR="00DE7BC8" w:rsidRPr="00892F39" w:rsidRDefault="00DE7BC8" w:rsidP="00E003BB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 xml:space="preserve">КНП </w:t>
            </w:r>
            <w:r w:rsidR="00E003BB"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 xml:space="preserve">Київської обласної ради "Київський обласний центр громадського здоров'я" 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85F2" w14:textId="225A4BFC" w:rsidR="00DE7BC8" w:rsidRPr="00094743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200</w:t>
            </w:r>
          </w:p>
        </w:tc>
      </w:tr>
      <w:tr w:rsidR="00DE7BC8" w:rsidRPr="00DB48F5" w14:paraId="2BDB4377" w14:textId="77777777" w:rsidTr="00DE7BC8">
        <w:trPr>
          <w:trHeight w:val="65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D9912" w14:textId="0FC6B2FE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63E99" w14:textId="255C0C84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КНП «Кіровоградський обласний центр профілактики та боротьби зі СНІДом  Кіровоградської обласної ради»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9043" w14:textId="5758F0AE" w:rsidR="00DE7BC8" w:rsidRPr="00094743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100</w:t>
            </w:r>
          </w:p>
        </w:tc>
      </w:tr>
      <w:tr w:rsidR="00DE7BC8" w:rsidRPr="00DB48F5" w14:paraId="485E5C81" w14:textId="77777777" w:rsidTr="00DE7BC8">
        <w:trPr>
          <w:trHeight w:val="71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0001" w14:textId="4FDB36EA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11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4DCB0" w14:textId="50F1DB46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КНП «Львівський обласний центр громадського здоров`я»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40987" w14:textId="6975E64E" w:rsidR="00DE7BC8" w:rsidRPr="00094743" w:rsidRDefault="00DE7BC8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100</w:t>
            </w:r>
          </w:p>
        </w:tc>
      </w:tr>
      <w:tr w:rsidR="00DE7BC8" w:rsidRPr="00DB48F5" w14:paraId="064E48F6" w14:textId="77777777" w:rsidTr="00DE7BC8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A03F" w14:textId="40865145" w:rsidR="00DE7BC8" w:rsidRPr="00892F39" w:rsidRDefault="00DE7BC8" w:rsidP="00DE7BC8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12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3737E" w14:textId="2B9C937E" w:rsidR="00DE7BC8" w:rsidRPr="00892F39" w:rsidRDefault="00DE7BC8" w:rsidP="00DE7BC8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КНП Маріупольської міської ради «Маріупольська міська клінічна лікарня №4 ім. І.К. Мацука»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3101E" w14:textId="6317ACF2" w:rsidR="00DE7BC8" w:rsidRPr="00094743" w:rsidRDefault="00191791" w:rsidP="00DE7BC8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9</w:t>
            </w:r>
            <w:r w:rsidR="00DE7BC8"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0</w:t>
            </w:r>
          </w:p>
        </w:tc>
      </w:tr>
      <w:tr w:rsidR="00696DE4" w:rsidRPr="00DB48F5" w14:paraId="12C30C46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B4E92" w14:textId="672DAF7E" w:rsidR="00696DE4" w:rsidRPr="00892F39" w:rsidRDefault="00696DE4" w:rsidP="00696DE4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13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4213CD" w14:textId="715A991C" w:rsidR="00696DE4" w:rsidRPr="00892F39" w:rsidRDefault="00696DE4" w:rsidP="00696DE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КНП «Миколаївський обласний центр  паліативної допомоги та інтегрованих послуг»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E745E" w14:textId="3BB0C008" w:rsidR="00696DE4" w:rsidRPr="00094743" w:rsidRDefault="00696DE4" w:rsidP="00696DE4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150</w:t>
            </w:r>
          </w:p>
        </w:tc>
      </w:tr>
      <w:tr w:rsidR="00696DE4" w:rsidRPr="00DB48F5" w14:paraId="465B3B01" w14:textId="77777777" w:rsidTr="00696DE4">
        <w:trPr>
          <w:trHeight w:val="77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8C0C" w14:textId="3CCF9088" w:rsidR="00696DE4" w:rsidRPr="00892F39" w:rsidRDefault="00696DE4" w:rsidP="00696DE4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14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929B" w14:textId="77777777" w:rsidR="00696DE4" w:rsidRPr="00892F39" w:rsidRDefault="00696DE4" w:rsidP="00696DE4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br/>
              <w:t>КНП «Одеський обласний центр соціально значущих хвороб» Одеської обласної ради»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03F8" w14:textId="794A0325" w:rsidR="00696DE4" w:rsidRPr="00094743" w:rsidRDefault="00696DE4" w:rsidP="00696DE4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br/>
              <w:t xml:space="preserve">300 </w:t>
            </w:r>
          </w:p>
        </w:tc>
      </w:tr>
      <w:tr w:rsidR="00696DE4" w:rsidRPr="00DB48F5" w14:paraId="7688FB76" w14:textId="77777777" w:rsidTr="002B4816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5D38" w14:textId="7ECD7070" w:rsidR="00696DE4" w:rsidRPr="00892F39" w:rsidRDefault="00696DE4" w:rsidP="00696DE4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15</w:t>
            </w:r>
          </w:p>
        </w:tc>
        <w:tc>
          <w:tcPr>
            <w:tcW w:w="7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0E99" w14:textId="6066D04A" w:rsidR="00696DE4" w:rsidRPr="00892F39" w:rsidRDefault="00696DE4" w:rsidP="00696DE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>КП «Обласний центр громадського здоров'я»  Рівненської обласної ради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FD708" w14:textId="77777777" w:rsidR="00696DE4" w:rsidRPr="00094743" w:rsidRDefault="00696DE4" w:rsidP="00696DE4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130</w:t>
            </w:r>
          </w:p>
        </w:tc>
      </w:tr>
      <w:tr w:rsidR="00696DE4" w:rsidRPr="00696DE4" w14:paraId="37B7C67F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C87F" w14:textId="35907D35" w:rsidR="00696DE4" w:rsidRPr="00892F39" w:rsidRDefault="00696DE4" w:rsidP="00696DE4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16</w:t>
            </w:r>
          </w:p>
        </w:tc>
        <w:tc>
          <w:tcPr>
            <w:tcW w:w="7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4F87" w14:textId="4A85FD28" w:rsidR="00696DE4" w:rsidRPr="00892F39" w:rsidRDefault="00696DE4" w:rsidP="00696DE4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 xml:space="preserve">КНП «Херсонський обласний центр профілактики та бортьби зі СНІДом» 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A0DFD4" w14:textId="3D9B7F3E" w:rsidR="00696DE4" w:rsidRPr="00696DE4" w:rsidRDefault="00696DE4" w:rsidP="00696DE4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696DE4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50 </w:t>
            </w:r>
          </w:p>
        </w:tc>
      </w:tr>
      <w:tr w:rsidR="00696DE4" w:rsidRPr="00696DE4" w14:paraId="36696E00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C0FE" w14:textId="0B2770BB" w:rsidR="00696DE4" w:rsidRPr="00892F39" w:rsidRDefault="00696DE4" w:rsidP="00696DE4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17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955B" w14:textId="47085AA0" w:rsidR="00696DE4" w:rsidRPr="00892F39" w:rsidRDefault="00696DE4" w:rsidP="00696DE4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sz w:val="18"/>
                <w:szCs w:val="24"/>
                <w:lang w:val="ru-RU" w:eastAsia="ru-RU"/>
              </w:rPr>
              <w:t>КНП «Хмельницький обласний центр профілактики та боротьби зі СНІДом»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79F2EE" w14:textId="77777777" w:rsidR="00696DE4" w:rsidRPr="00696DE4" w:rsidRDefault="00696DE4" w:rsidP="00696DE4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 w:rsidRPr="00696DE4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50</w:t>
            </w:r>
          </w:p>
        </w:tc>
      </w:tr>
      <w:tr w:rsidR="00696DE4" w:rsidRPr="00696DE4" w14:paraId="0DB492AB" w14:textId="77777777" w:rsidTr="00696DE4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D22A" w14:textId="485E760A" w:rsidR="00696DE4" w:rsidRPr="00892F39" w:rsidRDefault="00696DE4" w:rsidP="00696DE4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18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458C4" w14:textId="77777777" w:rsidR="00696DE4" w:rsidRPr="00892F39" w:rsidRDefault="00696DE4" w:rsidP="00696DE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 xml:space="preserve">КНП «Черкаський обласний центр громадського здоров`я Черкаської обласної ради» </w:t>
            </w:r>
          </w:p>
        </w:tc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4F917" w14:textId="6DDCF227" w:rsidR="00696DE4" w:rsidRPr="00696DE4" w:rsidRDefault="00322566" w:rsidP="00696DE4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13</w:t>
            </w:r>
            <w:r w:rsidR="00696DE4" w:rsidRPr="00696DE4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0 </w:t>
            </w:r>
          </w:p>
        </w:tc>
      </w:tr>
      <w:tr w:rsidR="00696DE4" w:rsidRPr="00DB48F5" w14:paraId="2D7F3B65" w14:textId="77777777" w:rsidTr="00D30A4A">
        <w:trPr>
          <w:trHeight w:val="5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5D25" w14:textId="6AFF2651" w:rsidR="00696DE4" w:rsidRPr="00892F39" w:rsidRDefault="00696DE4" w:rsidP="00696DE4">
            <w:pPr>
              <w:jc w:val="center"/>
              <w:rPr>
                <w:rFonts w:eastAsia="Times New Roman"/>
                <w:color w:val="000000"/>
                <w:sz w:val="18"/>
                <w:lang w:val="ru-RU" w:eastAsia="ru-RU"/>
              </w:rPr>
            </w:pPr>
            <w:r w:rsidRPr="00892F39">
              <w:rPr>
                <w:rFonts w:eastAsia="Times New Roman"/>
                <w:color w:val="000000"/>
                <w:sz w:val="18"/>
                <w:lang w:val="ru-RU" w:eastAsia="ru-RU"/>
              </w:rPr>
              <w:t>19</w:t>
            </w:r>
          </w:p>
        </w:tc>
        <w:tc>
          <w:tcPr>
            <w:tcW w:w="7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14908" w14:textId="1361BD8D" w:rsidR="00696DE4" w:rsidRPr="00892F39" w:rsidRDefault="00696DE4" w:rsidP="00696DE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</w:pPr>
            <w:r w:rsidRPr="00892F39">
              <w:rPr>
                <w:rFonts w:ascii="Arial" w:eastAsia="Times New Roman" w:hAnsi="Arial" w:cs="Arial"/>
                <w:color w:val="000000"/>
                <w:sz w:val="18"/>
                <w:szCs w:val="24"/>
                <w:lang w:val="ru-RU" w:eastAsia="ru-RU"/>
              </w:rPr>
              <w:t xml:space="preserve">КНП «Чернігівський обласний медичний центр соціально значущих та небезпечних  хвороб»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B65F" w14:textId="3CE34967" w:rsidR="00696DE4" w:rsidRPr="00094743" w:rsidRDefault="00322566" w:rsidP="00696DE4">
            <w:pPr>
              <w:jc w:val="right"/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5</w:t>
            </w:r>
            <w:r w:rsidR="00696DE4" w:rsidRPr="00094743">
              <w:rPr>
                <w:rFonts w:ascii="Arial" w:eastAsia="Times New Roman" w:hAnsi="Arial" w:cs="Arial"/>
                <w:color w:val="000000"/>
                <w:szCs w:val="24"/>
                <w:lang w:val="ru-RU" w:eastAsia="ru-RU"/>
              </w:rPr>
              <w:t>0</w:t>
            </w:r>
          </w:p>
        </w:tc>
      </w:tr>
    </w:tbl>
    <w:p w14:paraId="4424FD13" w14:textId="77777777" w:rsidR="00DB48F5" w:rsidRPr="00F32608" w:rsidRDefault="00DB48F5" w:rsidP="00DB48F5">
      <w:pPr>
        <w:widowControl w:val="0"/>
        <w:suppressAutoHyphens/>
        <w:ind w:left="720"/>
        <w:jc w:val="both"/>
        <w:rPr>
          <w:rFonts w:ascii="Arial" w:hAnsi="Arial" w:cs="Arial"/>
          <w:b/>
          <w:sz w:val="18"/>
        </w:rPr>
      </w:pPr>
    </w:p>
    <w:p w14:paraId="124D73AC" w14:textId="77777777" w:rsidR="00A83BBC" w:rsidRDefault="00A83BBC" w:rsidP="00A83BBC">
      <w:pPr>
        <w:jc w:val="both"/>
        <w:rPr>
          <w:rFonts w:ascii="Tahoma" w:eastAsia="Tahoma" w:hAnsi="Tahoma" w:cs="Tahoma"/>
          <w:b/>
        </w:rPr>
      </w:pPr>
    </w:p>
    <w:p w14:paraId="405B545E" w14:textId="4B3E1196" w:rsidR="00A83BBC" w:rsidRDefault="00A83BBC" w:rsidP="00A83BBC">
      <w:pPr>
        <w:jc w:val="both"/>
        <w:rPr>
          <w:rFonts w:ascii="Tahoma" w:eastAsia="Tahoma" w:hAnsi="Tahoma" w:cs="Tahoma"/>
          <w:b/>
        </w:rPr>
      </w:pPr>
      <w:r w:rsidRPr="00CB1151">
        <w:rPr>
          <w:rFonts w:ascii="Tahoma" w:eastAsia="Tahoma" w:hAnsi="Tahoma" w:cs="Tahoma"/>
          <w:b/>
        </w:rPr>
        <w:lastRenderedPageBreak/>
        <w:t>Очікуване охоплення</w:t>
      </w:r>
      <w:r w:rsidRPr="00CB1151">
        <w:rPr>
          <w:rFonts w:ascii="Tahoma" w:eastAsia="Tahoma" w:hAnsi="Tahoma" w:cs="Tahoma"/>
          <w:i/>
        </w:rPr>
        <w:t>:</w:t>
      </w:r>
      <w:r w:rsidR="00AF7701" w:rsidRPr="00CB1151">
        <w:rPr>
          <w:rFonts w:ascii="Tahoma" w:eastAsia="Tahoma" w:hAnsi="Tahoma" w:cs="Tahoma"/>
          <w:i/>
        </w:rPr>
        <w:t xml:space="preserve"> </w:t>
      </w:r>
      <w:r w:rsidR="00892F39">
        <w:rPr>
          <w:rFonts w:ascii="Tahoma" w:eastAsia="Tahoma" w:hAnsi="Tahoma" w:cs="Tahoma"/>
          <w:i/>
        </w:rPr>
        <w:t xml:space="preserve"> </w:t>
      </w:r>
      <w:r w:rsidR="00401DAA" w:rsidRPr="00401DAA">
        <w:rPr>
          <w:rFonts w:ascii="Tahoma" w:eastAsia="Tahoma" w:hAnsi="Tahoma" w:cs="Tahoma"/>
        </w:rPr>
        <w:t>3000 дванадцяти тижневих курсів лікування</w:t>
      </w:r>
      <w:r w:rsidR="00401DAA">
        <w:rPr>
          <w:rFonts w:ascii="Tahoma" w:eastAsia="Tahoma" w:hAnsi="Tahoma" w:cs="Tahoma"/>
          <w:i/>
        </w:rPr>
        <w:t>,</w:t>
      </w:r>
      <w:r w:rsidR="00401DAA" w:rsidRPr="00401DAA">
        <w:rPr>
          <w:rFonts w:ascii="Tahoma" w:eastAsia="Tahoma" w:hAnsi="Tahoma" w:cs="Tahoma"/>
          <w:i/>
        </w:rPr>
        <w:t xml:space="preserve"> </w:t>
      </w:r>
      <w:r w:rsidR="00401DAA" w:rsidRPr="00CB1151">
        <w:rPr>
          <w:rFonts w:ascii="Tahoma" w:eastAsia="Tahoma" w:hAnsi="Tahoma" w:cs="Tahoma"/>
          <w:i/>
        </w:rPr>
        <w:t>що дорівнює</w:t>
      </w:r>
      <w:r w:rsidR="00401DAA" w:rsidRPr="00CB1151">
        <w:rPr>
          <w:rFonts w:ascii="Tahoma" w:eastAsia="Tahoma" w:hAnsi="Tahoma" w:cs="Tahoma"/>
          <w:b/>
        </w:rPr>
        <w:t xml:space="preserve"> </w:t>
      </w:r>
      <w:r w:rsidR="00401DAA">
        <w:rPr>
          <w:rFonts w:ascii="Tahoma" w:eastAsia="Tahoma" w:hAnsi="Tahoma" w:cs="Tahoma"/>
          <w:i/>
        </w:rPr>
        <w:t>орієнтовно 2500 пацієнтам (пояснення у виносці 1)</w:t>
      </w:r>
      <w:r w:rsidR="00401DAA" w:rsidRPr="00CB1151">
        <w:rPr>
          <w:rStyle w:val="a8"/>
          <w:rFonts w:ascii="Tahoma" w:eastAsia="Tahoma" w:hAnsi="Tahoma" w:cs="Tahoma"/>
          <w:i/>
        </w:rPr>
        <w:t xml:space="preserve"> </w:t>
      </w:r>
      <w:r w:rsidR="00401DAA" w:rsidRPr="00CB1151">
        <w:rPr>
          <w:rStyle w:val="a8"/>
          <w:rFonts w:ascii="Tahoma" w:eastAsia="Tahoma" w:hAnsi="Tahoma" w:cs="Tahoma"/>
          <w:i/>
        </w:rPr>
        <w:footnoteReference w:id="1"/>
      </w:r>
    </w:p>
    <w:p w14:paraId="0AC06D8C" w14:textId="77777777" w:rsidR="00956462" w:rsidRDefault="00956462" w:rsidP="00A83BBC">
      <w:pPr>
        <w:jc w:val="both"/>
        <w:rPr>
          <w:rFonts w:ascii="Tahoma" w:eastAsia="Tahoma" w:hAnsi="Tahoma" w:cs="Tahoma"/>
          <w:b/>
        </w:rPr>
      </w:pPr>
    </w:p>
    <w:p w14:paraId="13374DB5" w14:textId="769AF43B" w:rsidR="00956462" w:rsidRPr="00143E3D" w:rsidRDefault="00956462" w:rsidP="00A83BBC">
      <w:pPr>
        <w:jc w:val="both"/>
        <w:rPr>
          <w:rFonts w:ascii="Tahoma" w:eastAsia="Tahoma" w:hAnsi="Tahoma" w:cs="Tahoma"/>
          <w:b/>
        </w:rPr>
      </w:pPr>
      <w:r w:rsidRPr="00E80AB8">
        <w:rPr>
          <w:rFonts w:ascii="Tahoma" w:eastAsia="Tahoma" w:hAnsi="Tahoma" w:cs="Tahoma"/>
          <w:b/>
        </w:rPr>
        <w:t>Термін реалізації діяльності:</w:t>
      </w:r>
      <w:r w:rsidR="00AF7701" w:rsidRPr="00E80AB8">
        <w:rPr>
          <w:rFonts w:ascii="Tahoma" w:eastAsia="Tahoma" w:hAnsi="Tahoma" w:cs="Tahoma"/>
          <w:b/>
        </w:rPr>
        <w:t xml:space="preserve"> </w:t>
      </w:r>
      <w:r w:rsidR="00E80AB8" w:rsidRPr="001522BE">
        <w:rPr>
          <w:rFonts w:ascii="Arial" w:hAnsi="Arial" w:cs="Arial"/>
          <w:szCs w:val="24"/>
        </w:rPr>
        <w:t>16.01.2021-31.12.2021</w:t>
      </w:r>
    </w:p>
    <w:p w14:paraId="4BACD4EC" w14:textId="77777777" w:rsidR="00A83BBC" w:rsidRPr="00143E3D" w:rsidRDefault="00A83BBC" w:rsidP="00A83BBC">
      <w:pPr>
        <w:jc w:val="both"/>
        <w:rPr>
          <w:rFonts w:ascii="Tahoma" w:eastAsia="Tahoma" w:hAnsi="Tahoma" w:cs="Tahoma"/>
          <w:b/>
        </w:rPr>
      </w:pPr>
    </w:p>
    <w:p w14:paraId="4071361B" w14:textId="5B3FB124" w:rsidR="00A83BBC" w:rsidRDefault="00A83BBC" w:rsidP="00A83BBC">
      <w:pPr>
        <w:jc w:val="both"/>
        <w:rPr>
          <w:rFonts w:ascii="Tahoma" w:eastAsia="Tahoma" w:hAnsi="Tahoma" w:cs="Tahoma"/>
          <w:b/>
        </w:rPr>
      </w:pPr>
      <w:r w:rsidRPr="00143E3D">
        <w:rPr>
          <w:rFonts w:ascii="Tahoma" w:eastAsia="Tahoma" w:hAnsi="Tahoma" w:cs="Tahoma"/>
          <w:b/>
        </w:rPr>
        <w:t xml:space="preserve">Основні види діяльності за </w:t>
      </w:r>
      <w:r>
        <w:rPr>
          <w:rFonts w:ascii="Tahoma" w:eastAsia="Tahoma" w:hAnsi="Tahoma" w:cs="Tahoma"/>
          <w:b/>
        </w:rPr>
        <w:t>програмним компо</w:t>
      </w:r>
      <w:r w:rsidR="001877FC">
        <w:rPr>
          <w:rFonts w:ascii="Tahoma" w:eastAsia="Tahoma" w:hAnsi="Tahoma" w:cs="Tahoma"/>
          <w:b/>
        </w:rPr>
        <w:t>н</w:t>
      </w:r>
      <w:r>
        <w:rPr>
          <w:rFonts w:ascii="Tahoma" w:eastAsia="Tahoma" w:hAnsi="Tahoma" w:cs="Tahoma"/>
          <w:b/>
        </w:rPr>
        <w:t>ентом</w:t>
      </w:r>
    </w:p>
    <w:p w14:paraId="5D9AB838" w14:textId="77777777" w:rsidR="007F3CF5" w:rsidRDefault="007F3CF5" w:rsidP="00A83BBC">
      <w:pPr>
        <w:jc w:val="both"/>
        <w:rPr>
          <w:rFonts w:ascii="Tahoma" w:eastAsia="Tahoma" w:hAnsi="Tahoma" w:cs="Tahoma"/>
        </w:rPr>
      </w:pPr>
    </w:p>
    <w:p w14:paraId="0B8B47DB" w14:textId="71026395" w:rsidR="007632E2" w:rsidRDefault="007F3CF5" w:rsidP="00A83BBC">
      <w:pPr>
        <w:jc w:val="both"/>
        <w:rPr>
          <w:rFonts w:ascii="Tahoma" w:eastAsia="Tahoma" w:hAnsi="Tahoma" w:cs="Tahoma"/>
          <w:b/>
        </w:rPr>
      </w:pPr>
      <w:r w:rsidRPr="007F3CF5">
        <w:rPr>
          <w:rFonts w:ascii="Tahoma" w:eastAsia="Tahoma" w:hAnsi="Tahoma" w:cs="Tahoma"/>
        </w:rPr>
        <w:t>Завдання</w:t>
      </w:r>
      <w:r>
        <w:rPr>
          <w:rFonts w:ascii="Tahoma" w:eastAsia="Tahoma" w:hAnsi="Tahoma" w:cs="Tahoma"/>
          <w:b/>
        </w:rPr>
        <w:t>:</w:t>
      </w:r>
    </w:p>
    <w:p w14:paraId="23A2F72A" w14:textId="053A5843" w:rsidR="004D02B3" w:rsidRDefault="004D02B3" w:rsidP="00A83BBC">
      <w:pPr>
        <w:jc w:val="both"/>
        <w:rPr>
          <w:rFonts w:ascii="Tahoma" w:eastAsia="Tahoma" w:hAnsi="Tahoma" w:cs="Tahoma"/>
          <w:b/>
        </w:rPr>
      </w:pPr>
    </w:p>
    <w:p w14:paraId="2A58AEC6" w14:textId="5C926DB0" w:rsidR="004D02B3" w:rsidRPr="004D02B3" w:rsidRDefault="002C4396" w:rsidP="004D02B3">
      <w:pPr>
        <w:pStyle w:val="a3"/>
        <w:numPr>
          <w:ilvl w:val="0"/>
          <w:numId w:val="9"/>
        </w:numPr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Пошу</w:t>
      </w:r>
      <w:r w:rsidRPr="004D02B3">
        <w:rPr>
          <w:rFonts w:ascii="Tahoma" w:eastAsia="Tahoma" w:hAnsi="Tahoma" w:cs="Tahoma"/>
          <w:b/>
        </w:rPr>
        <w:t>к</w:t>
      </w:r>
      <w:r>
        <w:rPr>
          <w:rFonts w:ascii="Tahoma" w:eastAsia="Tahoma" w:hAnsi="Tahoma" w:cs="Tahoma"/>
          <w:b/>
        </w:rPr>
        <w:t>,</w:t>
      </w:r>
      <w:r w:rsidRPr="004D02B3">
        <w:rPr>
          <w:rFonts w:ascii="Tahoma" w:eastAsia="Tahoma" w:hAnsi="Tahoma" w:cs="Tahoma"/>
          <w:b/>
        </w:rPr>
        <w:t xml:space="preserve"> </w:t>
      </w:r>
      <w:r w:rsidR="00BF3F11">
        <w:rPr>
          <w:rFonts w:ascii="Tahoma" w:eastAsia="Tahoma" w:hAnsi="Tahoma" w:cs="Tahoma"/>
          <w:b/>
        </w:rPr>
        <w:t xml:space="preserve">виявлення, та </w:t>
      </w:r>
      <w:r w:rsidR="004D02B3" w:rsidRPr="004D02B3">
        <w:rPr>
          <w:rFonts w:ascii="Tahoma" w:eastAsia="Tahoma" w:hAnsi="Tahoma" w:cs="Tahoma"/>
          <w:b/>
        </w:rPr>
        <w:t>перенаправлення</w:t>
      </w:r>
      <w:r w:rsidR="00BF3F11">
        <w:rPr>
          <w:rFonts w:ascii="Tahoma" w:eastAsia="Tahoma" w:hAnsi="Tahoma" w:cs="Tahoma"/>
          <w:b/>
        </w:rPr>
        <w:t xml:space="preserve"> клієнтів </w:t>
      </w:r>
      <w:r w:rsidR="004D02B3" w:rsidRPr="004D02B3">
        <w:rPr>
          <w:rFonts w:ascii="Tahoma" w:eastAsia="Tahoma" w:hAnsi="Tahoma" w:cs="Tahoma"/>
          <w:b/>
        </w:rPr>
        <w:t xml:space="preserve">на лабораторну діагностику </w:t>
      </w:r>
      <w:r>
        <w:rPr>
          <w:rFonts w:ascii="Tahoma" w:eastAsia="Tahoma" w:hAnsi="Tahoma" w:cs="Tahoma"/>
          <w:b/>
        </w:rPr>
        <w:t xml:space="preserve"> та </w:t>
      </w:r>
      <w:r w:rsidR="00BF3F11">
        <w:rPr>
          <w:rFonts w:ascii="Tahoma" w:eastAsia="Tahoma" w:hAnsi="Tahoma" w:cs="Tahoma"/>
          <w:b/>
        </w:rPr>
        <w:t xml:space="preserve"> </w:t>
      </w:r>
      <w:r w:rsidR="000F6B7E">
        <w:rPr>
          <w:rFonts w:ascii="Tahoma" w:eastAsia="Tahoma" w:hAnsi="Tahoma" w:cs="Tahoma"/>
          <w:b/>
        </w:rPr>
        <w:t>подальше ведення випадку (</w:t>
      </w:r>
      <w:r w:rsidR="00BF3F11">
        <w:rPr>
          <w:rFonts w:ascii="Tahoma" w:eastAsia="Tahoma" w:hAnsi="Tahoma" w:cs="Tahoma"/>
          <w:b/>
        </w:rPr>
        <w:t>соціальний  супровід</w:t>
      </w:r>
      <w:r w:rsidR="000F6B7E">
        <w:rPr>
          <w:rFonts w:ascii="Tahoma" w:eastAsia="Tahoma" w:hAnsi="Tahoma" w:cs="Tahoma"/>
          <w:b/>
        </w:rPr>
        <w:t>)</w:t>
      </w:r>
      <w:r w:rsidR="00BF3F11">
        <w:rPr>
          <w:rFonts w:ascii="Tahoma" w:eastAsia="Tahoma" w:hAnsi="Tahoma" w:cs="Tahoma"/>
          <w:b/>
        </w:rPr>
        <w:t xml:space="preserve"> </w:t>
      </w:r>
      <w:r w:rsidR="00191791">
        <w:rPr>
          <w:rFonts w:ascii="Tahoma" w:eastAsia="Tahoma" w:hAnsi="Tahoma" w:cs="Tahoma"/>
          <w:b/>
        </w:rPr>
        <w:t>лікування ВГС-інфекції</w:t>
      </w:r>
      <w:r w:rsidR="00281CCE">
        <w:rPr>
          <w:rFonts w:ascii="Tahoma" w:eastAsia="Tahoma" w:hAnsi="Tahoma" w:cs="Tahoma"/>
          <w:b/>
        </w:rPr>
        <w:t>:</w:t>
      </w:r>
    </w:p>
    <w:p w14:paraId="37229248" w14:textId="52DEA228" w:rsidR="007632E2" w:rsidRPr="00306408" w:rsidRDefault="007632E2" w:rsidP="007632E2">
      <w:pPr>
        <w:ind w:right="11"/>
        <w:jc w:val="both"/>
        <w:rPr>
          <w:rFonts w:ascii="Arial" w:hAnsi="Arial" w:cs="Arial"/>
          <w:b/>
          <w:bCs/>
          <w:szCs w:val="24"/>
        </w:rPr>
      </w:pPr>
    </w:p>
    <w:p w14:paraId="7699BE49" w14:textId="6A98AA83" w:rsidR="00A176F1" w:rsidRPr="00A176F1" w:rsidRDefault="002C4396" w:rsidP="00060AD3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BF3F11">
        <w:rPr>
          <w:rFonts w:ascii="Arial" w:hAnsi="Arial" w:cs="Arial"/>
          <w:szCs w:val="24"/>
        </w:rPr>
        <w:t xml:space="preserve">Пошук </w:t>
      </w:r>
      <w:r w:rsidR="004068DB">
        <w:rPr>
          <w:rFonts w:ascii="Arial" w:hAnsi="Arial" w:cs="Arial"/>
          <w:szCs w:val="24"/>
        </w:rPr>
        <w:t xml:space="preserve">потенційних пацієнтів </w:t>
      </w:r>
      <w:r w:rsidRPr="00BF3F11">
        <w:rPr>
          <w:rFonts w:ascii="Arial" w:hAnsi="Arial" w:cs="Arial"/>
          <w:szCs w:val="24"/>
        </w:rPr>
        <w:t xml:space="preserve">серед людей, які живуть з ВІЛ, </w:t>
      </w:r>
      <w:r w:rsidR="007632E2" w:rsidRPr="00BF3F11">
        <w:rPr>
          <w:rFonts w:ascii="Arial" w:hAnsi="Arial" w:cs="Arial"/>
          <w:szCs w:val="24"/>
        </w:rPr>
        <w:t>представників ключових груп</w:t>
      </w:r>
      <w:r w:rsidR="00AF3522" w:rsidRPr="00BF3F11">
        <w:rPr>
          <w:rFonts w:ascii="Arial" w:hAnsi="Arial" w:cs="Arial"/>
          <w:szCs w:val="24"/>
        </w:rPr>
        <w:t>,</w:t>
      </w:r>
      <w:r w:rsidR="00CE0F38" w:rsidRPr="00BF3F11">
        <w:rPr>
          <w:rFonts w:ascii="Arial" w:hAnsi="Arial" w:cs="Arial"/>
          <w:szCs w:val="24"/>
        </w:rPr>
        <w:t xml:space="preserve"> </w:t>
      </w:r>
      <w:r w:rsidR="00AF3522" w:rsidRPr="00BF3F11">
        <w:rPr>
          <w:rFonts w:ascii="Arial" w:hAnsi="Arial" w:cs="Arial"/>
          <w:szCs w:val="24"/>
        </w:rPr>
        <w:t xml:space="preserve">учасників </w:t>
      </w:r>
      <w:r w:rsidR="007632E2" w:rsidRPr="00BF3F11">
        <w:rPr>
          <w:rFonts w:ascii="Arial" w:hAnsi="Arial" w:cs="Arial"/>
          <w:szCs w:val="24"/>
        </w:rPr>
        <w:t>програм профі</w:t>
      </w:r>
      <w:r w:rsidRPr="00BF3F11">
        <w:rPr>
          <w:rFonts w:ascii="Arial" w:hAnsi="Arial" w:cs="Arial"/>
          <w:szCs w:val="24"/>
        </w:rPr>
        <w:t>лактики ВІЛ, зменшення шкоди, замісної підтримуючої терапії тощо</w:t>
      </w:r>
      <w:r w:rsidR="00AF3522" w:rsidRPr="00BF3F11">
        <w:rPr>
          <w:rFonts w:ascii="Arial" w:hAnsi="Arial" w:cs="Arial"/>
          <w:szCs w:val="24"/>
        </w:rPr>
        <w:t>,</w:t>
      </w:r>
      <w:r w:rsidR="00CE0F38" w:rsidRPr="00BF3F11">
        <w:rPr>
          <w:rFonts w:ascii="Arial" w:hAnsi="Arial" w:cs="Arial"/>
          <w:szCs w:val="24"/>
        </w:rPr>
        <w:t xml:space="preserve"> клієнтів </w:t>
      </w:r>
      <w:r w:rsidR="004D02B3" w:rsidRPr="00BF3F11">
        <w:rPr>
          <w:rFonts w:ascii="Arial" w:hAnsi="Arial" w:cs="Arial"/>
          <w:szCs w:val="24"/>
        </w:rPr>
        <w:t xml:space="preserve"> </w:t>
      </w:r>
      <w:r w:rsidRPr="00BF3F11">
        <w:rPr>
          <w:rFonts w:ascii="Arial" w:hAnsi="Arial" w:cs="Arial"/>
          <w:szCs w:val="24"/>
        </w:rPr>
        <w:t>з позитивним  результатом</w:t>
      </w:r>
      <w:r w:rsidR="00CE0F38" w:rsidRPr="00BF3F11">
        <w:rPr>
          <w:rFonts w:ascii="Arial" w:hAnsi="Arial" w:cs="Arial"/>
          <w:szCs w:val="24"/>
        </w:rPr>
        <w:t xml:space="preserve"> </w:t>
      </w:r>
      <w:r w:rsidRPr="00BF3F11">
        <w:rPr>
          <w:rFonts w:ascii="Arial" w:hAnsi="Arial" w:cs="Arial"/>
          <w:szCs w:val="24"/>
        </w:rPr>
        <w:t>швидкого тесту на ВГС</w:t>
      </w:r>
      <w:r w:rsidR="009C1658">
        <w:rPr>
          <w:rFonts w:ascii="Arial" w:hAnsi="Arial" w:cs="Arial"/>
          <w:szCs w:val="24"/>
        </w:rPr>
        <w:t>;</w:t>
      </w:r>
      <w:r w:rsidRPr="00BF3F11">
        <w:rPr>
          <w:rFonts w:ascii="Arial" w:hAnsi="Arial" w:cs="Arial"/>
          <w:szCs w:val="24"/>
        </w:rPr>
        <w:t xml:space="preserve"> </w:t>
      </w:r>
    </w:p>
    <w:p w14:paraId="38B8C2A3" w14:textId="77777777" w:rsidR="001522BE" w:rsidRPr="00A176F1" w:rsidRDefault="001522BE" w:rsidP="001522BE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Подальше </w:t>
      </w:r>
      <w:r w:rsidRPr="00BF3F11">
        <w:rPr>
          <w:rFonts w:ascii="Arial" w:hAnsi="Arial" w:cs="Arial"/>
          <w:szCs w:val="24"/>
        </w:rPr>
        <w:t xml:space="preserve"> перенаправлення клієнтів  з позитивним  результатом швидкого тесту на ВГС </w:t>
      </w:r>
    </w:p>
    <w:p w14:paraId="230FAA0E" w14:textId="77777777" w:rsidR="001522BE" w:rsidRDefault="001522BE" w:rsidP="001522BE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</w:rPr>
      </w:pPr>
      <w:r w:rsidRPr="00BF3F11">
        <w:rPr>
          <w:rFonts w:ascii="Arial" w:hAnsi="Arial" w:cs="Arial"/>
          <w:szCs w:val="24"/>
        </w:rPr>
        <w:t>на підтверджуючу лабораторну діагностику ВГС-інфекції  до ЗОЗ</w:t>
      </w:r>
      <w:r>
        <w:rPr>
          <w:rFonts w:ascii="Arial" w:hAnsi="Arial" w:cs="Arial"/>
          <w:szCs w:val="24"/>
        </w:rPr>
        <w:t xml:space="preserve"> (див. Таблицю</w:t>
      </w:r>
      <w:r w:rsidRPr="00BF3F11">
        <w:rPr>
          <w:rFonts w:ascii="Arial" w:hAnsi="Arial" w:cs="Arial"/>
          <w:szCs w:val="24"/>
        </w:rPr>
        <w:t xml:space="preserve"> №1</w:t>
      </w:r>
      <w:r>
        <w:rPr>
          <w:rFonts w:ascii="Arial" w:hAnsi="Arial" w:cs="Arial"/>
          <w:szCs w:val="24"/>
        </w:rPr>
        <w:t>);</w:t>
      </w:r>
      <w:r w:rsidRPr="00BF3F11">
        <w:rPr>
          <w:rFonts w:ascii="Arial" w:hAnsi="Arial" w:cs="Arial"/>
          <w:szCs w:val="24"/>
        </w:rPr>
        <w:t xml:space="preserve"> </w:t>
      </w:r>
    </w:p>
    <w:p w14:paraId="41F03817" w14:textId="7A4FB69D" w:rsidR="00A176F1" w:rsidRPr="00306408" w:rsidRDefault="00A176F1" w:rsidP="00A176F1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</w:rPr>
        <w:t>Надання к</w:t>
      </w:r>
      <w:r>
        <w:rPr>
          <w:rFonts w:ascii="Arial" w:hAnsi="Arial" w:cs="Arial"/>
        </w:rPr>
        <w:t xml:space="preserve">онсультативної, психологічної </w:t>
      </w:r>
      <w:r w:rsidRPr="00306408">
        <w:rPr>
          <w:rFonts w:ascii="Arial" w:hAnsi="Arial" w:cs="Arial"/>
        </w:rPr>
        <w:t>допомоги щодо подолання бар'єрів до</w:t>
      </w:r>
      <w:r>
        <w:rPr>
          <w:rFonts w:ascii="Arial" w:hAnsi="Arial" w:cs="Arial"/>
        </w:rPr>
        <w:t xml:space="preserve"> отримання якісни</w:t>
      </w:r>
      <w:r w:rsidRPr="00306408">
        <w:rPr>
          <w:rFonts w:ascii="Arial" w:hAnsi="Arial" w:cs="Arial"/>
        </w:rPr>
        <w:t>х медичних послуг з діагно</w:t>
      </w:r>
      <w:r>
        <w:rPr>
          <w:rFonts w:ascii="Arial" w:hAnsi="Arial" w:cs="Arial"/>
        </w:rPr>
        <w:t>стики та лікування ВГС-інфекції</w:t>
      </w:r>
      <w:r w:rsidR="009C1658">
        <w:rPr>
          <w:rFonts w:ascii="Arial" w:hAnsi="Arial" w:cs="Arial"/>
        </w:rPr>
        <w:t>;</w:t>
      </w:r>
    </w:p>
    <w:p w14:paraId="28977B8A" w14:textId="77777777" w:rsidR="00820C59" w:rsidRPr="00306408" w:rsidRDefault="00820C59" w:rsidP="00820C59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Налагодження та </w:t>
      </w:r>
      <w:r w:rsidRPr="00306408">
        <w:rPr>
          <w:rFonts w:ascii="Arial" w:hAnsi="Arial" w:cs="Arial"/>
        </w:rPr>
        <w:t xml:space="preserve">підтримання ефективної комунікації та сприятливих робочих стосунків з медичним персоналом (лікарем, медичною сестрою) </w:t>
      </w:r>
      <w:r>
        <w:rPr>
          <w:rFonts w:ascii="Arial" w:hAnsi="Arial" w:cs="Arial"/>
        </w:rPr>
        <w:t>ЗОЗ</w:t>
      </w:r>
      <w:r w:rsidRPr="00306408">
        <w:rPr>
          <w:rFonts w:ascii="Arial" w:hAnsi="Arial" w:cs="Arial"/>
        </w:rPr>
        <w:t>, який здійснюватиме лікування;</w:t>
      </w:r>
    </w:p>
    <w:p w14:paraId="44529B0A" w14:textId="360F828D" w:rsidR="007632E2" w:rsidRPr="00E60C48" w:rsidRDefault="00AF3522" w:rsidP="005D7B24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</w:rPr>
      </w:pPr>
      <w:r w:rsidRPr="00E60C48">
        <w:rPr>
          <w:rFonts w:ascii="Arial" w:hAnsi="Arial" w:cs="Arial"/>
          <w:szCs w:val="24"/>
        </w:rPr>
        <w:t xml:space="preserve">Лабораторна </w:t>
      </w:r>
      <w:r w:rsidR="000025C9" w:rsidRPr="00E60C48">
        <w:rPr>
          <w:rFonts w:ascii="Arial" w:hAnsi="Arial" w:cs="Arial"/>
          <w:szCs w:val="24"/>
        </w:rPr>
        <w:t>діагностика</w:t>
      </w:r>
      <w:r w:rsidRPr="00E60C48">
        <w:rPr>
          <w:rFonts w:ascii="Arial" w:hAnsi="Arial" w:cs="Arial"/>
          <w:szCs w:val="24"/>
        </w:rPr>
        <w:t xml:space="preserve">, а саме </w:t>
      </w:r>
      <w:r w:rsidR="000025C9" w:rsidRPr="00E60C48">
        <w:rPr>
          <w:rFonts w:ascii="Arial" w:hAnsi="Arial" w:cs="Arial"/>
          <w:szCs w:val="24"/>
        </w:rPr>
        <w:t>ПЛ</w:t>
      </w:r>
      <w:r w:rsidR="005D7B24">
        <w:rPr>
          <w:rFonts w:ascii="Arial" w:hAnsi="Arial" w:cs="Arial"/>
          <w:szCs w:val="24"/>
        </w:rPr>
        <w:t>Р РНК ВГС надається  пацієнтам</w:t>
      </w:r>
      <w:r w:rsidR="000025C9" w:rsidRPr="00E60C48">
        <w:rPr>
          <w:rFonts w:ascii="Arial" w:hAnsi="Arial" w:cs="Arial"/>
          <w:szCs w:val="24"/>
        </w:rPr>
        <w:t xml:space="preserve"> двічі – перед початком лікування для підтвердження діагнозу та через 12 тижнів після закінчення лікування   з метою визначення  ефективності  терапії. Витратні матеріали для проведення лабораторної діагностики закупаються Альянсом за рахунок програми та постачаються до ЗОЗ. Пацієнти, які лікуються в  ЗОЗ, які не мають лабораторного обладнання   для  проведення діагностики ВГС методом ПЛР, отримають зазначену лабораторну  послугу в </w:t>
      </w:r>
      <w:r w:rsidR="00E003BB">
        <w:rPr>
          <w:rFonts w:ascii="Arial" w:hAnsi="Arial" w:cs="Arial"/>
          <w:szCs w:val="24"/>
        </w:rPr>
        <w:t xml:space="preserve">інших </w:t>
      </w:r>
      <w:r w:rsidR="000025C9" w:rsidRPr="00E60C48">
        <w:rPr>
          <w:rFonts w:ascii="Arial" w:hAnsi="Arial" w:cs="Arial"/>
          <w:szCs w:val="24"/>
        </w:rPr>
        <w:t xml:space="preserve"> лабораторіях, </w:t>
      </w:r>
      <w:r w:rsidR="00BF3F11" w:rsidRPr="00E60C48">
        <w:rPr>
          <w:rFonts w:ascii="Arial" w:hAnsi="Arial" w:cs="Arial"/>
          <w:szCs w:val="24"/>
        </w:rPr>
        <w:t>залучених</w:t>
      </w:r>
      <w:r w:rsidR="000025C9" w:rsidRPr="00E60C48">
        <w:rPr>
          <w:rFonts w:ascii="Arial" w:hAnsi="Arial" w:cs="Arial"/>
          <w:szCs w:val="24"/>
        </w:rPr>
        <w:t xml:space="preserve"> Альянсом</w:t>
      </w:r>
      <w:r w:rsidR="00BF3F11" w:rsidRPr="00E60C48">
        <w:rPr>
          <w:rFonts w:ascii="Arial" w:hAnsi="Arial" w:cs="Arial"/>
          <w:szCs w:val="24"/>
        </w:rPr>
        <w:t xml:space="preserve"> для виконання </w:t>
      </w:r>
      <w:r w:rsidR="00E003BB">
        <w:rPr>
          <w:rFonts w:ascii="Arial" w:hAnsi="Arial" w:cs="Arial"/>
          <w:szCs w:val="24"/>
        </w:rPr>
        <w:t xml:space="preserve">поставлених </w:t>
      </w:r>
      <w:r w:rsidR="00BF3F11" w:rsidRPr="00E60C48">
        <w:rPr>
          <w:rFonts w:ascii="Arial" w:hAnsi="Arial" w:cs="Arial"/>
          <w:szCs w:val="24"/>
        </w:rPr>
        <w:t>завдань</w:t>
      </w:r>
      <w:r w:rsidR="005D7B24">
        <w:rPr>
          <w:rFonts w:ascii="Arial" w:hAnsi="Arial" w:cs="Arial"/>
          <w:szCs w:val="24"/>
        </w:rPr>
        <w:t>;</w:t>
      </w:r>
    </w:p>
    <w:p w14:paraId="670FAB69" w14:textId="007AEEF0" w:rsidR="00A176F1" w:rsidRDefault="00A176F1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Консультування пацієнтів  з позитивним  лабораторним результатом щодо умов</w:t>
      </w:r>
      <w:r w:rsidR="005D7B24">
        <w:rPr>
          <w:rFonts w:ascii="Arial" w:hAnsi="Arial" w:cs="Arial"/>
        </w:rPr>
        <w:t xml:space="preserve"> отримання лікування </w:t>
      </w:r>
      <w:r>
        <w:rPr>
          <w:rFonts w:ascii="Arial" w:hAnsi="Arial" w:cs="Arial"/>
        </w:rPr>
        <w:t xml:space="preserve"> та специфіки лікування  ВГС-інфекції</w:t>
      </w:r>
      <w:r w:rsidR="009C1658">
        <w:rPr>
          <w:rFonts w:ascii="Arial" w:hAnsi="Arial" w:cs="Arial"/>
        </w:rPr>
        <w:t>;</w:t>
      </w:r>
    </w:p>
    <w:p w14:paraId="3012A208" w14:textId="477E31F8" w:rsidR="007632E2" w:rsidRDefault="00A176F1" w:rsidP="00A176F1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A176F1">
        <w:rPr>
          <w:rFonts w:ascii="Arial" w:hAnsi="Arial" w:cs="Arial"/>
        </w:rPr>
        <w:t xml:space="preserve">Інформування </w:t>
      </w:r>
      <w:r w:rsidR="007632E2" w:rsidRPr="009C1658">
        <w:rPr>
          <w:rFonts w:ascii="Arial" w:hAnsi="Arial" w:cs="Arial"/>
        </w:rPr>
        <w:t>пацієнтів</w:t>
      </w:r>
      <w:r w:rsidR="009B77E3" w:rsidRPr="009C1658">
        <w:rPr>
          <w:rFonts w:ascii="Arial" w:hAnsi="Arial" w:cs="Arial"/>
        </w:rPr>
        <w:t xml:space="preserve"> про ВГС</w:t>
      </w:r>
      <w:r w:rsidR="007632E2" w:rsidRPr="009C1658">
        <w:rPr>
          <w:rFonts w:ascii="Arial" w:hAnsi="Arial" w:cs="Arial"/>
        </w:rPr>
        <w:t xml:space="preserve"> </w:t>
      </w:r>
      <w:r w:rsidRPr="009C1658">
        <w:rPr>
          <w:rFonts w:ascii="Arial" w:hAnsi="Arial" w:cs="Arial"/>
        </w:rPr>
        <w:t>з метою підвищення їхньої обізнаності</w:t>
      </w:r>
      <w:r w:rsidR="009B77E3" w:rsidRPr="009C1658">
        <w:rPr>
          <w:rFonts w:ascii="Arial" w:hAnsi="Arial" w:cs="Arial"/>
          <w:color w:val="FF0000"/>
        </w:rPr>
        <w:t xml:space="preserve"> </w:t>
      </w:r>
      <w:r w:rsidR="009B77E3" w:rsidRPr="009C1658">
        <w:rPr>
          <w:rFonts w:ascii="Arial" w:hAnsi="Arial" w:cs="Arial"/>
        </w:rPr>
        <w:t>про</w:t>
      </w:r>
      <w:r w:rsidR="009B77E3" w:rsidRPr="009C1658">
        <w:rPr>
          <w:rFonts w:ascii="Arial" w:hAnsi="Arial" w:cs="Arial"/>
          <w:color w:val="FF0000"/>
        </w:rPr>
        <w:t xml:space="preserve"> </w:t>
      </w:r>
      <w:r w:rsidR="009B77E3" w:rsidRPr="009C1658">
        <w:rPr>
          <w:rFonts w:ascii="Arial" w:hAnsi="Arial" w:cs="Arial"/>
        </w:rPr>
        <w:t xml:space="preserve">шляхи передачі вірусу </w:t>
      </w:r>
      <w:r w:rsidR="009C1658" w:rsidRPr="009C1658">
        <w:rPr>
          <w:rFonts w:ascii="Arial" w:hAnsi="Arial" w:cs="Arial"/>
        </w:rPr>
        <w:t xml:space="preserve">та </w:t>
      </w:r>
      <w:r w:rsidR="009C1658">
        <w:rPr>
          <w:rFonts w:ascii="Arial" w:hAnsi="Arial" w:cs="Arial"/>
        </w:rPr>
        <w:t>норми безпечної поведінки;</w:t>
      </w:r>
      <w:r w:rsidR="007632E2" w:rsidRPr="009C1658">
        <w:rPr>
          <w:rFonts w:ascii="Arial" w:hAnsi="Arial" w:cs="Arial"/>
        </w:rPr>
        <w:t xml:space="preserve"> </w:t>
      </w:r>
    </w:p>
    <w:p w14:paraId="4AF8AE4D" w14:textId="06EE4087" w:rsidR="00924B26" w:rsidRPr="00820C59" w:rsidRDefault="00924B26" w:rsidP="00924B26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Tahoma" w:hAnsi="Tahoma" w:cs="Tahoma"/>
        </w:rPr>
        <w:t xml:space="preserve">Представлення інтересів пацієнтів </w:t>
      </w:r>
      <w:r>
        <w:rPr>
          <w:rFonts w:ascii="Tahoma" w:hAnsi="Tahoma" w:cs="Tahoma"/>
        </w:rPr>
        <w:t>в ЗОЗ</w:t>
      </w:r>
      <w:r w:rsidRPr="00306408">
        <w:rPr>
          <w:rFonts w:ascii="Tahoma" w:hAnsi="Tahoma" w:cs="Tahoma"/>
        </w:rPr>
        <w:t xml:space="preserve"> з метою покращення </w:t>
      </w:r>
      <w:r>
        <w:rPr>
          <w:rFonts w:ascii="Tahoma" w:hAnsi="Tahoma" w:cs="Tahoma"/>
        </w:rPr>
        <w:t>їхнього доступу до</w:t>
      </w:r>
      <w:r w:rsidRPr="00306408">
        <w:rPr>
          <w:rFonts w:ascii="Tahoma" w:hAnsi="Tahoma" w:cs="Tahoma"/>
        </w:rPr>
        <w:t xml:space="preserve"> медичних послуг;</w:t>
      </w:r>
    </w:p>
    <w:p w14:paraId="61BE2A42" w14:textId="7A008883" w:rsidR="00FD339A" w:rsidRPr="006C00AE" w:rsidRDefault="00FD339A" w:rsidP="00FD339A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6C00AE">
        <w:rPr>
          <w:rFonts w:ascii="Arial" w:hAnsi="Arial" w:cs="Arial"/>
        </w:rPr>
        <w:t xml:space="preserve">Участь в формуванні мультидисциплінарної команди (МДК) на базі ЗОЗ,  організація та </w:t>
      </w:r>
      <w:r w:rsidR="00E94668">
        <w:rPr>
          <w:rFonts w:ascii="Arial" w:hAnsi="Arial" w:cs="Arial"/>
        </w:rPr>
        <w:t>активна участь в засіданнях МДК.</w:t>
      </w:r>
    </w:p>
    <w:p w14:paraId="7D2E2107" w14:textId="77777777" w:rsidR="00820C59" w:rsidRPr="00306408" w:rsidRDefault="00820C59" w:rsidP="00FD339A">
      <w:pPr>
        <w:widowControl w:val="0"/>
        <w:autoSpaceDE w:val="0"/>
        <w:autoSpaceDN w:val="0"/>
        <w:adjustRightInd w:val="0"/>
        <w:ind w:left="-76"/>
        <w:jc w:val="both"/>
        <w:rPr>
          <w:rFonts w:ascii="Arial" w:hAnsi="Arial" w:cs="Arial"/>
        </w:rPr>
      </w:pPr>
    </w:p>
    <w:p w14:paraId="047F5F5C" w14:textId="7D129B0D" w:rsidR="00155791" w:rsidRDefault="00155791" w:rsidP="00155791">
      <w:pPr>
        <w:pStyle w:val="11"/>
        <w:numPr>
          <w:ilvl w:val="0"/>
          <w:numId w:val="9"/>
        </w:numPr>
        <w:jc w:val="both"/>
        <w:rPr>
          <w:rStyle w:val="Note"/>
          <w:rFonts w:cs="Arial"/>
          <w:b/>
          <w:sz w:val="22"/>
          <w:szCs w:val="22"/>
        </w:rPr>
      </w:pPr>
      <w:r>
        <w:rPr>
          <w:rStyle w:val="Note"/>
          <w:rFonts w:cs="Arial"/>
          <w:b/>
          <w:sz w:val="22"/>
          <w:szCs w:val="22"/>
        </w:rPr>
        <w:t>Супровід лікування</w:t>
      </w:r>
      <w:r w:rsidR="00281CCE">
        <w:rPr>
          <w:rStyle w:val="Note"/>
          <w:rFonts w:cs="Arial"/>
          <w:b/>
          <w:sz w:val="22"/>
          <w:szCs w:val="22"/>
        </w:rPr>
        <w:t>:</w:t>
      </w:r>
      <w:r>
        <w:rPr>
          <w:rStyle w:val="Note"/>
          <w:rFonts w:cs="Arial"/>
          <w:b/>
          <w:sz w:val="22"/>
          <w:szCs w:val="22"/>
        </w:rPr>
        <w:t xml:space="preserve"> </w:t>
      </w:r>
    </w:p>
    <w:p w14:paraId="77F10B08" w14:textId="77777777" w:rsidR="00155791" w:rsidRPr="00A176F1" w:rsidRDefault="00155791" w:rsidP="001557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77E42C" w14:textId="72375F64" w:rsidR="006633DC" w:rsidRDefault="007632E2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</w:rPr>
        <w:t xml:space="preserve">Організація </w:t>
      </w:r>
      <w:r>
        <w:rPr>
          <w:rFonts w:ascii="Arial" w:hAnsi="Arial" w:cs="Arial"/>
        </w:rPr>
        <w:t>ведення випадку на етапах до</w:t>
      </w:r>
      <w:r w:rsidRPr="00306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зарахування</w:t>
      </w:r>
      <w:r w:rsidRPr="00306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</w:t>
      </w:r>
      <w:r w:rsidR="006633DC">
        <w:rPr>
          <w:rFonts w:ascii="Arial" w:hAnsi="Arial" w:cs="Arial"/>
        </w:rPr>
        <w:t xml:space="preserve">лікування та </w:t>
      </w:r>
      <w:r w:rsidRPr="00306408">
        <w:rPr>
          <w:rFonts w:ascii="Arial" w:hAnsi="Arial" w:cs="Arial"/>
        </w:rPr>
        <w:t xml:space="preserve"> під час лікування </w:t>
      </w:r>
      <w:r w:rsidR="006633DC">
        <w:rPr>
          <w:rFonts w:ascii="Arial" w:hAnsi="Arial" w:cs="Arial"/>
        </w:rPr>
        <w:t xml:space="preserve"> протягом </w:t>
      </w:r>
      <w:r w:rsidR="00812F02" w:rsidRPr="00306408">
        <w:rPr>
          <w:rFonts w:ascii="Arial" w:hAnsi="Arial" w:cs="Arial"/>
        </w:rPr>
        <w:t>12</w:t>
      </w:r>
      <w:r w:rsidR="006633DC">
        <w:rPr>
          <w:rFonts w:ascii="Arial" w:hAnsi="Arial" w:cs="Arial"/>
        </w:rPr>
        <w:t xml:space="preserve"> або 24</w:t>
      </w:r>
      <w:r w:rsidR="00812F02" w:rsidRPr="00306408">
        <w:rPr>
          <w:rFonts w:ascii="Arial" w:hAnsi="Arial" w:cs="Arial"/>
        </w:rPr>
        <w:t xml:space="preserve"> тижнів </w:t>
      </w:r>
      <w:r w:rsidR="006633DC" w:rsidRPr="00306408">
        <w:rPr>
          <w:rFonts w:ascii="Arial" w:hAnsi="Arial" w:cs="Arial"/>
        </w:rPr>
        <w:t>шляхом консультув</w:t>
      </w:r>
      <w:r w:rsidR="006633DC">
        <w:rPr>
          <w:rFonts w:ascii="Arial" w:hAnsi="Arial" w:cs="Arial"/>
        </w:rPr>
        <w:t>ання</w:t>
      </w:r>
      <w:r w:rsidR="006633DC" w:rsidRPr="00306408">
        <w:rPr>
          <w:rFonts w:ascii="Arial" w:hAnsi="Arial" w:cs="Arial"/>
        </w:rPr>
        <w:t xml:space="preserve">, </w:t>
      </w:r>
      <w:r w:rsidR="006633DC">
        <w:rPr>
          <w:rFonts w:ascii="Arial" w:hAnsi="Arial" w:cs="Arial"/>
        </w:rPr>
        <w:t>п</w:t>
      </w:r>
      <w:r w:rsidR="006633DC" w:rsidRPr="00306408">
        <w:rPr>
          <w:rFonts w:ascii="Arial" w:hAnsi="Arial" w:cs="Arial"/>
        </w:rPr>
        <w:t>сихологічно</w:t>
      </w:r>
      <w:r w:rsidR="006633DC">
        <w:rPr>
          <w:rFonts w:ascii="Arial" w:hAnsi="Arial" w:cs="Arial"/>
        </w:rPr>
        <w:t>го супроводу</w:t>
      </w:r>
      <w:r w:rsidR="006633DC" w:rsidRPr="00306408">
        <w:rPr>
          <w:rFonts w:ascii="Arial" w:hAnsi="Arial" w:cs="Arial"/>
        </w:rPr>
        <w:t xml:space="preserve"> та </w:t>
      </w:r>
      <w:r w:rsidR="006633DC">
        <w:rPr>
          <w:rFonts w:ascii="Arial" w:hAnsi="Arial" w:cs="Arial"/>
        </w:rPr>
        <w:t xml:space="preserve">надання </w:t>
      </w:r>
      <w:r w:rsidR="006633DC" w:rsidRPr="00306408">
        <w:rPr>
          <w:rFonts w:ascii="Arial" w:hAnsi="Arial" w:cs="Arial"/>
        </w:rPr>
        <w:t>практичної допомоги</w:t>
      </w:r>
      <w:r w:rsidR="006633DC">
        <w:rPr>
          <w:rFonts w:ascii="Arial" w:hAnsi="Arial" w:cs="Arial"/>
        </w:rPr>
        <w:t>;</w:t>
      </w:r>
    </w:p>
    <w:p w14:paraId="46411C87" w14:textId="14D55585" w:rsidR="007632E2" w:rsidRPr="00306408" w:rsidRDefault="007632E2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Tahoma" w:hAnsi="Tahoma" w:cs="Tahoma"/>
        </w:rPr>
        <w:t xml:space="preserve">Створення індивідуального плану ведення </w:t>
      </w:r>
      <w:r w:rsidR="00A839C7">
        <w:rPr>
          <w:rFonts w:ascii="Tahoma" w:hAnsi="Tahoma" w:cs="Tahoma"/>
        </w:rPr>
        <w:t>клієнта</w:t>
      </w:r>
      <w:r w:rsidRPr="00306408">
        <w:rPr>
          <w:rFonts w:ascii="Tahoma" w:hAnsi="Tahoma" w:cs="Tahoma"/>
        </w:rPr>
        <w:t>;</w:t>
      </w:r>
    </w:p>
    <w:p w14:paraId="4AF02EC0" w14:textId="77777777" w:rsidR="007632E2" w:rsidRPr="00306408" w:rsidRDefault="007632E2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</w:rPr>
        <w:t>Формування та підтримка прихильності до лікування вірусного гепатиту С;</w:t>
      </w:r>
    </w:p>
    <w:p w14:paraId="687ABB62" w14:textId="77777777" w:rsidR="00155791" w:rsidRPr="00306408" w:rsidRDefault="00155791" w:rsidP="00155791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  <w:szCs w:val="24"/>
        </w:rPr>
        <w:t xml:space="preserve">Консультування клієнтів з приводу можливих побічних реакцій під час застосування лікарських засобів та </w:t>
      </w:r>
      <w:r>
        <w:rPr>
          <w:rFonts w:ascii="Arial" w:hAnsi="Arial" w:cs="Arial"/>
          <w:szCs w:val="24"/>
        </w:rPr>
        <w:t>визначення</w:t>
      </w:r>
      <w:r w:rsidRPr="00306408">
        <w:rPr>
          <w:rFonts w:ascii="Arial" w:hAnsi="Arial" w:cs="Arial"/>
          <w:szCs w:val="24"/>
        </w:rPr>
        <w:t xml:space="preserve"> алгоритм</w:t>
      </w:r>
      <w:r>
        <w:rPr>
          <w:rFonts w:ascii="Arial" w:hAnsi="Arial" w:cs="Arial"/>
          <w:szCs w:val="24"/>
        </w:rPr>
        <w:t>у спільних</w:t>
      </w:r>
      <w:r w:rsidRPr="00306408">
        <w:rPr>
          <w:rFonts w:ascii="Arial" w:hAnsi="Arial" w:cs="Arial"/>
          <w:szCs w:val="24"/>
        </w:rPr>
        <w:t xml:space="preserve"> дій у разі їх виникнення;</w:t>
      </w:r>
    </w:p>
    <w:p w14:paraId="73B13F04" w14:textId="7CE1BCDE" w:rsidR="007632E2" w:rsidRPr="00306408" w:rsidRDefault="007632E2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</w:rPr>
        <w:t>Спрямування</w:t>
      </w:r>
      <w:r w:rsidR="00A839C7">
        <w:rPr>
          <w:rFonts w:ascii="Arial" w:hAnsi="Arial" w:cs="Arial"/>
        </w:rPr>
        <w:t xml:space="preserve"> клієнтів</w:t>
      </w:r>
      <w:r w:rsidRPr="00306408">
        <w:rPr>
          <w:rFonts w:ascii="Arial" w:hAnsi="Arial" w:cs="Arial"/>
        </w:rPr>
        <w:t xml:space="preserve"> до лікаря при перших ознака</w:t>
      </w:r>
      <w:r w:rsidR="00191791">
        <w:rPr>
          <w:rFonts w:ascii="Arial" w:hAnsi="Arial" w:cs="Arial"/>
        </w:rPr>
        <w:t>х можливих ускладнень лікування</w:t>
      </w:r>
    </w:p>
    <w:p w14:paraId="26A528EA" w14:textId="5C1E3FF3" w:rsidR="007632E2" w:rsidRPr="007632E2" w:rsidRDefault="007632E2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</w:rPr>
        <w:t>Відслідковування дотримання чергових дат візитів пацієнтів до лікаря, супровід в ході проходження лабораторної діагностики та отримання лікарських засобів;</w:t>
      </w:r>
    </w:p>
    <w:p w14:paraId="612B45E6" w14:textId="5348D0F4" w:rsidR="00155791" w:rsidRDefault="007632E2" w:rsidP="00155791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</w:rPr>
        <w:lastRenderedPageBreak/>
        <w:t>Інформування лікаря та медичної сестри щодо випадків порушення пацієнтами режиму прийому та використання лікарських засобів;</w:t>
      </w:r>
      <w:r w:rsidR="00155791" w:rsidRPr="00155791">
        <w:rPr>
          <w:rFonts w:ascii="Arial" w:hAnsi="Arial" w:cs="Arial"/>
        </w:rPr>
        <w:t xml:space="preserve"> </w:t>
      </w:r>
    </w:p>
    <w:p w14:paraId="6035BAA4" w14:textId="155A49D7" w:rsidR="006633DC" w:rsidRPr="00306408" w:rsidRDefault="00CD36CB" w:rsidP="006633DC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Підтримання контакту </w:t>
      </w:r>
      <w:r w:rsidR="006633DC">
        <w:rPr>
          <w:rFonts w:ascii="Arial" w:hAnsi="Arial" w:cs="Arial"/>
        </w:rPr>
        <w:t xml:space="preserve">з </w:t>
      </w:r>
      <w:r w:rsidR="00E003BB">
        <w:rPr>
          <w:rFonts w:ascii="Arial" w:hAnsi="Arial" w:cs="Arial"/>
        </w:rPr>
        <w:t>клієнтом</w:t>
      </w:r>
      <w:r w:rsidR="006633DC">
        <w:rPr>
          <w:rFonts w:ascii="Arial" w:hAnsi="Arial" w:cs="Arial"/>
        </w:rPr>
        <w:t xml:space="preserve"> </w:t>
      </w:r>
      <w:r w:rsidR="006633DC" w:rsidRPr="00306408">
        <w:rPr>
          <w:rFonts w:ascii="Arial" w:hAnsi="Arial" w:cs="Arial"/>
        </w:rPr>
        <w:t xml:space="preserve">по завершенні лікування </w:t>
      </w:r>
      <w:r w:rsidR="006633DC">
        <w:rPr>
          <w:rFonts w:ascii="Arial" w:hAnsi="Arial" w:cs="Arial"/>
        </w:rPr>
        <w:t xml:space="preserve"> протягом 12 тижнів  з метою забезпечення фінальної діагностики дл</w:t>
      </w:r>
      <w:r>
        <w:rPr>
          <w:rFonts w:ascii="Arial" w:hAnsi="Arial" w:cs="Arial"/>
        </w:rPr>
        <w:t>я оцінки ефективності лікування.</w:t>
      </w:r>
    </w:p>
    <w:p w14:paraId="355D2A0D" w14:textId="0299A637" w:rsidR="00B63B6F" w:rsidRDefault="00B63B6F" w:rsidP="00B63B6F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52230139" w14:textId="77777777" w:rsidR="00B63B6F" w:rsidRPr="00D63680" w:rsidRDefault="00B63B6F" w:rsidP="00B63B6F">
      <w:pPr>
        <w:pStyle w:val="11"/>
        <w:numPr>
          <w:ilvl w:val="0"/>
          <w:numId w:val="9"/>
        </w:numPr>
        <w:jc w:val="both"/>
        <w:rPr>
          <w:rStyle w:val="Note"/>
          <w:rFonts w:cs="Arial"/>
          <w:b/>
          <w:sz w:val="22"/>
          <w:szCs w:val="22"/>
        </w:rPr>
      </w:pPr>
      <w:r w:rsidRPr="00D63680">
        <w:rPr>
          <w:rStyle w:val="Note"/>
          <w:rFonts w:cs="Arial"/>
          <w:b/>
          <w:sz w:val="22"/>
          <w:szCs w:val="22"/>
        </w:rPr>
        <w:t>Профілактика повторного інфікування</w:t>
      </w:r>
    </w:p>
    <w:p w14:paraId="23F2D302" w14:textId="77777777" w:rsidR="00B63B6F" w:rsidRPr="00D63680" w:rsidRDefault="00B63B6F" w:rsidP="00B63B6F">
      <w:pPr>
        <w:pStyle w:val="11"/>
        <w:jc w:val="both"/>
        <w:rPr>
          <w:rStyle w:val="Note"/>
          <w:rFonts w:cs="Arial"/>
          <w:sz w:val="22"/>
          <w:szCs w:val="22"/>
        </w:rPr>
      </w:pPr>
    </w:p>
    <w:p w14:paraId="017A81EE" w14:textId="4FA7D946" w:rsidR="00B63B6F" w:rsidRPr="00B63B6F" w:rsidRDefault="00B63B6F" w:rsidP="00B63B6F">
      <w:pPr>
        <w:pStyle w:val="11"/>
        <w:ind w:firstLine="426"/>
        <w:jc w:val="both"/>
        <w:rPr>
          <w:rFonts w:ascii="Arial" w:hAnsi="Arial" w:cs="Arial"/>
          <w:sz w:val="22"/>
          <w:lang w:val="uk-UA"/>
        </w:rPr>
      </w:pPr>
      <w:r w:rsidRPr="00B63B6F">
        <w:rPr>
          <w:rFonts w:ascii="Arial" w:hAnsi="Arial" w:cs="Arial"/>
          <w:sz w:val="22"/>
          <w:lang w:val="uk-UA"/>
        </w:rPr>
        <w:t>Організація та проведення  трьох сесій з профілак</w:t>
      </w:r>
      <w:r>
        <w:rPr>
          <w:rFonts w:ascii="Arial" w:hAnsi="Arial" w:cs="Arial"/>
          <w:sz w:val="22"/>
          <w:lang w:val="uk-UA"/>
        </w:rPr>
        <w:t>тики повторного інфікування ВГС.</w:t>
      </w:r>
    </w:p>
    <w:p w14:paraId="3595AB66" w14:textId="6D3BDCA7" w:rsidR="00B63B6F" w:rsidRPr="002B0A9F" w:rsidRDefault="00B63B6F" w:rsidP="00B63B6F">
      <w:pPr>
        <w:pStyle w:val="11"/>
        <w:ind w:firstLine="426"/>
        <w:jc w:val="both"/>
        <w:rPr>
          <w:rStyle w:val="Note"/>
          <w:rFonts w:cs="Arial"/>
          <w:sz w:val="22"/>
          <w:szCs w:val="22"/>
        </w:rPr>
      </w:pPr>
      <w:r>
        <w:rPr>
          <w:rStyle w:val="Note"/>
          <w:rFonts w:cs="Arial"/>
          <w:sz w:val="22"/>
          <w:szCs w:val="22"/>
        </w:rPr>
        <w:t xml:space="preserve">Окремою складовою </w:t>
      </w:r>
      <w:r w:rsidR="00770DDE">
        <w:rPr>
          <w:rStyle w:val="Note"/>
          <w:rFonts w:cs="Arial"/>
          <w:sz w:val="22"/>
          <w:szCs w:val="22"/>
        </w:rPr>
        <w:t>ведення випадку</w:t>
      </w:r>
      <w:r>
        <w:rPr>
          <w:rStyle w:val="Note"/>
          <w:rFonts w:cs="Arial"/>
          <w:sz w:val="22"/>
          <w:szCs w:val="22"/>
        </w:rPr>
        <w:t xml:space="preserve"> пацієнта</w:t>
      </w:r>
      <w:r w:rsidRPr="00D63680">
        <w:rPr>
          <w:rStyle w:val="Note"/>
          <w:rFonts w:cs="Arial"/>
          <w:sz w:val="22"/>
          <w:szCs w:val="22"/>
        </w:rPr>
        <w:t xml:space="preserve"> є </w:t>
      </w:r>
      <w:r>
        <w:rPr>
          <w:rStyle w:val="Note"/>
          <w:rFonts w:cs="Arial"/>
          <w:sz w:val="22"/>
          <w:szCs w:val="22"/>
        </w:rPr>
        <w:t xml:space="preserve"> освітня робота, яка передбачає </w:t>
      </w:r>
      <w:r w:rsidRPr="00D63680">
        <w:rPr>
          <w:rStyle w:val="Note"/>
          <w:rFonts w:cs="Arial"/>
          <w:sz w:val="22"/>
          <w:szCs w:val="22"/>
        </w:rPr>
        <w:t>проведення сесій</w:t>
      </w:r>
      <w:r>
        <w:rPr>
          <w:rStyle w:val="Note"/>
          <w:rFonts w:cs="Arial"/>
          <w:sz w:val="22"/>
          <w:szCs w:val="22"/>
        </w:rPr>
        <w:t xml:space="preserve"> (уроків)</w:t>
      </w:r>
      <w:r w:rsidRPr="00D63680">
        <w:rPr>
          <w:rStyle w:val="Note"/>
          <w:rFonts w:cs="Arial"/>
          <w:sz w:val="22"/>
          <w:szCs w:val="22"/>
        </w:rPr>
        <w:t xml:space="preserve"> з профілактики повторного інфікування. </w:t>
      </w:r>
      <w:r w:rsidR="00E660CC">
        <w:rPr>
          <w:rStyle w:val="Note"/>
          <w:rFonts w:cs="Arial"/>
          <w:sz w:val="22"/>
          <w:szCs w:val="22"/>
        </w:rPr>
        <w:t xml:space="preserve">Кейс менеджер </w:t>
      </w:r>
      <w:r>
        <w:rPr>
          <w:rStyle w:val="Note"/>
          <w:rFonts w:cs="Arial"/>
          <w:sz w:val="22"/>
          <w:szCs w:val="22"/>
        </w:rPr>
        <w:t xml:space="preserve"> проводить </w:t>
      </w:r>
      <w:r w:rsidRPr="00D63680">
        <w:rPr>
          <w:rStyle w:val="Note"/>
          <w:rFonts w:cs="Arial"/>
          <w:sz w:val="22"/>
          <w:szCs w:val="22"/>
        </w:rPr>
        <w:t xml:space="preserve"> три сесії для кожного </w:t>
      </w:r>
      <w:r w:rsidR="00E660CC">
        <w:rPr>
          <w:rStyle w:val="Note"/>
          <w:rFonts w:cs="Arial"/>
          <w:sz w:val="22"/>
          <w:szCs w:val="22"/>
        </w:rPr>
        <w:t>пацієнта</w:t>
      </w:r>
      <w:r w:rsidRPr="002B0A9F">
        <w:rPr>
          <w:rStyle w:val="Note"/>
          <w:rFonts w:cs="Arial"/>
          <w:sz w:val="22"/>
          <w:szCs w:val="22"/>
        </w:rPr>
        <w:t xml:space="preserve"> індивідуально. В умовах  епідемії С</w:t>
      </w:r>
      <w:r w:rsidR="00E660CC">
        <w:rPr>
          <w:rStyle w:val="Note"/>
          <w:rFonts w:cs="Arial"/>
          <w:sz w:val="22"/>
          <w:szCs w:val="22"/>
          <w:lang w:val="en-US"/>
        </w:rPr>
        <w:t>ovid</w:t>
      </w:r>
      <w:r w:rsidRPr="002B0A9F">
        <w:rPr>
          <w:rStyle w:val="Note"/>
          <w:rFonts w:cs="Arial"/>
          <w:sz w:val="22"/>
          <w:szCs w:val="22"/>
        </w:rPr>
        <w:t>19 сесії проводяться  дистанційно, на свіжому повітрі з дотриманням  норм соціально безпечної дистанції.</w:t>
      </w:r>
    </w:p>
    <w:p w14:paraId="49DD4052" w14:textId="62D9D60D" w:rsidR="00B63B6F" w:rsidRPr="002B0A9F" w:rsidRDefault="00B63B6F" w:rsidP="00B63B6F">
      <w:pPr>
        <w:pStyle w:val="11"/>
        <w:ind w:firstLine="426"/>
        <w:jc w:val="both"/>
        <w:rPr>
          <w:rStyle w:val="Note"/>
          <w:rFonts w:cs="Arial"/>
          <w:sz w:val="22"/>
          <w:szCs w:val="22"/>
        </w:rPr>
      </w:pPr>
      <w:r w:rsidRPr="002B0A9F">
        <w:rPr>
          <w:rStyle w:val="Note"/>
          <w:rFonts w:cs="Arial"/>
          <w:sz w:val="22"/>
          <w:szCs w:val="22"/>
        </w:rPr>
        <w:t xml:space="preserve">Перша сесія має проводитися </w:t>
      </w:r>
      <w:r w:rsidR="00281CCE" w:rsidRPr="002B0A9F">
        <w:rPr>
          <w:rStyle w:val="Note"/>
          <w:rFonts w:cs="Arial"/>
          <w:sz w:val="22"/>
          <w:szCs w:val="22"/>
        </w:rPr>
        <w:t xml:space="preserve">на </w:t>
      </w:r>
      <w:r w:rsidRPr="002B0A9F">
        <w:rPr>
          <w:rStyle w:val="Note"/>
          <w:rFonts w:cs="Arial"/>
          <w:sz w:val="22"/>
          <w:szCs w:val="22"/>
        </w:rPr>
        <w:t xml:space="preserve"> початку лікування ВГС та включати загальну інформацію щодо вірусного гепатиту С, шляхів інфікування, перебігу захворювання, прихильності до лікування та можливих побічних дій. Перед проведе</w:t>
      </w:r>
      <w:r w:rsidR="00281CCE" w:rsidRPr="002B0A9F">
        <w:rPr>
          <w:rStyle w:val="Note"/>
          <w:rFonts w:cs="Arial"/>
          <w:sz w:val="22"/>
          <w:szCs w:val="22"/>
        </w:rPr>
        <w:t>нням першої сесії, пацієнту необхідно заповнити</w:t>
      </w:r>
      <w:r w:rsidRPr="002B0A9F">
        <w:rPr>
          <w:rStyle w:val="Note"/>
          <w:rFonts w:cs="Arial"/>
          <w:sz w:val="22"/>
          <w:szCs w:val="22"/>
        </w:rPr>
        <w:t xml:space="preserve"> вхідну анкету, яка показуватиме його загальні знання щодо вірусного гепатиту С та можливі шляхи повторного інфікування ВГС. </w:t>
      </w:r>
    </w:p>
    <w:p w14:paraId="47F96294" w14:textId="332CDEC2" w:rsidR="00B63B6F" w:rsidRDefault="00B63B6F" w:rsidP="00B63B6F">
      <w:pPr>
        <w:pStyle w:val="11"/>
        <w:ind w:firstLine="426"/>
        <w:jc w:val="both"/>
        <w:rPr>
          <w:rStyle w:val="Note"/>
          <w:rFonts w:cs="Arial"/>
          <w:sz w:val="22"/>
          <w:szCs w:val="22"/>
        </w:rPr>
      </w:pPr>
      <w:r w:rsidRPr="002B0A9F">
        <w:rPr>
          <w:rStyle w:val="Note"/>
          <w:rFonts w:cs="Arial"/>
          <w:sz w:val="22"/>
          <w:szCs w:val="22"/>
        </w:rPr>
        <w:t xml:space="preserve">Друга сесія має проводитися через </w:t>
      </w:r>
      <w:r w:rsidR="002B0A9F">
        <w:rPr>
          <w:rStyle w:val="Note"/>
          <w:rFonts w:cs="Arial"/>
          <w:sz w:val="22"/>
          <w:szCs w:val="22"/>
        </w:rPr>
        <w:t>м</w:t>
      </w:r>
      <w:r w:rsidR="00281CCE" w:rsidRPr="002B0A9F">
        <w:rPr>
          <w:rStyle w:val="Note"/>
          <w:rFonts w:cs="Arial"/>
          <w:sz w:val="22"/>
          <w:szCs w:val="22"/>
        </w:rPr>
        <w:t xml:space="preserve">ісяць </w:t>
      </w:r>
      <w:r w:rsidRPr="002B0A9F">
        <w:rPr>
          <w:rStyle w:val="Note"/>
          <w:rFonts w:cs="Arial"/>
          <w:sz w:val="22"/>
          <w:szCs w:val="22"/>
        </w:rPr>
        <w:t xml:space="preserve">після проведення першої сесії. На другій сесії визначається рівень ризику щодо повторного інфікування ВГС. Друга сесія має містити інформацію щодо безпечної поведінки. </w:t>
      </w:r>
      <w:r w:rsidR="00281CCE" w:rsidRPr="002B0A9F">
        <w:rPr>
          <w:rStyle w:val="Note"/>
          <w:rFonts w:cs="Arial"/>
          <w:sz w:val="22"/>
          <w:szCs w:val="22"/>
        </w:rPr>
        <w:t>За бажанням паці</w:t>
      </w:r>
      <w:r w:rsidRPr="002B0A9F">
        <w:rPr>
          <w:rStyle w:val="Note"/>
          <w:rFonts w:cs="Arial"/>
          <w:sz w:val="22"/>
          <w:szCs w:val="22"/>
        </w:rPr>
        <w:t>єнта, ця сесія</w:t>
      </w:r>
      <w:r w:rsidR="002B0A9F">
        <w:rPr>
          <w:rStyle w:val="Note"/>
          <w:rFonts w:cs="Arial"/>
          <w:sz w:val="22"/>
          <w:szCs w:val="22"/>
        </w:rPr>
        <w:t xml:space="preserve"> може проводитися разом із роди</w:t>
      </w:r>
      <w:r w:rsidR="002B0A9F" w:rsidRPr="002B0A9F">
        <w:rPr>
          <w:rStyle w:val="Note"/>
          <w:rFonts w:cs="Arial"/>
          <w:sz w:val="22"/>
          <w:szCs w:val="22"/>
        </w:rPr>
        <w:t>ною</w:t>
      </w:r>
      <w:r w:rsidRPr="002B0A9F">
        <w:rPr>
          <w:rStyle w:val="Note"/>
          <w:rFonts w:cs="Arial"/>
          <w:sz w:val="22"/>
          <w:szCs w:val="22"/>
        </w:rPr>
        <w:t>/близьким оточенням.</w:t>
      </w:r>
    </w:p>
    <w:p w14:paraId="4547AAF8" w14:textId="74D3589F" w:rsidR="00B63B6F" w:rsidRPr="00D63680" w:rsidRDefault="00B63B6F" w:rsidP="00B63B6F">
      <w:pPr>
        <w:pStyle w:val="11"/>
        <w:ind w:firstLine="426"/>
        <w:jc w:val="both"/>
        <w:rPr>
          <w:rStyle w:val="Note"/>
          <w:rFonts w:cs="Arial"/>
          <w:sz w:val="22"/>
          <w:szCs w:val="22"/>
        </w:rPr>
      </w:pPr>
      <w:r>
        <w:rPr>
          <w:rStyle w:val="Note"/>
          <w:rFonts w:cs="Arial"/>
          <w:sz w:val="22"/>
          <w:szCs w:val="22"/>
        </w:rPr>
        <w:t>Третя сесія має проводитися через місяць після другої сесії та включати</w:t>
      </w:r>
      <w:r w:rsidRPr="00D63680">
        <w:rPr>
          <w:rStyle w:val="Note"/>
          <w:rFonts w:cs="Arial"/>
          <w:sz w:val="22"/>
          <w:szCs w:val="22"/>
        </w:rPr>
        <w:t xml:space="preserve"> заповнення </w:t>
      </w:r>
      <w:r>
        <w:rPr>
          <w:rStyle w:val="Note"/>
          <w:rFonts w:cs="Arial"/>
          <w:sz w:val="22"/>
          <w:szCs w:val="22"/>
        </w:rPr>
        <w:t>вихідної</w:t>
      </w:r>
      <w:r w:rsidRPr="00D63680">
        <w:rPr>
          <w:rStyle w:val="Note"/>
          <w:rFonts w:cs="Arial"/>
          <w:sz w:val="22"/>
          <w:szCs w:val="22"/>
        </w:rPr>
        <w:t xml:space="preserve"> анкет</w:t>
      </w:r>
      <w:r>
        <w:rPr>
          <w:rStyle w:val="Note"/>
          <w:rFonts w:cs="Arial"/>
          <w:sz w:val="22"/>
          <w:szCs w:val="22"/>
        </w:rPr>
        <w:t>и</w:t>
      </w:r>
      <w:r w:rsidRPr="00D63680">
        <w:rPr>
          <w:rStyle w:val="Note"/>
          <w:rFonts w:cs="Arial"/>
          <w:sz w:val="22"/>
          <w:szCs w:val="22"/>
        </w:rPr>
        <w:t xml:space="preserve"> </w:t>
      </w:r>
      <w:r>
        <w:rPr>
          <w:rStyle w:val="Note"/>
          <w:rFonts w:cs="Arial"/>
          <w:sz w:val="22"/>
          <w:szCs w:val="22"/>
        </w:rPr>
        <w:t>клієнтом</w:t>
      </w:r>
      <w:r w:rsidRPr="00D63680">
        <w:rPr>
          <w:rStyle w:val="Note"/>
          <w:rFonts w:cs="Arial"/>
          <w:sz w:val="22"/>
          <w:szCs w:val="22"/>
        </w:rPr>
        <w:t xml:space="preserve">. У разі, якщо </w:t>
      </w:r>
      <w:r w:rsidR="00281CCE">
        <w:rPr>
          <w:rStyle w:val="Note"/>
          <w:rFonts w:cs="Arial"/>
          <w:sz w:val="22"/>
          <w:szCs w:val="22"/>
        </w:rPr>
        <w:t>паці</w:t>
      </w:r>
      <w:r>
        <w:rPr>
          <w:rStyle w:val="Note"/>
          <w:rFonts w:cs="Arial"/>
          <w:sz w:val="22"/>
          <w:szCs w:val="22"/>
        </w:rPr>
        <w:t>єнт</w:t>
      </w:r>
      <w:r w:rsidRPr="00D63680">
        <w:rPr>
          <w:rStyle w:val="Note"/>
          <w:rFonts w:cs="Arial"/>
          <w:sz w:val="22"/>
          <w:szCs w:val="22"/>
        </w:rPr>
        <w:t xml:space="preserve"> вірно відповів на усі запитання, </w:t>
      </w:r>
      <w:r w:rsidR="00281CCE">
        <w:rPr>
          <w:rStyle w:val="Note"/>
          <w:rFonts w:cs="Arial"/>
          <w:sz w:val="22"/>
          <w:szCs w:val="22"/>
        </w:rPr>
        <w:t>з відповідей паці</w:t>
      </w:r>
      <w:r>
        <w:rPr>
          <w:rStyle w:val="Note"/>
          <w:rFonts w:cs="Arial"/>
          <w:sz w:val="22"/>
          <w:szCs w:val="22"/>
        </w:rPr>
        <w:t xml:space="preserve">єнта видно, що його поведінка змінилася на більш безпечну, </w:t>
      </w:r>
      <w:r w:rsidRPr="00D63680">
        <w:rPr>
          <w:rStyle w:val="Note"/>
          <w:rFonts w:cs="Arial"/>
          <w:sz w:val="22"/>
          <w:szCs w:val="22"/>
        </w:rPr>
        <w:t xml:space="preserve">ніяких дій від </w:t>
      </w:r>
      <w:r w:rsidR="000F6B7E">
        <w:rPr>
          <w:rStyle w:val="Note"/>
          <w:rFonts w:cs="Arial"/>
          <w:sz w:val="22"/>
          <w:szCs w:val="22"/>
        </w:rPr>
        <w:t>кейс менеджера н</w:t>
      </w:r>
      <w:r>
        <w:rPr>
          <w:rStyle w:val="Note"/>
          <w:rFonts w:cs="Arial"/>
          <w:sz w:val="22"/>
          <w:szCs w:val="22"/>
        </w:rPr>
        <w:t>е вимагається. Проте</w:t>
      </w:r>
      <w:r w:rsidR="00281CCE">
        <w:rPr>
          <w:rStyle w:val="Note"/>
          <w:rFonts w:cs="Arial"/>
          <w:sz w:val="22"/>
          <w:szCs w:val="22"/>
        </w:rPr>
        <w:t>,</w:t>
      </w:r>
      <w:r>
        <w:rPr>
          <w:rStyle w:val="Note"/>
          <w:rFonts w:cs="Arial"/>
          <w:sz w:val="22"/>
          <w:szCs w:val="22"/>
        </w:rPr>
        <w:t xml:space="preserve"> </w:t>
      </w:r>
      <w:r w:rsidRPr="00D63680">
        <w:rPr>
          <w:rStyle w:val="Note"/>
          <w:rFonts w:cs="Arial"/>
          <w:sz w:val="22"/>
          <w:szCs w:val="22"/>
        </w:rPr>
        <w:t xml:space="preserve">якщо </w:t>
      </w:r>
      <w:r>
        <w:rPr>
          <w:rStyle w:val="Note"/>
          <w:rFonts w:cs="Arial"/>
          <w:sz w:val="22"/>
          <w:szCs w:val="22"/>
        </w:rPr>
        <w:t>клієнт</w:t>
      </w:r>
      <w:r w:rsidRPr="00D63680">
        <w:rPr>
          <w:rStyle w:val="Note"/>
          <w:rFonts w:cs="Arial"/>
          <w:sz w:val="22"/>
          <w:szCs w:val="22"/>
        </w:rPr>
        <w:t xml:space="preserve"> відповів невірно на </w:t>
      </w:r>
      <w:r w:rsidR="00281CCE">
        <w:rPr>
          <w:rStyle w:val="Note"/>
          <w:rFonts w:cs="Arial"/>
          <w:sz w:val="22"/>
          <w:szCs w:val="22"/>
        </w:rPr>
        <w:t>будь-яке</w:t>
      </w:r>
      <w:r w:rsidRPr="00D63680">
        <w:rPr>
          <w:rStyle w:val="Note"/>
          <w:rFonts w:cs="Arial"/>
          <w:sz w:val="22"/>
          <w:szCs w:val="22"/>
        </w:rPr>
        <w:t xml:space="preserve"> запитання анкети</w:t>
      </w:r>
      <w:r w:rsidR="00281CCE">
        <w:rPr>
          <w:rStyle w:val="Note"/>
          <w:rFonts w:cs="Arial"/>
          <w:sz w:val="22"/>
          <w:szCs w:val="22"/>
        </w:rPr>
        <w:t xml:space="preserve">, а для  </w:t>
      </w:r>
      <w:r w:rsidR="00A839C7">
        <w:rPr>
          <w:rStyle w:val="Note"/>
          <w:rFonts w:cs="Arial"/>
          <w:sz w:val="22"/>
          <w:szCs w:val="22"/>
        </w:rPr>
        <w:t xml:space="preserve">кейс менеджера </w:t>
      </w:r>
      <w:r w:rsidR="00281CCE">
        <w:rPr>
          <w:rStyle w:val="Note"/>
          <w:rFonts w:cs="Arial"/>
          <w:sz w:val="22"/>
          <w:szCs w:val="22"/>
        </w:rPr>
        <w:t xml:space="preserve"> </w:t>
      </w:r>
      <w:r>
        <w:rPr>
          <w:rStyle w:val="Note"/>
          <w:rFonts w:cs="Arial"/>
          <w:sz w:val="22"/>
          <w:szCs w:val="22"/>
        </w:rPr>
        <w:t>очевидно, що його поведінка залишилася ризикованою</w:t>
      </w:r>
      <w:r w:rsidR="00281CCE">
        <w:rPr>
          <w:rStyle w:val="Note"/>
          <w:rFonts w:cs="Arial"/>
          <w:sz w:val="22"/>
          <w:szCs w:val="22"/>
        </w:rPr>
        <w:t>,</w:t>
      </w:r>
      <w:r w:rsidR="00A839C7">
        <w:rPr>
          <w:rStyle w:val="Note"/>
          <w:rFonts w:cs="Arial"/>
          <w:sz w:val="22"/>
          <w:szCs w:val="22"/>
        </w:rPr>
        <w:t xml:space="preserve"> кейс менеджер</w:t>
      </w:r>
      <w:r w:rsidRPr="00D63680">
        <w:rPr>
          <w:rStyle w:val="Note"/>
          <w:rFonts w:cs="Arial"/>
          <w:sz w:val="22"/>
          <w:szCs w:val="22"/>
        </w:rPr>
        <w:t xml:space="preserve"> </w:t>
      </w:r>
      <w:r w:rsidR="00281CCE">
        <w:rPr>
          <w:rStyle w:val="Note"/>
          <w:rFonts w:cs="Arial"/>
          <w:sz w:val="22"/>
          <w:szCs w:val="22"/>
        </w:rPr>
        <w:t xml:space="preserve">повинен </w:t>
      </w:r>
      <w:r w:rsidRPr="00D63680">
        <w:rPr>
          <w:rStyle w:val="Note"/>
          <w:rFonts w:cs="Arial"/>
          <w:sz w:val="22"/>
          <w:szCs w:val="22"/>
        </w:rPr>
        <w:t>повторно пр</w:t>
      </w:r>
      <w:r>
        <w:rPr>
          <w:rStyle w:val="Note"/>
          <w:rFonts w:cs="Arial"/>
          <w:sz w:val="22"/>
          <w:szCs w:val="22"/>
        </w:rPr>
        <w:t>овести інформативну сесію та дізнатися про причини, через які поведінка залишається ризиковою.</w:t>
      </w:r>
    </w:p>
    <w:p w14:paraId="6976D8D0" w14:textId="1285BA04" w:rsidR="00B63B6F" w:rsidRDefault="00B63B6F" w:rsidP="00B63B6F">
      <w:pPr>
        <w:pStyle w:val="11"/>
        <w:ind w:firstLine="709"/>
        <w:jc w:val="both"/>
        <w:rPr>
          <w:rStyle w:val="Note"/>
          <w:rFonts w:cs="Arial"/>
          <w:sz w:val="22"/>
          <w:szCs w:val="22"/>
        </w:rPr>
      </w:pPr>
      <w:r>
        <w:rPr>
          <w:rStyle w:val="Note"/>
          <w:rFonts w:cs="Arial"/>
          <w:sz w:val="22"/>
          <w:szCs w:val="22"/>
        </w:rPr>
        <w:t xml:space="preserve">Інструкція </w:t>
      </w:r>
      <w:r w:rsidRPr="00D63680">
        <w:rPr>
          <w:rStyle w:val="Note"/>
          <w:rFonts w:cs="Arial"/>
          <w:sz w:val="22"/>
          <w:szCs w:val="22"/>
        </w:rPr>
        <w:t xml:space="preserve">з інформацією щодо </w:t>
      </w:r>
      <w:r>
        <w:rPr>
          <w:rStyle w:val="Note"/>
          <w:rFonts w:cs="Arial"/>
          <w:sz w:val="22"/>
          <w:szCs w:val="22"/>
        </w:rPr>
        <w:t xml:space="preserve">вірусного гепатиту С, </w:t>
      </w:r>
      <w:r w:rsidRPr="00D63680">
        <w:rPr>
          <w:rStyle w:val="Note"/>
          <w:rFonts w:cs="Arial"/>
          <w:sz w:val="22"/>
          <w:szCs w:val="22"/>
        </w:rPr>
        <w:t xml:space="preserve">профілактики повторного інфікування </w:t>
      </w:r>
      <w:r w:rsidR="0056225A">
        <w:rPr>
          <w:rStyle w:val="Note"/>
          <w:rFonts w:cs="Arial"/>
          <w:sz w:val="22"/>
          <w:szCs w:val="22"/>
        </w:rPr>
        <w:t>та анкети будуть надані окремо</w:t>
      </w:r>
      <w:r w:rsidRPr="00D63680">
        <w:rPr>
          <w:rStyle w:val="Note"/>
          <w:rFonts w:cs="Arial"/>
          <w:sz w:val="22"/>
          <w:szCs w:val="22"/>
        </w:rPr>
        <w:t>.</w:t>
      </w:r>
    </w:p>
    <w:p w14:paraId="2B850379" w14:textId="77777777" w:rsidR="00B63B6F" w:rsidRPr="00281CCE" w:rsidRDefault="00B63B6F" w:rsidP="00281CCE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0BEF25A0" w14:textId="71386A40" w:rsidR="00155791" w:rsidRDefault="00DC456C" w:rsidP="00155791">
      <w:pPr>
        <w:pStyle w:val="11"/>
        <w:numPr>
          <w:ilvl w:val="0"/>
          <w:numId w:val="9"/>
        </w:numPr>
        <w:jc w:val="both"/>
        <w:rPr>
          <w:rStyle w:val="Note"/>
          <w:rFonts w:cs="Arial"/>
          <w:b/>
          <w:sz w:val="22"/>
          <w:szCs w:val="22"/>
        </w:rPr>
      </w:pPr>
      <w:r w:rsidRPr="00DC456C">
        <w:rPr>
          <w:rFonts w:ascii="Arial" w:hAnsi="Arial" w:cs="Arial"/>
          <w:b/>
          <w:sz w:val="22"/>
          <w:lang w:val="ru-RU"/>
        </w:rPr>
        <w:t>Контроль ефективності лікування</w:t>
      </w:r>
      <w:r w:rsidRPr="00DC456C">
        <w:rPr>
          <w:rStyle w:val="Note"/>
          <w:rFonts w:cs="Arial"/>
          <w:b/>
          <w:sz w:val="22"/>
          <w:szCs w:val="22"/>
        </w:rPr>
        <w:t xml:space="preserve"> </w:t>
      </w:r>
      <w:r w:rsidRPr="00DC456C">
        <w:rPr>
          <w:rStyle w:val="Note"/>
          <w:rFonts w:cs="Arial"/>
          <w:sz w:val="22"/>
          <w:szCs w:val="22"/>
        </w:rPr>
        <w:t xml:space="preserve">(фінальна </w:t>
      </w:r>
      <w:r w:rsidR="00155791" w:rsidRPr="00DC456C">
        <w:rPr>
          <w:rStyle w:val="Note"/>
          <w:rFonts w:cs="Arial"/>
          <w:sz w:val="22"/>
          <w:szCs w:val="22"/>
        </w:rPr>
        <w:t>лабораторна діагностика</w:t>
      </w:r>
      <w:r w:rsidR="00924B26" w:rsidRPr="00DC456C">
        <w:rPr>
          <w:rFonts w:ascii="Arial" w:hAnsi="Arial" w:cs="Arial"/>
          <w:lang w:val="ru-RU"/>
        </w:rPr>
        <w:t>)</w:t>
      </w:r>
      <w:r w:rsidR="00281CCE">
        <w:rPr>
          <w:rStyle w:val="Note"/>
          <w:rFonts w:cs="Arial"/>
          <w:b/>
          <w:sz w:val="22"/>
          <w:szCs w:val="22"/>
        </w:rPr>
        <w:t>:</w:t>
      </w:r>
      <w:r w:rsidR="00155791">
        <w:rPr>
          <w:rStyle w:val="Note"/>
          <w:rFonts w:cs="Arial"/>
          <w:b/>
          <w:sz w:val="22"/>
          <w:szCs w:val="22"/>
        </w:rPr>
        <w:t xml:space="preserve"> </w:t>
      </w:r>
    </w:p>
    <w:p w14:paraId="74A0C329" w14:textId="77777777" w:rsidR="00155791" w:rsidRPr="00306408" w:rsidRDefault="00155791" w:rsidP="001557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835451" w14:textId="648B1DF9" w:rsidR="00B1765B" w:rsidRDefault="00B1765B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Підтримання контакту з пацієнтом протягом 12 тижнів з моменту закінчення лікування;</w:t>
      </w:r>
    </w:p>
    <w:p w14:paraId="350A5193" w14:textId="55B6B4DA" w:rsidR="007632E2" w:rsidRPr="00306408" w:rsidRDefault="0056225A" w:rsidP="007632E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306408">
        <w:rPr>
          <w:rFonts w:ascii="Arial" w:hAnsi="Arial" w:cs="Arial"/>
        </w:rPr>
        <w:t xml:space="preserve">Забезпечення </w:t>
      </w:r>
      <w:r>
        <w:rPr>
          <w:rFonts w:ascii="Arial" w:hAnsi="Arial" w:cs="Arial"/>
        </w:rPr>
        <w:t xml:space="preserve">вчасного </w:t>
      </w:r>
      <w:r w:rsidRPr="00306408">
        <w:rPr>
          <w:rFonts w:ascii="Arial" w:hAnsi="Arial" w:cs="Arial"/>
        </w:rPr>
        <w:t>візит</w:t>
      </w:r>
      <w:r>
        <w:rPr>
          <w:rFonts w:ascii="Arial" w:hAnsi="Arial" w:cs="Arial"/>
        </w:rPr>
        <w:t xml:space="preserve">у клієнта до </w:t>
      </w:r>
      <w:r w:rsidRPr="00306408">
        <w:rPr>
          <w:rFonts w:ascii="Arial" w:hAnsi="Arial" w:cs="Arial"/>
        </w:rPr>
        <w:t xml:space="preserve">ЗОЗ для проходження лабораторної діагностики, </w:t>
      </w:r>
      <w:r>
        <w:rPr>
          <w:rFonts w:ascii="Arial" w:hAnsi="Arial" w:cs="Arial"/>
        </w:rPr>
        <w:t>а саме  дослідження</w:t>
      </w:r>
      <w:r w:rsidRPr="00306408">
        <w:rPr>
          <w:rFonts w:ascii="Arial" w:hAnsi="Arial" w:cs="Arial"/>
        </w:rPr>
        <w:t xml:space="preserve"> ПЛР на РНК вірусного гепатиту С</w:t>
      </w:r>
      <w:r>
        <w:rPr>
          <w:rFonts w:ascii="Arial" w:hAnsi="Arial" w:cs="Arial"/>
        </w:rPr>
        <w:t xml:space="preserve"> з метою оцінки ефективності </w:t>
      </w:r>
      <w:r w:rsidRPr="00306408">
        <w:rPr>
          <w:rFonts w:ascii="Arial" w:hAnsi="Arial" w:cs="Arial"/>
        </w:rPr>
        <w:t xml:space="preserve"> лікування </w:t>
      </w:r>
      <w:r w:rsidRPr="0056225A">
        <w:rPr>
          <w:rFonts w:ascii="Arial" w:hAnsi="Arial" w:cs="Arial"/>
          <w:i/>
          <w:u w:val="single"/>
        </w:rPr>
        <w:t xml:space="preserve">через </w:t>
      </w:r>
      <w:r w:rsidR="00924B26" w:rsidRPr="0056225A">
        <w:rPr>
          <w:rFonts w:ascii="Arial" w:hAnsi="Arial" w:cs="Arial"/>
          <w:i/>
          <w:u w:val="single"/>
        </w:rPr>
        <w:t>12 тижнів після завершення противірусної терапії</w:t>
      </w:r>
      <w:r w:rsidR="00E94668">
        <w:rPr>
          <w:rFonts w:ascii="Arial" w:hAnsi="Arial" w:cs="Arial"/>
        </w:rPr>
        <w:t>.</w:t>
      </w:r>
    </w:p>
    <w:p w14:paraId="34F6911A" w14:textId="77777777" w:rsidR="004D02B3" w:rsidRPr="003326A0" w:rsidRDefault="004D02B3" w:rsidP="004D02B3">
      <w:pPr>
        <w:widowControl w:val="0"/>
        <w:autoSpaceDE w:val="0"/>
        <w:autoSpaceDN w:val="0"/>
        <w:adjustRightInd w:val="0"/>
        <w:ind w:left="360"/>
        <w:jc w:val="both"/>
        <w:rPr>
          <w:rStyle w:val="Note"/>
          <w:rFonts w:cs="Arial"/>
          <w:sz w:val="22"/>
        </w:rPr>
      </w:pPr>
    </w:p>
    <w:p w14:paraId="1D4B294F" w14:textId="30846807" w:rsidR="004D02B3" w:rsidRDefault="004D02B3" w:rsidP="00281CCE">
      <w:pPr>
        <w:pStyle w:val="11"/>
        <w:numPr>
          <w:ilvl w:val="0"/>
          <w:numId w:val="9"/>
        </w:numPr>
        <w:jc w:val="both"/>
        <w:rPr>
          <w:rStyle w:val="Note"/>
          <w:rFonts w:cs="Arial"/>
          <w:b/>
          <w:sz w:val="22"/>
          <w:szCs w:val="22"/>
        </w:rPr>
      </w:pPr>
      <w:r>
        <w:rPr>
          <w:rStyle w:val="Note"/>
          <w:rFonts w:cs="Arial"/>
          <w:b/>
          <w:sz w:val="22"/>
          <w:szCs w:val="22"/>
        </w:rPr>
        <w:t xml:space="preserve">Звітування та  ведення реєстру даних пацієнтів </w:t>
      </w:r>
    </w:p>
    <w:p w14:paraId="6297AADC" w14:textId="77777777" w:rsidR="00820C59" w:rsidRDefault="00820C59" w:rsidP="00820C59">
      <w:pPr>
        <w:pStyle w:val="11"/>
        <w:ind w:left="360"/>
        <w:jc w:val="both"/>
        <w:rPr>
          <w:rStyle w:val="Note"/>
          <w:rFonts w:cs="Arial"/>
          <w:b/>
          <w:sz w:val="22"/>
          <w:szCs w:val="22"/>
        </w:rPr>
      </w:pPr>
    </w:p>
    <w:p w14:paraId="4580CE4F" w14:textId="0EB0756E" w:rsidR="00820C59" w:rsidRPr="00FC1A93" w:rsidRDefault="00FD339A" w:rsidP="00820C59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Style w:val="Note"/>
          <w:rFonts w:cs="Arial"/>
          <w:sz w:val="22"/>
        </w:rPr>
      </w:pPr>
      <w:r w:rsidRPr="00FC1A93">
        <w:rPr>
          <w:rStyle w:val="Note"/>
          <w:rFonts w:cs="Arial"/>
          <w:sz w:val="22"/>
        </w:rPr>
        <w:t>Ведення</w:t>
      </w:r>
      <w:r w:rsidR="00820C59" w:rsidRPr="00FC1A93">
        <w:rPr>
          <w:rStyle w:val="Note"/>
          <w:rFonts w:cs="Arial"/>
          <w:sz w:val="22"/>
        </w:rPr>
        <w:t xml:space="preserve"> картки «Соціального супроводу пацієнтів в рамках програми лікування вірусного гепатиту С» (далі – Картка </w:t>
      </w:r>
      <w:r w:rsidR="0056225A">
        <w:rPr>
          <w:rStyle w:val="Note"/>
          <w:rFonts w:cs="Arial"/>
          <w:sz w:val="22"/>
        </w:rPr>
        <w:t>кл</w:t>
      </w:r>
      <w:r w:rsidR="00FC1A93" w:rsidRPr="00FC1A93">
        <w:rPr>
          <w:rStyle w:val="Note"/>
          <w:rFonts w:cs="Arial"/>
          <w:sz w:val="22"/>
        </w:rPr>
        <w:t>ієнта</w:t>
      </w:r>
      <w:r w:rsidR="00820C59" w:rsidRPr="00FC1A93">
        <w:rPr>
          <w:rStyle w:val="Note"/>
          <w:rFonts w:cs="Arial"/>
          <w:sz w:val="22"/>
        </w:rPr>
        <w:t xml:space="preserve">) відповідно до Інструкції щодо </w:t>
      </w:r>
      <w:r w:rsidRPr="00FC1A93">
        <w:rPr>
          <w:rStyle w:val="Note"/>
          <w:rFonts w:cs="Arial"/>
          <w:sz w:val="22"/>
        </w:rPr>
        <w:t>веде</w:t>
      </w:r>
      <w:r w:rsidR="00820C59" w:rsidRPr="00FC1A93">
        <w:rPr>
          <w:rStyle w:val="Note"/>
          <w:rFonts w:cs="Arial"/>
          <w:sz w:val="22"/>
        </w:rPr>
        <w:t xml:space="preserve">ння Картки </w:t>
      </w:r>
      <w:r w:rsidR="0056225A">
        <w:rPr>
          <w:rStyle w:val="Note"/>
          <w:rFonts w:cs="Arial"/>
          <w:sz w:val="22"/>
        </w:rPr>
        <w:t>кл</w:t>
      </w:r>
      <w:r w:rsidR="00820C59" w:rsidRPr="00FC1A93">
        <w:rPr>
          <w:rStyle w:val="Note"/>
          <w:rFonts w:cs="Arial"/>
          <w:sz w:val="22"/>
        </w:rPr>
        <w:t>ієнта</w:t>
      </w:r>
    </w:p>
    <w:p w14:paraId="2A97294A" w14:textId="2A0941A0" w:rsidR="00820C59" w:rsidRPr="00FC1A93" w:rsidRDefault="00820C59" w:rsidP="00820C59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84"/>
        <w:jc w:val="both"/>
        <w:rPr>
          <w:rStyle w:val="Note"/>
          <w:rFonts w:cs="Arial"/>
          <w:sz w:val="22"/>
        </w:rPr>
      </w:pPr>
      <w:r w:rsidRPr="00FC1A93">
        <w:rPr>
          <w:rStyle w:val="Note"/>
          <w:rFonts w:cs="Arial"/>
          <w:sz w:val="22"/>
        </w:rPr>
        <w:t>Ведення бази даних (реєстру)</w:t>
      </w:r>
      <w:r w:rsidR="00553E3F" w:rsidRPr="00FC1A93">
        <w:rPr>
          <w:rStyle w:val="Note"/>
          <w:rFonts w:cs="Arial"/>
          <w:sz w:val="22"/>
        </w:rPr>
        <w:t xml:space="preserve"> пацієнтів</w:t>
      </w:r>
      <w:r w:rsidRPr="00FC1A93">
        <w:rPr>
          <w:rStyle w:val="Note"/>
          <w:rFonts w:cs="Arial"/>
          <w:sz w:val="22"/>
        </w:rPr>
        <w:t xml:space="preserve">, контроль якості даних та їх узагальнення для щомісячного звітування (форма реєстру надається Альянсом). </w:t>
      </w:r>
    </w:p>
    <w:p w14:paraId="3B17F79D" w14:textId="77777777" w:rsidR="00892F39" w:rsidRDefault="00892F39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61936181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39C54B5D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0DDE6F1D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51E6B8A6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755A21DC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169CB4DF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318BB459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2FD46582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57EDFA20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78872D3D" w14:textId="77777777" w:rsidR="0056225A" w:rsidRDefault="0056225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</w:p>
    <w:p w14:paraId="0760EEF3" w14:textId="6CCFBCB4" w:rsidR="00892F39" w:rsidRDefault="00CD071A" w:rsidP="00CD071A">
      <w:pPr>
        <w:pStyle w:val="11"/>
        <w:jc w:val="both"/>
        <w:rPr>
          <w:rStyle w:val="Note"/>
          <w:rFonts w:cs="Arial"/>
          <w:b/>
          <w:sz w:val="22"/>
          <w:szCs w:val="22"/>
        </w:rPr>
      </w:pPr>
      <w:r w:rsidRPr="004B2E8C">
        <w:rPr>
          <w:rStyle w:val="Note"/>
          <w:rFonts w:cs="Arial"/>
          <w:b/>
          <w:sz w:val="22"/>
          <w:szCs w:val="22"/>
        </w:rPr>
        <w:lastRenderedPageBreak/>
        <w:t xml:space="preserve">Бюджет компоненту лікування ВГС  </w:t>
      </w:r>
    </w:p>
    <w:p w14:paraId="2A4E9422" w14:textId="6A40DB94" w:rsidR="00CD071A" w:rsidRPr="004B2E8C" w:rsidRDefault="00CD071A" w:rsidP="00CD071A">
      <w:pPr>
        <w:pStyle w:val="11"/>
        <w:jc w:val="both"/>
        <w:rPr>
          <w:rStyle w:val="Note"/>
          <w:rFonts w:cs="Arial"/>
          <w:sz w:val="22"/>
          <w:szCs w:val="22"/>
        </w:rPr>
      </w:pPr>
      <w:r w:rsidRPr="004B2E8C">
        <w:rPr>
          <w:rStyle w:val="Note"/>
          <w:rFonts w:cs="Arial"/>
          <w:sz w:val="22"/>
          <w:szCs w:val="22"/>
        </w:rPr>
        <w:t xml:space="preserve">розраховувати відповідно до запланованої кількості </w:t>
      </w:r>
      <w:r w:rsidR="000426D6" w:rsidRPr="004B2E8C">
        <w:rPr>
          <w:rStyle w:val="Note"/>
          <w:rFonts w:cs="Arial"/>
          <w:sz w:val="22"/>
          <w:szCs w:val="22"/>
        </w:rPr>
        <w:t xml:space="preserve">12-ти тижневих курсів лікування </w:t>
      </w:r>
      <w:r w:rsidR="00EB442E" w:rsidRPr="004B2E8C">
        <w:rPr>
          <w:rStyle w:val="Note"/>
          <w:rFonts w:cs="Arial"/>
          <w:sz w:val="22"/>
          <w:szCs w:val="22"/>
        </w:rPr>
        <w:t xml:space="preserve">в Таблиці </w:t>
      </w:r>
      <w:r w:rsidRPr="004B2E8C">
        <w:rPr>
          <w:rStyle w:val="Note"/>
          <w:rFonts w:cs="Arial"/>
          <w:sz w:val="22"/>
          <w:szCs w:val="22"/>
        </w:rPr>
        <w:t xml:space="preserve">1, виходячи із </w:t>
      </w:r>
      <w:r w:rsidRPr="00DC456C">
        <w:rPr>
          <w:iCs/>
          <w:color w:val="FF0000"/>
          <w:sz w:val="24"/>
          <w:szCs w:val="24"/>
          <w:lang w:val="uk-UA"/>
        </w:rPr>
        <w:t xml:space="preserve">вартості 1438 грн. за  </w:t>
      </w:r>
      <w:r w:rsidR="000F6B7E" w:rsidRPr="00DC456C">
        <w:rPr>
          <w:iCs/>
          <w:color w:val="FF0000"/>
          <w:sz w:val="24"/>
          <w:szCs w:val="24"/>
          <w:lang w:val="uk-UA"/>
        </w:rPr>
        <w:t>ведення випадку (</w:t>
      </w:r>
      <w:r w:rsidRPr="00DC456C">
        <w:rPr>
          <w:iCs/>
          <w:color w:val="FF0000"/>
          <w:sz w:val="24"/>
          <w:szCs w:val="24"/>
          <w:lang w:val="uk-UA"/>
        </w:rPr>
        <w:t>соціальний супровід</w:t>
      </w:r>
      <w:r w:rsidR="000F6B7E" w:rsidRPr="00DC456C">
        <w:rPr>
          <w:iCs/>
          <w:color w:val="FF0000"/>
          <w:sz w:val="24"/>
          <w:szCs w:val="24"/>
          <w:lang w:val="uk-UA"/>
        </w:rPr>
        <w:t>)</w:t>
      </w:r>
      <w:r w:rsidRPr="00DC456C">
        <w:rPr>
          <w:iCs/>
          <w:color w:val="FF0000"/>
          <w:sz w:val="24"/>
          <w:szCs w:val="24"/>
          <w:lang w:val="uk-UA"/>
        </w:rPr>
        <w:t xml:space="preserve"> одного пацієнта </w:t>
      </w:r>
      <w:r w:rsidR="00CD5430" w:rsidRPr="00DC456C">
        <w:rPr>
          <w:iCs/>
          <w:color w:val="FF0000"/>
          <w:sz w:val="24"/>
          <w:szCs w:val="24"/>
          <w:lang w:val="uk-UA"/>
        </w:rPr>
        <w:t xml:space="preserve">в окремому ЗОЗ </w:t>
      </w:r>
      <w:r w:rsidRPr="00DC456C">
        <w:rPr>
          <w:iCs/>
          <w:color w:val="FF0000"/>
          <w:sz w:val="24"/>
          <w:szCs w:val="24"/>
          <w:lang w:val="uk-UA"/>
        </w:rPr>
        <w:t>протягом 12</w:t>
      </w:r>
      <w:r w:rsidR="00191791" w:rsidRPr="00DC456C">
        <w:rPr>
          <w:iCs/>
          <w:color w:val="FF0000"/>
          <w:sz w:val="24"/>
          <w:szCs w:val="24"/>
          <w:lang w:val="uk-UA"/>
        </w:rPr>
        <w:t>-ти тижневого</w:t>
      </w:r>
      <w:r w:rsidRPr="00DC456C">
        <w:rPr>
          <w:iCs/>
          <w:color w:val="FF0000"/>
          <w:sz w:val="24"/>
          <w:szCs w:val="24"/>
          <w:lang w:val="uk-UA"/>
        </w:rPr>
        <w:t xml:space="preserve"> </w:t>
      </w:r>
      <w:r w:rsidR="00EB442E" w:rsidRPr="00DC456C">
        <w:rPr>
          <w:iCs/>
          <w:color w:val="FF0000"/>
          <w:sz w:val="24"/>
          <w:szCs w:val="24"/>
          <w:lang w:val="uk-UA"/>
        </w:rPr>
        <w:t xml:space="preserve">курсу </w:t>
      </w:r>
      <w:r w:rsidRPr="00DC456C">
        <w:rPr>
          <w:iCs/>
          <w:color w:val="FF0000"/>
          <w:sz w:val="24"/>
          <w:szCs w:val="24"/>
          <w:lang w:val="uk-UA"/>
        </w:rPr>
        <w:t>лікування</w:t>
      </w:r>
      <w:r w:rsidRPr="00DC456C">
        <w:rPr>
          <w:rStyle w:val="Note"/>
          <w:rFonts w:cs="Arial"/>
          <w:color w:val="FF0000"/>
          <w:sz w:val="22"/>
          <w:szCs w:val="22"/>
        </w:rPr>
        <w:t>.</w:t>
      </w:r>
      <w:r w:rsidR="00EB442E" w:rsidRPr="00DC456C">
        <w:rPr>
          <w:rStyle w:val="Note"/>
          <w:rFonts w:cs="Arial"/>
          <w:color w:val="FF0000"/>
          <w:sz w:val="22"/>
          <w:szCs w:val="22"/>
        </w:rPr>
        <w:t xml:space="preserve"> </w:t>
      </w:r>
      <w:r w:rsidR="002C60A7" w:rsidRPr="004B2E8C">
        <w:rPr>
          <w:rStyle w:val="Note"/>
          <w:rFonts w:cs="Arial"/>
          <w:sz w:val="22"/>
          <w:szCs w:val="22"/>
        </w:rPr>
        <w:t>Будь ласка, ди</w:t>
      </w:r>
      <w:r w:rsidR="001522BE" w:rsidRPr="004B2E8C">
        <w:rPr>
          <w:rStyle w:val="Note"/>
          <w:rFonts w:cs="Arial"/>
          <w:sz w:val="22"/>
          <w:szCs w:val="22"/>
        </w:rPr>
        <w:t>в</w:t>
      </w:r>
      <w:r w:rsidR="002C60A7" w:rsidRPr="004B2E8C">
        <w:rPr>
          <w:rStyle w:val="Note"/>
          <w:rFonts w:cs="Arial"/>
          <w:sz w:val="22"/>
          <w:szCs w:val="22"/>
        </w:rPr>
        <w:t>іться</w:t>
      </w:r>
      <w:r w:rsidR="002979C0" w:rsidRPr="004B2E8C">
        <w:rPr>
          <w:rStyle w:val="Note"/>
          <w:rFonts w:cs="Arial"/>
          <w:sz w:val="22"/>
          <w:szCs w:val="22"/>
        </w:rPr>
        <w:t xml:space="preserve"> </w:t>
      </w:r>
      <w:r w:rsidR="002C60A7" w:rsidRPr="004B2E8C">
        <w:rPr>
          <w:rStyle w:val="Note"/>
          <w:rFonts w:cs="Arial"/>
          <w:sz w:val="22"/>
          <w:szCs w:val="22"/>
        </w:rPr>
        <w:t xml:space="preserve"> </w:t>
      </w:r>
      <w:r w:rsidR="00EB442E" w:rsidRPr="004B2E8C">
        <w:rPr>
          <w:rStyle w:val="Note"/>
          <w:rFonts w:cs="Arial"/>
          <w:sz w:val="22"/>
          <w:szCs w:val="22"/>
        </w:rPr>
        <w:t xml:space="preserve">приклад  </w:t>
      </w:r>
      <w:r w:rsidR="00744CA6" w:rsidRPr="004B2E8C">
        <w:rPr>
          <w:rStyle w:val="Note"/>
          <w:rFonts w:cs="Arial"/>
          <w:sz w:val="22"/>
          <w:szCs w:val="22"/>
        </w:rPr>
        <w:t>у виносці</w:t>
      </w:r>
      <w:r w:rsidR="00DC456C">
        <w:rPr>
          <w:rStyle w:val="Note"/>
          <w:rFonts w:cs="Arial"/>
          <w:sz w:val="22"/>
          <w:szCs w:val="22"/>
        </w:rPr>
        <w:t xml:space="preserve"> 2</w:t>
      </w:r>
      <w:r w:rsidR="00EB442E" w:rsidRPr="004B2E8C">
        <w:rPr>
          <w:rStyle w:val="a8"/>
          <w:rFonts w:ascii="Arial" w:hAnsi="Arial" w:cs="Arial"/>
          <w:lang w:val="uk-UA"/>
        </w:rPr>
        <w:footnoteReference w:id="2"/>
      </w:r>
      <w:r w:rsidR="00EB442E" w:rsidRPr="004B2E8C">
        <w:rPr>
          <w:rStyle w:val="Note"/>
          <w:rFonts w:cs="Arial"/>
          <w:sz w:val="22"/>
          <w:szCs w:val="22"/>
        </w:rPr>
        <w:t>.</w:t>
      </w:r>
      <w:r w:rsidRPr="004B2E8C">
        <w:rPr>
          <w:rStyle w:val="Note"/>
          <w:rFonts w:cs="Arial"/>
          <w:sz w:val="22"/>
          <w:szCs w:val="22"/>
        </w:rPr>
        <w:t xml:space="preserve"> </w:t>
      </w:r>
    </w:p>
    <w:p w14:paraId="2395B512" w14:textId="66E17727" w:rsidR="00CD071A" w:rsidRPr="004B2E8C" w:rsidRDefault="00CD071A" w:rsidP="00CD071A">
      <w:pPr>
        <w:pStyle w:val="11"/>
        <w:ind w:firstLine="708"/>
        <w:jc w:val="both"/>
        <w:rPr>
          <w:rStyle w:val="Note"/>
          <w:rFonts w:cs="Arial"/>
          <w:sz w:val="22"/>
          <w:szCs w:val="22"/>
        </w:rPr>
      </w:pPr>
      <w:r w:rsidRPr="004B2E8C">
        <w:rPr>
          <w:rStyle w:val="Note"/>
          <w:rFonts w:cs="Arial"/>
          <w:sz w:val="22"/>
          <w:szCs w:val="22"/>
        </w:rPr>
        <w:t xml:space="preserve">Дана сума включає виконання всіх перерахованих вище завдань </w:t>
      </w:r>
      <w:r w:rsidR="000F6B7E" w:rsidRPr="004B2E8C">
        <w:rPr>
          <w:rStyle w:val="Note"/>
          <w:rFonts w:cs="Arial"/>
          <w:sz w:val="22"/>
          <w:szCs w:val="22"/>
        </w:rPr>
        <w:t>кейс менеджера</w:t>
      </w:r>
      <w:r w:rsidRPr="004B2E8C">
        <w:rPr>
          <w:rStyle w:val="Note"/>
          <w:rFonts w:cs="Arial"/>
          <w:sz w:val="22"/>
          <w:szCs w:val="22"/>
        </w:rPr>
        <w:t>, в тому числі пошук та переадресацію клієнта на лікування, його супровід під час лікування ВГС-інфекції, складання відповідної документації, звітування, ведення реєстру пацієнтів та доведення пацієнта до фінальної діагностики через 12 тижнів після завершенн</w:t>
      </w:r>
      <w:r w:rsidR="001522BE" w:rsidRPr="004B2E8C">
        <w:rPr>
          <w:rStyle w:val="Note"/>
          <w:rFonts w:cs="Arial"/>
          <w:sz w:val="22"/>
          <w:szCs w:val="22"/>
        </w:rPr>
        <w:t>я лікування. Контакт з клієнтом</w:t>
      </w:r>
      <w:r w:rsidRPr="004B2E8C">
        <w:rPr>
          <w:rStyle w:val="Note"/>
          <w:rFonts w:cs="Arial"/>
          <w:sz w:val="22"/>
          <w:szCs w:val="22"/>
        </w:rPr>
        <w:t xml:space="preserve"> по завершенню противірусно</w:t>
      </w:r>
      <w:r w:rsidR="001522BE" w:rsidRPr="004B2E8C">
        <w:rPr>
          <w:rStyle w:val="Note"/>
          <w:rFonts w:cs="Arial"/>
          <w:sz w:val="22"/>
          <w:szCs w:val="22"/>
        </w:rPr>
        <w:t>ї терапії та запрошення клієнта</w:t>
      </w:r>
      <w:r w:rsidRPr="004B2E8C">
        <w:rPr>
          <w:rStyle w:val="Note"/>
          <w:rFonts w:cs="Arial"/>
          <w:sz w:val="22"/>
          <w:szCs w:val="22"/>
        </w:rPr>
        <w:t xml:space="preserve"> до фінальної діагностики з метою оцінки ефективності лікування (через 12 тижнів після його закінчення) є обов’язковою складовою  інтервенції  «соціальний супровід». </w:t>
      </w:r>
    </w:p>
    <w:p w14:paraId="4150296A" w14:textId="5265EF2B" w:rsidR="00CD071A" w:rsidRPr="004B2E8C" w:rsidRDefault="00CD071A" w:rsidP="00CD071A">
      <w:pPr>
        <w:pStyle w:val="11"/>
        <w:ind w:firstLine="708"/>
        <w:jc w:val="both"/>
        <w:rPr>
          <w:rStyle w:val="Note"/>
          <w:rFonts w:cs="Arial"/>
          <w:sz w:val="22"/>
          <w:szCs w:val="22"/>
        </w:rPr>
      </w:pPr>
      <w:r w:rsidRPr="004B2E8C">
        <w:rPr>
          <w:rStyle w:val="Note"/>
          <w:rFonts w:cs="Arial"/>
          <w:sz w:val="22"/>
          <w:szCs w:val="22"/>
        </w:rPr>
        <w:t xml:space="preserve"> В ході роботи бюджет коригується щоквартально відповідно до фактичної кількості пацієнтів, які перебувають на лікуванні.  </w:t>
      </w:r>
      <w:r w:rsidRPr="004B2E8C">
        <w:rPr>
          <w:rStyle w:val="Note"/>
          <w:rFonts w:cs="Arial"/>
          <w:sz w:val="22"/>
        </w:rPr>
        <w:t xml:space="preserve">Оскільки відповідно </w:t>
      </w:r>
      <w:r w:rsidRPr="004B2E8C">
        <w:rPr>
          <w:rStyle w:val="Note"/>
          <w:rFonts w:cs="Arial"/>
          <w:sz w:val="22"/>
          <w:szCs w:val="22"/>
        </w:rPr>
        <w:t>до статистичних даних б</w:t>
      </w:r>
      <w:r w:rsidR="00801D3D" w:rsidRPr="004B2E8C">
        <w:rPr>
          <w:rStyle w:val="Note"/>
          <w:rFonts w:cs="Arial"/>
          <w:sz w:val="22"/>
          <w:szCs w:val="22"/>
        </w:rPr>
        <w:t>лизько</w:t>
      </w:r>
      <w:r w:rsidRPr="004B2E8C">
        <w:rPr>
          <w:rStyle w:val="Note"/>
          <w:rFonts w:cs="Arial"/>
          <w:sz w:val="22"/>
          <w:szCs w:val="22"/>
        </w:rPr>
        <w:t xml:space="preserve"> 20% пацієнтів з цирозом печінки потребують прот</w:t>
      </w:r>
      <w:r w:rsidR="001522BE" w:rsidRPr="004B2E8C">
        <w:rPr>
          <w:rStyle w:val="Note"/>
          <w:rFonts w:cs="Arial"/>
          <w:sz w:val="22"/>
          <w:szCs w:val="22"/>
        </w:rPr>
        <w:t>ивірусної терапії протягом 24-х</w:t>
      </w:r>
      <w:r w:rsidRPr="004B2E8C">
        <w:rPr>
          <w:rStyle w:val="Note"/>
          <w:rFonts w:cs="Arial"/>
          <w:sz w:val="22"/>
          <w:szCs w:val="22"/>
        </w:rPr>
        <w:t xml:space="preserve"> тижнів,</w:t>
      </w:r>
      <w:r w:rsidRPr="004B2E8C">
        <w:rPr>
          <w:rStyle w:val="Note"/>
          <w:rFonts w:cs="Arial"/>
          <w:sz w:val="22"/>
        </w:rPr>
        <w:t xml:space="preserve"> </w:t>
      </w:r>
      <w:r w:rsidRPr="004B2E8C">
        <w:rPr>
          <w:rStyle w:val="Note"/>
          <w:rFonts w:cs="Arial"/>
          <w:sz w:val="22"/>
          <w:szCs w:val="22"/>
        </w:rPr>
        <w:tab/>
      </w:r>
    </w:p>
    <w:p w14:paraId="3B5191FD" w14:textId="208A3D07" w:rsidR="00CD071A" w:rsidRPr="004B2E8C" w:rsidRDefault="00CD071A" w:rsidP="00CD071A">
      <w:pPr>
        <w:pStyle w:val="11"/>
        <w:ind w:firstLine="708"/>
        <w:jc w:val="both"/>
        <w:rPr>
          <w:rStyle w:val="Note"/>
          <w:rFonts w:cs="Arial"/>
          <w:i/>
          <w:sz w:val="22"/>
          <w:szCs w:val="22"/>
        </w:rPr>
      </w:pPr>
      <w:r w:rsidRPr="004B2E8C">
        <w:rPr>
          <w:rStyle w:val="Note"/>
          <w:rFonts w:cs="Arial"/>
          <w:i/>
          <w:sz w:val="22"/>
          <w:szCs w:val="22"/>
        </w:rPr>
        <w:t xml:space="preserve">формула вартості </w:t>
      </w:r>
      <w:r w:rsidR="000F6B7E" w:rsidRPr="004B2E8C">
        <w:rPr>
          <w:rStyle w:val="Note"/>
          <w:rFonts w:cs="Arial"/>
          <w:i/>
          <w:sz w:val="22"/>
          <w:szCs w:val="22"/>
        </w:rPr>
        <w:t>ведення випадку</w:t>
      </w:r>
      <w:r w:rsidRPr="004B2E8C">
        <w:rPr>
          <w:rStyle w:val="Note"/>
          <w:rFonts w:cs="Arial"/>
          <w:i/>
          <w:sz w:val="22"/>
          <w:szCs w:val="22"/>
        </w:rPr>
        <w:t xml:space="preserve"> (соціального супроводу) </w:t>
      </w:r>
      <w:r w:rsidR="001522BE" w:rsidRPr="00DC456C">
        <w:rPr>
          <w:rStyle w:val="Note"/>
          <w:rFonts w:cs="Arial"/>
          <w:b/>
          <w:color w:val="FF0000"/>
          <w:sz w:val="22"/>
          <w:szCs w:val="22"/>
          <w:u w:val="single"/>
        </w:rPr>
        <w:t xml:space="preserve">в </w:t>
      </w:r>
      <w:r w:rsidRPr="00DC456C">
        <w:rPr>
          <w:rStyle w:val="Note"/>
          <w:rFonts w:cs="Arial"/>
          <w:b/>
          <w:color w:val="FF0000"/>
          <w:sz w:val="22"/>
          <w:szCs w:val="22"/>
          <w:u w:val="single"/>
        </w:rPr>
        <w:t>ході реалізації</w:t>
      </w:r>
      <w:r w:rsidRPr="00DC456C">
        <w:rPr>
          <w:rStyle w:val="Note"/>
          <w:rFonts w:cs="Arial"/>
          <w:color w:val="FF0000"/>
          <w:sz w:val="22"/>
          <w:szCs w:val="22"/>
        </w:rPr>
        <w:t xml:space="preserve"> </w:t>
      </w:r>
      <w:r w:rsidRPr="00DC456C">
        <w:rPr>
          <w:rStyle w:val="Note"/>
          <w:rFonts w:cs="Arial"/>
          <w:sz w:val="22"/>
          <w:szCs w:val="22"/>
        </w:rPr>
        <w:t>компоненту</w:t>
      </w:r>
      <w:r w:rsidRPr="00DC456C">
        <w:rPr>
          <w:rStyle w:val="Note"/>
          <w:rFonts w:cs="Arial"/>
          <w:color w:val="FF0000"/>
          <w:sz w:val="22"/>
          <w:szCs w:val="22"/>
        </w:rPr>
        <w:t xml:space="preserve"> </w:t>
      </w:r>
      <w:r w:rsidRPr="004B2E8C">
        <w:rPr>
          <w:rStyle w:val="Note"/>
          <w:rFonts w:cs="Arial"/>
          <w:sz w:val="22"/>
          <w:szCs w:val="22"/>
        </w:rPr>
        <w:t>лікування ВГС обраховується</w:t>
      </w:r>
      <w:r w:rsidRPr="004B2E8C">
        <w:rPr>
          <w:rStyle w:val="Note"/>
          <w:rFonts w:cs="Arial"/>
          <w:i/>
          <w:sz w:val="22"/>
          <w:szCs w:val="22"/>
        </w:rPr>
        <w:t xml:space="preserve"> </w:t>
      </w:r>
      <w:r w:rsidRPr="004B2E8C">
        <w:rPr>
          <w:rStyle w:val="Note"/>
          <w:rFonts w:cs="Arial"/>
          <w:sz w:val="22"/>
          <w:szCs w:val="22"/>
        </w:rPr>
        <w:t>наступним чином:</w:t>
      </w:r>
    </w:p>
    <w:p w14:paraId="435A5F84" w14:textId="039A8568" w:rsidR="00CD071A" w:rsidRPr="004B2E8C" w:rsidRDefault="00CD071A" w:rsidP="00CD071A">
      <w:pPr>
        <w:pStyle w:val="a3"/>
        <w:numPr>
          <w:ilvl w:val="0"/>
          <w:numId w:val="15"/>
        </w:numPr>
        <w:contextualSpacing/>
        <w:jc w:val="both"/>
        <w:rPr>
          <w:iCs/>
          <w:sz w:val="24"/>
          <w:szCs w:val="24"/>
        </w:rPr>
      </w:pPr>
      <w:r w:rsidRPr="004B2E8C">
        <w:rPr>
          <w:rStyle w:val="Note"/>
          <w:rFonts w:cs="Arial"/>
          <w:sz w:val="22"/>
        </w:rPr>
        <w:t xml:space="preserve">1438 гривень за одного пацієнта на 12 тижнях лікування </w:t>
      </w:r>
      <w:r w:rsidRPr="004B2E8C">
        <w:rPr>
          <w:rStyle w:val="Note"/>
          <w:rFonts w:cs="Arial"/>
        </w:rPr>
        <w:t xml:space="preserve"> </w:t>
      </w:r>
      <w:r w:rsidRPr="004B2E8C">
        <w:rPr>
          <w:rStyle w:val="Note"/>
          <w:rFonts w:cs="Arial"/>
          <w:sz w:val="22"/>
        </w:rPr>
        <w:t>відповідно до  чотирьох проміжних показників</w:t>
      </w:r>
      <w:r w:rsidRPr="004B2E8C">
        <w:rPr>
          <w:rStyle w:val="Note"/>
          <w:rFonts w:eastAsia="Times New Roman" w:cs="Arial"/>
          <w:sz w:val="22"/>
          <w:lang w:eastAsia="ar-SA"/>
        </w:rPr>
        <w:t xml:space="preserve"> ефективності роботи </w:t>
      </w:r>
      <w:r w:rsidR="00E003BB" w:rsidRPr="004B2E8C">
        <w:rPr>
          <w:rStyle w:val="Note"/>
          <w:rFonts w:eastAsia="Times New Roman" w:cs="Arial"/>
          <w:sz w:val="22"/>
          <w:lang w:eastAsia="ar-SA"/>
        </w:rPr>
        <w:t>(див. Табл</w:t>
      </w:r>
      <w:r w:rsidR="00FB5079" w:rsidRPr="004B2E8C">
        <w:rPr>
          <w:rStyle w:val="Note"/>
          <w:rFonts w:eastAsia="Times New Roman" w:cs="Arial"/>
          <w:sz w:val="22"/>
          <w:lang w:eastAsia="ar-SA"/>
        </w:rPr>
        <w:t>.</w:t>
      </w:r>
      <w:r w:rsidR="00E003BB" w:rsidRPr="004B2E8C">
        <w:rPr>
          <w:rStyle w:val="Note"/>
          <w:rFonts w:eastAsia="Times New Roman" w:cs="Arial"/>
          <w:sz w:val="22"/>
          <w:lang w:eastAsia="ar-SA"/>
        </w:rPr>
        <w:t xml:space="preserve"> №2) </w:t>
      </w:r>
      <w:r w:rsidRPr="004B2E8C">
        <w:rPr>
          <w:rStyle w:val="Note"/>
          <w:rFonts w:eastAsia="Times New Roman" w:cs="Arial"/>
          <w:sz w:val="22"/>
          <w:lang w:eastAsia="ar-SA"/>
        </w:rPr>
        <w:t>кейс менеджера</w:t>
      </w:r>
    </w:p>
    <w:p w14:paraId="7D0F252A" w14:textId="7D47A15A" w:rsidR="00CD071A" w:rsidRPr="004B2E8C" w:rsidRDefault="00CD071A" w:rsidP="00E003BB">
      <w:pPr>
        <w:pStyle w:val="a3"/>
        <w:numPr>
          <w:ilvl w:val="0"/>
          <w:numId w:val="15"/>
        </w:numPr>
        <w:contextualSpacing/>
        <w:jc w:val="both"/>
        <w:rPr>
          <w:rStyle w:val="Note"/>
          <w:rFonts w:eastAsia="Times New Roman" w:cs="Arial"/>
          <w:sz w:val="22"/>
          <w:lang w:eastAsia="ar-SA"/>
        </w:rPr>
      </w:pPr>
      <w:r w:rsidRPr="004B2E8C">
        <w:rPr>
          <w:rStyle w:val="Note"/>
          <w:rFonts w:eastAsia="Times New Roman" w:cs="Arial"/>
          <w:sz w:val="22"/>
          <w:lang w:eastAsia="ar-SA"/>
        </w:rPr>
        <w:t xml:space="preserve">2516,5 гривень за одного пацієнта на  24 тижнях лікування </w:t>
      </w:r>
      <w:r w:rsidRPr="004B2E8C">
        <w:rPr>
          <w:rStyle w:val="Note"/>
          <w:rFonts w:cs="Arial"/>
          <w:sz w:val="22"/>
        </w:rPr>
        <w:t>відповідно до  семи проміжних показників</w:t>
      </w:r>
      <w:r w:rsidRPr="004B2E8C">
        <w:rPr>
          <w:rStyle w:val="Note"/>
          <w:rFonts w:eastAsia="Times New Roman" w:cs="Arial"/>
          <w:sz w:val="22"/>
          <w:lang w:eastAsia="ar-SA"/>
        </w:rPr>
        <w:t xml:space="preserve">  ефективності роботи </w:t>
      </w:r>
      <w:r w:rsidR="00E003BB" w:rsidRPr="004B2E8C">
        <w:rPr>
          <w:rStyle w:val="Note"/>
          <w:rFonts w:eastAsia="Times New Roman" w:cs="Arial"/>
          <w:sz w:val="22"/>
          <w:lang w:eastAsia="ar-SA"/>
        </w:rPr>
        <w:t xml:space="preserve"> (див. Табл</w:t>
      </w:r>
      <w:r w:rsidR="00FB5079" w:rsidRPr="004B2E8C">
        <w:rPr>
          <w:rStyle w:val="Note"/>
          <w:rFonts w:eastAsia="Times New Roman" w:cs="Arial"/>
          <w:sz w:val="22"/>
          <w:lang w:eastAsia="ar-SA"/>
        </w:rPr>
        <w:t>.</w:t>
      </w:r>
      <w:r w:rsidR="00E003BB" w:rsidRPr="004B2E8C">
        <w:rPr>
          <w:rStyle w:val="Note"/>
          <w:rFonts w:eastAsia="Times New Roman" w:cs="Arial"/>
          <w:sz w:val="22"/>
          <w:lang w:eastAsia="ar-SA"/>
        </w:rPr>
        <w:t xml:space="preserve"> №2)</w:t>
      </w:r>
    </w:p>
    <w:p w14:paraId="3050F7B3" w14:textId="77777777" w:rsidR="00892F39" w:rsidRDefault="00892F39" w:rsidP="00CD071A">
      <w:pPr>
        <w:rPr>
          <w:rStyle w:val="Note"/>
          <w:rFonts w:eastAsia="Times New Roman" w:cs="Arial"/>
          <w:sz w:val="22"/>
          <w:lang w:eastAsia="ar-SA"/>
        </w:rPr>
      </w:pPr>
    </w:p>
    <w:p w14:paraId="46B760CA" w14:textId="132FEAD7" w:rsidR="00CD071A" w:rsidRPr="004B2E8C" w:rsidRDefault="00CD071A" w:rsidP="00CD071A">
      <w:pPr>
        <w:rPr>
          <w:rStyle w:val="Note"/>
          <w:rFonts w:eastAsia="Times New Roman" w:cs="Arial"/>
          <w:sz w:val="22"/>
          <w:lang w:eastAsia="ar-SA"/>
        </w:rPr>
      </w:pPr>
      <w:r w:rsidRPr="004B2E8C">
        <w:rPr>
          <w:rStyle w:val="Note"/>
          <w:rFonts w:eastAsia="Times New Roman" w:cs="Arial"/>
          <w:sz w:val="22"/>
          <w:lang w:eastAsia="ar-SA"/>
        </w:rPr>
        <w:t xml:space="preserve">Вартість </w:t>
      </w:r>
      <w:r w:rsidR="00F4505D" w:rsidRPr="004B2E8C">
        <w:rPr>
          <w:rStyle w:val="Note"/>
          <w:rFonts w:eastAsia="Times New Roman" w:cs="Arial"/>
          <w:sz w:val="22"/>
          <w:lang w:eastAsia="ar-SA"/>
        </w:rPr>
        <w:t xml:space="preserve">виконання </w:t>
      </w:r>
      <w:r w:rsidRPr="004B2E8C">
        <w:rPr>
          <w:rStyle w:val="Note"/>
          <w:rFonts w:eastAsia="Times New Roman" w:cs="Arial"/>
          <w:sz w:val="22"/>
          <w:lang w:eastAsia="ar-SA"/>
        </w:rPr>
        <w:t>одного показника  роботи кейс менеджера скл</w:t>
      </w:r>
      <w:r w:rsidR="004B2E8C">
        <w:rPr>
          <w:rStyle w:val="Note"/>
          <w:rFonts w:eastAsia="Times New Roman" w:cs="Arial"/>
          <w:sz w:val="22"/>
          <w:lang w:eastAsia="ar-SA"/>
        </w:rPr>
        <w:t>адає 359,5 гривень</w:t>
      </w:r>
      <w:r w:rsidRPr="004B2E8C">
        <w:rPr>
          <w:rStyle w:val="Note"/>
          <w:rFonts w:eastAsia="Times New Roman" w:cs="Arial"/>
          <w:lang w:eastAsia="ar-SA"/>
        </w:rPr>
        <w:t>.</w:t>
      </w:r>
    </w:p>
    <w:p w14:paraId="0408FC74" w14:textId="77777777" w:rsidR="00CD071A" w:rsidRPr="004B2E8C" w:rsidRDefault="00CD071A" w:rsidP="00892F39">
      <w:pPr>
        <w:jc w:val="both"/>
        <w:rPr>
          <w:iCs/>
          <w:sz w:val="24"/>
          <w:szCs w:val="24"/>
        </w:rPr>
      </w:pPr>
    </w:p>
    <w:p w14:paraId="67C9A429" w14:textId="3378A167" w:rsidR="00CD071A" w:rsidRPr="00892F39" w:rsidRDefault="00CD071A" w:rsidP="00892F39">
      <w:pPr>
        <w:jc w:val="both"/>
        <w:rPr>
          <w:b/>
          <w:iCs/>
          <w:sz w:val="24"/>
          <w:szCs w:val="24"/>
        </w:rPr>
      </w:pPr>
      <w:r w:rsidRPr="00892F39">
        <w:rPr>
          <w:iCs/>
          <w:sz w:val="24"/>
          <w:szCs w:val="24"/>
        </w:rPr>
        <w:t xml:space="preserve">Таблиця  </w:t>
      </w:r>
      <w:r w:rsidR="00E003BB" w:rsidRPr="00892F39">
        <w:rPr>
          <w:iCs/>
          <w:sz w:val="24"/>
          <w:szCs w:val="24"/>
        </w:rPr>
        <w:t>№2</w:t>
      </w:r>
      <w:r w:rsidR="00E60C48" w:rsidRPr="00892F39">
        <w:rPr>
          <w:b/>
          <w:iCs/>
          <w:sz w:val="24"/>
          <w:szCs w:val="24"/>
        </w:rPr>
        <w:t>.</w:t>
      </w:r>
      <w:r w:rsidR="00E003BB" w:rsidRPr="00892F39">
        <w:rPr>
          <w:b/>
          <w:iCs/>
          <w:sz w:val="24"/>
          <w:szCs w:val="24"/>
        </w:rPr>
        <w:t xml:space="preserve"> </w:t>
      </w:r>
      <w:r w:rsidR="00E60C48" w:rsidRPr="00892F39">
        <w:rPr>
          <w:b/>
          <w:iCs/>
          <w:sz w:val="24"/>
          <w:szCs w:val="24"/>
        </w:rPr>
        <w:t xml:space="preserve">Показники </w:t>
      </w:r>
      <w:r w:rsidR="00A02D55">
        <w:rPr>
          <w:b/>
          <w:iCs/>
          <w:sz w:val="24"/>
          <w:szCs w:val="24"/>
        </w:rPr>
        <w:t xml:space="preserve">результатів </w:t>
      </w:r>
      <w:r w:rsidRPr="00892F39">
        <w:rPr>
          <w:b/>
          <w:iCs/>
          <w:sz w:val="24"/>
          <w:szCs w:val="24"/>
        </w:rPr>
        <w:t>роботи кейс менеджера</w:t>
      </w:r>
    </w:p>
    <w:p w14:paraId="4E8A5B62" w14:textId="77777777" w:rsidR="00E60C48" w:rsidRPr="004B2E8C" w:rsidRDefault="00E60C48" w:rsidP="00CD071A">
      <w:pPr>
        <w:jc w:val="both"/>
        <w:rPr>
          <w:b/>
          <w:i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D071A" w:rsidRPr="004B2E8C" w14:paraId="70BD7A94" w14:textId="77777777" w:rsidTr="004B196E">
        <w:tc>
          <w:tcPr>
            <w:tcW w:w="4672" w:type="dxa"/>
          </w:tcPr>
          <w:p w14:paraId="3DABB7AC" w14:textId="259D2778" w:rsidR="00CD071A" w:rsidRPr="004B2E8C" w:rsidRDefault="00E60C48" w:rsidP="00E60C48">
            <w:pPr>
              <w:ind w:left="360"/>
              <w:contextualSpacing/>
              <w:jc w:val="both"/>
              <w:rPr>
                <w:rStyle w:val="Note"/>
                <w:rFonts w:cs="Arial"/>
                <w:i/>
                <w:sz w:val="22"/>
              </w:rPr>
            </w:pPr>
            <w:r w:rsidRPr="004B2E8C">
              <w:rPr>
                <w:rStyle w:val="Note"/>
                <w:rFonts w:cs="Arial"/>
                <w:i/>
                <w:sz w:val="22"/>
              </w:rPr>
              <w:t xml:space="preserve">  пацієнт</w:t>
            </w:r>
            <w:r w:rsidR="00CD071A" w:rsidRPr="004B2E8C">
              <w:rPr>
                <w:rStyle w:val="Note"/>
                <w:rFonts w:cs="Arial"/>
                <w:i/>
                <w:sz w:val="22"/>
              </w:rPr>
              <w:t xml:space="preserve"> на 12 тижнях лікування</w:t>
            </w:r>
          </w:p>
        </w:tc>
        <w:tc>
          <w:tcPr>
            <w:tcW w:w="4673" w:type="dxa"/>
          </w:tcPr>
          <w:p w14:paraId="3E0AE653" w14:textId="77777777" w:rsidR="00CD071A" w:rsidRPr="004B2E8C" w:rsidRDefault="00E60C48" w:rsidP="00E60C48">
            <w:pPr>
              <w:ind w:left="360"/>
              <w:contextualSpacing/>
              <w:jc w:val="both"/>
              <w:rPr>
                <w:rStyle w:val="Note"/>
                <w:rFonts w:cs="Arial"/>
                <w:i/>
                <w:sz w:val="22"/>
              </w:rPr>
            </w:pPr>
            <w:r w:rsidRPr="004B2E8C">
              <w:rPr>
                <w:rStyle w:val="Note"/>
                <w:rFonts w:cs="Arial"/>
                <w:i/>
                <w:sz w:val="22"/>
              </w:rPr>
              <w:t>пацієнт</w:t>
            </w:r>
            <w:r w:rsidR="00CD071A" w:rsidRPr="004B2E8C">
              <w:rPr>
                <w:rStyle w:val="Note"/>
                <w:rFonts w:cs="Arial"/>
                <w:i/>
                <w:sz w:val="22"/>
              </w:rPr>
              <w:t xml:space="preserve"> на 24 тижнях лікування</w:t>
            </w:r>
          </w:p>
          <w:p w14:paraId="7FB22835" w14:textId="7DC9B3FD" w:rsidR="00E60C48" w:rsidRPr="004B2E8C" w:rsidRDefault="00E60C48" w:rsidP="00E60C48">
            <w:pPr>
              <w:ind w:left="360"/>
              <w:contextualSpacing/>
              <w:jc w:val="both"/>
              <w:rPr>
                <w:rStyle w:val="Note"/>
                <w:rFonts w:cs="Arial"/>
                <w:i/>
                <w:sz w:val="22"/>
              </w:rPr>
            </w:pPr>
          </w:p>
        </w:tc>
      </w:tr>
      <w:tr w:rsidR="00CD071A" w:rsidRPr="004B2E8C" w14:paraId="646A6ECD" w14:textId="77777777" w:rsidTr="004B196E">
        <w:tc>
          <w:tcPr>
            <w:tcW w:w="4672" w:type="dxa"/>
          </w:tcPr>
          <w:p w14:paraId="30146D63" w14:textId="0D596F14" w:rsidR="00CD071A" w:rsidRPr="004B2E8C" w:rsidRDefault="00A02D55" w:rsidP="00E60C48">
            <w:pPr>
              <w:ind w:left="360"/>
              <w:contextualSpacing/>
              <w:rPr>
                <w:rStyle w:val="Note"/>
                <w:rFonts w:cs="Arial"/>
                <w:sz w:val="22"/>
              </w:rPr>
            </w:pPr>
            <w:r>
              <w:rPr>
                <w:rStyle w:val="Note"/>
                <w:rFonts w:cs="Arial"/>
                <w:sz w:val="22"/>
              </w:rPr>
              <w:t>Показники результатів</w:t>
            </w:r>
            <w:r w:rsidR="00CD071A" w:rsidRPr="004B2E8C">
              <w:rPr>
                <w:rStyle w:val="Note"/>
                <w:rFonts w:cs="Arial"/>
                <w:sz w:val="22"/>
              </w:rPr>
              <w:t>:</w:t>
            </w:r>
          </w:p>
          <w:p w14:paraId="5223C29E" w14:textId="77777777" w:rsidR="00E60C48" w:rsidRPr="004B2E8C" w:rsidRDefault="00E60C48" w:rsidP="00E60C48">
            <w:pPr>
              <w:ind w:left="360"/>
              <w:contextualSpacing/>
              <w:rPr>
                <w:rStyle w:val="Note"/>
                <w:rFonts w:cs="Arial"/>
                <w:sz w:val="22"/>
              </w:rPr>
            </w:pPr>
          </w:p>
          <w:p w14:paraId="1AB53EEA" w14:textId="77777777" w:rsidR="00CD071A" w:rsidRPr="004B2E8C" w:rsidRDefault="00CD071A" w:rsidP="00E60C48">
            <w:pPr>
              <w:pStyle w:val="a3"/>
              <w:numPr>
                <w:ilvl w:val="0"/>
                <w:numId w:val="16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Зарахування на лікування та перші 4 тижні  (1-й місяць) утримання на лікуванні</w:t>
            </w:r>
          </w:p>
          <w:p w14:paraId="363B6994" w14:textId="77777777" w:rsidR="00CD071A" w:rsidRPr="004B2E8C" w:rsidRDefault="00CD071A" w:rsidP="00E60C48">
            <w:pPr>
              <w:pStyle w:val="a3"/>
              <w:numPr>
                <w:ilvl w:val="0"/>
                <w:numId w:val="16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8 тижнів (2 місяці) утримання на лікуванні</w:t>
            </w:r>
          </w:p>
          <w:p w14:paraId="204E330D" w14:textId="77777777" w:rsidR="00CD071A" w:rsidRPr="004B2E8C" w:rsidRDefault="00CD071A" w:rsidP="00E60C48">
            <w:pPr>
              <w:pStyle w:val="a3"/>
              <w:numPr>
                <w:ilvl w:val="0"/>
                <w:numId w:val="16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12 тижнів (3 місяці) утримання на лікуванні до повного закінчення</w:t>
            </w:r>
          </w:p>
          <w:p w14:paraId="73093CDB" w14:textId="77777777" w:rsidR="00CD071A" w:rsidRPr="004B2E8C" w:rsidRDefault="00CD071A" w:rsidP="00E60C48">
            <w:pPr>
              <w:pStyle w:val="a3"/>
              <w:numPr>
                <w:ilvl w:val="0"/>
                <w:numId w:val="16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Пацієнт з’явився на фінальну діагностику  через 12 тижнів після закінчення лікування</w:t>
            </w:r>
          </w:p>
          <w:p w14:paraId="4470942C" w14:textId="77777777" w:rsidR="00CD071A" w:rsidRPr="004B2E8C" w:rsidRDefault="00CD071A" w:rsidP="00E60C48">
            <w:pPr>
              <w:ind w:left="360"/>
              <w:contextualSpacing/>
              <w:rPr>
                <w:rStyle w:val="Note"/>
                <w:rFonts w:cs="Arial"/>
                <w:sz w:val="22"/>
              </w:rPr>
            </w:pPr>
          </w:p>
        </w:tc>
        <w:tc>
          <w:tcPr>
            <w:tcW w:w="4673" w:type="dxa"/>
          </w:tcPr>
          <w:p w14:paraId="2DF12424" w14:textId="0B41FE33" w:rsidR="00CD071A" w:rsidRPr="004B2E8C" w:rsidRDefault="00A02D55" w:rsidP="00E60C48">
            <w:pPr>
              <w:ind w:left="360"/>
              <w:contextualSpacing/>
              <w:rPr>
                <w:rStyle w:val="Note"/>
                <w:rFonts w:cs="Arial"/>
                <w:sz w:val="22"/>
              </w:rPr>
            </w:pPr>
            <w:r>
              <w:rPr>
                <w:rStyle w:val="Note"/>
                <w:rFonts w:cs="Arial"/>
                <w:sz w:val="22"/>
              </w:rPr>
              <w:t xml:space="preserve">Показники </w:t>
            </w:r>
            <w:r w:rsidRPr="004B2E8C">
              <w:rPr>
                <w:rStyle w:val="Note"/>
                <w:rFonts w:cs="Arial"/>
                <w:sz w:val="22"/>
              </w:rPr>
              <w:t>результат</w:t>
            </w:r>
            <w:r>
              <w:rPr>
                <w:rStyle w:val="Note"/>
                <w:rFonts w:cs="Arial"/>
                <w:sz w:val="22"/>
              </w:rPr>
              <w:t>ів</w:t>
            </w:r>
            <w:r w:rsidR="00CD071A" w:rsidRPr="004B2E8C">
              <w:rPr>
                <w:rStyle w:val="Note"/>
                <w:rFonts w:cs="Arial"/>
                <w:sz w:val="22"/>
              </w:rPr>
              <w:t>:</w:t>
            </w:r>
          </w:p>
          <w:p w14:paraId="73D823BF" w14:textId="77777777" w:rsidR="00E60C48" w:rsidRPr="004B2E8C" w:rsidRDefault="00E60C48" w:rsidP="00E60C48">
            <w:pPr>
              <w:ind w:left="360"/>
              <w:contextualSpacing/>
              <w:rPr>
                <w:rStyle w:val="Note"/>
                <w:rFonts w:cs="Arial"/>
                <w:sz w:val="22"/>
              </w:rPr>
            </w:pPr>
          </w:p>
          <w:p w14:paraId="17044FD9" w14:textId="77777777" w:rsidR="00CD071A" w:rsidRPr="004B2E8C" w:rsidRDefault="00CD071A" w:rsidP="00E60C48">
            <w:pPr>
              <w:pStyle w:val="a3"/>
              <w:numPr>
                <w:ilvl w:val="0"/>
                <w:numId w:val="17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Зарахування на лікування та перші 4 тижні  (1-й місяць) утримання на лікуванні</w:t>
            </w:r>
          </w:p>
          <w:p w14:paraId="1B77F859" w14:textId="77777777" w:rsidR="00CD071A" w:rsidRPr="004B2E8C" w:rsidRDefault="00CD071A" w:rsidP="00E60C48">
            <w:pPr>
              <w:pStyle w:val="a3"/>
              <w:numPr>
                <w:ilvl w:val="0"/>
                <w:numId w:val="17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8 тижнів (2 місяці) утримання на лікуванні</w:t>
            </w:r>
          </w:p>
          <w:p w14:paraId="647F30DE" w14:textId="77777777" w:rsidR="00CD071A" w:rsidRPr="004B2E8C" w:rsidRDefault="00CD071A" w:rsidP="00E60C48">
            <w:pPr>
              <w:pStyle w:val="a3"/>
              <w:numPr>
                <w:ilvl w:val="0"/>
                <w:numId w:val="17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 xml:space="preserve">12 тижнів (3 місяці) утримання на лікуванні </w:t>
            </w:r>
          </w:p>
          <w:p w14:paraId="7E8299E0" w14:textId="77777777" w:rsidR="00CD071A" w:rsidRPr="004B2E8C" w:rsidRDefault="00CD071A" w:rsidP="00E60C48">
            <w:pPr>
              <w:pStyle w:val="a3"/>
              <w:numPr>
                <w:ilvl w:val="0"/>
                <w:numId w:val="17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16 тижнів (4 місяці) утримання на лікуванні</w:t>
            </w:r>
          </w:p>
          <w:p w14:paraId="73560F6C" w14:textId="77777777" w:rsidR="00CD071A" w:rsidRPr="004B2E8C" w:rsidRDefault="00CD071A" w:rsidP="00E60C48">
            <w:pPr>
              <w:pStyle w:val="a3"/>
              <w:numPr>
                <w:ilvl w:val="0"/>
                <w:numId w:val="17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20 тижнів (5 місяців) утримання на лікуванні</w:t>
            </w:r>
          </w:p>
          <w:p w14:paraId="479A958D" w14:textId="77777777" w:rsidR="00CD071A" w:rsidRPr="004B2E8C" w:rsidRDefault="00CD071A" w:rsidP="00E60C48">
            <w:pPr>
              <w:pStyle w:val="a3"/>
              <w:numPr>
                <w:ilvl w:val="0"/>
                <w:numId w:val="17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24 тижні (6 місяців) утримання на лікуванні до повного закінчення</w:t>
            </w:r>
          </w:p>
          <w:p w14:paraId="10680AAE" w14:textId="77777777" w:rsidR="00CD071A" w:rsidRPr="004B2E8C" w:rsidRDefault="00CD071A" w:rsidP="00E60C48">
            <w:pPr>
              <w:pStyle w:val="a3"/>
              <w:numPr>
                <w:ilvl w:val="0"/>
                <w:numId w:val="17"/>
              </w:numPr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>Пацієнт з’явився на фінальну діагностику  через 12 тижнів після закінчення лікування</w:t>
            </w:r>
          </w:p>
          <w:p w14:paraId="026E817E" w14:textId="77777777" w:rsidR="00CD071A" w:rsidRPr="004B2E8C" w:rsidRDefault="00CD071A" w:rsidP="00E60C48">
            <w:pPr>
              <w:ind w:left="360"/>
              <w:contextualSpacing/>
              <w:rPr>
                <w:rStyle w:val="Note"/>
                <w:rFonts w:cs="Arial"/>
                <w:sz w:val="22"/>
              </w:rPr>
            </w:pPr>
            <w:r w:rsidRPr="004B2E8C">
              <w:rPr>
                <w:rStyle w:val="Note"/>
                <w:rFonts w:cs="Arial"/>
                <w:sz w:val="22"/>
              </w:rPr>
              <w:t xml:space="preserve"> </w:t>
            </w:r>
          </w:p>
        </w:tc>
      </w:tr>
    </w:tbl>
    <w:p w14:paraId="3379F588" w14:textId="77777777" w:rsidR="00A02D55" w:rsidRDefault="00A02D55" w:rsidP="003326A0">
      <w:pPr>
        <w:jc w:val="both"/>
        <w:rPr>
          <w:rStyle w:val="Paragraphname"/>
          <w:rFonts w:cs="Arial"/>
          <w:b/>
        </w:rPr>
      </w:pPr>
    </w:p>
    <w:p w14:paraId="45B6EDE8" w14:textId="55B12946" w:rsidR="003326A0" w:rsidRPr="004B2E8C" w:rsidRDefault="00582903" w:rsidP="003326A0">
      <w:pPr>
        <w:jc w:val="both"/>
        <w:rPr>
          <w:rStyle w:val="Paragraphname"/>
          <w:rFonts w:cs="Arial"/>
          <w:b/>
        </w:rPr>
      </w:pPr>
      <w:r w:rsidRPr="004B2E8C">
        <w:rPr>
          <w:rStyle w:val="Paragraphname"/>
          <w:rFonts w:cs="Arial"/>
          <w:b/>
        </w:rPr>
        <w:lastRenderedPageBreak/>
        <w:t xml:space="preserve">Персонал </w:t>
      </w:r>
    </w:p>
    <w:p w14:paraId="5BA25DA2" w14:textId="77777777" w:rsidR="003326A0" w:rsidRPr="004B2E8C" w:rsidRDefault="003326A0" w:rsidP="003326A0">
      <w:pPr>
        <w:rPr>
          <w:rFonts w:ascii="Arial" w:hAnsi="Arial" w:cs="Arial"/>
        </w:rPr>
      </w:pPr>
    </w:p>
    <w:tbl>
      <w:tblPr>
        <w:tblW w:w="9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6304"/>
      </w:tblGrid>
      <w:tr w:rsidR="003326A0" w:rsidRPr="004B2E8C" w14:paraId="224D210F" w14:textId="77777777" w:rsidTr="003326A0">
        <w:trPr>
          <w:trHeight w:val="230"/>
        </w:trPr>
        <w:tc>
          <w:tcPr>
            <w:tcW w:w="3192" w:type="dxa"/>
            <w:shd w:val="clear" w:color="auto" w:fill="BFBFBF"/>
          </w:tcPr>
          <w:p w14:paraId="7EEEE797" w14:textId="77777777" w:rsidR="003326A0" w:rsidRPr="004B2E8C" w:rsidRDefault="003326A0" w:rsidP="000426D6">
            <w:pPr>
              <w:jc w:val="center"/>
              <w:rPr>
                <w:rFonts w:ascii="Arial" w:hAnsi="Arial" w:cs="Arial"/>
                <w:b/>
              </w:rPr>
            </w:pPr>
            <w:r w:rsidRPr="004B2E8C">
              <w:rPr>
                <w:rFonts w:ascii="Arial" w:hAnsi="Arial" w:cs="Arial"/>
                <w:b/>
              </w:rPr>
              <w:t>Посада</w:t>
            </w:r>
          </w:p>
        </w:tc>
        <w:tc>
          <w:tcPr>
            <w:tcW w:w="6304" w:type="dxa"/>
            <w:shd w:val="clear" w:color="auto" w:fill="BFBFBF"/>
          </w:tcPr>
          <w:p w14:paraId="2E378098" w14:textId="77777777" w:rsidR="003326A0" w:rsidRPr="004B2E8C" w:rsidRDefault="003326A0" w:rsidP="000426D6">
            <w:pPr>
              <w:jc w:val="center"/>
              <w:rPr>
                <w:rFonts w:ascii="Arial" w:hAnsi="Arial" w:cs="Arial"/>
                <w:b/>
              </w:rPr>
            </w:pPr>
            <w:r w:rsidRPr="004B2E8C">
              <w:rPr>
                <w:rFonts w:ascii="Arial" w:hAnsi="Arial" w:cs="Arial"/>
                <w:b/>
              </w:rPr>
              <w:t>Функціональні обов’язки</w:t>
            </w:r>
          </w:p>
        </w:tc>
      </w:tr>
      <w:tr w:rsidR="003326A0" w:rsidRPr="004B2E8C" w14:paraId="36DF98E5" w14:textId="77777777" w:rsidTr="003326A0">
        <w:trPr>
          <w:trHeight w:val="1192"/>
        </w:trPr>
        <w:tc>
          <w:tcPr>
            <w:tcW w:w="3192" w:type="dxa"/>
            <w:shd w:val="clear" w:color="auto" w:fill="D9D9D9"/>
          </w:tcPr>
          <w:p w14:paraId="03FA0E20" w14:textId="55B6B978" w:rsidR="003326A0" w:rsidRPr="004B2E8C" w:rsidRDefault="00302DF6" w:rsidP="00302DF6">
            <w:pPr>
              <w:rPr>
                <w:rFonts w:ascii="Arial" w:hAnsi="Arial" w:cs="Arial"/>
                <w:b/>
              </w:rPr>
            </w:pPr>
            <w:r w:rsidRPr="004B2E8C">
              <w:rPr>
                <w:rFonts w:ascii="Arial" w:hAnsi="Arial" w:cs="Arial"/>
              </w:rPr>
              <w:t>Керівник</w:t>
            </w:r>
            <w:r w:rsidR="00582903" w:rsidRPr="004B2E8C">
              <w:rPr>
                <w:rFonts w:ascii="Arial" w:hAnsi="Arial" w:cs="Arial"/>
                <w:lang w:val="en-US"/>
              </w:rPr>
              <w:t xml:space="preserve"> </w:t>
            </w:r>
            <w:r w:rsidR="00582903" w:rsidRPr="004B2E8C">
              <w:rPr>
                <w:rFonts w:ascii="Arial" w:hAnsi="Arial" w:cs="Arial"/>
              </w:rPr>
              <w:t>компоненту</w:t>
            </w:r>
            <w:r w:rsidRPr="004B2E8C">
              <w:rPr>
                <w:rFonts w:ascii="Arial" w:hAnsi="Arial" w:cs="Arial"/>
                <w:lang w:val="en-US"/>
              </w:rPr>
              <w:t xml:space="preserve"> лікування ВГС</w:t>
            </w:r>
          </w:p>
        </w:tc>
        <w:tc>
          <w:tcPr>
            <w:tcW w:w="6304" w:type="dxa"/>
          </w:tcPr>
          <w:p w14:paraId="2AFC94A7" w14:textId="17D9B53D" w:rsidR="003326A0" w:rsidRPr="004B2E8C" w:rsidRDefault="00F20C05" w:rsidP="007C54D1">
            <w:pPr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 xml:space="preserve">Здійснює загальне </w:t>
            </w:r>
            <w:r w:rsidR="000B2904" w:rsidRPr="004B2E8C">
              <w:rPr>
                <w:rFonts w:ascii="Arial" w:hAnsi="Arial" w:cs="Arial"/>
              </w:rPr>
              <w:t xml:space="preserve">керівництво </w:t>
            </w:r>
            <w:r w:rsidR="00582903" w:rsidRPr="004B2E8C">
              <w:rPr>
                <w:rFonts w:ascii="Arial" w:hAnsi="Arial" w:cs="Arial"/>
              </w:rPr>
              <w:t xml:space="preserve">компонентом </w:t>
            </w:r>
            <w:r w:rsidR="007C54D1" w:rsidRPr="004B2E8C">
              <w:rPr>
                <w:rFonts w:ascii="Arial" w:hAnsi="Arial" w:cs="Arial"/>
              </w:rPr>
              <w:t xml:space="preserve">ведення випадків </w:t>
            </w:r>
            <w:r w:rsidR="00582903" w:rsidRPr="004B2E8C">
              <w:rPr>
                <w:rFonts w:ascii="Arial" w:hAnsi="Arial" w:cs="Arial"/>
              </w:rPr>
              <w:t>лікування ВГС</w:t>
            </w:r>
            <w:r w:rsidR="003326A0" w:rsidRPr="004B2E8C">
              <w:rPr>
                <w:rFonts w:ascii="Arial" w:hAnsi="Arial" w:cs="Arial"/>
              </w:rPr>
              <w:t xml:space="preserve">, </w:t>
            </w:r>
            <w:r w:rsidRPr="004B2E8C">
              <w:rPr>
                <w:rFonts w:ascii="Arial" w:hAnsi="Arial" w:cs="Arial"/>
              </w:rPr>
              <w:t>забезпечує координацію</w:t>
            </w:r>
            <w:r w:rsidR="003326A0" w:rsidRPr="004B2E8C">
              <w:rPr>
                <w:rFonts w:ascii="Arial" w:hAnsi="Arial" w:cs="Arial"/>
              </w:rPr>
              <w:t xml:space="preserve"> </w:t>
            </w:r>
            <w:r w:rsidRPr="004B2E8C">
              <w:rPr>
                <w:rFonts w:ascii="Arial" w:hAnsi="Arial" w:cs="Arial"/>
              </w:rPr>
              <w:t xml:space="preserve">роботи </w:t>
            </w:r>
            <w:r w:rsidR="00582903" w:rsidRPr="004B2E8C">
              <w:rPr>
                <w:rFonts w:ascii="Arial" w:hAnsi="Arial" w:cs="Arial"/>
              </w:rPr>
              <w:t>кейс менеджерів</w:t>
            </w:r>
            <w:r w:rsidRPr="004B2E8C">
              <w:rPr>
                <w:rFonts w:ascii="Arial" w:hAnsi="Arial" w:cs="Arial"/>
              </w:rPr>
              <w:t>, організує робочі зустрічі</w:t>
            </w:r>
            <w:r w:rsidR="00060AD3" w:rsidRPr="004B2E8C">
              <w:rPr>
                <w:rFonts w:ascii="Arial" w:hAnsi="Arial" w:cs="Arial"/>
              </w:rPr>
              <w:t xml:space="preserve">, проводить внутрішній моніторинг діяльності  </w:t>
            </w:r>
            <w:r w:rsidR="00F4505D" w:rsidRPr="004B2E8C">
              <w:rPr>
                <w:rFonts w:ascii="Arial" w:hAnsi="Arial" w:cs="Arial"/>
              </w:rPr>
              <w:t>кейс менеджерів</w:t>
            </w:r>
            <w:r w:rsidR="007C54D1" w:rsidRPr="004B2E8C">
              <w:rPr>
                <w:rFonts w:ascii="Arial" w:hAnsi="Arial" w:cs="Arial"/>
              </w:rPr>
              <w:t xml:space="preserve"> (розуміння завдань та умов зарахування на лікування, темпи набору пацієнтів на лікування, проведення трьох сесій з профілактики повторного  інфікування та явку на фінальну діагностику тощо), </w:t>
            </w:r>
            <w:r w:rsidR="00060AD3" w:rsidRPr="004B2E8C">
              <w:rPr>
                <w:rFonts w:ascii="Arial" w:hAnsi="Arial" w:cs="Arial"/>
              </w:rPr>
              <w:t>забезпечує співпрацю</w:t>
            </w:r>
            <w:r w:rsidR="003326A0" w:rsidRPr="004B2E8C">
              <w:rPr>
                <w:rFonts w:ascii="Arial" w:hAnsi="Arial" w:cs="Arial"/>
              </w:rPr>
              <w:t xml:space="preserve"> з </w:t>
            </w:r>
            <w:r w:rsidR="00F4505D" w:rsidRPr="004B2E8C">
              <w:rPr>
                <w:rFonts w:ascii="Arial" w:hAnsi="Arial" w:cs="Arial"/>
              </w:rPr>
              <w:t xml:space="preserve">медичним персоналом та </w:t>
            </w:r>
            <w:r w:rsidR="003326A0" w:rsidRPr="004B2E8C">
              <w:rPr>
                <w:rFonts w:ascii="Arial" w:hAnsi="Arial" w:cs="Arial"/>
              </w:rPr>
              <w:t xml:space="preserve">керівництвом </w:t>
            </w:r>
            <w:r w:rsidR="00060AD3" w:rsidRPr="004B2E8C">
              <w:rPr>
                <w:rFonts w:ascii="Arial" w:hAnsi="Arial" w:cs="Arial"/>
              </w:rPr>
              <w:t>ЗОЗ</w:t>
            </w:r>
            <w:r w:rsidR="003326A0" w:rsidRPr="004B2E8C">
              <w:rPr>
                <w:rFonts w:ascii="Arial" w:hAnsi="Arial" w:cs="Arial"/>
              </w:rPr>
              <w:t xml:space="preserve">, </w:t>
            </w:r>
            <w:r w:rsidR="00060AD3" w:rsidRPr="004B2E8C">
              <w:rPr>
                <w:rFonts w:ascii="Arial" w:hAnsi="Arial" w:cs="Arial"/>
              </w:rPr>
              <w:t xml:space="preserve">контролює ведення документації, якість та </w:t>
            </w:r>
            <w:r w:rsidR="00F4505D" w:rsidRPr="004B2E8C">
              <w:rPr>
                <w:rFonts w:ascii="Arial" w:hAnsi="Arial" w:cs="Arial"/>
              </w:rPr>
              <w:t xml:space="preserve"> своєчасність </w:t>
            </w:r>
            <w:r w:rsidR="007C54D1" w:rsidRPr="004B2E8C">
              <w:rPr>
                <w:rFonts w:ascii="Arial" w:hAnsi="Arial" w:cs="Arial"/>
              </w:rPr>
              <w:t xml:space="preserve">подання </w:t>
            </w:r>
            <w:r w:rsidR="00F4505D" w:rsidRPr="004B2E8C">
              <w:rPr>
                <w:rFonts w:ascii="Arial" w:hAnsi="Arial" w:cs="Arial"/>
              </w:rPr>
              <w:t>звітності</w:t>
            </w:r>
            <w:r w:rsidR="007C54D1" w:rsidRPr="004B2E8C">
              <w:rPr>
                <w:rFonts w:ascii="Arial" w:hAnsi="Arial" w:cs="Arial"/>
              </w:rPr>
              <w:t xml:space="preserve"> до Альянсу тощо</w:t>
            </w:r>
            <w:r w:rsidR="003326A0" w:rsidRPr="004B2E8C">
              <w:rPr>
                <w:rFonts w:ascii="Arial" w:hAnsi="Arial" w:cs="Arial"/>
              </w:rPr>
              <w:t>.</w:t>
            </w:r>
          </w:p>
        </w:tc>
      </w:tr>
      <w:tr w:rsidR="003326A0" w:rsidRPr="004B2E8C" w14:paraId="65F784A2" w14:textId="77777777" w:rsidTr="003326A0">
        <w:trPr>
          <w:trHeight w:val="273"/>
        </w:trPr>
        <w:tc>
          <w:tcPr>
            <w:tcW w:w="3192" w:type="dxa"/>
            <w:shd w:val="clear" w:color="auto" w:fill="D9D9D9"/>
          </w:tcPr>
          <w:p w14:paraId="3AF954F2" w14:textId="48AC0BC1" w:rsidR="003326A0" w:rsidRPr="004B2E8C" w:rsidRDefault="000F6B7E" w:rsidP="00060AD3">
            <w:pPr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Бухгалтер</w:t>
            </w:r>
          </w:p>
          <w:p w14:paraId="0A3C93E5" w14:textId="77777777" w:rsidR="003326A0" w:rsidRPr="004B2E8C" w:rsidRDefault="003326A0" w:rsidP="00060AD3">
            <w:pPr>
              <w:rPr>
                <w:rFonts w:ascii="Arial" w:hAnsi="Arial" w:cs="Arial"/>
              </w:rPr>
            </w:pPr>
          </w:p>
        </w:tc>
        <w:tc>
          <w:tcPr>
            <w:tcW w:w="6304" w:type="dxa"/>
          </w:tcPr>
          <w:p w14:paraId="510272B6" w14:textId="01949F85" w:rsidR="003326A0" w:rsidRPr="004B2E8C" w:rsidRDefault="00060AD3" w:rsidP="00060AD3">
            <w:pPr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 xml:space="preserve">Забезпечує ведення  </w:t>
            </w:r>
            <w:r w:rsidR="003326A0" w:rsidRPr="004B2E8C">
              <w:rPr>
                <w:rFonts w:ascii="Arial" w:hAnsi="Arial" w:cs="Arial"/>
              </w:rPr>
              <w:t>бухгалтерської діяльності</w:t>
            </w:r>
            <w:r w:rsidRPr="004B2E8C">
              <w:rPr>
                <w:rFonts w:ascii="Arial" w:hAnsi="Arial" w:cs="Arial"/>
              </w:rPr>
              <w:t xml:space="preserve"> та обліку витрат часу</w:t>
            </w:r>
            <w:r w:rsidR="003326A0" w:rsidRPr="004B2E8C">
              <w:rPr>
                <w:rFonts w:ascii="Arial" w:hAnsi="Arial" w:cs="Arial"/>
              </w:rPr>
              <w:t>, надання фінансової звітності</w:t>
            </w:r>
            <w:r w:rsidR="007C54D1" w:rsidRPr="004B2E8C">
              <w:rPr>
                <w:rFonts w:ascii="Arial" w:hAnsi="Arial" w:cs="Arial"/>
              </w:rPr>
              <w:t xml:space="preserve"> Альянсу</w:t>
            </w:r>
            <w:r w:rsidRPr="004B2E8C">
              <w:rPr>
                <w:rFonts w:ascii="Arial" w:hAnsi="Arial" w:cs="Arial"/>
              </w:rPr>
              <w:t xml:space="preserve"> </w:t>
            </w:r>
          </w:p>
        </w:tc>
      </w:tr>
      <w:tr w:rsidR="003326A0" w:rsidRPr="004B2E8C" w14:paraId="7E8F16FC" w14:textId="77777777" w:rsidTr="003326A0">
        <w:trPr>
          <w:trHeight w:val="1464"/>
        </w:trPr>
        <w:tc>
          <w:tcPr>
            <w:tcW w:w="3192" w:type="dxa"/>
            <w:shd w:val="clear" w:color="auto" w:fill="D9D9D9"/>
          </w:tcPr>
          <w:p w14:paraId="63A836DB" w14:textId="71C9D64F" w:rsidR="003326A0" w:rsidRPr="004B2E8C" w:rsidRDefault="00C07DC4" w:rsidP="00060AD3">
            <w:pPr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Кейс менеджер</w:t>
            </w:r>
          </w:p>
        </w:tc>
        <w:tc>
          <w:tcPr>
            <w:tcW w:w="6304" w:type="dxa"/>
          </w:tcPr>
          <w:p w14:paraId="474D6100" w14:textId="3C2FDFF9" w:rsidR="003326A0" w:rsidRPr="004B2E8C" w:rsidRDefault="007C54D1" w:rsidP="00066F7E">
            <w:pPr>
              <w:jc w:val="both"/>
              <w:rPr>
                <w:rStyle w:val="Note"/>
                <w:rFonts w:cs="Arial"/>
                <w:sz w:val="22"/>
              </w:rPr>
            </w:pPr>
            <w:r w:rsidRPr="004B2E8C">
              <w:rPr>
                <w:rFonts w:ascii="Arial" w:hAnsi="Arial" w:cs="Arial"/>
              </w:rPr>
              <w:t>Виконує всі визначені вище</w:t>
            </w:r>
            <w:r w:rsidR="00060AD3" w:rsidRPr="004B2E8C">
              <w:rPr>
                <w:rFonts w:ascii="Arial" w:hAnsi="Arial" w:cs="Arial"/>
              </w:rPr>
              <w:t xml:space="preserve"> завдання</w:t>
            </w:r>
            <w:r w:rsidRPr="004B2E8C">
              <w:rPr>
                <w:rFonts w:ascii="Tahoma" w:eastAsia="Tahoma" w:hAnsi="Tahoma" w:cs="Tahoma"/>
                <w:b/>
              </w:rPr>
              <w:t xml:space="preserve"> </w:t>
            </w:r>
            <w:r w:rsidRPr="004B2E8C">
              <w:rPr>
                <w:rFonts w:ascii="Tahoma" w:eastAsia="Tahoma" w:hAnsi="Tahoma" w:cs="Tahoma"/>
              </w:rPr>
              <w:t>обумовлені діяльністю за програмним компонентом лікування ВГС</w:t>
            </w:r>
            <w:r w:rsidR="00060AD3" w:rsidRPr="004B2E8C">
              <w:rPr>
                <w:rFonts w:ascii="Arial" w:hAnsi="Arial" w:cs="Arial"/>
              </w:rPr>
              <w:t>; бере участь в тренінгу, що організує Альянс; розробляє індивідуальні плани супроводу пацієнтів, проводить індивідуальні консультації та  групову роботу з пацієнтами</w:t>
            </w:r>
            <w:r w:rsidR="003326A0" w:rsidRPr="004B2E8C">
              <w:rPr>
                <w:rFonts w:ascii="Arial" w:hAnsi="Arial" w:cs="Arial"/>
              </w:rPr>
              <w:t>, супровід (за необхідністю) клієнтів до інших НУО, ЗОЗ, державних закладів для отримання інших послуг під ч</w:t>
            </w:r>
            <w:r w:rsidR="00F4505D" w:rsidRPr="004B2E8C">
              <w:rPr>
                <w:rFonts w:ascii="Arial" w:hAnsi="Arial" w:cs="Arial"/>
              </w:rPr>
              <w:t>ас та після завершення лікування</w:t>
            </w:r>
            <w:r w:rsidR="003326A0" w:rsidRPr="004B2E8C">
              <w:rPr>
                <w:rFonts w:ascii="Arial" w:hAnsi="Arial" w:cs="Arial"/>
              </w:rPr>
              <w:t xml:space="preserve">, </w:t>
            </w:r>
            <w:r w:rsidR="00F4505D" w:rsidRPr="004B2E8C">
              <w:rPr>
                <w:rFonts w:ascii="Arial" w:hAnsi="Arial" w:cs="Arial"/>
              </w:rPr>
              <w:t>підтримує</w:t>
            </w:r>
            <w:r w:rsidR="00060AD3" w:rsidRPr="004B2E8C">
              <w:rPr>
                <w:rFonts w:ascii="Arial" w:hAnsi="Arial" w:cs="Arial"/>
              </w:rPr>
              <w:t xml:space="preserve"> співпрацю</w:t>
            </w:r>
            <w:r w:rsidR="003326A0" w:rsidRPr="004B2E8C">
              <w:rPr>
                <w:rFonts w:ascii="Arial" w:hAnsi="Arial" w:cs="Arial"/>
              </w:rPr>
              <w:t xml:space="preserve"> із медичним персонало</w:t>
            </w:r>
            <w:r w:rsidR="00060AD3" w:rsidRPr="004B2E8C">
              <w:rPr>
                <w:rFonts w:ascii="Arial" w:hAnsi="Arial" w:cs="Arial"/>
              </w:rPr>
              <w:t>м, який проводить лікування ВГС</w:t>
            </w:r>
            <w:r w:rsidR="00066F7E" w:rsidRPr="004B2E8C">
              <w:rPr>
                <w:rFonts w:ascii="Arial" w:hAnsi="Arial" w:cs="Arial"/>
              </w:rPr>
              <w:t xml:space="preserve"> тощо</w:t>
            </w:r>
            <w:r w:rsidR="00060AD3" w:rsidRPr="004B2E8C">
              <w:rPr>
                <w:rFonts w:ascii="Arial" w:hAnsi="Arial" w:cs="Arial"/>
              </w:rPr>
              <w:t>;</w:t>
            </w:r>
            <w:r w:rsidR="003326A0" w:rsidRPr="004B2E8C">
              <w:rPr>
                <w:rFonts w:ascii="Arial" w:hAnsi="Arial" w:cs="Arial"/>
              </w:rPr>
              <w:t xml:space="preserve"> </w:t>
            </w:r>
            <w:r w:rsidR="00060AD3" w:rsidRPr="004B2E8C">
              <w:rPr>
                <w:rStyle w:val="Note"/>
                <w:rFonts w:cs="Arial"/>
                <w:sz w:val="22"/>
              </w:rPr>
              <w:t>проводить сесії з профілактики повторного інфікування;</w:t>
            </w:r>
            <w:r w:rsidR="00B774AC" w:rsidRPr="004B2E8C">
              <w:rPr>
                <w:rStyle w:val="Note"/>
                <w:rFonts w:cs="Arial"/>
                <w:sz w:val="22"/>
              </w:rPr>
              <w:t xml:space="preserve"> забезпечує </w:t>
            </w:r>
            <w:r w:rsidR="00EC101D" w:rsidRPr="004B2E8C">
              <w:rPr>
                <w:rStyle w:val="Note"/>
                <w:rFonts w:cs="Arial"/>
                <w:sz w:val="22"/>
              </w:rPr>
              <w:t>доведення пацієн</w:t>
            </w:r>
            <w:r w:rsidR="00B774AC" w:rsidRPr="004B2E8C">
              <w:rPr>
                <w:rStyle w:val="Note"/>
                <w:rFonts w:cs="Arial"/>
                <w:sz w:val="22"/>
              </w:rPr>
              <w:t>та до фінальної діагностики,</w:t>
            </w:r>
            <w:r w:rsidR="0034397D" w:rsidRPr="004B2E8C">
              <w:rPr>
                <w:rStyle w:val="Note"/>
                <w:rFonts w:cs="Arial"/>
                <w:sz w:val="22"/>
              </w:rPr>
              <w:t xml:space="preserve"> готує звіти та </w:t>
            </w:r>
            <w:r w:rsidR="003326A0" w:rsidRPr="004B2E8C">
              <w:rPr>
                <w:rStyle w:val="Note"/>
                <w:rFonts w:cs="Arial"/>
                <w:sz w:val="22"/>
              </w:rPr>
              <w:t xml:space="preserve"> </w:t>
            </w:r>
            <w:r w:rsidR="0034397D" w:rsidRPr="004B2E8C">
              <w:rPr>
                <w:rFonts w:ascii="Arial" w:hAnsi="Arial" w:cs="Arial"/>
              </w:rPr>
              <w:t>веде документац</w:t>
            </w:r>
            <w:r w:rsidR="00816868" w:rsidRPr="004B2E8C">
              <w:rPr>
                <w:rFonts w:ascii="Arial" w:hAnsi="Arial" w:cs="Arial"/>
              </w:rPr>
              <w:t>і</w:t>
            </w:r>
            <w:r w:rsidR="0034397D" w:rsidRPr="004B2E8C">
              <w:rPr>
                <w:rFonts w:ascii="Arial" w:hAnsi="Arial" w:cs="Arial"/>
              </w:rPr>
              <w:t>ю.</w:t>
            </w:r>
            <w:r w:rsidR="003326A0" w:rsidRPr="004B2E8C">
              <w:rPr>
                <w:rFonts w:ascii="Arial" w:hAnsi="Arial" w:cs="Arial"/>
              </w:rPr>
              <w:t xml:space="preserve"> </w:t>
            </w:r>
          </w:p>
        </w:tc>
      </w:tr>
    </w:tbl>
    <w:p w14:paraId="5271C785" w14:textId="77777777" w:rsidR="003326A0" w:rsidRPr="004B2E8C" w:rsidRDefault="003326A0" w:rsidP="003326A0">
      <w:pPr>
        <w:tabs>
          <w:tab w:val="left" w:pos="0"/>
        </w:tabs>
        <w:jc w:val="both"/>
        <w:rPr>
          <w:rFonts w:ascii="Arial" w:hAnsi="Arial" w:cs="Arial"/>
        </w:rPr>
      </w:pPr>
    </w:p>
    <w:p w14:paraId="6750A845" w14:textId="230623FD" w:rsidR="00A83BBC" w:rsidRPr="004B2E8C" w:rsidRDefault="00A83BBC" w:rsidP="00A83BBC">
      <w:pPr>
        <w:jc w:val="both"/>
        <w:rPr>
          <w:rFonts w:ascii="Arial" w:eastAsia="Tahoma" w:hAnsi="Arial" w:cs="Arial"/>
          <w:b/>
        </w:rPr>
      </w:pPr>
      <w:r w:rsidRPr="004B2E8C">
        <w:rPr>
          <w:rFonts w:ascii="Arial" w:eastAsia="Tahoma" w:hAnsi="Arial" w:cs="Arial"/>
          <w:b/>
        </w:rPr>
        <w:t>Критерії ефективності діяльності:</w:t>
      </w:r>
    </w:p>
    <w:p w14:paraId="30A59A05" w14:textId="77777777" w:rsidR="007D5451" w:rsidRPr="004B2E8C" w:rsidRDefault="007D5451" w:rsidP="000426D6">
      <w:pPr>
        <w:jc w:val="center"/>
        <w:rPr>
          <w:rFonts w:ascii="Arial" w:eastAsia="Tahoma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949"/>
        <w:gridCol w:w="3892"/>
        <w:gridCol w:w="1979"/>
      </w:tblGrid>
      <w:tr w:rsidR="00C06627" w:rsidRPr="004B2E8C" w14:paraId="01A6FDF4" w14:textId="77777777" w:rsidTr="000426D6">
        <w:tc>
          <w:tcPr>
            <w:tcW w:w="525" w:type="dxa"/>
            <w:shd w:val="clear" w:color="auto" w:fill="BFBFBF"/>
          </w:tcPr>
          <w:p w14:paraId="1C545EAC" w14:textId="77777777" w:rsidR="00C06627" w:rsidRPr="004B2E8C" w:rsidRDefault="00C06627" w:rsidP="00060AD3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4B2E8C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2949" w:type="dxa"/>
            <w:shd w:val="clear" w:color="auto" w:fill="BFBFBF"/>
          </w:tcPr>
          <w:p w14:paraId="6BC0ACC5" w14:textId="77777777" w:rsidR="00C06627" w:rsidRPr="004B2E8C" w:rsidRDefault="00C06627" w:rsidP="000426D6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4B2E8C">
              <w:rPr>
                <w:rFonts w:ascii="Arial" w:hAnsi="Arial" w:cs="Arial"/>
                <w:b/>
              </w:rPr>
              <w:t>Назва індикатора</w:t>
            </w:r>
          </w:p>
        </w:tc>
        <w:tc>
          <w:tcPr>
            <w:tcW w:w="3892" w:type="dxa"/>
            <w:shd w:val="clear" w:color="auto" w:fill="BFBFBF"/>
          </w:tcPr>
          <w:p w14:paraId="59B0FBEC" w14:textId="77777777" w:rsidR="00C06627" w:rsidRPr="004B2E8C" w:rsidRDefault="00C06627" w:rsidP="00060AD3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</w:rPr>
            </w:pPr>
            <w:r w:rsidRPr="004B2E8C">
              <w:rPr>
                <w:rFonts w:ascii="Arial" w:hAnsi="Arial" w:cs="Arial"/>
                <w:b/>
              </w:rPr>
              <w:t>Очікуваний показник</w:t>
            </w:r>
          </w:p>
        </w:tc>
        <w:tc>
          <w:tcPr>
            <w:tcW w:w="1979" w:type="dxa"/>
            <w:shd w:val="clear" w:color="auto" w:fill="BFBFBF"/>
          </w:tcPr>
          <w:p w14:paraId="75BD7E66" w14:textId="77777777" w:rsidR="00C06627" w:rsidRPr="004B2E8C" w:rsidRDefault="00C06627" w:rsidP="000426D6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4B2E8C">
              <w:rPr>
                <w:rFonts w:ascii="Arial" w:hAnsi="Arial" w:cs="Arial"/>
                <w:b/>
              </w:rPr>
              <w:t>Коментар</w:t>
            </w:r>
          </w:p>
        </w:tc>
      </w:tr>
      <w:tr w:rsidR="00C06627" w:rsidRPr="004B2E8C" w14:paraId="372AE0E2" w14:textId="77777777" w:rsidTr="000426D6">
        <w:tc>
          <w:tcPr>
            <w:tcW w:w="525" w:type="dxa"/>
            <w:shd w:val="clear" w:color="auto" w:fill="auto"/>
          </w:tcPr>
          <w:p w14:paraId="7E692685" w14:textId="77777777" w:rsidR="00C06627" w:rsidRPr="004B2E8C" w:rsidRDefault="00C06627" w:rsidP="00060AD3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1.</w:t>
            </w:r>
          </w:p>
        </w:tc>
        <w:tc>
          <w:tcPr>
            <w:tcW w:w="2949" w:type="dxa"/>
            <w:shd w:val="clear" w:color="auto" w:fill="auto"/>
          </w:tcPr>
          <w:p w14:paraId="22F7B4F4" w14:textId="0EA3D66D" w:rsidR="00C06627" w:rsidRPr="004B2E8C" w:rsidRDefault="000426D6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Кількість</w:t>
            </w:r>
            <w:r w:rsidR="008C1989" w:rsidRPr="004B2E8C">
              <w:rPr>
                <w:rFonts w:ascii="Arial" w:hAnsi="Arial" w:cs="Arial"/>
              </w:rPr>
              <w:t xml:space="preserve"> пацієнтів, які зараховані на лікування</w:t>
            </w:r>
          </w:p>
        </w:tc>
        <w:tc>
          <w:tcPr>
            <w:tcW w:w="3892" w:type="dxa"/>
            <w:shd w:val="clear" w:color="auto" w:fill="auto"/>
          </w:tcPr>
          <w:p w14:paraId="13E5C498" w14:textId="37B65DE6" w:rsidR="00C06627" w:rsidRPr="004B2E8C" w:rsidRDefault="000426D6" w:rsidP="00060AD3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 xml:space="preserve"> </w:t>
            </w:r>
            <w:r w:rsidR="00972282" w:rsidRPr="004B2E8C">
              <w:rPr>
                <w:rFonts w:ascii="Arial" w:hAnsi="Arial" w:cs="Arial"/>
              </w:rPr>
              <w:t xml:space="preserve">Мін </w:t>
            </w:r>
            <w:r w:rsidRPr="004B2E8C">
              <w:rPr>
                <w:rFonts w:ascii="Arial" w:hAnsi="Arial" w:cs="Arial"/>
              </w:rPr>
              <w:t>80%</w:t>
            </w:r>
            <w:r w:rsidR="005F3054" w:rsidRPr="004B2E8C">
              <w:rPr>
                <w:rFonts w:ascii="Arial" w:hAnsi="Arial" w:cs="Arial"/>
              </w:rPr>
              <w:t xml:space="preserve"> пацієнтів</w:t>
            </w:r>
            <w:r w:rsidRPr="004B2E8C">
              <w:rPr>
                <w:rFonts w:ascii="Arial" w:hAnsi="Arial" w:cs="Arial"/>
              </w:rPr>
              <w:t xml:space="preserve"> від кількості запланованих 12-тижневих курсів </w:t>
            </w:r>
            <w:r w:rsidR="008C1989" w:rsidRPr="004B2E8C">
              <w:rPr>
                <w:rFonts w:ascii="Arial" w:hAnsi="Arial" w:cs="Arial"/>
              </w:rPr>
              <w:t>відповідно до Таблиці  1</w:t>
            </w:r>
          </w:p>
        </w:tc>
        <w:tc>
          <w:tcPr>
            <w:tcW w:w="1979" w:type="dxa"/>
            <w:shd w:val="clear" w:color="auto" w:fill="auto"/>
          </w:tcPr>
          <w:p w14:paraId="70B3A76C" w14:textId="20378DF2" w:rsidR="00C06627" w:rsidRPr="004B2E8C" w:rsidRDefault="00C06627" w:rsidP="000426D6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</w:p>
        </w:tc>
      </w:tr>
      <w:tr w:rsidR="008C1989" w:rsidRPr="004B2E8C" w14:paraId="2280D69F" w14:textId="77777777" w:rsidTr="000426D6">
        <w:tc>
          <w:tcPr>
            <w:tcW w:w="525" w:type="dxa"/>
            <w:shd w:val="clear" w:color="auto" w:fill="auto"/>
          </w:tcPr>
          <w:p w14:paraId="751B0E3E" w14:textId="77777777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</w:p>
          <w:p w14:paraId="3D101014" w14:textId="6C33F626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2.</w:t>
            </w:r>
          </w:p>
        </w:tc>
        <w:tc>
          <w:tcPr>
            <w:tcW w:w="2949" w:type="dxa"/>
            <w:shd w:val="clear" w:color="auto" w:fill="auto"/>
          </w:tcPr>
          <w:p w14:paraId="2C45B10C" w14:textId="37446497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Відсоток пацієнтів, які закінчили повний курс противірусної терапії (утримання на лікуванні)</w:t>
            </w:r>
          </w:p>
        </w:tc>
        <w:tc>
          <w:tcPr>
            <w:tcW w:w="3892" w:type="dxa"/>
            <w:shd w:val="clear" w:color="auto" w:fill="auto"/>
          </w:tcPr>
          <w:p w14:paraId="5EB6AE7F" w14:textId="77777777" w:rsidR="000426D6" w:rsidRPr="004B2E8C" w:rsidRDefault="000426D6" w:rsidP="008C1989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  <w:p w14:paraId="08A5F4C7" w14:textId="50EE3D68" w:rsidR="008C1989" w:rsidRPr="004B2E8C" w:rsidRDefault="008C1989" w:rsidP="008C1989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100%</w:t>
            </w:r>
          </w:p>
        </w:tc>
        <w:tc>
          <w:tcPr>
            <w:tcW w:w="1979" w:type="dxa"/>
            <w:shd w:val="clear" w:color="auto" w:fill="auto"/>
          </w:tcPr>
          <w:p w14:paraId="61AC1A7B" w14:textId="39A4B4B9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рекомендовано 100%</w:t>
            </w:r>
          </w:p>
        </w:tc>
      </w:tr>
      <w:tr w:rsidR="008C1989" w:rsidRPr="004B2E8C" w14:paraId="2D003850" w14:textId="77777777" w:rsidTr="000426D6">
        <w:tc>
          <w:tcPr>
            <w:tcW w:w="525" w:type="dxa"/>
            <w:shd w:val="clear" w:color="auto" w:fill="auto"/>
          </w:tcPr>
          <w:p w14:paraId="03020151" w14:textId="398AF640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3.</w:t>
            </w:r>
          </w:p>
        </w:tc>
        <w:tc>
          <w:tcPr>
            <w:tcW w:w="2949" w:type="dxa"/>
            <w:shd w:val="clear" w:color="auto" w:fill="auto"/>
          </w:tcPr>
          <w:p w14:paraId="7EF93147" w14:textId="75B71E94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Відсоток пацієнтів, з якими проведено 3 сесії з профілактики повторного інфікування</w:t>
            </w:r>
          </w:p>
        </w:tc>
        <w:tc>
          <w:tcPr>
            <w:tcW w:w="3892" w:type="dxa"/>
            <w:shd w:val="clear" w:color="auto" w:fill="auto"/>
          </w:tcPr>
          <w:p w14:paraId="066056D9" w14:textId="77777777" w:rsidR="000426D6" w:rsidRPr="004B2E8C" w:rsidRDefault="000426D6" w:rsidP="008C1989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  <w:p w14:paraId="38E45B1F" w14:textId="2BAF7D22" w:rsidR="008C1989" w:rsidRPr="004B2E8C" w:rsidRDefault="008C1989" w:rsidP="008C1989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100%</w:t>
            </w:r>
          </w:p>
        </w:tc>
        <w:tc>
          <w:tcPr>
            <w:tcW w:w="1979" w:type="dxa"/>
            <w:shd w:val="clear" w:color="auto" w:fill="auto"/>
          </w:tcPr>
          <w:p w14:paraId="2B887514" w14:textId="77777777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рекомендовано 100%</w:t>
            </w:r>
          </w:p>
        </w:tc>
      </w:tr>
      <w:tr w:rsidR="008C1989" w:rsidRPr="004B2E8C" w14:paraId="329A28FA" w14:textId="77777777" w:rsidTr="000426D6">
        <w:tc>
          <w:tcPr>
            <w:tcW w:w="525" w:type="dxa"/>
            <w:shd w:val="clear" w:color="auto" w:fill="auto"/>
          </w:tcPr>
          <w:p w14:paraId="7C7D29CE" w14:textId="1B6CE979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4.</w:t>
            </w:r>
          </w:p>
        </w:tc>
        <w:tc>
          <w:tcPr>
            <w:tcW w:w="2949" w:type="dxa"/>
            <w:shd w:val="clear" w:color="auto" w:fill="auto"/>
          </w:tcPr>
          <w:p w14:paraId="68B9AE62" w14:textId="30C33268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Відсоток пацієнтів,  які з’явились на фінальну діагностику через 12 тижнів після завершення лікування</w:t>
            </w:r>
          </w:p>
        </w:tc>
        <w:tc>
          <w:tcPr>
            <w:tcW w:w="3892" w:type="dxa"/>
            <w:shd w:val="clear" w:color="auto" w:fill="auto"/>
          </w:tcPr>
          <w:p w14:paraId="68044339" w14:textId="77777777" w:rsidR="000426D6" w:rsidRPr="004B2E8C" w:rsidRDefault="000426D6" w:rsidP="008C1989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  <w:p w14:paraId="3663CAD5" w14:textId="31CEDD15" w:rsidR="008C1989" w:rsidRPr="004B2E8C" w:rsidRDefault="008C1989" w:rsidP="008C1989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100%</w:t>
            </w:r>
          </w:p>
        </w:tc>
        <w:tc>
          <w:tcPr>
            <w:tcW w:w="1979" w:type="dxa"/>
            <w:shd w:val="clear" w:color="auto" w:fill="auto"/>
          </w:tcPr>
          <w:p w14:paraId="2D691011" w14:textId="77777777" w:rsidR="008C1989" w:rsidRPr="004B2E8C" w:rsidRDefault="008C1989" w:rsidP="008C198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4B2E8C">
              <w:rPr>
                <w:rFonts w:ascii="Arial" w:hAnsi="Arial" w:cs="Arial"/>
              </w:rPr>
              <w:t>рекомендовано 100%</w:t>
            </w:r>
          </w:p>
        </w:tc>
      </w:tr>
    </w:tbl>
    <w:p w14:paraId="5F22DFA0" w14:textId="77777777" w:rsidR="00C06627" w:rsidRPr="004B2E8C" w:rsidRDefault="00C06627" w:rsidP="00C06627">
      <w:pPr>
        <w:tabs>
          <w:tab w:val="left" w:pos="0"/>
        </w:tabs>
        <w:jc w:val="both"/>
        <w:rPr>
          <w:rFonts w:ascii="Arial" w:hAnsi="Arial" w:cs="Arial"/>
        </w:rPr>
      </w:pPr>
    </w:p>
    <w:p w14:paraId="57E9F10A" w14:textId="77777777" w:rsidR="00A83BBC" w:rsidRPr="004B2E8C" w:rsidRDefault="00A83BBC" w:rsidP="00A83BBC">
      <w:pPr>
        <w:jc w:val="both"/>
        <w:rPr>
          <w:rFonts w:ascii="Tahoma" w:eastAsia="Tahoma" w:hAnsi="Tahoma" w:cs="Tahoma"/>
          <w:b/>
        </w:rPr>
      </w:pPr>
    </w:p>
    <w:p w14:paraId="06C42C5D" w14:textId="77777777" w:rsidR="00A02D55" w:rsidRDefault="00A02D55" w:rsidP="00A83BBC">
      <w:pPr>
        <w:jc w:val="both"/>
        <w:rPr>
          <w:rFonts w:ascii="Tahoma" w:eastAsia="Tahoma" w:hAnsi="Tahoma" w:cs="Tahoma"/>
          <w:b/>
        </w:rPr>
      </w:pPr>
    </w:p>
    <w:p w14:paraId="13D16464" w14:textId="77777777" w:rsidR="00A02D55" w:rsidRDefault="00A02D55" w:rsidP="00A83BBC">
      <w:pPr>
        <w:jc w:val="both"/>
        <w:rPr>
          <w:rFonts w:ascii="Tahoma" w:eastAsia="Tahoma" w:hAnsi="Tahoma" w:cs="Tahoma"/>
          <w:b/>
        </w:rPr>
      </w:pPr>
    </w:p>
    <w:p w14:paraId="4EC81304" w14:textId="77777777" w:rsidR="00A02D55" w:rsidRDefault="00A02D55" w:rsidP="00A83BBC">
      <w:pPr>
        <w:jc w:val="both"/>
        <w:rPr>
          <w:rFonts w:ascii="Tahoma" w:eastAsia="Tahoma" w:hAnsi="Tahoma" w:cs="Tahoma"/>
          <w:b/>
        </w:rPr>
      </w:pPr>
    </w:p>
    <w:p w14:paraId="198002B4" w14:textId="77777777" w:rsidR="00A02D55" w:rsidRDefault="00A02D55" w:rsidP="00A83BBC">
      <w:pPr>
        <w:jc w:val="both"/>
        <w:rPr>
          <w:rFonts w:ascii="Tahoma" w:eastAsia="Tahoma" w:hAnsi="Tahoma" w:cs="Tahoma"/>
          <w:b/>
        </w:rPr>
      </w:pPr>
    </w:p>
    <w:p w14:paraId="0640CE49" w14:textId="77777777" w:rsidR="00A02D55" w:rsidRDefault="00A02D55" w:rsidP="00A83BBC">
      <w:pPr>
        <w:jc w:val="both"/>
        <w:rPr>
          <w:rFonts w:ascii="Tahoma" w:eastAsia="Tahoma" w:hAnsi="Tahoma" w:cs="Tahoma"/>
          <w:b/>
        </w:rPr>
      </w:pPr>
    </w:p>
    <w:p w14:paraId="1D23A1C3" w14:textId="1306C85A" w:rsidR="00A83BBC" w:rsidRPr="004B2E8C" w:rsidRDefault="00A83BBC" w:rsidP="00A83BBC">
      <w:pPr>
        <w:jc w:val="both"/>
        <w:rPr>
          <w:rFonts w:ascii="Tahoma" w:eastAsia="Times New Roman" w:hAnsi="Tahoma" w:cs="Tahoma"/>
        </w:rPr>
      </w:pPr>
      <w:r w:rsidRPr="004B2E8C">
        <w:rPr>
          <w:rFonts w:ascii="Tahoma" w:eastAsia="Tahoma" w:hAnsi="Tahoma" w:cs="Tahoma"/>
          <w:b/>
        </w:rPr>
        <w:lastRenderedPageBreak/>
        <w:t xml:space="preserve">Особливі вимоги: </w:t>
      </w:r>
    </w:p>
    <w:p w14:paraId="2A56E301" w14:textId="1FB98E6E" w:rsidR="00DA3446" w:rsidRDefault="00202214" w:rsidP="00202214">
      <w:pPr>
        <w:rPr>
          <w:rStyle w:val="Sectionname"/>
          <w:rFonts w:cs="Arial"/>
        </w:rPr>
      </w:pPr>
      <w:r w:rsidRPr="004B2E8C">
        <w:rPr>
          <w:rStyle w:val="Sectionname"/>
          <w:rFonts w:cs="Arial"/>
        </w:rPr>
        <w:t xml:space="preserve">Критерії відбору </w:t>
      </w:r>
      <w:r w:rsidR="00625E29">
        <w:rPr>
          <w:rStyle w:val="Sectionname"/>
          <w:rFonts w:cs="Arial"/>
        </w:rPr>
        <w:t>субреципієнтів</w:t>
      </w:r>
    </w:p>
    <w:p w14:paraId="402A3F77" w14:textId="1F5770B1" w:rsidR="00202214" w:rsidRDefault="00202214" w:rsidP="00202214">
      <w:pPr>
        <w:rPr>
          <w:rStyle w:val="Sectionname"/>
          <w:rFonts w:cs="Arial"/>
        </w:rPr>
      </w:pPr>
    </w:p>
    <w:p w14:paraId="1BEFB3AF" w14:textId="36131E70" w:rsidR="006124FE" w:rsidRPr="00BE38E0" w:rsidRDefault="00DA3446" w:rsidP="000F4F19">
      <w:pPr>
        <w:widowControl w:val="0"/>
        <w:numPr>
          <w:ilvl w:val="0"/>
          <w:numId w:val="7"/>
        </w:numPr>
        <w:suppressAutoHyphens/>
        <w:jc w:val="both"/>
        <w:rPr>
          <w:rStyle w:val="Sectionname"/>
          <w:rFonts w:cs="Arial"/>
          <w:b w:val="0"/>
        </w:rPr>
      </w:pPr>
      <w:r w:rsidRPr="00BE38E0">
        <w:rPr>
          <w:rStyle w:val="Sectionname"/>
          <w:rFonts w:cs="Arial"/>
          <w:b w:val="0"/>
        </w:rPr>
        <w:t>Досвід</w:t>
      </w:r>
      <w:r w:rsidR="006124FE" w:rsidRPr="00BE38E0">
        <w:rPr>
          <w:rStyle w:val="Sectionname"/>
          <w:rFonts w:cs="Arial"/>
          <w:b w:val="0"/>
        </w:rPr>
        <w:t xml:space="preserve"> організації</w:t>
      </w:r>
      <w:r w:rsidRPr="00BE38E0">
        <w:rPr>
          <w:rStyle w:val="Sectionname"/>
          <w:rFonts w:cs="Arial"/>
          <w:b w:val="0"/>
        </w:rPr>
        <w:t>/установи у</w:t>
      </w:r>
      <w:r w:rsidR="00625E29" w:rsidRPr="00BE38E0">
        <w:rPr>
          <w:rStyle w:val="Sectionname"/>
          <w:rFonts w:cs="Arial"/>
          <w:b w:val="0"/>
        </w:rPr>
        <w:t xml:space="preserve"> наданні послуг соціального  супроводу ВІЛ/ВГС коінфікованим пацієнтам </w:t>
      </w:r>
      <w:r w:rsidR="001D636C" w:rsidRPr="00BE38E0">
        <w:rPr>
          <w:rStyle w:val="Sectionname"/>
          <w:rFonts w:cs="Arial"/>
          <w:b w:val="0"/>
        </w:rPr>
        <w:t>ключових груп</w:t>
      </w:r>
      <w:r w:rsidR="003012E9" w:rsidRPr="00BE38E0">
        <w:rPr>
          <w:rStyle w:val="Sectionname"/>
          <w:rFonts w:cs="Arial"/>
          <w:b w:val="0"/>
        </w:rPr>
        <w:t xml:space="preserve"> (</w:t>
      </w:r>
      <w:r w:rsidR="003012E9" w:rsidRPr="00BE38E0">
        <w:rPr>
          <w:rFonts w:ascii="Arial" w:hAnsi="Arial" w:cs="Arial"/>
          <w:color w:val="000000"/>
          <w:shd w:val="clear" w:color="auto" w:fill="FFFFFF"/>
        </w:rPr>
        <w:t>ЛЖВ, ЛВНІ та їх партнерів, ЧСЧ, СП)</w:t>
      </w:r>
      <w:r w:rsidR="001D636C" w:rsidRPr="00BE38E0">
        <w:rPr>
          <w:rStyle w:val="Sectionname"/>
          <w:rFonts w:cs="Arial"/>
          <w:b w:val="0"/>
        </w:rPr>
        <w:t xml:space="preserve"> </w:t>
      </w:r>
      <w:r w:rsidR="00625E29" w:rsidRPr="00BE38E0">
        <w:rPr>
          <w:rStyle w:val="Sectionname"/>
          <w:rFonts w:cs="Arial"/>
          <w:b w:val="0"/>
        </w:rPr>
        <w:t xml:space="preserve">під час  лікування ВГС-інфекції </w:t>
      </w:r>
      <w:r w:rsidR="00BE38E0" w:rsidRPr="00BE38E0">
        <w:rPr>
          <w:rStyle w:val="Sectionname"/>
          <w:rFonts w:cs="Arial"/>
          <w:b w:val="0"/>
        </w:rPr>
        <w:t xml:space="preserve">та наявність </w:t>
      </w:r>
      <w:r w:rsidR="001D636C" w:rsidRPr="00BE38E0">
        <w:rPr>
          <w:rStyle w:val="Sectionname"/>
          <w:rFonts w:cs="Arial"/>
          <w:b w:val="0"/>
        </w:rPr>
        <w:t xml:space="preserve">в організації </w:t>
      </w:r>
      <w:r w:rsidR="006124FE" w:rsidRPr="00BE38E0">
        <w:rPr>
          <w:rStyle w:val="Sectionname"/>
          <w:rFonts w:cs="Arial"/>
          <w:b w:val="0"/>
        </w:rPr>
        <w:t xml:space="preserve">соціального працівника/ів із </w:t>
      </w:r>
      <w:r w:rsidR="00BE38E0">
        <w:rPr>
          <w:rStyle w:val="Sectionname"/>
          <w:rFonts w:cs="Arial"/>
          <w:b w:val="0"/>
        </w:rPr>
        <w:t xml:space="preserve">зазначеним </w:t>
      </w:r>
      <w:r w:rsidR="006124FE" w:rsidRPr="00BE38E0">
        <w:rPr>
          <w:rStyle w:val="Sectionname"/>
          <w:rFonts w:cs="Arial"/>
          <w:b w:val="0"/>
        </w:rPr>
        <w:t>досвідом</w:t>
      </w:r>
    </w:p>
    <w:p w14:paraId="1450E010" w14:textId="040BA01E" w:rsidR="00202214" w:rsidRPr="004B2E8C" w:rsidRDefault="00750447" w:rsidP="00202214">
      <w:pPr>
        <w:widowControl w:val="0"/>
        <w:numPr>
          <w:ilvl w:val="0"/>
          <w:numId w:val="7"/>
        </w:numPr>
        <w:suppressAutoHyphens/>
        <w:jc w:val="both"/>
        <w:rPr>
          <w:rStyle w:val="Sectionname"/>
          <w:rFonts w:cs="Arial"/>
          <w:b w:val="0"/>
        </w:rPr>
      </w:pPr>
      <w:r w:rsidRPr="004B2E8C">
        <w:rPr>
          <w:rStyle w:val="Sectionname"/>
          <w:rFonts w:cs="Arial"/>
          <w:b w:val="0"/>
        </w:rPr>
        <w:t xml:space="preserve">Досвід роботи в </w:t>
      </w:r>
      <w:r w:rsidR="001D636C">
        <w:rPr>
          <w:rStyle w:val="Sectionname"/>
          <w:rFonts w:cs="Arial"/>
          <w:b w:val="0"/>
        </w:rPr>
        <w:t>проє</w:t>
      </w:r>
      <w:r w:rsidRPr="004B2E8C">
        <w:rPr>
          <w:rStyle w:val="Sectionname"/>
          <w:rFonts w:cs="Arial"/>
          <w:b w:val="0"/>
        </w:rPr>
        <w:t>ктах</w:t>
      </w:r>
      <w:r w:rsidR="00DA3446">
        <w:rPr>
          <w:rStyle w:val="Sectionname"/>
          <w:rFonts w:cs="Arial"/>
          <w:b w:val="0"/>
        </w:rPr>
        <w:t xml:space="preserve"> з медико-психологічного</w:t>
      </w:r>
      <w:r w:rsidR="00782B42">
        <w:rPr>
          <w:rStyle w:val="Sectionname"/>
          <w:rFonts w:cs="Arial"/>
          <w:b w:val="0"/>
        </w:rPr>
        <w:t xml:space="preserve"> та соціального</w:t>
      </w:r>
      <w:r w:rsidR="00DA3446">
        <w:rPr>
          <w:rStyle w:val="Sectionname"/>
          <w:rFonts w:cs="Arial"/>
          <w:b w:val="0"/>
        </w:rPr>
        <w:t xml:space="preserve"> супроводу</w:t>
      </w:r>
      <w:r w:rsidR="00202214" w:rsidRPr="004B2E8C">
        <w:rPr>
          <w:rStyle w:val="Sectionname"/>
          <w:rFonts w:cs="Arial"/>
          <w:b w:val="0"/>
        </w:rPr>
        <w:t xml:space="preserve"> клієнтів </w:t>
      </w:r>
      <w:r w:rsidR="00DA3446">
        <w:rPr>
          <w:rStyle w:val="Sectionname"/>
          <w:rFonts w:cs="Arial"/>
          <w:b w:val="0"/>
        </w:rPr>
        <w:t xml:space="preserve">замісної підтримуючої терапії </w:t>
      </w:r>
      <w:r w:rsidR="00202214" w:rsidRPr="004B2E8C">
        <w:rPr>
          <w:rStyle w:val="Sectionname"/>
          <w:rFonts w:cs="Arial"/>
          <w:b w:val="0"/>
        </w:rPr>
        <w:t>та/або</w:t>
      </w:r>
      <w:r w:rsidR="001D636C">
        <w:rPr>
          <w:rStyle w:val="Sectionname"/>
          <w:rFonts w:cs="Arial"/>
          <w:b w:val="0"/>
        </w:rPr>
        <w:t xml:space="preserve"> в</w:t>
      </w:r>
      <w:r w:rsidR="00202214" w:rsidRPr="004B2E8C">
        <w:rPr>
          <w:rStyle w:val="Sectionname"/>
          <w:rFonts w:cs="Arial"/>
          <w:b w:val="0"/>
        </w:rPr>
        <w:t xml:space="preserve"> проє</w:t>
      </w:r>
      <w:r w:rsidR="00DA3446">
        <w:rPr>
          <w:rStyle w:val="Sectionname"/>
          <w:rFonts w:cs="Arial"/>
          <w:b w:val="0"/>
        </w:rPr>
        <w:t>ктах</w:t>
      </w:r>
      <w:r w:rsidR="00202214" w:rsidRPr="004B2E8C">
        <w:rPr>
          <w:rStyle w:val="Sectionname"/>
          <w:rFonts w:cs="Arial"/>
          <w:b w:val="0"/>
        </w:rPr>
        <w:t xml:space="preserve"> із соціального супроводу </w:t>
      </w:r>
      <w:r w:rsidR="00782B42">
        <w:rPr>
          <w:rStyle w:val="Sectionname"/>
          <w:rFonts w:cs="Arial"/>
          <w:b w:val="0"/>
        </w:rPr>
        <w:t xml:space="preserve">пацієнтів на  антиретровірусній терапії (АРТ) </w:t>
      </w:r>
      <w:r w:rsidR="001D636C">
        <w:rPr>
          <w:rStyle w:val="Sectionname"/>
          <w:rFonts w:cs="Arial"/>
          <w:b w:val="0"/>
        </w:rPr>
        <w:t>з ключових груп</w:t>
      </w:r>
      <w:r w:rsidR="00202214" w:rsidRPr="004B2E8C">
        <w:rPr>
          <w:rStyle w:val="Sectionname"/>
          <w:rFonts w:cs="Arial"/>
          <w:b w:val="0"/>
        </w:rPr>
        <w:t xml:space="preserve">;                        </w:t>
      </w:r>
    </w:p>
    <w:p w14:paraId="7515E9F8" w14:textId="7C954F72" w:rsidR="00202214" w:rsidRDefault="001D636C" w:rsidP="00202214">
      <w:pPr>
        <w:widowControl w:val="0"/>
        <w:numPr>
          <w:ilvl w:val="0"/>
          <w:numId w:val="7"/>
        </w:numPr>
        <w:suppressAutoHyphens/>
        <w:jc w:val="both"/>
        <w:rPr>
          <w:rStyle w:val="Sectionname"/>
          <w:rFonts w:cs="Arial"/>
          <w:b w:val="0"/>
        </w:rPr>
      </w:pPr>
      <w:r>
        <w:rPr>
          <w:rStyle w:val="Sectionname"/>
          <w:rFonts w:cs="Arial"/>
          <w:b w:val="0"/>
        </w:rPr>
        <w:t>Досвід</w:t>
      </w:r>
      <w:r w:rsidR="00202214" w:rsidRPr="004B2E8C">
        <w:rPr>
          <w:rStyle w:val="Sectionname"/>
          <w:rFonts w:cs="Arial"/>
          <w:b w:val="0"/>
        </w:rPr>
        <w:t xml:space="preserve"> реалізації проєктів з форм</w:t>
      </w:r>
      <w:r w:rsidR="00D26845" w:rsidRPr="004B2E8C">
        <w:rPr>
          <w:rStyle w:val="Sectionname"/>
          <w:rFonts w:cs="Arial"/>
          <w:b w:val="0"/>
        </w:rPr>
        <w:t>ування прихильності до АРТ</w:t>
      </w:r>
      <w:r>
        <w:rPr>
          <w:rStyle w:val="Sectionname"/>
          <w:rFonts w:cs="Arial"/>
          <w:b w:val="0"/>
        </w:rPr>
        <w:t xml:space="preserve"> та </w:t>
      </w:r>
      <w:r w:rsidR="00202214" w:rsidRPr="004B2E8C">
        <w:rPr>
          <w:rStyle w:val="Sectionname"/>
          <w:rFonts w:cs="Arial"/>
          <w:b w:val="0"/>
        </w:rPr>
        <w:t xml:space="preserve">  </w:t>
      </w:r>
      <w:r>
        <w:rPr>
          <w:rStyle w:val="Sectionname"/>
          <w:rFonts w:cs="Arial"/>
          <w:b w:val="0"/>
        </w:rPr>
        <w:t>протитуберкульозного</w:t>
      </w:r>
      <w:r w:rsidR="00202214" w:rsidRPr="004B2E8C">
        <w:rPr>
          <w:rStyle w:val="Sectionname"/>
          <w:rFonts w:cs="Arial"/>
          <w:b w:val="0"/>
        </w:rPr>
        <w:t xml:space="preserve"> лікування </w:t>
      </w:r>
      <w:r>
        <w:rPr>
          <w:rStyle w:val="Sectionname"/>
          <w:rFonts w:cs="Arial"/>
          <w:b w:val="0"/>
        </w:rPr>
        <w:t>серед</w:t>
      </w:r>
      <w:r w:rsidR="00202214" w:rsidRPr="004B2E8C">
        <w:rPr>
          <w:rStyle w:val="Sectionname"/>
          <w:rFonts w:cs="Arial"/>
          <w:b w:val="0"/>
        </w:rPr>
        <w:t xml:space="preserve"> ЛВНІ;</w:t>
      </w:r>
    </w:p>
    <w:p w14:paraId="0715CEEA" w14:textId="0C5E7EAD" w:rsidR="00782B42" w:rsidRPr="004B2E8C" w:rsidRDefault="00782B42" w:rsidP="00782B42">
      <w:pPr>
        <w:widowControl w:val="0"/>
        <w:numPr>
          <w:ilvl w:val="0"/>
          <w:numId w:val="7"/>
        </w:numPr>
        <w:suppressAutoHyphens/>
        <w:jc w:val="both"/>
        <w:rPr>
          <w:rStyle w:val="Sectionname"/>
          <w:rFonts w:cs="Arial"/>
          <w:b w:val="0"/>
        </w:rPr>
      </w:pPr>
      <w:r>
        <w:rPr>
          <w:rStyle w:val="Sectionname"/>
          <w:rFonts w:cs="Arial"/>
          <w:b w:val="0"/>
        </w:rPr>
        <w:t xml:space="preserve">Досвід </w:t>
      </w:r>
      <w:r w:rsidRPr="004B2E8C">
        <w:rPr>
          <w:rStyle w:val="Sectionname"/>
          <w:rFonts w:cs="Arial"/>
          <w:b w:val="0"/>
        </w:rPr>
        <w:t xml:space="preserve">проведення </w:t>
      </w:r>
      <w:r>
        <w:rPr>
          <w:rStyle w:val="Sectionname"/>
          <w:rFonts w:cs="Arial"/>
          <w:b w:val="0"/>
        </w:rPr>
        <w:t xml:space="preserve">освітньої роботи з шляхів передачі ВГС, профілактики </w:t>
      </w:r>
      <w:r w:rsidRPr="004B2E8C">
        <w:rPr>
          <w:rStyle w:val="Sectionname"/>
          <w:rFonts w:cs="Arial"/>
          <w:b w:val="0"/>
        </w:rPr>
        <w:t>повторного  інфікування ВГС</w:t>
      </w:r>
      <w:r>
        <w:rPr>
          <w:rStyle w:val="Sectionname"/>
          <w:rFonts w:cs="Arial"/>
          <w:b w:val="0"/>
        </w:rPr>
        <w:t xml:space="preserve"> та формування безпечної поведінки серед  пацієнтів ключових груп;</w:t>
      </w:r>
    </w:p>
    <w:p w14:paraId="00BEF3C4" w14:textId="7425016A" w:rsidR="00A83BBC" w:rsidRPr="004B2E8C" w:rsidRDefault="00202214" w:rsidP="00202214">
      <w:pPr>
        <w:widowControl w:val="0"/>
        <w:numPr>
          <w:ilvl w:val="0"/>
          <w:numId w:val="7"/>
        </w:numPr>
        <w:suppressAutoHyphens/>
        <w:jc w:val="both"/>
        <w:rPr>
          <w:rStyle w:val="Sectionname"/>
          <w:rFonts w:cs="Arial"/>
          <w:b w:val="0"/>
        </w:rPr>
      </w:pPr>
      <w:r w:rsidRPr="004B2E8C">
        <w:rPr>
          <w:rStyle w:val="Sectionname"/>
          <w:rFonts w:cs="Arial"/>
          <w:b w:val="0"/>
        </w:rPr>
        <w:t xml:space="preserve">Досвід співпраці із </w:t>
      </w:r>
      <w:r w:rsidR="006124FE" w:rsidRPr="004B2E8C">
        <w:rPr>
          <w:rStyle w:val="Sectionname"/>
          <w:rFonts w:cs="Arial"/>
          <w:b w:val="0"/>
        </w:rPr>
        <w:t>місцевими профільними ЗОЗ</w:t>
      </w:r>
      <w:r w:rsidRPr="004B2E8C">
        <w:rPr>
          <w:rStyle w:val="Sectionname"/>
          <w:rFonts w:cs="Arial"/>
          <w:b w:val="0"/>
        </w:rPr>
        <w:t>.</w:t>
      </w:r>
    </w:p>
    <w:p w14:paraId="1630B879" w14:textId="77777777" w:rsidR="00EE3CD3" w:rsidRPr="004B2E8C" w:rsidRDefault="00EE3CD3" w:rsidP="00EE3CD3">
      <w:pPr>
        <w:widowControl w:val="0"/>
        <w:suppressAutoHyphens/>
        <w:ind w:left="360"/>
        <w:jc w:val="both"/>
        <w:rPr>
          <w:rStyle w:val="Sectionname"/>
          <w:rFonts w:cs="Arial"/>
          <w:b w:val="0"/>
        </w:rPr>
      </w:pPr>
    </w:p>
    <w:p w14:paraId="5D561942" w14:textId="77777777" w:rsidR="00782B42" w:rsidRPr="00202214" w:rsidRDefault="00782B42">
      <w:pPr>
        <w:widowControl w:val="0"/>
        <w:suppressAutoHyphens/>
        <w:ind w:left="360"/>
        <w:jc w:val="both"/>
        <w:rPr>
          <w:rFonts w:ascii="Arial" w:hAnsi="Arial" w:cs="Arial"/>
          <w:bCs/>
        </w:rPr>
      </w:pPr>
    </w:p>
    <w:sectPr w:rsidR="00782B42" w:rsidRPr="0020221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EA91A" w14:textId="77777777" w:rsidR="00060AD3" w:rsidRDefault="00060AD3" w:rsidP="00A83BBC">
      <w:r>
        <w:separator/>
      </w:r>
    </w:p>
  </w:endnote>
  <w:endnote w:type="continuationSeparator" w:id="0">
    <w:p w14:paraId="282305D7" w14:textId="77777777" w:rsidR="00060AD3" w:rsidRDefault="00060AD3" w:rsidP="00A8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077387"/>
      <w:docPartObj>
        <w:docPartGallery w:val="Page Numbers (Bottom of Page)"/>
        <w:docPartUnique/>
      </w:docPartObj>
    </w:sdtPr>
    <w:sdtEndPr/>
    <w:sdtContent>
      <w:p w14:paraId="1DBEAF32" w14:textId="743160A2" w:rsidR="00812F02" w:rsidRDefault="00812F0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7FF" w:rsidRPr="002A17FF">
          <w:rPr>
            <w:noProof/>
            <w:lang w:val="ru-RU"/>
          </w:rPr>
          <w:t>1</w:t>
        </w:r>
        <w:r>
          <w:fldChar w:fldCharType="end"/>
        </w:r>
      </w:p>
    </w:sdtContent>
  </w:sdt>
  <w:p w14:paraId="2DF691D4" w14:textId="77777777" w:rsidR="00060AD3" w:rsidRDefault="00060AD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D2DFB" w14:textId="77777777" w:rsidR="00060AD3" w:rsidRDefault="00060AD3" w:rsidP="00A83BBC">
      <w:r>
        <w:separator/>
      </w:r>
    </w:p>
  </w:footnote>
  <w:footnote w:type="continuationSeparator" w:id="0">
    <w:p w14:paraId="7E1FA82E" w14:textId="77777777" w:rsidR="00060AD3" w:rsidRDefault="00060AD3" w:rsidP="00A83BBC">
      <w:r>
        <w:continuationSeparator/>
      </w:r>
    </w:p>
  </w:footnote>
  <w:footnote w:id="1">
    <w:p w14:paraId="782A2EE0" w14:textId="77777777" w:rsidR="00401DAA" w:rsidRDefault="00401DAA" w:rsidP="00401DAA">
      <w:pPr>
        <w:pStyle w:val="a6"/>
        <w:jc w:val="both"/>
      </w:pPr>
      <w:r>
        <w:rPr>
          <w:rStyle w:val="a8"/>
        </w:rPr>
        <w:footnoteRef/>
      </w:r>
      <w:r w:rsidRPr="00FB244C">
        <w:rPr>
          <w:rFonts w:ascii="Arial" w:hAnsi="Arial" w:cs="Arial"/>
        </w:rPr>
        <w:t xml:space="preserve">Відповідно до статистичних даних близько 20% пацієнтів з </w:t>
      </w:r>
      <w:r>
        <w:rPr>
          <w:rFonts w:ascii="Arial" w:hAnsi="Arial" w:cs="Arial"/>
        </w:rPr>
        <w:t>ВГС мають цироз</w:t>
      </w:r>
      <w:r w:rsidRPr="00FB244C">
        <w:rPr>
          <w:rFonts w:ascii="Arial" w:hAnsi="Arial" w:cs="Arial"/>
        </w:rPr>
        <w:t xml:space="preserve"> печінки</w:t>
      </w:r>
      <w:r>
        <w:rPr>
          <w:rFonts w:ascii="Arial" w:hAnsi="Arial" w:cs="Arial"/>
        </w:rPr>
        <w:t>. Такі пацієнти</w:t>
      </w:r>
      <w:r w:rsidRPr="00FB244C">
        <w:rPr>
          <w:rFonts w:ascii="Arial" w:hAnsi="Arial" w:cs="Arial"/>
        </w:rPr>
        <w:t xml:space="preserve"> потребують противірусної терапії протягом 24-х тижнів. Отже,  зага</w:t>
      </w:r>
      <w:r>
        <w:rPr>
          <w:rFonts w:ascii="Arial" w:hAnsi="Arial" w:cs="Arial"/>
        </w:rPr>
        <w:t xml:space="preserve">льна кількість пацієнтів буде </w:t>
      </w:r>
      <w:r w:rsidRPr="00FB24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максимум на </w:t>
      </w:r>
      <w:r w:rsidRPr="00FB244C">
        <w:rPr>
          <w:rFonts w:ascii="Arial" w:hAnsi="Arial" w:cs="Arial"/>
        </w:rPr>
        <w:t>20% меншою, ніж запланована кількість 12 тижневих курсів.</w:t>
      </w:r>
      <w:r>
        <w:t xml:space="preserve">  </w:t>
      </w:r>
    </w:p>
  </w:footnote>
  <w:footnote w:id="2">
    <w:p w14:paraId="49020195" w14:textId="20E44F08" w:rsidR="002979C0" w:rsidRPr="002345D0" w:rsidRDefault="00EB442E" w:rsidP="00EB442E">
      <w:pPr>
        <w:autoSpaceDE w:val="0"/>
        <w:autoSpaceDN w:val="0"/>
        <w:adjustRightInd w:val="0"/>
        <w:rPr>
          <w:rFonts w:ascii="Garamond" w:hAnsi="Garamond"/>
        </w:rPr>
      </w:pPr>
      <w:r w:rsidRPr="002345D0">
        <w:rPr>
          <w:rStyle w:val="a8"/>
          <w:rFonts w:ascii="Garamond" w:hAnsi="Garamond"/>
        </w:rPr>
        <w:footnoteRef/>
      </w:r>
      <w:r w:rsidRPr="002345D0">
        <w:rPr>
          <w:rFonts w:ascii="Garamond" w:hAnsi="Garamond"/>
        </w:rPr>
        <w:t xml:space="preserve"> </w:t>
      </w:r>
      <w:r w:rsidRPr="002345D0">
        <w:rPr>
          <w:rFonts w:ascii="Garamond" w:hAnsi="Garamond"/>
          <w:i/>
        </w:rPr>
        <w:t>Приклад</w:t>
      </w:r>
      <w:r w:rsidR="002979C0" w:rsidRPr="002345D0">
        <w:rPr>
          <w:rFonts w:ascii="Garamond" w:hAnsi="Garamond"/>
          <w:i/>
        </w:rPr>
        <w:t xml:space="preserve"> розрахунку бюджету</w:t>
      </w:r>
      <w:r w:rsidRPr="002345D0">
        <w:rPr>
          <w:rFonts w:ascii="Garamond" w:hAnsi="Garamond"/>
        </w:rPr>
        <w:t>:</w:t>
      </w:r>
    </w:p>
    <w:p w14:paraId="7993008C" w14:textId="77777777" w:rsidR="002979C0" w:rsidRPr="002345D0" w:rsidRDefault="00EB442E" w:rsidP="005465CB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4"/>
        </w:rPr>
      </w:pPr>
      <w:r w:rsidRPr="002345D0">
        <w:rPr>
          <w:rFonts w:ascii="Garamond" w:eastAsia="Times New Roman" w:hAnsi="Garamond" w:cs="Arial"/>
          <w:sz w:val="20"/>
          <w:szCs w:val="24"/>
          <w:lang w:eastAsia="ru-RU"/>
        </w:rPr>
        <w:t>КНП «Вінницький обласний клінічний Центр профілактики та боротьби зі СНІДом Вінницької обласної Ради»</w:t>
      </w:r>
      <w:r w:rsidRPr="002345D0">
        <w:rPr>
          <w:rFonts w:ascii="Garamond" w:hAnsi="Garamond" w:cs="Arial"/>
          <w:sz w:val="20"/>
          <w:szCs w:val="24"/>
          <w:lang w:eastAsia="ru-RU"/>
        </w:rPr>
        <w:t>.</w:t>
      </w:r>
      <w:r w:rsidRPr="002345D0">
        <w:rPr>
          <w:rFonts w:ascii="Garamond" w:hAnsi="Garamond" w:cs="Arial"/>
          <w:b/>
          <w:sz w:val="18"/>
          <w:szCs w:val="24"/>
        </w:rPr>
        <w:t xml:space="preserve"> </w:t>
      </w:r>
      <w:r w:rsidRPr="002345D0">
        <w:rPr>
          <w:rFonts w:ascii="Garamond" w:hAnsi="Garamond" w:cs="Arial"/>
          <w:sz w:val="20"/>
          <w:szCs w:val="24"/>
        </w:rPr>
        <w:t xml:space="preserve">Запланована кількість 12 тижневих курсів лікування ВГС – 100. </w:t>
      </w:r>
    </w:p>
    <w:p w14:paraId="5865E30D" w14:textId="18CA5EBD" w:rsidR="00EB442E" w:rsidRDefault="00EB442E" w:rsidP="005465CB">
      <w:pPr>
        <w:autoSpaceDE w:val="0"/>
        <w:autoSpaceDN w:val="0"/>
        <w:adjustRightInd w:val="0"/>
        <w:jc w:val="both"/>
      </w:pPr>
      <w:r w:rsidRPr="002345D0">
        <w:rPr>
          <w:rFonts w:ascii="Garamond" w:hAnsi="Garamond" w:cs="Arial"/>
          <w:sz w:val="20"/>
          <w:szCs w:val="24"/>
        </w:rPr>
        <w:t>Розрахунок</w:t>
      </w:r>
      <w:r w:rsidR="00AD0C71" w:rsidRPr="00AD0C71">
        <w:rPr>
          <w:rFonts w:ascii="Garamond" w:hAnsi="Garamond" w:cs="Arial"/>
          <w:sz w:val="20"/>
          <w:szCs w:val="24"/>
          <w:lang w:val="ru-RU"/>
        </w:rPr>
        <w:t xml:space="preserve"> </w:t>
      </w:r>
      <w:r w:rsidR="00AD0C71">
        <w:rPr>
          <w:rFonts w:ascii="Garamond" w:hAnsi="Garamond" w:cs="Arial"/>
          <w:sz w:val="20"/>
          <w:szCs w:val="24"/>
        </w:rPr>
        <w:t>бюджету</w:t>
      </w:r>
      <w:r w:rsidRPr="002345D0">
        <w:rPr>
          <w:rFonts w:ascii="Garamond" w:hAnsi="Garamond" w:cs="Arial"/>
          <w:sz w:val="20"/>
          <w:szCs w:val="24"/>
        </w:rPr>
        <w:t xml:space="preserve">: 100 х 1438 гривень = 143 800 </w:t>
      </w:r>
      <w:r w:rsidR="004B2E8C">
        <w:rPr>
          <w:rFonts w:ascii="Garamond" w:hAnsi="Garamond" w:cs="Arial"/>
          <w:sz w:val="20"/>
          <w:szCs w:val="24"/>
        </w:rPr>
        <w:t>гривень</w:t>
      </w:r>
      <w:r w:rsidRPr="002345D0">
        <w:rPr>
          <w:rFonts w:ascii="Garamond" w:hAnsi="Garamond" w:cs="Arial"/>
          <w:sz w:val="20"/>
          <w:szCs w:val="24"/>
        </w:rPr>
        <w:t>. Кількість пацієнтів буде менша</w:t>
      </w:r>
      <w:r w:rsidR="002979C0" w:rsidRPr="002345D0">
        <w:rPr>
          <w:rFonts w:ascii="Garamond" w:hAnsi="Garamond" w:cs="Arial"/>
          <w:sz w:val="20"/>
          <w:szCs w:val="24"/>
        </w:rPr>
        <w:t xml:space="preserve"> ніж </w:t>
      </w:r>
      <w:r w:rsidR="00825598">
        <w:rPr>
          <w:rFonts w:ascii="Garamond" w:hAnsi="Garamond" w:cs="Arial"/>
          <w:sz w:val="20"/>
          <w:szCs w:val="24"/>
        </w:rPr>
        <w:t>100</w:t>
      </w:r>
      <w:r w:rsidR="002979C0" w:rsidRPr="002345D0">
        <w:rPr>
          <w:rFonts w:ascii="Garamond" w:hAnsi="Garamond" w:cs="Arial"/>
          <w:sz w:val="20"/>
          <w:szCs w:val="24"/>
        </w:rPr>
        <w:t xml:space="preserve"> курсів</w:t>
      </w:r>
      <w:r w:rsidRPr="002345D0">
        <w:rPr>
          <w:rFonts w:ascii="Garamond" w:hAnsi="Garamond" w:cs="Arial"/>
          <w:sz w:val="20"/>
          <w:szCs w:val="24"/>
        </w:rPr>
        <w:t xml:space="preserve">, </w:t>
      </w:r>
      <w:r w:rsidR="00825598">
        <w:rPr>
          <w:rFonts w:ascii="Garamond" w:hAnsi="Garamond" w:cs="Arial"/>
          <w:sz w:val="20"/>
          <w:szCs w:val="24"/>
        </w:rPr>
        <w:t>в разі якщо деякі з пацієнтів</w:t>
      </w:r>
      <w:r w:rsidR="002979C0" w:rsidRPr="002345D0">
        <w:rPr>
          <w:rFonts w:ascii="Garamond" w:hAnsi="Garamond" w:cs="Arial"/>
          <w:sz w:val="20"/>
          <w:szCs w:val="24"/>
        </w:rPr>
        <w:t xml:space="preserve"> потребуватимуть</w:t>
      </w:r>
      <w:r w:rsidR="003F0FD9">
        <w:rPr>
          <w:rFonts w:ascii="Garamond" w:hAnsi="Garamond" w:cs="Arial"/>
          <w:sz w:val="20"/>
          <w:szCs w:val="24"/>
        </w:rPr>
        <w:t xml:space="preserve"> лікування </w:t>
      </w:r>
      <w:r w:rsidR="00825598">
        <w:rPr>
          <w:rFonts w:ascii="Garamond" w:hAnsi="Garamond" w:cs="Arial"/>
          <w:sz w:val="20"/>
          <w:szCs w:val="24"/>
        </w:rPr>
        <w:t>протягом 24 тижнів (</w:t>
      </w:r>
      <w:r w:rsidR="002979C0" w:rsidRPr="002345D0">
        <w:rPr>
          <w:rFonts w:ascii="Garamond" w:hAnsi="Garamond" w:cs="Arial"/>
          <w:sz w:val="20"/>
          <w:szCs w:val="24"/>
        </w:rPr>
        <w:t xml:space="preserve">відповідно до статистичних даних </w:t>
      </w:r>
      <w:r w:rsidRPr="002345D0">
        <w:rPr>
          <w:rFonts w:ascii="Garamond" w:hAnsi="Garamond" w:cs="Arial"/>
          <w:sz w:val="20"/>
          <w:szCs w:val="24"/>
        </w:rPr>
        <w:t>до 20% пацієнтів</w:t>
      </w:r>
      <w:r w:rsidR="005465CB">
        <w:rPr>
          <w:rFonts w:ascii="Garamond" w:hAnsi="Garamond" w:cs="Arial"/>
          <w:sz w:val="20"/>
          <w:szCs w:val="24"/>
        </w:rPr>
        <w:t xml:space="preserve"> </w:t>
      </w:r>
      <w:r w:rsidR="00AD0C71">
        <w:rPr>
          <w:rFonts w:ascii="Garamond" w:hAnsi="Garamond" w:cs="Arial"/>
          <w:sz w:val="20"/>
          <w:szCs w:val="24"/>
        </w:rPr>
        <w:t xml:space="preserve">з </w:t>
      </w:r>
      <w:r w:rsidR="00AD0C71" w:rsidRPr="002345D0">
        <w:rPr>
          <w:rFonts w:ascii="Garamond" w:hAnsi="Garamond" w:cs="Arial"/>
          <w:sz w:val="20"/>
          <w:szCs w:val="24"/>
        </w:rPr>
        <w:t>ВГС</w:t>
      </w:r>
      <w:r w:rsidR="00AD0C71">
        <w:rPr>
          <w:rFonts w:ascii="Garamond" w:hAnsi="Garamond" w:cs="Arial"/>
          <w:sz w:val="20"/>
          <w:szCs w:val="24"/>
        </w:rPr>
        <w:t xml:space="preserve"> </w:t>
      </w:r>
      <w:r w:rsidR="005465CB">
        <w:rPr>
          <w:rFonts w:ascii="Garamond" w:hAnsi="Garamond" w:cs="Arial"/>
          <w:sz w:val="20"/>
          <w:szCs w:val="24"/>
        </w:rPr>
        <w:t xml:space="preserve">мають цироз </w:t>
      </w:r>
      <w:r w:rsidR="00825598">
        <w:rPr>
          <w:rFonts w:ascii="Garamond" w:hAnsi="Garamond" w:cs="Arial"/>
          <w:sz w:val="20"/>
          <w:szCs w:val="24"/>
        </w:rPr>
        <w:t>печінки</w:t>
      </w:r>
      <w:r w:rsidR="005465CB">
        <w:rPr>
          <w:rFonts w:ascii="Garamond" w:hAnsi="Garamond" w:cs="Arial"/>
          <w:sz w:val="20"/>
          <w:szCs w:val="24"/>
        </w:rPr>
        <w:t>, тому</w:t>
      </w:r>
      <w:r w:rsidR="00825598">
        <w:rPr>
          <w:rFonts w:ascii="Garamond" w:hAnsi="Garamond" w:cs="Arial"/>
          <w:sz w:val="20"/>
          <w:szCs w:val="24"/>
        </w:rPr>
        <w:t xml:space="preserve"> </w:t>
      </w:r>
      <w:r w:rsidRPr="002345D0">
        <w:rPr>
          <w:rFonts w:ascii="Garamond" w:hAnsi="Garamond" w:cs="Arial"/>
          <w:sz w:val="20"/>
          <w:szCs w:val="24"/>
        </w:rPr>
        <w:t>потребу</w:t>
      </w:r>
      <w:r w:rsidR="002979C0" w:rsidRPr="002345D0">
        <w:rPr>
          <w:rFonts w:ascii="Garamond" w:hAnsi="Garamond" w:cs="Arial"/>
          <w:sz w:val="20"/>
          <w:szCs w:val="24"/>
        </w:rPr>
        <w:t xml:space="preserve">ють </w:t>
      </w:r>
      <w:r w:rsidRPr="002345D0">
        <w:rPr>
          <w:rFonts w:ascii="Garamond" w:hAnsi="Garamond" w:cs="Arial"/>
          <w:sz w:val="20"/>
          <w:szCs w:val="24"/>
        </w:rPr>
        <w:t>лікування  протягом 24 тижнів</w:t>
      </w:r>
      <w:r w:rsidR="002979C0" w:rsidRPr="002345D0">
        <w:rPr>
          <w:rFonts w:ascii="Garamond" w:hAnsi="Garamond" w:cs="Arial"/>
          <w:sz w:val="20"/>
          <w:szCs w:val="24"/>
        </w:rPr>
        <w:t>)</w:t>
      </w:r>
      <w:r w:rsidRPr="002345D0">
        <w:rPr>
          <w:rFonts w:ascii="Garamond" w:hAnsi="Garamond" w:cs="Arial"/>
          <w:sz w:val="20"/>
          <w:szCs w:val="24"/>
        </w:rPr>
        <w:t>.</w:t>
      </w:r>
      <w:r w:rsidR="007732AB">
        <w:rPr>
          <w:rFonts w:ascii="Garamond" w:hAnsi="Garamond" w:cs="Arial"/>
          <w:sz w:val="20"/>
          <w:szCs w:val="24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06896" w14:textId="074F7930" w:rsidR="00CB1151" w:rsidRDefault="00CB1151" w:rsidP="00CB1151">
    <w:pPr>
      <w:rPr>
        <w:b/>
      </w:rPr>
    </w:pPr>
    <w:r w:rsidRPr="00D14E44">
      <w:rPr>
        <w:b/>
      </w:rPr>
      <w:t xml:space="preserve">Деталізація напрямку ЛІКУВАННЯ ВІРУСНОГО ГЕПАТИТУ С </w:t>
    </w:r>
    <w:r>
      <w:rPr>
        <w:b/>
      </w:rPr>
      <w:t>(</w:t>
    </w:r>
    <w:r w:rsidRPr="00D14E44">
      <w:rPr>
        <w:b/>
      </w:rPr>
      <w:t>ВГС</w:t>
    </w:r>
    <w:r>
      <w:rPr>
        <w:b/>
      </w:rPr>
      <w:t>)</w:t>
    </w:r>
  </w:p>
  <w:p w14:paraId="36CB4035" w14:textId="77777777" w:rsidR="00CB1151" w:rsidRDefault="00CB115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765F"/>
    <w:lvl w:ilvl="0" w:tplc="4AB0A3D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33A2116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  <w:lvl w:ilvl="2" w:tplc="8F566E1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  <w:lvl w:ilvl="3" w:tplc="70A012A6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  <w:lvl w:ilvl="4" w:tplc="C608D8DA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  <w:lvl w:ilvl="5" w:tplc="C67E6E88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  <w:lvl w:ilvl="6" w:tplc="D250FA5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  <w:lvl w:ilvl="7" w:tplc="64A6A2F2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  <w:lvl w:ilvl="8" w:tplc="AF0CE50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/>
        <w:w w:val="100"/>
        <w:sz w:val="20"/>
        <w:szCs w:val="20"/>
        <w:shd w:val="clear" w:color="auto" w:fill="auto"/>
      </w:rPr>
    </w:lvl>
  </w:abstractNum>
  <w:abstractNum w:abstractNumId="1" w15:restartNumberingAfterBreak="0">
    <w:nsid w:val="00000021"/>
    <w:multiLevelType w:val="hybridMultilevel"/>
    <w:tmpl w:val="00003004"/>
    <w:lvl w:ilvl="0" w:tplc="5F26BE3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w w:val="100"/>
        <w:sz w:val="24"/>
        <w:szCs w:val="24"/>
        <w:shd w:val="clear" w:color="auto" w:fill="auto"/>
      </w:rPr>
    </w:lvl>
    <w:lvl w:ilvl="1" w:tplc="CA4C6858">
      <w:start w:val="1"/>
      <w:numFmt w:val="lowerLetter"/>
      <w:lvlText w:val="%2."/>
      <w:lvlJc w:val="left"/>
      <w:pPr>
        <w:ind w:left="1080" w:hanging="360"/>
      </w:pPr>
    </w:lvl>
    <w:lvl w:ilvl="2" w:tplc="7EC0EE92">
      <w:start w:val="1"/>
      <w:numFmt w:val="lowerRoman"/>
      <w:lvlText w:val="%3."/>
      <w:lvlJc w:val="right"/>
      <w:pPr>
        <w:ind w:left="1800" w:hanging="180"/>
      </w:pPr>
    </w:lvl>
    <w:lvl w:ilvl="3" w:tplc="0A0CDA9A">
      <w:start w:val="1"/>
      <w:numFmt w:val="decimal"/>
      <w:lvlText w:val="%4."/>
      <w:lvlJc w:val="left"/>
      <w:pPr>
        <w:ind w:left="2520" w:hanging="360"/>
      </w:pPr>
    </w:lvl>
    <w:lvl w:ilvl="4" w:tplc="E056D61A">
      <w:start w:val="1"/>
      <w:numFmt w:val="lowerLetter"/>
      <w:lvlText w:val="%5."/>
      <w:lvlJc w:val="left"/>
      <w:pPr>
        <w:ind w:left="3240" w:hanging="360"/>
      </w:pPr>
    </w:lvl>
    <w:lvl w:ilvl="5" w:tplc="507290E8">
      <w:start w:val="1"/>
      <w:numFmt w:val="lowerRoman"/>
      <w:lvlText w:val="%6."/>
      <w:lvlJc w:val="right"/>
      <w:pPr>
        <w:ind w:left="3960" w:hanging="180"/>
      </w:pPr>
    </w:lvl>
    <w:lvl w:ilvl="6" w:tplc="BCA21CA0">
      <w:start w:val="1"/>
      <w:numFmt w:val="decimal"/>
      <w:lvlText w:val="%7."/>
      <w:lvlJc w:val="left"/>
      <w:pPr>
        <w:ind w:left="4680" w:hanging="360"/>
      </w:pPr>
    </w:lvl>
    <w:lvl w:ilvl="7" w:tplc="A146758E">
      <w:start w:val="1"/>
      <w:numFmt w:val="lowerLetter"/>
      <w:lvlText w:val="%8."/>
      <w:lvlJc w:val="left"/>
      <w:pPr>
        <w:ind w:left="5400" w:hanging="360"/>
      </w:pPr>
    </w:lvl>
    <w:lvl w:ilvl="8" w:tplc="2BD607B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26"/>
    <w:multiLevelType w:val="hybridMultilevel"/>
    <w:tmpl w:val="00001F16"/>
    <w:lvl w:ilvl="0" w:tplc="797AC1CC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/>
        <w:w w:val="100"/>
        <w:sz w:val="24"/>
        <w:szCs w:val="24"/>
        <w:shd w:val="clear" w:color="auto" w:fill="auto"/>
      </w:rPr>
    </w:lvl>
    <w:lvl w:ilvl="1" w:tplc="22325F44">
      <w:start w:val="1"/>
      <w:numFmt w:val="lowerLetter"/>
      <w:lvlText w:val="%2."/>
      <w:lvlJc w:val="left"/>
      <w:pPr>
        <w:ind w:left="1440" w:hanging="360"/>
      </w:pPr>
    </w:lvl>
    <w:lvl w:ilvl="2" w:tplc="4D3EC6D6">
      <w:start w:val="1"/>
      <w:numFmt w:val="lowerRoman"/>
      <w:lvlText w:val="%3."/>
      <w:lvlJc w:val="right"/>
      <w:pPr>
        <w:ind w:left="2160" w:hanging="180"/>
      </w:pPr>
    </w:lvl>
    <w:lvl w:ilvl="3" w:tplc="71E00E10">
      <w:start w:val="1"/>
      <w:numFmt w:val="decimal"/>
      <w:lvlText w:val="%4."/>
      <w:lvlJc w:val="left"/>
      <w:pPr>
        <w:ind w:left="2880" w:hanging="360"/>
      </w:pPr>
    </w:lvl>
    <w:lvl w:ilvl="4" w:tplc="F686F61A">
      <w:start w:val="1"/>
      <w:numFmt w:val="lowerLetter"/>
      <w:lvlText w:val="%5."/>
      <w:lvlJc w:val="left"/>
      <w:pPr>
        <w:ind w:left="3600" w:hanging="360"/>
      </w:pPr>
    </w:lvl>
    <w:lvl w:ilvl="5" w:tplc="CAACDA48">
      <w:start w:val="1"/>
      <w:numFmt w:val="lowerRoman"/>
      <w:lvlText w:val="%6."/>
      <w:lvlJc w:val="right"/>
      <w:pPr>
        <w:ind w:left="4320" w:hanging="180"/>
      </w:pPr>
    </w:lvl>
    <w:lvl w:ilvl="6" w:tplc="ACA00676">
      <w:start w:val="1"/>
      <w:numFmt w:val="decimal"/>
      <w:lvlText w:val="%7."/>
      <w:lvlJc w:val="left"/>
      <w:pPr>
        <w:ind w:left="5040" w:hanging="360"/>
      </w:pPr>
    </w:lvl>
    <w:lvl w:ilvl="7" w:tplc="5B6006F6">
      <w:start w:val="1"/>
      <w:numFmt w:val="lowerLetter"/>
      <w:lvlText w:val="%8."/>
      <w:lvlJc w:val="left"/>
      <w:pPr>
        <w:ind w:left="5760" w:hanging="360"/>
      </w:pPr>
    </w:lvl>
    <w:lvl w:ilvl="8" w:tplc="47563E1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2F"/>
    <w:multiLevelType w:val="hybridMultilevel"/>
    <w:tmpl w:val="00004E57"/>
    <w:lvl w:ilvl="0" w:tplc="5CEEA732">
      <w:start w:val="1"/>
      <w:numFmt w:val="decimal"/>
      <w:lvlText w:val="%1."/>
      <w:lvlJc w:val="left"/>
      <w:pPr>
        <w:ind w:left="800" w:hanging="400"/>
      </w:pPr>
      <w:rPr>
        <w:rFonts w:ascii="Times New Roman" w:eastAsia="Times New Roman" w:hAnsi="Times New Roman"/>
        <w:w w:val="100"/>
        <w:sz w:val="24"/>
        <w:szCs w:val="24"/>
        <w:shd w:val="clear" w:color="auto" w:fill="auto"/>
      </w:rPr>
    </w:lvl>
    <w:lvl w:ilvl="1" w:tplc="A9D03326">
      <w:start w:val="1"/>
      <w:numFmt w:val="upperLetter"/>
      <w:lvlText w:val="%2."/>
      <w:lvlJc w:val="left"/>
      <w:pPr>
        <w:ind w:left="1200" w:hanging="400"/>
      </w:pPr>
    </w:lvl>
    <w:lvl w:ilvl="2" w:tplc="C34CC0C0">
      <w:start w:val="1"/>
      <w:numFmt w:val="lowerRoman"/>
      <w:lvlText w:val="%3."/>
      <w:lvlJc w:val="left"/>
      <w:pPr>
        <w:ind w:left="1600" w:hanging="400"/>
      </w:pPr>
    </w:lvl>
    <w:lvl w:ilvl="3" w:tplc="4104BCBC">
      <w:start w:val="1"/>
      <w:numFmt w:val="decimal"/>
      <w:lvlText w:val="%4."/>
      <w:lvlJc w:val="left"/>
      <w:pPr>
        <w:ind w:left="2000" w:hanging="400"/>
      </w:pPr>
    </w:lvl>
    <w:lvl w:ilvl="4" w:tplc="025279F2">
      <w:start w:val="1"/>
      <w:numFmt w:val="upperLetter"/>
      <w:lvlText w:val="%5."/>
      <w:lvlJc w:val="left"/>
      <w:pPr>
        <w:ind w:left="2400" w:hanging="400"/>
      </w:pPr>
    </w:lvl>
    <w:lvl w:ilvl="5" w:tplc="C7A20F96">
      <w:start w:val="1"/>
      <w:numFmt w:val="lowerRoman"/>
      <w:lvlText w:val="%6."/>
      <w:lvlJc w:val="left"/>
      <w:pPr>
        <w:ind w:left="2800" w:hanging="400"/>
      </w:pPr>
    </w:lvl>
    <w:lvl w:ilvl="6" w:tplc="469AE22E">
      <w:start w:val="1"/>
      <w:numFmt w:val="decimal"/>
      <w:lvlText w:val="%7."/>
      <w:lvlJc w:val="left"/>
      <w:pPr>
        <w:ind w:left="3200" w:hanging="400"/>
      </w:pPr>
    </w:lvl>
    <w:lvl w:ilvl="7" w:tplc="7FFEA334">
      <w:start w:val="1"/>
      <w:numFmt w:val="upperLetter"/>
      <w:lvlText w:val="%8."/>
      <w:lvlJc w:val="left"/>
      <w:pPr>
        <w:ind w:left="3600" w:hanging="400"/>
      </w:pPr>
    </w:lvl>
    <w:lvl w:ilvl="8" w:tplc="9C6EC0B8">
      <w:start w:val="1"/>
      <w:numFmt w:val="lowerRoman"/>
      <w:lvlText w:val="%9."/>
      <w:lvlJc w:val="left"/>
      <w:pPr>
        <w:ind w:left="4000" w:hanging="400"/>
      </w:pPr>
    </w:lvl>
  </w:abstractNum>
  <w:abstractNum w:abstractNumId="4" w15:restartNumberingAfterBreak="0">
    <w:nsid w:val="0B945348"/>
    <w:multiLevelType w:val="hybridMultilevel"/>
    <w:tmpl w:val="CC380E7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7A09"/>
    <w:multiLevelType w:val="hybridMultilevel"/>
    <w:tmpl w:val="7D78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E543A"/>
    <w:multiLevelType w:val="hybridMultilevel"/>
    <w:tmpl w:val="FF5AA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95457"/>
    <w:multiLevelType w:val="hybridMultilevel"/>
    <w:tmpl w:val="29F63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D0BDF"/>
    <w:multiLevelType w:val="hybridMultilevel"/>
    <w:tmpl w:val="435A5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07945"/>
    <w:multiLevelType w:val="hybridMultilevel"/>
    <w:tmpl w:val="35AEA1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722BBF"/>
    <w:multiLevelType w:val="hybridMultilevel"/>
    <w:tmpl w:val="2E6893BE"/>
    <w:lvl w:ilvl="0" w:tplc="6242E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76C"/>
    <w:multiLevelType w:val="hybridMultilevel"/>
    <w:tmpl w:val="95F08BC6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9FF0B39"/>
    <w:multiLevelType w:val="hybridMultilevel"/>
    <w:tmpl w:val="8D4C1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1F35"/>
    <w:multiLevelType w:val="hybridMultilevel"/>
    <w:tmpl w:val="EB72200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1B5E"/>
    <w:multiLevelType w:val="hybridMultilevel"/>
    <w:tmpl w:val="4444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B39CF"/>
    <w:multiLevelType w:val="hybridMultilevel"/>
    <w:tmpl w:val="FBD49B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F1683C"/>
    <w:multiLevelType w:val="hybridMultilevel"/>
    <w:tmpl w:val="EAC63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DA6660"/>
    <w:multiLevelType w:val="hybridMultilevel"/>
    <w:tmpl w:val="8A94BA76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7"/>
  </w:num>
  <w:num w:numId="12">
    <w:abstractNumId w:val="11"/>
  </w:num>
  <w:num w:numId="13">
    <w:abstractNumId w:val="13"/>
  </w:num>
  <w:num w:numId="14">
    <w:abstractNumId w:val="4"/>
  </w:num>
  <w:num w:numId="15">
    <w:abstractNumId w:val="16"/>
  </w:num>
  <w:num w:numId="16">
    <w:abstractNumId w:val="9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0E"/>
    <w:rsid w:val="000025C9"/>
    <w:rsid w:val="000426D6"/>
    <w:rsid w:val="00060AD3"/>
    <w:rsid w:val="00060DBE"/>
    <w:rsid w:val="00062863"/>
    <w:rsid w:val="00066F7E"/>
    <w:rsid w:val="00094743"/>
    <w:rsid w:val="000B2904"/>
    <w:rsid w:val="000D51EA"/>
    <w:rsid w:val="000F3FEB"/>
    <w:rsid w:val="000F6B7E"/>
    <w:rsid w:val="000F7F41"/>
    <w:rsid w:val="0010567E"/>
    <w:rsid w:val="00121418"/>
    <w:rsid w:val="001522BE"/>
    <w:rsid w:val="00155791"/>
    <w:rsid w:val="001877FC"/>
    <w:rsid w:val="00190C0E"/>
    <w:rsid w:val="00191791"/>
    <w:rsid w:val="001A7666"/>
    <w:rsid w:val="001B7D93"/>
    <w:rsid w:val="001D313D"/>
    <w:rsid w:val="001D636C"/>
    <w:rsid w:val="001D7492"/>
    <w:rsid w:val="001F5825"/>
    <w:rsid w:val="002000D9"/>
    <w:rsid w:val="00202214"/>
    <w:rsid w:val="00214C4E"/>
    <w:rsid w:val="00221024"/>
    <w:rsid w:val="002345D0"/>
    <w:rsid w:val="00281CCE"/>
    <w:rsid w:val="002979C0"/>
    <w:rsid w:val="002A17FF"/>
    <w:rsid w:val="002A4695"/>
    <w:rsid w:val="002B0A9F"/>
    <w:rsid w:val="002B4816"/>
    <w:rsid w:val="002C4396"/>
    <w:rsid w:val="002C58C6"/>
    <w:rsid w:val="002C60A7"/>
    <w:rsid w:val="003012E9"/>
    <w:rsid w:val="00301D26"/>
    <w:rsid w:val="00302DF6"/>
    <w:rsid w:val="00321972"/>
    <w:rsid w:val="00322566"/>
    <w:rsid w:val="003326A0"/>
    <w:rsid w:val="0034397D"/>
    <w:rsid w:val="0035577B"/>
    <w:rsid w:val="0036664F"/>
    <w:rsid w:val="003A5E82"/>
    <w:rsid w:val="003F0FD9"/>
    <w:rsid w:val="00401DAA"/>
    <w:rsid w:val="004068DB"/>
    <w:rsid w:val="00485FC1"/>
    <w:rsid w:val="00487B30"/>
    <w:rsid w:val="00495481"/>
    <w:rsid w:val="004B2E8C"/>
    <w:rsid w:val="004D02B3"/>
    <w:rsid w:val="00522D70"/>
    <w:rsid w:val="0052414B"/>
    <w:rsid w:val="005465CB"/>
    <w:rsid w:val="00553E3F"/>
    <w:rsid w:val="0056225A"/>
    <w:rsid w:val="005777F6"/>
    <w:rsid w:val="00582903"/>
    <w:rsid w:val="00597E20"/>
    <w:rsid w:val="005D7B24"/>
    <w:rsid w:val="005F3054"/>
    <w:rsid w:val="005F4CB0"/>
    <w:rsid w:val="0060101E"/>
    <w:rsid w:val="006124FE"/>
    <w:rsid w:val="00625E29"/>
    <w:rsid w:val="00645F14"/>
    <w:rsid w:val="00660AF3"/>
    <w:rsid w:val="006633DC"/>
    <w:rsid w:val="00663B3C"/>
    <w:rsid w:val="0069307F"/>
    <w:rsid w:val="00696DE4"/>
    <w:rsid w:val="006B078A"/>
    <w:rsid w:val="006C00AE"/>
    <w:rsid w:val="006C250B"/>
    <w:rsid w:val="006D4727"/>
    <w:rsid w:val="00744CA6"/>
    <w:rsid w:val="00747383"/>
    <w:rsid w:val="00750447"/>
    <w:rsid w:val="00756266"/>
    <w:rsid w:val="007632E2"/>
    <w:rsid w:val="00770DDE"/>
    <w:rsid w:val="007732AB"/>
    <w:rsid w:val="00782B42"/>
    <w:rsid w:val="007C54D1"/>
    <w:rsid w:val="007D5451"/>
    <w:rsid w:val="007F3CF5"/>
    <w:rsid w:val="007F791D"/>
    <w:rsid w:val="00801D3D"/>
    <w:rsid w:val="00812F02"/>
    <w:rsid w:val="00816868"/>
    <w:rsid w:val="00820C59"/>
    <w:rsid w:val="00821EEF"/>
    <w:rsid w:val="00825598"/>
    <w:rsid w:val="00870C24"/>
    <w:rsid w:val="00876906"/>
    <w:rsid w:val="00890F2A"/>
    <w:rsid w:val="00892F39"/>
    <w:rsid w:val="008B12B1"/>
    <w:rsid w:val="008C1989"/>
    <w:rsid w:val="008F57CF"/>
    <w:rsid w:val="00907033"/>
    <w:rsid w:val="00907840"/>
    <w:rsid w:val="00924B26"/>
    <w:rsid w:val="009269A8"/>
    <w:rsid w:val="00956462"/>
    <w:rsid w:val="00972282"/>
    <w:rsid w:val="009722CD"/>
    <w:rsid w:val="00985D41"/>
    <w:rsid w:val="0099412A"/>
    <w:rsid w:val="00994D89"/>
    <w:rsid w:val="009A725B"/>
    <w:rsid w:val="009B77E3"/>
    <w:rsid w:val="009C1658"/>
    <w:rsid w:val="00A02D55"/>
    <w:rsid w:val="00A176F1"/>
    <w:rsid w:val="00A43FB9"/>
    <w:rsid w:val="00A82894"/>
    <w:rsid w:val="00A83321"/>
    <w:rsid w:val="00A839C7"/>
    <w:rsid w:val="00A83BBC"/>
    <w:rsid w:val="00AD0C71"/>
    <w:rsid w:val="00AF3522"/>
    <w:rsid w:val="00AF7701"/>
    <w:rsid w:val="00B14FFF"/>
    <w:rsid w:val="00B1765B"/>
    <w:rsid w:val="00B32C1E"/>
    <w:rsid w:val="00B3380E"/>
    <w:rsid w:val="00B55E98"/>
    <w:rsid w:val="00B63B6F"/>
    <w:rsid w:val="00B774AC"/>
    <w:rsid w:val="00BB7F4E"/>
    <w:rsid w:val="00BE38E0"/>
    <w:rsid w:val="00BF3F11"/>
    <w:rsid w:val="00C06627"/>
    <w:rsid w:val="00C07DC4"/>
    <w:rsid w:val="00C1622F"/>
    <w:rsid w:val="00C402B3"/>
    <w:rsid w:val="00C41E14"/>
    <w:rsid w:val="00C60A1E"/>
    <w:rsid w:val="00C71F3C"/>
    <w:rsid w:val="00CB1151"/>
    <w:rsid w:val="00CB37E9"/>
    <w:rsid w:val="00CD071A"/>
    <w:rsid w:val="00CD36CB"/>
    <w:rsid w:val="00CD489D"/>
    <w:rsid w:val="00CD5430"/>
    <w:rsid w:val="00CE0F38"/>
    <w:rsid w:val="00CE4014"/>
    <w:rsid w:val="00D152A1"/>
    <w:rsid w:val="00D26845"/>
    <w:rsid w:val="00D30A4A"/>
    <w:rsid w:val="00D54E1D"/>
    <w:rsid w:val="00D86E16"/>
    <w:rsid w:val="00DA3446"/>
    <w:rsid w:val="00DA5B65"/>
    <w:rsid w:val="00DB48F5"/>
    <w:rsid w:val="00DC456C"/>
    <w:rsid w:val="00DD6AD9"/>
    <w:rsid w:val="00DE7BC8"/>
    <w:rsid w:val="00E003BB"/>
    <w:rsid w:val="00E26037"/>
    <w:rsid w:val="00E60C48"/>
    <w:rsid w:val="00E660CC"/>
    <w:rsid w:val="00E80AB8"/>
    <w:rsid w:val="00E94668"/>
    <w:rsid w:val="00EB442E"/>
    <w:rsid w:val="00EC101D"/>
    <w:rsid w:val="00EE3CD3"/>
    <w:rsid w:val="00F20C05"/>
    <w:rsid w:val="00F23FEB"/>
    <w:rsid w:val="00F32608"/>
    <w:rsid w:val="00F4505D"/>
    <w:rsid w:val="00F57792"/>
    <w:rsid w:val="00F71242"/>
    <w:rsid w:val="00FA04C5"/>
    <w:rsid w:val="00FB244C"/>
    <w:rsid w:val="00FB5079"/>
    <w:rsid w:val="00FC1A93"/>
    <w:rsid w:val="00FC3F8C"/>
    <w:rsid w:val="00FD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F2B3"/>
  <w15:chartTrackingRefBased/>
  <w15:docId w15:val="{96154B7A-AF43-4A5B-BEEE-213DB2D4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2414B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7"/>
    <w:qFormat/>
    <w:rsid w:val="00A83BBC"/>
    <w:pPr>
      <w:keepNext/>
      <w:keepLines/>
      <w:outlineLvl w:val="0"/>
    </w:pPr>
    <w:rPr>
      <w:rFonts w:ascii="Cambria" w:eastAsia="Cambria" w:hAnsi="Cambria"/>
      <w:b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14B"/>
    <w:pPr>
      <w:ind w:left="720"/>
    </w:pPr>
  </w:style>
  <w:style w:type="table" w:styleId="a4">
    <w:name w:val="Table Grid"/>
    <w:basedOn w:val="a1"/>
    <w:uiPriority w:val="39"/>
    <w:rsid w:val="0052414B"/>
    <w:pPr>
      <w:spacing w:after="0" w:line="240" w:lineRule="auto"/>
    </w:pPr>
    <w:rPr>
      <w:rFonts w:ascii="Calibri" w:eastAsia="Calibri" w:hAnsi="Calibri" w:cs="Times New Roman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7"/>
    <w:rsid w:val="00A83BBC"/>
    <w:rPr>
      <w:rFonts w:ascii="Cambria" w:eastAsia="Cambria" w:hAnsi="Cambria" w:cs="Times New Roman"/>
      <w:b/>
      <w:color w:val="2E74B5" w:themeColor="accent1" w:themeShade="BF"/>
      <w:sz w:val="28"/>
      <w:szCs w:val="28"/>
      <w:lang w:val="uk-UA" w:eastAsia="uk-UA"/>
    </w:rPr>
  </w:style>
  <w:style w:type="paragraph" w:styleId="a5">
    <w:name w:val="Normal (Web)"/>
    <w:basedOn w:val="a"/>
    <w:unhideWhenUsed/>
    <w:qFormat/>
    <w:rsid w:val="00A83BBC"/>
    <w:rPr>
      <w:rFonts w:ascii="Times New Roman" w:eastAsia="Times New Roman" w:hAnsi="Times New Roman"/>
      <w:sz w:val="24"/>
      <w:szCs w:val="24"/>
    </w:rPr>
  </w:style>
  <w:style w:type="paragraph" w:styleId="a6">
    <w:name w:val="footnote text"/>
    <w:basedOn w:val="a"/>
    <w:link w:val="a7"/>
    <w:uiPriority w:val="99"/>
    <w:unhideWhenUsed/>
    <w:qFormat/>
    <w:rsid w:val="00A83BBC"/>
    <w:rPr>
      <w:rFonts w:ascii="Garamond" w:eastAsia="Times New Roman" w:hAnsi="Garamond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qFormat/>
    <w:rsid w:val="00A83BBC"/>
    <w:rPr>
      <w:rFonts w:ascii="Garamond" w:eastAsia="Times New Roman" w:hAnsi="Garamond" w:cs="Times New Roman"/>
      <w:sz w:val="20"/>
      <w:szCs w:val="20"/>
      <w:lang w:val="uk-UA" w:eastAsia="uk-UA"/>
    </w:rPr>
  </w:style>
  <w:style w:type="character" w:styleId="a8">
    <w:name w:val="footnote reference"/>
    <w:basedOn w:val="a0"/>
    <w:uiPriority w:val="99"/>
    <w:unhideWhenUsed/>
    <w:qFormat/>
    <w:rsid w:val="00A83BBC"/>
    <w:rPr>
      <w:w w:val="100"/>
      <w:sz w:val="20"/>
      <w:szCs w:val="20"/>
      <w:shd w:val="clear" w:color="auto" w:fill="auto"/>
      <w:vertAlign w:val="superscript"/>
    </w:rPr>
  </w:style>
  <w:style w:type="character" w:customStyle="1" w:styleId="Note">
    <w:name w:val="Note"/>
    <w:rsid w:val="00F32608"/>
    <w:rPr>
      <w:rFonts w:ascii="Arial" w:hAnsi="Arial"/>
      <w:sz w:val="18"/>
      <w:lang w:val="uk-UA"/>
    </w:rPr>
  </w:style>
  <w:style w:type="character" w:styleId="a9">
    <w:name w:val="annotation reference"/>
    <w:basedOn w:val="a0"/>
    <w:uiPriority w:val="99"/>
    <w:semiHidden/>
    <w:unhideWhenUsed/>
    <w:rsid w:val="00C0662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0662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06627"/>
    <w:rPr>
      <w:rFonts w:ascii="Calibri" w:eastAsia="Calibri" w:hAnsi="Calibri" w:cs="Times New Roman"/>
      <w:sz w:val="20"/>
      <w:szCs w:val="20"/>
      <w:lang w:val="uk-UA"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0662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06627"/>
    <w:rPr>
      <w:rFonts w:ascii="Calibri" w:eastAsia="Calibri" w:hAnsi="Calibri" w:cs="Times New Roman"/>
      <w:b/>
      <w:bCs/>
      <w:sz w:val="20"/>
      <w:szCs w:val="20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C0662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06627"/>
    <w:rPr>
      <w:rFonts w:ascii="Segoe UI" w:eastAsia="Calibri" w:hAnsi="Segoe UI" w:cs="Segoe UI"/>
      <w:sz w:val="18"/>
      <w:szCs w:val="18"/>
      <w:lang w:val="uk-UA" w:eastAsia="uk-UA"/>
    </w:rPr>
  </w:style>
  <w:style w:type="character" w:customStyle="1" w:styleId="Sectionname">
    <w:name w:val="Section name"/>
    <w:rsid w:val="00202214"/>
    <w:rPr>
      <w:rFonts w:ascii="Arial" w:hAnsi="Arial"/>
      <w:b/>
      <w:bCs/>
      <w:sz w:val="22"/>
      <w:lang w:val="uk-UA"/>
    </w:rPr>
  </w:style>
  <w:style w:type="paragraph" w:customStyle="1" w:styleId="11">
    <w:name w:val="Текст1"/>
    <w:basedOn w:val="a"/>
    <w:rsid w:val="003326A0"/>
    <w:pPr>
      <w:widowControl w:val="0"/>
      <w:suppressAutoHyphens/>
    </w:pPr>
    <w:rPr>
      <w:rFonts w:ascii="Courier New" w:eastAsia="Times New Roman" w:hAnsi="Courier New"/>
      <w:sz w:val="20"/>
      <w:szCs w:val="20"/>
      <w:lang w:val="en-GB" w:eastAsia="ar-SA"/>
    </w:rPr>
  </w:style>
  <w:style w:type="character" w:customStyle="1" w:styleId="Paragraphname">
    <w:name w:val="Paragraph name"/>
    <w:rsid w:val="003326A0"/>
    <w:rPr>
      <w:rFonts w:ascii="Arial" w:hAnsi="Arial"/>
      <w:sz w:val="22"/>
      <w:lang w:val="uk-UA"/>
    </w:rPr>
  </w:style>
  <w:style w:type="character" w:customStyle="1" w:styleId="hps">
    <w:name w:val="hps"/>
    <w:rsid w:val="003326A0"/>
  </w:style>
  <w:style w:type="paragraph" w:styleId="af0">
    <w:name w:val="header"/>
    <w:basedOn w:val="a"/>
    <w:link w:val="af1"/>
    <w:uiPriority w:val="99"/>
    <w:unhideWhenUsed/>
    <w:rsid w:val="002A469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A4695"/>
    <w:rPr>
      <w:rFonts w:ascii="Calibri" w:eastAsia="Calibri" w:hAnsi="Calibri" w:cs="Times New Roman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2A469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A4695"/>
    <w:rPr>
      <w:rFonts w:ascii="Calibri" w:eastAsia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0CC9D-4AD5-45B8-BBE0-465D00DD7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Marunko Dina</cp:lastModifiedBy>
  <cp:revision>2</cp:revision>
  <dcterms:created xsi:type="dcterms:W3CDTF">2020-12-04T08:59:00Z</dcterms:created>
  <dcterms:modified xsi:type="dcterms:W3CDTF">2020-12-04T08:59:00Z</dcterms:modified>
</cp:coreProperties>
</file>