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02DCA9DF" w:rsidR="006D5ACB" w:rsidRPr="00F50D4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E97D87">
        <w:rPr>
          <w:rFonts w:ascii="Times New Roman" w:hAnsi="Times New Roman"/>
          <w:iCs/>
          <w:sz w:val="26"/>
          <w:szCs w:val="26"/>
        </w:rPr>
        <w:t>16</w:t>
      </w:r>
      <w:r w:rsidR="00D60507">
        <w:rPr>
          <w:rFonts w:ascii="Times New Roman" w:hAnsi="Times New Roman"/>
          <w:iCs/>
          <w:sz w:val="26"/>
          <w:szCs w:val="26"/>
        </w:rPr>
        <w:t xml:space="preserve"> </w:t>
      </w:r>
      <w:r w:rsidR="00E97D87">
        <w:rPr>
          <w:rFonts w:ascii="Times New Roman" w:hAnsi="Times New Roman"/>
          <w:iCs/>
          <w:sz w:val="26"/>
          <w:szCs w:val="26"/>
        </w:rPr>
        <w:t>верес</w:t>
      </w:r>
      <w:r w:rsidR="00D60507">
        <w:rPr>
          <w:rFonts w:ascii="Times New Roman" w:hAnsi="Times New Roman"/>
          <w:iCs/>
          <w:sz w:val="26"/>
          <w:szCs w:val="26"/>
        </w:rPr>
        <w:t>ня</w:t>
      </w:r>
      <w:r w:rsidR="0083373F">
        <w:rPr>
          <w:rFonts w:ascii="Times New Roman" w:hAnsi="Times New Roman"/>
          <w:iCs/>
          <w:sz w:val="26"/>
          <w:szCs w:val="26"/>
        </w:rPr>
        <w:t xml:space="preserve"> </w:t>
      </w:r>
      <w:r w:rsidR="0083373F" w:rsidRPr="0083373F">
        <w:rPr>
          <w:rFonts w:ascii="Times New Roman" w:hAnsi="Times New Roman"/>
          <w:iCs/>
          <w:sz w:val="26"/>
          <w:szCs w:val="26"/>
        </w:rPr>
        <w:t xml:space="preserve">2021 </w:t>
      </w:r>
      <w:r w:rsidRPr="0083373F">
        <w:rPr>
          <w:rFonts w:ascii="Times New Roman" w:hAnsi="Times New Roman"/>
          <w:iCs/>
          <w:sz w:val="26"/>
          <w:szCs w:val="26"/>
        </w:rPr>
        <w:t xml:space="preserve">року № </w:t>
      </w:r>
      <w:r w:rsidR="00E97D87">
        <w:rPr>
          <w:rFonts w:ascii="Times New Roman" w:hAnsi="Times New Roman"/>
          <w:iCs/>
          <w:sz w:val="26"/>
          <w:szCs w:val="26"/>
          <w:lang w:val="ru-RU"/>
        </w:rPr>
        <w:t>602</w:t>
      </w:r>
    </w:p>
    <w:p w14:paraId="37228A77" w14:textId="77777777" w:rsidR="006D5ACB" w:rsidRPr="00F50D43" w:rsidRDefault="006D5ACB" w:rsidP="006D5ACB">
      <w:pPr>
        <w:spacing w:after="0" w:line="240" w:lineRule="auto"/>
        <w:ind w:left="5553"/>
        <w:rPr>
          <w:rFonts w:ascii="Times New Roman" w:hAnsi="Times New Roman"/>
          <w:color w:val="000000"/>
          <w:sz w:val="26"/>
          <w:szCs w:val="26"/>
        </w:rPr>
      </w:pPr>
      <w:r w:rsidRPr="00F50D43">
        <w:rPr>
          <w:rFonts w:ascii="Times New Roman" w:hAnsi="Times New Roman"/>
          <w:color w:val="000000"/>
          <w:sz w:val="26"/>
          <w:szCs w:val="26"/>
        </w:rPr>
        <w:t>Голова 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77777777" w:rsidR="006D5ACB" w:rsidRPr="00F50D43"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softHyphen/>
      </w:r>
      <w:r w:rsidRPr="00F50D43">
        <w:rPr>
          <w:rFonts w:ascii="Times New Roman" w:hAnsi="Times New Roman"/>
          <w:iCs/>
          <w:sz w:val="26"/>
          <w:szCs w:val="26"/>
        </w:rPr>
        <w:softHyphen/>
        <w:t>_____________  О.Ю. Вовченко</w:t>
      </w: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1DC01446"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 </w:t>
      </w:r>
      <w:r w:rsidR="00E97D87">
        <w:rPr>
          <w:rFonts w:ascii="Times New Roman" w:hAnsi="Times New Roman"/>
          <w:b/>
          <w:sz w:val="26"/>
          <w:szCs w:val="26"/>
          <w:lang w:val="ru-RU"/>
        </w:rPr>
        <w:t>602</w:t>
      </w:r>
    </w:p>
    <w:p w14:paraId="571FBEA2" w14:textId="2B64B83C" w:rsidR="00C64996"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794C4A2D"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E3530D" w:rsidRPr="00E3530D">
        <w:rPr>
          <w:rFonts w:ascii="Times New Roman" w:hAnsi="Times New Roman"/>
          <w:sz w:val="26"/>
          <w:szCs w:val="26"/>
        </w:rPr>
        <w:t xml:space="preserve">з попередньою кваліфікацією </w:t>
      </w:r>
      <w:r w:rsidRPr="006D5ACB">
        <w:rPr>
          <w:rFonts w:ascii="Times New Roman" w:hAnsi="Times New Roman"/>
          <w:sz w:val="26"/>
          <w:szCs w:val="26"/>
        </w:rPr>
        <w:t xml:space="preserve">на закупівлю </w:t>
      </w:r>
      <w:bookmarkStart w:id="1" w:name="_Hlk64628160"/>
      <w:bookmarkStart w:id="2" w:name="_Hlk534728636"/>
      <w:bookmarkStart w:id="3" w:name="_Hlk532227308"/>
      <w:r w:rsidR="003E6B30" w:rsidRPr="003E6B30">
        <w:rPr>
          <w:rFonts w:ascii="Times New Roman" w:hAnsi="Times New Roman"/>
          <w:b/>
          <w:sz w:val="26"/>
          <w:szCs w:val="26"/>
        </w:rPr>
        <w:t>ДК 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r w:rsidR="00E529F3" w:rsidRPr="00E529F3">
        <w:rPr>
          <w:rFonts w:ascii="Times New Roman" w:hAnsi="Times New Roman"/>
          <w:b/>
          <w:sz w:val="26"/>
          <w:szCs w:val="26"/>
        </w:rPr>
        <w:t>,</w:t>
      </w:r>
      <w:bookmarkEnd w:id="1"/>
      <w:r w:rsidR="00E529F3" w:rsidRPr="00E529F3">
        <w:rPr>
          <w:rFonts w:ascii="Times New Roman" w:hAnsi="Times New Roman"/>
          <w:b/>
          <w:sz w:val="26"/>
          <w:szCs w:val="26"/>
        </w:rPr>
        <w:t xml:space="preserve"> </w:t>
      </w:r>
      <w:r w:rsidRPr="006D5ACB">
        <w:rPr>
          <w:rFonts w:ascii="Times New Roman" w:hAnsi="Times New Roman"/>
          <w:sz w:val="26"/>
          <w:szCs w:val="26"/>
        </w:rPr>
        <w:t>в рамках реалізації про</w:t>
      </w:r>
      <w:r w:rsidR="00B078B2">
        <w:rPr>
          <w:rFonts w:ascii="Times New Roman" w:hAnsi="Times New Roman"/>
          <w:sz w:val="26"/>
          <w:szCs w:val="26"/>
        </w:rPr>
        <w:t>грами</w:t>
      </w:r>
      <w:r w:rsidRPr="006D5ACB">
        <w:rPr>
          <w:rFonts w:ascii="Times New Roman" w:hAnsi="Times New Roman"/>
          <w:sz w:val="26"/>
          <w:szCs w:val="26"/>
        </w:rPr>
        <w:t xml:space="preserve">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2"/>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3"/>
      <w:r w:rsidRPr="006D5ACB">
        <w:rPr>
          <w:rFonts w:ascii="Times New Roman" w:hAnsi="Times New Roman"/>
          <w:bCs/>
          <w:sz w:val="26"/>
          <w:szCs w:val="26"/>
          <w:lang w:eastAsia="ru-RU"/>
        </w:rPr>
        <w:t>та запрошує Вас подати тендерну пропозицію.</w:t>
      </w:r>
    </w:p>
    <w:p w14:paraId="7428D205" w14:textId="35EE1FE6"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w:t>
      </w:r>
      <w:r w:rsidR="00B078B2">
        <w:rPr>
          <w:rFonts w:ascii="Times New Roman" w:hAnsi="Times New Roman"/>
          <w:sz w:val="26"/>
          <w:szCs w:val="26"/>
        </w:rPr>
        <w:t>грами</w:t>
      </w:r>
      <w:r w:rsidRPr="008C73AC">
        <w:rPr>
          <w:rFonts w:ascii="Times New Roman" w:hAnsi="Times New Roman"/>
          <w:sz w:val="26"/>
          <w:szCs w:val="26"/>
        </w:rPr>
        <w:t xml:space="preserve"> Прискорення прогресу у зменшенні тягаря туберкульозу та ВІЛ-інфекції в Україні (англійською мовою: «</w:t>
      </w:r>
      <w:proofErr w:type="spellStart"/>
      <w:r w:rsidRPr="008C73AC">
        <w:rPr>
          <w:rFonts w:ascii="Times New Roman" w:hAnsi="Times New Roman"/>
          <w:sz w:val="26"/>
          <w:szCs w:val="26"/>
        </w:rPr>
        <w:t>Gain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momentum</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reducing</w:t>
      </w:r>
      <w:proofErr w:type="spellEnd"/>
      <w:r w:rsidRPr="008C73AC">
        <w:rPr>
          <w:rFonts w:ascii="Times New Roman" w:hAnsi="Times New Roman"/>
          <w:sz w:val="26"/>
          <w:szCs w:val="26"/>
        </w:rPr>
        <w:t xml:space="preserve"> TB/ HIV </w:t>
      </w:r>
      <w:proofErr w:type="spellStart"/>
      <w:r w:rsidRPr="008C73AC">
        <w:rPr>
          <w:rFonts w:ascii="Times New Roman" w:hAnsi="Times New Roman"/>
          <w:sz w:val="26"/>
          <w:szCs w:val="26"/>
        </w:rPr>
        <w:t>burden</w:t>
      </w:r>
      <w:proofErr w:type="spellEnd"/>
      <w:r w:rsidRPr="008C73AC">
        <w:rPr>
          <w:rFonts w:ascii="Times New Roman" w:hAnsi="Times New Roman"/>
          <w:sz w:val="26"/>
          <w:szCs w:val="26"/>
        </w:rPr>
        <w:t xml:space="preserve"> </w:t>
      </w:r>
      <w:proofErr w:type="spellStart"/>
      <w:r w:rsidRPr="008C73AC">
        <w:rPr>
          <w:rFonts w:ascii="Times New Roman" w:hAnsi="Times New Roman"/>
          <w:sz w:val="26"/>
          <w:szCs w:val="26"/>
        </w:rPr>
        <w:t>in</w:t>
      </w:r>
      <w:proofErr w:type="spellEnd"/>
      <w:r w:rsidRPr="008C73AC">
        <w:rPr>
          <w:rFonts w:ascii="Times New Roman" w:hAnsi="Times New Roman"/>
          <w:sz w:val="26"/>
          <w:szCs w:val="26"/>
        </w:rPr>
        <w:t xml:space="preserve"> Ukraine») (далі – проект Глобального фонду) за договором про надання гранту від 04 грудня 2020 року № 1936 (UKR-C-PHC).</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3E54157D"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4" w:name="_Hlk82705278"/>
      <w:r w:rsidR="003E6B30" w:rsidRPr="003E6B30">
        <w:rPr>
          <w:rFonts w:ascii="Times New Roman" w:eastAsia="Calibri" w:hAnsi="Times New Roman"/>
          <w:bCs/>
          <w:iCs/>
          <w:sz w:val="26"/>
          <w:szCs w:val="26"/>
        </w:rPr>
        <w:t>ДК 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bookmarkEnd w:id="4"/>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5" w:name="_Hlk534733452"/>
      <w:r w:rsidRPr="00827989">
        <w:rPr>
          <w:rFonts w:ascii="Times New Roman" w:hAnsi="Times New Roman"/>
          <w:b/>
          <w:sz w:val="26"/>
          <w:szCs w:val="26"/>
        </w:rPr>
        <w:t>технічні, якісні, кількісні та інші параметри</w:t>
      </w:r>
      <w:bookmarkEnd w:id="5"/>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245CA6EB"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eastAsia="Calibri" w:hAnsi="Times New Roman"/>
          <w:b/>
          <w:sz w:val="26"/>
          <w:szCs w:val="26"/>
        </w:rPr>
        <w:t xml:space="preserve">Кінцевий термін подання тендерних пропозицій: </w:t>
      </w:r>
      <w:r w:rsidRPr="00827989">
        <w:rPr>
          <w:rFonts w:ascii="Times New Roman" w:hAnsi="Times New Roman"/>
          <w:sz w:val="26"/>
          <w:szCs w:val="26"/>
          <w:lang w:eastAsia="ru-RU"/>
        </w:rPr>
        <w:t xml:space="preserve"> </w:t>
      </w:r>
      <w:r w:rsidRPr="00827989">
        <w:rPr>
          <w:rFonts w:ascii="Times New Roman" w:eastAsia="Calibri" w:hAnsi="Times New Roman"/>
          <w:sz w:val="26"/>
          <w:szCs w:val="26"/>
          <w:lang w:eastAsia="ru-RU"/>
        </w:rPr>
        <w:br/>
      </w:r>
      <w:r w:rsidRPr="00827989">
        <w:rPr>
          <w:rFonts w:ascii="Times New Roman" w:eastAsia="Calibri" w:hAnsi="Times New Roman"/>
          <w:b/>
          <w:sz w:val="26"/>
          <w:szCs w:val="26"/>
          <w:lang w:eastAsia="ru-RU"/>
        </w:rPr>
        <w:t>«</w:t>
      </w:r>
      <w:r w:rsidR="00E97D87">
        <w:rPr>
          <w:rFonts w:ascii="Times New Roman" w:eastAsia="Calibri" w:hAnsi="Times New Roman"/>
          <w:b/>
          <w:sz w:val="26"/>
          <w:szCs w:val="26"/>
          <w:lang w:eastAsia="ru-RU"/>
        </w:rPr>
        <w:t>04</w:t>
      </w:r>
      <w:r w:rsidRPr="00827989">
        <w:rPr>
          <w:rFonts w:ascii="Times New Roman" w:eastAsia="Calibri" w:hAnsi="Times New Roman"/>
          <w:b/>
          <w:sz w:val="26"/>
          <w:szCs w:val="26"/>
          <w:lang w:eastAsia="ru-RU"/>
        </w:rPr>
        <w:t>»</w:t>
      </w:r>
      <w:r w:rsidRPr="00827989">
        <w:rPr>
          <w:rFonts w:ascii="Times New Roman" w:hAnsi="Times New Roman"/>
          <w:b/>
          <w:sz w:val="26"/>
          <w:szCs w:val="26"/>
          <w:lang w:eastAsia="ru-RU"/>
        </w:rPr>
        <w:t xml:space="preserve"> </w:t>
      </w:r>
      <w:r w:rsidR="00E97D87">
        <w:rPr>
          <w:rFonts w:ascii="Times New Roman" w:hAnsi="Times New Roman"/>
          <w:b/>
          <w:sz w:val="26"/>
          <w:szCs w:val="26"/>
          <w:lang w:eastAsia="ru-RU"/>
        </w:rPr>
        <w:t>жовт</w:t>
      </w:r>
      <w:r w:rsidR="00EE0701" w:rsidRPr="00827989">
        <w:rPr>
          <w:rFonts w:ascii="Times New Roman" w:hAnsi="Times New Roman"/>
          <w:b/>
          <w:sz w:val="26"/>
          <w:szCs w:val="26"/>
          <w:lang w:eastAsia="ru-RU"/>
        </w:rPr>
        <w:t>н</w:t>
      </w:r>
      <w:r w:rsidR="00955E08" w:rsidRPr="00827989">
        <w:rPr>
          <w:rFonts w:ascii="Times New Roman" w:hAnsi="Times New Roman"/>
          <w:b/>
          <w:sz w:val="26"/>
          <w:szCs w:val="26"/>
          <w:lang w:eastAsia="ru-RU"/>
        </w:rPr>
        <w:t>я</w:t>
      </w:r>
      <w:r w:rsidRPr="00827989">
        <w:rPr>
          <w:rFonts w:ascii="Times New Roman" w:hAnsi="Times New Roman"/>
          <w:b/>
          <w:sz w:val="26"/>
          <w:szCs w:val="26"/>
          <w:lang w:eastAsia="ru-RU"/>
        </w:rPr>
        <w:t xml:space="preserve"> 20</w:t>
      </w:r>
      <w:r w:rsidR="00C008EA" w:rsidRPr="00827989">
        <w:rPr>
          <w:rFonts w:ascii="Times New Roman" w:hAnsi="Times New Roman"/>
          <w:b/>
          <w:sz w:val="26"/>
          <w:szCs w:val="26"/>
          <w:lang w:eastAsia="ru-RU"/>
        </w:rPr>
        <w:t>21</w:t>
      </w:r>
      <w:r w:rsidRPr="00827989">
        <w:rPr>
          <w:rFonts w:ascii="Times New Roman" w:hAnsi="Times New Roman"/>
          <w:b/>
          <w:sz w:val="26"/>
          <w:szCs w:val="26"/>
          <w:lang w:eastAsia="ru-RU"/>
        </w:rPr>
        <w:t xml:space="preserve"> року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3ADEA979"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40CD8937" w14:textId="77777777" w:rsidR="001767AD" w:rsidRPr="00827989" w:rsidRDefault="001767AD" w:rsidP="001767AD">
      <w:pPr>
        <w:pStyle w:val="a3"/>
        <w:rPr>
          <w:rFonts w:ascii="Times New Roman" w:hAnsi="Times New Roman"/>
          <w:bCs/>
          <w:iCs/>
          <w:sz w:val="26"/>
          <w:szCs w:val="26"/>
          <w:lang w:val="uk-UA"/>
        </w:rPr>
      </w:pPr>
    </w:p>
    <w:p w14:paraId="681F3D9E" w14:textId="3AC928EA" w:rsidR="008A4F1A" w:rsidRDefault="00C008EA" w:rsidP="008A4F1A">
      <w:pPr>
        <w:pStyle w:val="a3"/>
        <w:numPr>
          <w:ilvl w:val="0"/>
          <w:numId w:val="1"/>
        </w:numPr>
        <w:tabs>
          <w:tab w:val="left" w:pos="993"/>
        </w:tabs>
        <w:ind w:left="284" w:firstLine="425"/>
        <w:rPr>
          <w:u w:val="single"/>
          <w:lang w:val="uk-UA"/>
        </w:rPr>
      </w:pPr>
      <w:r w:rsidRPr="00827989">
        <w:rPr>
          <w:rFonts w:ascii="Times New Roman" w:hAnsi="Times New Roman"/>
          <w:b/>
          <w:iCs/>
          <w:sz w:val="26"/>
          <w:szCs w:val="26"/>
          <w:lang w:val="uk-UA"/>
        </w:rPr>
        <w:t>Посилання на річний план закупівлі в електронній системі закупівель</w:t>
      </w:r>
      <w:r w:rsidRPr="00827989">
        <w:rPr>
          <w:rFonts w:ascii="Times New Roman" w:hAnsi="Times New Roman"/>
          <w:bCs/>
          <w:iCs/>
          <w:sz w:val="26"/>
          <w:szCs w:val="26"/>
          <w:lang w:val="uk-UA"/>
        </w:rPr>
        <w:t xml:space="preserve">: </w:t>
      </w:r>
      <w:hyperlink r:id="rId10" w:history="1">
        <w:r w:rsidR="006255FF" w:rsidRPr="00981CA5">
          <w:rPr>
            <w:rStyle w:val="a7"/>
          </w:rPr>
          <w:t>https</w:t>
        </w:r>
        <w:r w:rsidR="006255FF" w:rsidRPr="006255FF">
          <w:rPr>
            <w:rStyle w:val="a7"/>
            <w:lang w:val="ru-RU"/>
          </w:rPr>
          <w:t>://</w:t>
        </w:r>
        <w:proofErr w:type="spellStart"/>
        <w:r w:rsidR="006255FF" w:rsidRPr="00981CA5">
          <w:rPr>
            <w:rStyle w:val="a7"/>
          </w:rPr>
          <w:t>prozorro</w:t>
        </w:r>
        <w:proofErr w:type="spellEnd"/>
        <w:r w:rsidR="006255FF" w:rsidRPr="006255FF">
          <w:rPr>
            <w:rStyle w:val="a7"/>
            <w:lang w:val="ru-RU"/>
          </w:rPr>
          <w:t>.</w:t>
        </w:r>
        <w:r w:rsidR="006255FF" w:rsidRPr="00981CA5">
          <w:rPr>
            <w:rStyle w:val="a7"/>
          </w:rPr>
          <w:t>gov</w:t>
        </w:r>
        <w:r w:rsidR="006255FF" w:rsidRPr="006255FF">
          <w:rPr>
            <w:rStyle w:val="a7"/>
            <w:lang w:val="ru-RU"/>
          </w:rPr>
          <w:t>.</w:t>
        </w:r>
        <w:r w:rsidR="006255FF" w:rsidRPr="00981CA5">
          <w:rPr>
            <w:rStyle w:val="a7"/>
          </w:rPr>
          <w:t>ua</w:t>
        </w:r>
        <w:r w:rsidR="006255FF" w:rsidRPr="006255FF">
          <w:rPr>
            <w:rStyle w:val="a7"/>
            <w:lang w:val="ru-RU"/>
          </w:rPr>
          <w:t>/</w:t>
        </w:r>
        <w:r w:rsidR="006255FF" w:rsidRPr="00981CA5">
          <w:rPr>
            <w:rStyle w:val="a7"/>
          </w:rPr>
          <w:t>plan</w:t>
        </w:r>
        <w:r w:rsidR="006255FF" w:rsidRPr="006255FF">
          <w:rPr>
            <w:rStyle w:val="a7"/>
            <w:lang w:val="ru-RU"/>
          </w:rPr>
          <w:t>/</w:t>
        </w:r>
        <w:r w:rsidR="006255FF" w:rsidRPr="00981CA5">
          <w:rPr>
            <w:rStyle w:val="a7"/>
          </w:rPr>
          <w:t>UA</w:t>
        </w:r>
        <w:r w:rsidR="006255FF" w:rsidRPr="006255FF">
          <w:rPr>
            <w:rStyle w:val="a7"/>
            <w:lang w:val="ru-RU"/>
          </w:rPr>
          <w:t>-</w:t>
        </w:r>
        <w:r w:rsidR="006255FF" w:rsidRPr="00981CA5">
          <w:rPr>
            <w:rStyle w:val="a7"/>
          </w:rPr>
          <w:t>P</w:t>
        </w:r>
        <w:r w:rsidR="006255FF" w:rsidRPr="006255FF">
          <w:rPr>
            <w:rStyle w:val="a7"/>
            <w:lang w:val="ru-RU"/>
          </w:rPr>
          <w:t>-2021-09-16-005194-</w:t>
        </w:r>
        <w:r w:rsidR="006255FF" w:rsidRPr="00981CA5">
          <w:rPr>
            <w:rStyle w:val="a7"/>
          </w:rPr>
          <w:t>a</w:t>
        </w:r>
      </w:hyperlink>
      <w:r w:rsidR="006255FF">
        <w:rPr>
          <w:lang w:val="uk-UA"/>
        </w:rPr>
        <w:t xml:space="preserve"> </w:t>
      </w:r>
      <w:r w:rsidR="009C4580" w:rsidRPr="00827989">
        <w:rPr>
          <w:u w:val="single"/>
          <w:lang w:val="uk-UA"/>
        </w:rPr>
        <w:t xml:space="preserve"> </w:t>
      </w:r>
    </w:p>
    <w:p w14:paraId="17A7C497" w14:textId="77777777" w:rsidR="003E6B30" w:rsidRPr="003E6B30" w:rsidRDefault="003E6B30" w:rsidP="003E6B30">
      <w:pPr>
        <w:pStyle w:val="a3"/>
        <w:rPr>
          <w:u w:val="single"/>
          <w:lang w:val="uk-UA"/>
        </w:rPr>
      </w:pPr>
    </w:p>
    <w:p w14:paraId="53D234FD" w14:textId="2E7A9E98"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Строк дії тендерної пропозиції: </w:t>
      </w:r>
      <w:r w:rsidRPr="00827989">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0E6DBD9F" w14:textId="25C1B3EB" w:rsidR="00277268" w:rsidRPr="008318FC" w:rsidRDefault="00277268" w:rsidP="00277268">
      <w:pPr>
        <w:pStyle w:val="a3"/>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w:t>
      </w:r>
      <w:r w:rsidR="0088293B">
        <w:rPr>
          <w:rFonts w:ascii="Times New Roman" w:hAnsi="Times New Roman"/>
          <w:b/>
          <w:color w:val="000000"/>
          <w:sz w:val="26"/>
          <w:szCs w:val="26"/>
          <w:lang w:val="uk-UA"/>
        </w:rPr>
        <w:t>ий договір</w:t>
      </w:r>
      <w:r w:rsidRPr="009F1172">
        <w:rPr>
          <w:rFonts w:ascii="Times New Roman" w:hAnsi="Times New Roman"/>
          <w:b/>
          <w:color w:val="000000"/>
          <w:sz w:val="26"/>
          <w:szCs w:val="26"/>
          <w:lang w:val="uk-UA"/>
        </w:rPr>
        <w:t>:</w:t>
      </w:r>
      <w:r w:rsidRPr="009F1172">
        <w:rPr>
          <w:rFonts w:ascii="Times New Roman" w:hAnsi="Times New Roman"/>
          <w:color w:val="000000"/>
          <w:sz w:val="26"/>
          <w:szCs w:val="26"/>
          <w:lang w:val="uk-UA"/>
        </w:rPr>
        <w:t xml:space="preserve"> </w:t>
      </w:r>
      <w:r>
        <w:rPr>
          <w:rFonts w:ascii="Times New Roman" w:hAnsi="Times New Roman"/>
          <w:color w:val="000000"/>
          <w:sz w:val="26"/>
          <w:szCs w:val="26"/>
          <w:lang w:val="uk-UA"/>
        </w:rPr>
        <w:t>1 (один)</w:t>
      </w:r>
      <w:r w:rsidRPr="009F1172">
        <w:rPr>
          <w:rFonts w:ascii="Times New Roman" w:hAnsi="Times New Roman"/>
          <w:color w:val="000000"/>
          <w:sz w:val="26"/>
          <w:szCs w:val="26"/>
          <w:lang w:val="uk-UA"/>
        </w:rPr>
        <w:t xml:space="preserve"> учасник.</w:t>
      </w:r>
    </w:p>
    <w:p w14:paraId="4FE37195" w14:textId="77777777" w:rsidR="008318FC" w:rsidRPr="008318FC" w:rsidRDefault="008318FC" w:rsidP="008318FC">
      <w:pPr>
        <w:pStyle w:val="a3"/>
        <w:rPr>
          <w:rFonts w:ascii="Times New Roman" w:hAnsi="Times New Roman"/>
          <w:bCs/>
          <w:iCs/>
          <w:sz w:val="26"/>
          <w:szCs w:val="26"/>
          <w:lang w:val="uk-UA"/>
        </w:rPr>
      </w:pPr>
    </w:p>
    <w:p w14:paraId="47A9CAF7" w14:textId="39059C87" w:rsidR="00D53B64" w:rsidRPr="00D53B64"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надання послуг: </w:t>
      </w:r>
      <w:r w:rsidRPr="00D53B64">
        <w:rPr>
          <w:rFonts w:ascii="Times New Roman" w:eastAsia="Tahoma" w:hAnsi="Times New Roman"/>
          <w:bCs/>
          <w:sz w:val="26"/>
          <w:szCs w:val="26"/>
          <w:lang w:val="uk-UA" w:eastAsia="ru-RU"/>
        </w:rPr>
        <w:t>згідно Додатку № 7 «Календарний план».</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063CF2FE" w14:textId="6ED3A000" w:rsidR="00E529F3" w:rsidRPr="00827989"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С</w:t>
      </w:r>
      <w:r w:rsidR="001057B4" w:rsidRPr="001057B4">
        <w:rPr>
          <w:rFonts w:ascii="Times New Roman" w:eastAsia="Tahoma" w:hAnsi="Times New Roman"/>
          <w:b/>
          <w:sz w:val="26"/>
          <w:szCs w:val="26"/>
          <w:lang w:val="uk-UA" w:eastAsia="ru-RU"/>
        </w:rPr>
        <w:t>трок на який укладається рамков</w:t>
      </w:r>
      <w:r w:rsidR="0088293B">
        <w:rPr>
          <w:rFonts w:ascii="Times New Roman" w:eastAsia="Tahoma" w:hAnsi="Times New Roman"/>
          <w:b/>
          <w:sz w:val="26"/>
          <w:szCs w:val="26"/>
          <w:lang w:val="uk-UA" w:eastAsia="ru-RU"/>
        </w:rPr>
        <w:t>ий договір</w:t>
      </w:r>
      <w:r w:rsidR="00E3530D" w:rsidRPr="00827989">
        <w:rPr>
          <w:rFonts w:ascii="Times New Roman" w:eastAsia="Tahoma" w:hAnsi="Times New Roman"/>
          <w:b/>
          <w:sz w:val="26"/>
          <w:szCs w:val="26"/>
          <w:lang w:val="uk-UA" w:eastAsia="ru-RU"/>
        </w:rPr>
        <w:t xml:space="preserve">: </w:t>
      </w:r>
      <w:r w:rsidR="00E97D87">
        <w:rPr>
          <w:rFonts w:ascii="Times New Roman" w:hAnsi="Times New Roman"/>
          <w:bCs/>
          <w:sz w:val="26"/>
          <w:szCs w:val="26"/>
          <w:lang w:val="uk-UA" w:eastAsia="ru-RU"/>
        </w:rPr>
        <w:t>жовте</w:t>
      </w:r>
      <w:r w:rsidR="00D20531" w:rsidRPr="008318FC">
        <w:rPr>
          <w:rFonts w:ascii="Times New Roman" w:hAnsi="Times New Roman"/>
          <w:bCs/>
          <w:sz w:val="26"/>
          <w:szCs w:val="26"/>
          <w:lang w:val="uk-UA" w:eastAsia="ru-RU"/>
        </w:rPr>
        <w:t>нь</w:t>
      </w:r>
      <w:r w:rsidR="00317FD6" w:rsidRPr="008318FC">
        <w:rPr>
          <w:rFonts w:ascii="Times New Roman" w:hAnsi="Times New Roman"/>
          <w:bCs/>
          <w:sz w:val="26"/>
          <w:szCs w:val="26"/>
          <w:lang w:val="uk-UA" w:eastAsia="ru-RU"/>
        </w:rPr>
        <w:t xml:space="preserve"> </w:t>
      </w:r>
      <w:r w:rsidR="00E529F3" w:rsidRPr="008318FC">
        <w:rPr>
          <w:rFonts w:ascii="Times New Roman" w:hAnsi="Times New Roman"/>
          <w:bCs/>
          <w:sz w:val="26"/>
          <w:szCs w:val="26"/>
          <w:lang w:val="ru-RU" w:eastAsia="ru-RU"/>
        </w:rPr>
        <w:t>20</w:t>
      </w:r>
      <w:r w:rsidR="00EF135E" w:rsidRPr="008318FC">
        <w:rPr>
          <w:rFonts w:ascii="Times New Roman" w:hAnsi="Times New Roman"/>
          <w:bCs/>
          <w:sz w:val="26"/>
          <w:szCs w:val="26"/>
          <w:lang w:val="ru-RU" w:eastAsia="ru-RU"/>
        </w:rPr>
        <w:t>21</w:t>
      </w:r>
      <w:r w:rsidR="00E529F3" w:rsidRPr="008318FC">
        <w:rPr>
          <w:rFonts w:ascii="Times New Roman" w:hAnsi="Times New Roman"/>
          <w:bCs/>
          <w:sz w:val="26"/>
          <w:szCs w:val="26"/>
          <w:lang w:val="ru-RU" w:eastAsia="ru-RU"/>
        </w:rPr>
        <w:t xml:space="preserve"> року</w:t>
      </w:r>
      <w:r w:rsidR="00493F05" w:rsidRPr="008318FC">
        <w:rPr>
          <w:rFonts w:ascii="Times New Roman" w:hAnsi="Times New Roman"/>
          <w:bCs/>
          <w:sz w:val="26"/>
          <w:szCs w:val="26"/>
          <w:lang w:val="ru-RU" w:eastAsia="ru-RU"/>
        </w:rPr>
        <w:t xml:space="preserve"> – </w:t>
      </w:r>
      <w:r w:rsidR="00E97D87">
        <w:rPr>
          <w:rFonts w:ascii="Times New Roman" w:hAnsi="Times New Roman"/>
          <w:bCs/>
          <w:sz w:val="26"/>
          <w:szCs w:val="26"/>
          <w:lang w:val="ru-RU" w:eastAsia="ru-RU"/>
        </w:rPr>
        <w:t>серпе</w:t>
      </w:r>
      <w:r>
        <w:rPr>
          <w:rFonts w:ascii="Times New Roman" w:hAnsi="Times New Roman"/>
          <w:bCs/>
          <w:sz w:val="26"/>
          <w:szCs w:val="26"/>
          <w:lang w:val="ru-RU" w:eastAsia="ru-RU"/>
        </w:rPr>
        <w:t xml:space="preserve">нь </w:t>
      </w:r>
      <w:r w:rsidR="00493F05" w:rsidRPr="008318FC">
        <w:rPr>
          <w:rFonts w:ascii="Times New Roman" w:hAnsi="Times New Roman"/>
          <w:bCs/>
          <w:sz w:val="26"/>
          <w:szCs w:val="26"/>
          <w:lang w:val="ru-RU" w:eastAsia="ru-RU"/>
        </w:rPr>
        <w:t>2022 року</w:t>
      </w:r>
      <w:r w:rsidR="00E529F3" w:rsidRPr="00827989">
        <w:rPr>
          <w:rFonts w:ascii="Times New Roman" w:hAnsi="Times New Roman"/>
          <w:b/>
          <w:sz w:val="26"/>
          <w:szCs w:val="26"/>
          <w:lang w:val="ru-RU" w:eastAsia="ru-RU"/>
        </w:rPr>
        <w:t>.</w:t>
      </w:r>
    </w:p>
    <w:p w14:paraId="1D6D0E90" w14:textId="77777777" w:rsidR="00E3530D" w:rsidRPr="00827989" w:rsidRDefault="00E3530D" w:rsidP="00E3530D">
      <w:pPr>
        <w:pStyle w:val="a3"/>
        <w:rPr>
          <w:rFonts w:ascii="Times New Roman" w:hAnsi="Times New Roman"/>
          <w:bCs/>
          <w:iCs/>
          <w:sz w:val="26"/>
          <w:szCs w:val="26"/>
          <w:lang w:val="ru-RU"/>
        </w:rPr>
      </w:pPr>
    </w:p>
    <w:p w14:paraId="2CA95647" w14:textId="77777777" w:rsidR="00E3530D" w:rsidRPr="00827989"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sz w:val="26"/>
          <w:szCs w:val="26"/>
          <w:lang w:val="uk-UA"/>
        </w:rPr>
        <w:t>Контактні дані для подачі тендерної документації:</w:t>
      </w:r>
      <w:r w:rsidRPr="00827989">
        <w:rPr>
          <w:rFonts w:ascii="Times New Roman" w:hAnsi="Times New Roman"/>
          <w:sz w:val="26"/>
          <w:szCs w:val="26"/>
          <w:lang w:val="uk-UA"/>
        </w:rPr>
        <w:t xml:space="preserve"> </w:t>
      </w:r>
      <w:r w:rsidR="00E3530D" w:rsidRPr="00827989">
        <w:rPr>
          <w:rFonts w:ascii="Times New Roman" w:hAnsi="Times New Roman"/>
          <w:sz w:val="26"/>
          <w:szCs w:val="26"/>
          <w:lang w:val="uk-UA"/>
        </w:rPr>
        <w:t xml:space="preserve">тендерні пропозиції </w:t>
      </w:r>
      <w:r w:rsidR="00E3530D" w:rsidRPr="00827989">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2BCFC1DF" w14:textId="307FB3C4" w:rsidR="00486136" w:rsidRPr="00827989" w:rsidRDefault="00486136" w:rsidP="003E6B30">
      <w:pPr>
        <w:pStyle w:val="a3"/>
        <w:tabs>
          <w:tab w:val="left" w:pos="1134"/>
        </w:tabs>
        <w:ind w:left="709"/>
        <w:jc w:val="both"/>
        <w:rPr>
          <w:rFonts w:ascii="Times New Roman" w:eastAsia="Times New Roman" w:hAnsi="Times New Roman"/>
          <w:sz w:val="26"/>
          <w:szCs w:val="26"/>
          <w:lang w:val="uk-UA"/>
        </w:rPr>
      </w:pPr>
      <w:r w:rsidRPr="00827989">
        <w:rPr>
          <w:rFonts w:ascii="Times New Roman" w:eastAsia="Times New Roman" w:hAnsi="Times New Roman"/>
          <w:sz w:val="26"/>
          <w:szCs w:val="26"/>
          <w:lang w:val="uk-UA"/>
        </w:rPr>
        <w:t xml:space="preserve">04071, Україна, м. Київ, вул. Ярославська, 41, </w:t>
      </w:r>
      <w:r w:rsidR="003E6B30">
        <w:rPr>
          <w:rFonts w:ascii="Times New Roman" w:eastAsia="Times New Roman" w:hAnsi="Times New Roman"/>
          <w:sz w:val="26"/>
          <w:szCs w:val="26"/>
          <w:lang w:val="uk-UA"/>
        </w:rPr>
        <w:t xml:space="preserve"> </w:t>
      </w:r>
      <w:r w:rsidRPr="00827989">
        <w:rPr>
          <w:rFonts w:ascii="Times New Roman" w:eastAsia="Times New Roman" w:hAnsi="Times New Roman"/>
          <w:sz w:val="26"/>
          <w:szCs w:val="26"/>
          <w:lang w:val="uk-UA"/>
        </w:rPr>
        <w:t>до уваги</w:t>
      </w:r>
      <w:r w:rsidR="00E3530D" w:rsidRPr="00827989">
        <w:rPr>
          <w:lang w:val="uk-UA"/>
        </w:rPr>
        <w:t xml:space="preserve"> </w:t>
      </w:r>
      <w:r w:rsidR="00EF135E" w:rsidRPr="00827989">
        <w:rPr>
          <w:rFonts w:ascii="Times New Roman" w:eastAsia="Times New Roman" w:hAnsi="Times New Roman"/>
          <w:sz w:val="26"/>
          <w:szCs w:val="26"/>
          <w:lang w:val="uk-UA"/>
        </w:rPr>
        <w:t xml:space="preserve">головного фахівця відділу закупівель та постачань Клєвцової Вікторії, тел.: (044) </w:t>
      </w:r>
      <w:r w:rsidR="00524DC3" w:rsidRPr="00827989">
        <w:rPr>
          <w:rFonts w:ascii="Times New Roman" w:eastAsia="Times New Roman" w:hAnsi="Times New Roman"/>
          <w:sz w:val="26"/>
          <w:szCs w:val="26"/>
          <w:lang w:val="uk-UA"/>
        </w:rPr>
        <w:t>482-46-15</w:t>
      </w:r>
      <w:r w:rsidR="00417D36" w:rsidRPr="00827989">
        <w:rPr>
          <w:rFonts w:ascii="Times New Roman" w:eastAsia="Times New Roman" w:hAnsi="Times New Roman"/>
          <w:sz w:val="26"/>
          <w:szCs w:val="26"/>
          <w:lang w:val="uk-UA"/>
        </w:rPr>
        <w:t>.</w:t>
      </w:r>
    </w:p>
    <w:p w14:paraId="5C4D6333" w14:textId="77777777" w:rsidR="00486136" w:rsidRPr="00827989"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color w:val="000000"/>
          <w:spacing w:val="-6"/>
          <w:sz w:val="26"/>
          <w:szCs w:val="26"/>
          <w:lang w:val="uk-UA" w:eastAsia="ru-RU"/>
        </w:rPr>
        <w:t>Мі</w:t>
      </w:r>
      <w:r w:rsidRPr="00827989">
        <w:rPr>
          <w:rFonts w:ascii="Times New Roman" w:hAnsi="Times New Roman"/>
          <w:b/>
          <w:sz w:val="26"/>
          <w:szCs w:val="26"/>
          <w:lang w:val="uk-UA"/>
        </w:rPr>
        <w:t xml:space="preserve">сце, час та дата відкриття конвертів з тендерними пропозиціями: </w:t>
      </w:r>
    </w:p>
    <w:p w14:paraId="23F762BB" w14:textId="453A1C4B" w:rsidR="00E3530D" w:rsidRPr="0082798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827989">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відбудеться </w:t>
      </w:r>
      <w:r w:rsidRPr="00827989">
        <w:rPr>
          <w:rFonts w:ascii="Times New Roman" w:hAnsi="Times New Roman"/>
          <w:b/>
          <w:sz w:val="26"/>
          <w:szCs w:val="26"/>
          <w:lang w:val="uk-UA"/>
        </w:rPr>
        <w:t>«</w:t>
      </w:r>
      <w:r w:rsidR="00E97D87">
        <w:rPr>
          <w:rFonts w:ascii="Times New Roman" w:hAnsi="Times New Roman"/>
          <w:b/>
          <w:sz w:val="26"/>
          <w:szCs w:val="26"/>
          <w:lang w:val="uk-UA"/>
        </w:rPr>
        <w:t>04</w:t>
      </w:r>
      <w:r w:rsidRPr="00827989">
        <w:rPr>
          <w:rFonts w:ascii="Times New Roman" w:hAnsi="Times New Roman"/>
          <w:b/>
          <w:sz w:val="26"/>
          <w:szCs w:val="26"/>
          <w:lang w:val="uk-UA"/>
        </w:rPr>
        <w:t xml:space="preserve">» </w:t>
      </w:r>
      <w:r w:rsidR="00E97D87">
        <w:rPr>
          <w:rFonts w:ascii="Times New Roman" w:hAnsi="Times New Roman"/>
          <w:b/>
          <w:sz w:val="26"/>
          <w:szCs w:val="26"/>
          <w:lang w:val="uk-UA"/>
        </w:rPr>
        <w:t>жовт</w:t>
      </w:r>
      <w:r w:rsidR="00955E08" w:rsidRPr="00827989">
        <w:rPr>
          <w:rFonts w:ascii="Times New Roman" w:hAnsi="Times New Roman"/>
          <w:b/>
          <w:sz w:val="26"/>
          <w:szCs w:val="26"/>
          <w:lang w:val="uk-UA"/>
        </w:rPr>
        <w:t>ня</w:t>
      </w:r>
      <w:r w:rsidRPr="00827989">
        <w:rPr>
          <w:rFonts w:ascii="Times New Roman" w:hAnsi="Times New Roman"/>
          <w:b/>
          <w:sz w:val="26"/>
          <w:szCs w:val="26"/>
          <w:lang w:val="uk-UA"/>
        </w:rPr>
        <w:t xml:space="preserve"> 20</w:t>
      </w:r>
      <w:r w:rsidR="00EF135E" w:rsidRPr="00827989">
        <w:rPr>
          <w:rFonts w:ascii="Times New Roman" w:hAnsi="Times New Roman"/>
          <w:b/>
          <w:sz w:val="26"/>
          <w:szCs w:val="26"/>
          <w:lang w:val="uk-UA"/>
        </w:rPr>
        <w:t>21</w:t>
      </w:r>
      <w:r w:rsidRPr="00827989">
        <w:rPr>
          <w:rFonts w:ascii="Times New Roman" w:hAnsi="Times New Roman"/>
          <w:b/>
          <w:sz w:val="26"/>
          <w:szCs w:val="26"/>
          <w:lang w:val="uk-UA"/>
        </w:rPr>
        <w:t xml:space="preserve"> року </w:t>
      </w:r>
      <w:r w:rsidRPr="00827989">
        <w:rPr>
          <w:rFonts w:ascii="Times New Roman" w:hAnsi="Times New Roman"/>
          <w:b/>
          <w:sz w:val="26"/>
          <w:szCs w:val="26"/>
          <w:lang w:val="uk-UA" w:eastAsia="ru-RU"/>
        </w:rPr>
        <w:t xml:space="preserve">о 14:00 </w:t>
      </w:r>
      <w:r w:rsidRPr="00827989">
        <w:rPr>
          <w:rFonts w:ascii="Times New Roman" w:eastAsia="Times New Roman" w:hAnsi="Times New Roman"/>
          <w:b/>
          <w:sz w:val="26"/>
          <w:szCs w:val="26"/>
          <w:lang w:val="uk-UA" w:eastAsia="ru-RU"/>
        </w:rPr>
        <w:t>за київським часом</w:t>
      </w:r>
      <w:r w:rsidRPr="00827989">
        <w:rPr>
          <w:rFonts w:ascii="Times New Roman" w:eastAsia="Times New Roman" w:hAnsi="Times New Roman"/>
          <w:sz w:val="26"/>
          <w:szCs w:val="26"/>
          <w:lang w:val="uk-UA" w:eastAsia="ru-RU"/>
        </w:rPr>
        <w:t>,</w:t>
      </w:r>
      <w:r w:rsidRPr="00827989">
        <w:rPr>
          <w:rFonts w:ascii="Times New Roman" w:hAnsi="Times New Roman"/>
          <w:sz w:val="26"/>
          <w:szCs w:val="26"/>
          <w:lang w:val="uk-UA"/>
        </w:rPr>
        <w:t xml:space="preserve"> за адресою: </w:t>
      </w:r>
      <w:r w:rsidRPr="00827989">
        <w:rPr>
          <w:rFonts w:ascii="Times New Roman" w:eastAsia="Times New Roman" w:hAnsi="Times New Roman"/>
          <w:sz w:val="26"/>
          <w:szCs w:val="26"/>
          <w:lang w:val="uk-UA"/>
        </w:rPr>
        <w:t>04071, Україна, м. Київ, вул. Ярославська, 41.</w:t>
      </w:r>
    </w:p>
    <w:p w14:paraId="649366E4" w14:textId="11D0BC78" w:rsidR="00E3530D" w:rsidRPr="0082798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82798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827989">
        <w:rPr>
          <w:rFonts w:ascii="Times New Roman" w:hAnsi="Times New Roman"/>
          <w:b/>
          <w:sz w:val="26"/>
          <w:szCs w:val="26"/>
          <w:lang w:val="uk-UA"/>
        </w:rPr>
        <w:t>«</w:t>
      </w:r>
      <w:r w:rsidR="00E97D87">
        <w:rPr>
          <w:rFonts w:ascii="Times New Roman" w:hAnsi="Times New Roman"/>
          <w:b/>
          <w:sz w:val="26"/>
          <w:szCs w:val="26"/>
          <w:lang w:val="uk-UA"/>
        </w:rPr>
        <w:t>12</w:t>
      </w:r>
      <w:r w:rsidRPr="00827989">
        <w:rPr>
          <w:rFonts w:ascii="Times New Roman" w:hAnsi="Times New Roman"/>
          <w:b/>
          <w:sz w:val="26"/>
          <w:szCs w:val="26"/>
          <w:lang w:val="uk-UA"/>
        </w:rPr>
        <w:t xml:space="preserve">» </w:t>
      </w:r>
      <w:r w:rsidR="00E97D87">
        <w:rPr>
          <w:rFonts w:ascii="Times New Roman" w:hAnsi="Times New Roman"/>
          <w:b/>
          <w:sz w:val="26"/>
          <w:szCs w:val="26"/>
          <w:lang w:val="uk-UA"/>
        </w:rPr>
        <w:t>жовт</w:t>
      </w:r>
      <w:r w:rsidR="00955E08" w:rsidRPr="00827989">
        <w:rPr>
          <w:rFonts w:ascii="Times New Roman" w:hAnsi="Times New Roman"/>
          <w:b/>
          <w:sz w:val="26"/>
          <w:szCs w:val="26"/>
          <w:lang w:val="uk-UA"/>
        </w:rPr>
        <w:t>ня</w:t>
      </w:r>
      <w:r w:rsidRPr="00827989">
        <w:rPr>
          <w:rFonts w:ascii="Times New Roman" w:hAnsi="Times New Roman"/>
          <w:b/>
          <w:sz w:val="26"/>
          <w:szCs w:val="26"/>
          <w:lang w:val="uk-UA"/>
        </w:rPr>
        <w:t xml:space="preserve"> 20</w:t>
      </w:r>
      <w:r w:rsidR="00EF135E" w:rsidRPr="00827989">
        <w:rPr>
          <w:rFonts w:ascii="Times New Roman" w:hAnsi="Times New Roman"/>
          <w:b/>
          <w:sz w:val="26"/>
          <w:szCs w:val="26"/>
          <w:lang w:val="uk-UA"/>
        </w:rPr>
        <w:t>21</w:t>
      </w:r>
      <w:r w:rsidRPr="00827989">
        <w:rPr>
          <w:rFonts w:ascii="Times New Roman" w:hAnsi="Times New Roman"/>
          <w:b/>
          <w:sz w:val="26"/>
          <w:szCs w:val="26"/>
          <w:lang w:val="uk-UA"/>
        </w:rPr>
        <w:t xml:space="preserve"> року </w:t>
      </w:r>
      <w:r w:rsidRPr="00827989">
        <w:rPr>
          <w:rFonts w:ascii="Times New Roman" w:hAnsi="Times New Roman"/>
          <w:b/>
          <w:sz w:val="26"/>
          <w:szCs w:val="26"/>
          <w:lang w:val="uk-UA" w:eastAsia="ru-RU"/>
        </w:rPr>
        <w:t xml:space="preserve">о 14:00 </w:t>
      </w:r>
      <w:r w:rsidRPr="00827989">
        <w:rPr>
          <w:rFonts w:ascii="Times New Roman" w:eastAsia="Times New Roman" w:hAnsi="Times New Roman"/>
          <w:b/>
          <w:sz w:val="26"/>
          <w:szCs w:val="26"/>
          <w:lang w:val="uk-UA" w:eastAsia="ru-RU"/>
        </w:rPr>
        <w:t>за київським часом</w:t>
      </w:r>
      <w:r w:rsidRPr="00827989">
        <w:rPr>
          <w:rFonts w:ascii="Times New Roman" w:eastAsia="Times New Roman" w:hAnsi="Times New Roman"/>
          <w:sz w:val="26"/>
          <w:szCs w:val="26"/>
          <w:lang w:val="uk-UA" w:eastAsia="ru-RU"/>
        </w:rPr>
        <w:t>,</w:t>
      </w:r>
      <w:r w:rsidRPr="00827989">
        <w:rPr>
          <w:rFonts w:ascii="Times New Roman" w:hAnsi="Times New Roman"/>
          <w:sz w:val="26"/>
          <w:szCs w:val="26"/>
          <w:lang w:val="uk-UA"/>
        </w:rPr>
        <w:t xml:space="preserve"> за адресою: </w:t>
      </w:r>
      <w:r w:rsidRPr="00827989">
        <w:rPr>
          <w:rFonts w:ascii="Times New Roman" w:eastAsia="Times New Roman" w:hAnsi="Times New Roman"/>
          <w:sz w:val="26"/>
          <w:szCs w:val="26"/>
          <w:lang w:val="uk-UA"/>
        </w:rPr>
        <w:t>04071, Україна, м. Київ, вул. Ярославська, 41</w:t>
      </w:r>
      <w:r w:rsidRPr="00827989">
        <w:rPr>
          <w:rFonts w:ascii="Times New Roman" w:hAnsi="Times New Roman"/>
          <w:bCs/>
          <w:iCs/>
          <w:sz w:val="26"/>
          <w:szCs w:val="26"/>
          <w:lang w:val="uk-UA"/>
        </w:rPr>
        <w:t>.</w:t>
      </w:r>
    </w:p>
    <w:p w14:paraId="746DC511" w14:textId="6B44595E" w:rsidR="00C64996" w:rsidRPr="0082798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346511FD" w14:textId="4C2AA12A" w:rsidR="000279DF" w:rsidRPr="00594521" w:rsidRDefault="00E3530D" w:rsidP="000279DF">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sidRPr="00827989">
        <w:rPr>
          <w:rFonts w:ascii="Times New Roman" w:hAnsi="Times New Roman"/>
          <w:sz w:val="26"/>
          <w:szCs w:val="26"/>
          <w:lang w:val="uk-UA"/>
        </w:rPr>
        <w:t>у</w:t>
      </w:r>
      <w:r w:rsidR="007F670B" w:rsidRPr="00827989">
        <w:rPr>
          <w:rFonts w:ascii="Times New Roman" w:hAnsi="Times New Roman"/>
          <w:sz w:val="26"/>
          <w:szCs w:val="26"/>
          <w:lang w:val="uk-UA"/>
        </w:rPr>
        <w:t>мови оплати: за фактом надання послуг (післяплата) або передоплата щонайбільше – 70 % від  вартості надання послуг на кожному етапі</w:t>
      </w:r>
      <w:r w:rsidR="000279DF">
        <w:rPr>
          <w:rFonts w:ascii="Times New Roman" w:hAnsi="Times New Roman"/>
          <w:sz w:val="26"/>
          <w:szCs w:val="26"/>
          <w:lang w:val="uk-UA"/>
        </w:rPr>
        <w:t>,</w:t>
      </w:r>
      <w:r w:rsidR="000279DF" w:rsidRPr="000279DF">
        <w:rPr>
          <w:rFonts w:ascii="Times New Roman" w:hAnsi="Times New Roman"/>
          <w:sz w:val="26"/>
          <w:szCs w:val="26"/>
          <w:lang w:val="ru-RU"/>
        </w:rPr>
        <w:t xml:space="preserve"> </w:t>
      </w:r>
      <w:r w:rsidR="000279DF">
        <w:rPr>
          <w:rFonts w:ascii="Times New Roman" w:hAnsi="Times New Roman"/>
          <w:sz w:val="26"/>
          <w:szCs w:val="26"/>
          <w:lang w:val="uk-UA"/>
        </w:rPr>
        <w:t xml:space="preserve">визначених у </w:t>
      </w:r>
      <w:r w:rsidR="000279DF" w:rsidRPr="00594521">
        <w:rPr>
          <w:rFonts w:ascii="Times New Roman" w:hAnsi="Times New Roman"/>
          <w:sz w:val="26"/>
          <w:szCs w:val="26"/>
          <w:lang w:val="uk-UA"/>
        </w:rPr>
        <w:t xml:space="preserve">в договорах, </w:t>
      </w:r>
      <w:r w:rsidR="000279DF" w:rsidRPr="00594521">
        <w:rPr>
          <w:rFonts w:ascii="Times New Roman" w:hAnsi="Times New Roman"/>
          <w:color w:val="000000"/>
          <w:sz w:val="26"/>
          <w:szCs w:val="26"/>
          <w:lang w:val="uk-UA"/>
        </w:rPr>
        <w:t xml:space="preserve">що будуть укладатись з Переможцем щорічно окремо кожним Замовником у порядку визначеному </w:t>
      </w:r>
      <w:r w:rsidR="000279DF"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000279DF" w:rsidRPr="00594521">
        <w:rPr>
          <w:rFonts w:ascii="Times New Roman" w:hAnsi="Times New Roman"/>
          <w:sz w:val="26"/>
          <w:szCs w:val="26"/>
          <w:lang w:val="uk-UA"/>
        </w:rPr>
        <w:t>.</w:t>
      </w:r>
    </w:p>
    <w:p w14:paraId="0A6FF199" w14:textId="77777777" w:rsidR="00E3530D" w:rsidRPr="0082798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Відповідність кваліфікаційним критеріям, визначеним в Додаток № 1 «</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r w:rsidRPr="00827989">
        <w:rPr>
          <w:rFonts w:ascii="Times New Roman" w:hAnsi="Times New Roman"/>
          <w:sz w:val="26"/>
          <w:szCs w:val="26"/>
          <w:lang w:val="uk-UA"/>
        </w:rPr>
        <w:t>.</w:t>
      </w:r>
    </w:p>
    <w:p w14:paraId="039440B8" w14:textId="0625BC5C" w:rsidR="00E3530D"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587190E5" w14:textId="08A33F6C" w:rsidR="00277268" w:rsidRDefault="00277268" w:rsidP="0027726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Pr>
          <w:rFonts w:ascii="Times New Roman" w:hAnsi="Times New Roman"/>
          <w:sz w:val="26"/>
          <w:szCs w:val="26"/>
          <w:lang w:val="uk-UA"/>
        </w:rPr>
        <w:t>В наслідок проведення тендеру між Переможцем та Замовниками буде укладено Рамков</w:t>
      </w:r>
      <w:r w:rsidR="0088293B">
        <w:rPr>
          <w:rFonts w:ascii="Times New Roman" w:hAnsi="Times New Roman"/>
          <w:sz w:val="26"/>
          <w:szCs w:val="26"/>
          <w:lang w:val="uk-UA"/>
        </w:rPr>
        <w:t>ий договір</w:t>
      </w:r>
      <w:r>
        <w:rPr>
          <w:rFonts w:ascii="Times New Roman" w:hAnsi="Times New Roman"/>
          <w:sz w:val="26"/>
          <w:szCs w:val="26"/>
          <w:lang w:val="uk-UA"/>
        </w:rPr>
        <w:t xml:space="preserve"> з фіксацією вартості послуг</w:t>
      </w:r>
      <w:r>
        <w:rPr>
          <w:rFonts w:ascii="Times New Roman" w:hAnsi="Times New Roman"/>
          <w:sz w:val="26"/>
          <w:szCs w:val="26"/>
          <w:lang w:val="uk-UA" w:eastAsia="ru-RU"/>
        </w:rPr>
        <w:t>.</w:t>
      </w:r>
    </w:p>
    <w:p w14:paraId="17D08021" w14:textId="469FFEC8" w:rsidR="00277268" w:rsidRPr="000C3A43"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sz w:val="26"/>
          <w:szCs w:val="26"/>
          <w:lang w:val="uk-UA"/>
        </w:rPr>
      </w:pPr>
      <w:r w:rsidRPr="000C3A43">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0C3A43">
        <w:rPr>
          <w:rFonts w:ascii="Times New Roman" w:hAnsi="Times New Roman"/>
          <w:sz w:val="26"/>
          <w:szCs w:val="26"/>
          <w:lang w:val="uk-UA" w:eastAsia="ru-RU"/>
        </w:rPr>
        <w:t xml:space="preserve"> </w:t>
      </w:r>
      <w:r w:rsidRPr="0088293B">
        <w:rPr>
          <w:rFonts w:ascii="Times New Roman" w:hAnsi="Times New Roman"/>
          <w:sz w:val="26"/>
          <w:szCs w:val="26"/>
          <w:lang w:val="uk-UA" w:eastAsia="ru-RU"/>
        </w:rPr>
        <w:t xml:space="preserve">наведено у Додатку № </w:t>
      </w:r>
      <w:r w:rsidR="008E257D" w:rsidRPr="0088293B">
        <w:rPr>
          <w:rFonts w:ascii="Times New Roman" w:hAnsi="Times New Roman"/>
          <w:sz w:val="26"/>
          <w:szCs w:val="26"/>
          <w:lang w:val="uk-UA" w:eastAsia="ru-RU"/>
        </w:rPr>
        <w:t>8</w:t>
      </w:r>
      <w:r w:rsidRPr="0088293B">
        <w:rPr>
          <w:rFonts w:ascii="Times New Roman" w:hAnsi="Times New Roman"/>
          <w:sz w:val="26"/>
          <w:szCs w:val="26"/>
          <w:lang w:val="uk-UA" w:eastAsia="ru-RU"/>
        </w:rPr>
        <w:t xml:space="preserve"> </w:t>
      </w:r>
      <w:bookmarkStart w:id="6" w:name="_Hlk79075279"/>
      <w:r w:rsidRPr="0088293B">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договори</w:t>
      </w:r>
      <w:r w:rsidRPr="0088293B">
        <w:rPr>
          <w:rFonts w:ascii="Times New Roman" w:hAnsi="Times New Roman"/>
          <w:sz w:val="26"/>
          <w:szCs w:val="26"/>
          <w:lang w:val="uk-UA" w:eastAsia="ru-RU"/>
        </w:rPr>
        <w:t>»</w:t>
      </w:r>
      <w:r w:rsidRPr="000C3A43">
        <w:rPr>
          <w:rFonts w:ascii="Times New Roman" w:hAnsi="Times New Roman"/>
          <w:sz w:val="26"/>
          <w:szCs w:val="26"/>
          <w:lang w:val="uk-UA" w:eastAsia="ru-RU"/>
        </w:rPr>
        <w:t xml:space="preserve"> </w:t>
      </w:r>
      <w:bookmarkEnd w:id="6"/>
      <w:r w:rsidRPr="000C3A43">
        <w:rPr>
          <w:rFonts w:ascii="Times New Roman" w:hAnsi="Times New Roman"/>
          <w:sz w:val="26"/>
          <w:szCs w:val="26"/>
          <w:lang w:val="uk-UA" w:eastAsia="ru-RU"/>
        </w:rPr>
        <w:t xml:space="preserve">до цього Оголошення. </w:t>
      </w:r>
      <w:r w:rsidRPr="000C3A43">
        <w:rPr>
          <w:rFonts w:ascii="Times New Roman" w:hAnsi="Times New Roman"/>
          <w:sz w:val="26"/>
          <w:szCs w:val="26"/>
          <w:lang w:val="uk-UA"/>
        </w:rPr>
        <w:t>Вартість послуг, зазначена Учасником в ціновій пропозиції повинна бути фіксована протягом всього строку дії Рамков</w:t>
      </w:r>
      <w:r w:rsidR="0088293B">
        <w:rPr>
          <w:rFonts w:ascii="Times New Roman" w:hAnsi="Times New Roman"/>
          <w:sz w:val="26"/>
          <w:szCs w:val="26"/>
          <w:lang w:val="uk-UA"/>
        </w:rPr>
        <w:t>ого договору</w:t>
      </w:r>
      <w:r w:rsidRPr="000C3A43">
        <w:rPr>
          <w:rFonts w:ascii="Times New Roman" w:hAnsi="Times New Roman"/>
          <w:sz w:val="26"/>
          <w:szCs w:val="26"/>
          <w:lang w:val="uk-UA"/>
        </w:rPr>
        <w:t xml:space="preserve">. </w:t>
      </w:r>
      <w:r w:rsidRPr="000C3A43">
        <w:rPr>
          <w:rFonts w:ascii="Times New Roman" w:hAnsi="Times New Roman"/>
          <w:sz w:val="26"/>
          <w:szCs w:val="26"/>
          <w:lang w:val="uk-UA"/>
        </w:rPr>
        <w:lastRenderedPageBreak/>
        <w:t>Вартість послуг</w:t>
      </w:r>
      <w:r>
        <w:rPr>
          <w:rFonts w:ascii="Times New Roman" w:hAnsi="Times New Roman"/>
          <w:sz w:val="26"/>
          <w:szCs w:val="26"/>
          <w:lang w:val="uk-UA"/>
        </w:rPr>
        <w:t xml:space="preserve"> в кожному році</w:t>
      </w:r>
      <w:r w:rsidRPr="000C3A43">
        <w:rPr>
          <w:rFonts w:ascii="Times New Roman" w:hAnsi="Times New Roman"/>
          <w:sz w:val="26"/>
          <w:szCs w:val="26"/>
          <w:lang w:val="uk-UA"/>
        </w:rPr>
        <w:t xml:space="preserve"> може бути змінена лише у бік зменшення з</w:t>
      </w:r>
      <w:r>
        <w:rPr>
          <w:rFonts w:ascii="Times New Roman" w:hAnsi="Times New Roman"/>
          <w:sz w:val="26"/>
          <w:szCs w:val="26"/>
          <w:lang w:val="uk-UA"/>
        </w:rPr>
        <w:t xml:space="preserve"> урахуванням </w:t>
      </w:r>
      <w:r w:rsidRPr="000C3A43">
        <w:rPr>
          <w:rFonts w:ascii="Times New Roman" w:hAnsi="Times New Roman"/>
          <w:sz w:val="26"/>
          <w:szCs w:val="26"/>
          <w:shd w:val="clear" w:color="auto" w:fill="FDFDFD"/>
          <w:lang w:val="uk-UA"/>
        </w:rPr>
        <w:t>фактичного рівня використання коштів Замовниками.</w:t>
      </w:r>
    </w:p>
    <w:p w14:paraId="34D02AC9" w14:textId="06B71522" w:rsidR="00277268" w:rsidRPr="00594521"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C3A43">
        <w:rPr>
          <w:rFonts w:ascii="Times New Roman" w:hAnsi="Times New Roman"/>
          <w:sz w:val="26"/>
          <w:szCs w:val="26"/>
          <w:lang w:val="uk-UA"/>
        </w:rPr>
        <w:t xml:space="preserve">Послуги будуть надаватись та оплачуватись на підставі договорів, що будуть </w:t>
      </w:r>
      <w:r w:rsidRPr="00594521">
        <w:rPr>
          <w:rFonts w:ascii="Times New Roman" w:hAnsi="Times New Roman"/>
          <w:color w:val="000000"/>
          <w:sz w:val="26"/>
          <w:szCs w:val="26"/>
          <w:lang w:val="uk-UA"/>
        </w:rPr>
        <w:t xml:space="preserve">укладатись з Переможцем щорічно окремо кожним Замовником у порядку визначеному </w:t>
      </w:r>
      <w:r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Pr="00594521">
        <w:rPr>
          <w:rFonts w:ascii="Times New Roman" w:hAnsi="Times New Roman"/>
          <w:sz w:val="26"/>
          <w:szCs w:val="26"/>
          <w:lang w:val="uk-UA"/>
        </w:rPr>
        <w:t>.</w:t>
      </w:r>
    </w:p>
    <w:p w14:paraId="553B308B" w14:textId="5D762ABE" w:rsidR="00277268" w:rsidRPr="008318FC" w:rsidRDefault="00277268" w:rsidP="002C4E6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 xml:space="preserve">Оплата за послуги відбуватиметься у гривні виключно без урахування податку на додану вартість (без ПДВ) та на умовах оплати, визначених у в договорах, </w:t>
      </w:r>
      <w:r w:rsidRPr="008318FC">
        <w:rPr>
          <w:rFonts w:ascii="Times New Roman" w:hAnsi="Times New Roman"/>
          <w:color w:val="000000"/>
          <w:sz w:val="26"/>
          <w:szCs w:val="26"/>
          <w:lang w:val="uk-UA"/>
        </w:rPr>
        <w:t xml:space="preserve">що будуть укладатись з Переможцем щорічно окремо кожним Замовником у порядку визначеному </w:t>
      </w:r>
      <w:r w:rsidRPr="008318FC">
        <w:rPr>
          <w:rFonts w:ascii="Times New Roman" w:hAnsi="Times New Roman"/>
          <w:sz w:val="26"/>
          <w:szCs w:val="26"/>
          <w:lang w:val="uk-UA"/>
        </w:rPr>
        <w:t>Рамков</w:t>
      </w:r>
      <w:r w:rsidR="0088293B" w:rsidRPr="008318FC">
        <w:rPr>
          <w:rFonts w:ascii="Times New Roman" w:hAnsi="Times New Roman"/>
          <w:sz w:val="26"/>
          <w:szCs w:val="26"/>
          <w:lang w:val="uk-UA"/>
        </w:rPr>
        <w:t>им договором</w:t>
      </w:r>
      <w:r w:rsidRPr="008318FC">
        <w:rPr>
          <w:rFonts w:ascii="Times New Roman" w:hAnsi="Times New Roman"/>
          <w:sz w:val="26"/>
          <w:szCs w:val="26"/>
          <w:lang w:val="uk-UA"/>
        </w:rPr>
        <w:t>.</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2FC343E5"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У випадку не надання документів на підтвердження відповідності Учасника кваліфікаційним критеріям, тендерна пропозиція такого Учасника не допускається до участі в другому етапі відкритих торгів та буде відхилена.</w:t>
      </w:r>
    </w:p>
    <w:p w14:paraId="711079EF"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827989"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827989">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Технічну пропозицію:</w:t>
      </w:r>
    </w:p>
    <w:p w14:paraId="2DD80913" w14:textId="741407D1"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документи, </w:t>
      </w:r>
      <w:r w:rsidRPr="00827989">
        <w:rPr>
          <w:rFonts w:ascii="Times New Roman" w:hAnsi="Times New Roman"/>
          <w:sz w:val="26"/>
          <w:szCs w:val="26"/>
          <w:lang w:val="uk-UA"/>
        </w:rPr>
        <w:t>що підтверджують відповідність учасника кваліфікаційним критеріям та передбачені</w:t>
      </w:r>
      <w:r w:rsidRPr="00827989">
        <w:rPr>
          <w:rFonts w:ascii="Times New Roman" w:hAnsi="Times New Roman"/>
          <w:sz w:val="26"/>
          <w:szCs w:val="26"/>
          <w:lang w:val="uk-UA" w:eastAsia="ru-RU"/>
        </w:rPr>
        <w:t xml:space="preserve"> Додатком № 1 </w:t>
      </w:r>
      <w:r w:rsidRPr="00827989">
        <w:rPr>
          <w:rFonts w:ascii="Times New Roman" w:hAnsi="Times New Roman"/>
          <w:sz w:val="26"/>
          <w:szCs w:val="26"/>
          <w:lang w:val="uk-UA"/>
        </w:rPr>
        <w:t>«</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p>
    <w:p w14:paraId="3236A404" w14:textId="51C4EB01" w:rsidR="009C4580" w:rsidRPr="00827989" w:rsidRDefault="009C4580" w:rsidP="009C4580">
      <w:pPr>
        <w:pStyle w:val="a3"/>
        <w:numPr>
          <w:ilvl w:val="0"/>
          <w:numId w:val="6"/>
        </w:numPr>
        <w:tabs>
          <w:tab w:val="left" w:pos="709"/>
          <w:tab w:val="left" w:pos="993"/>
        </w:tabs>
        <w:ind w:left="142" w:firstLine="567"/>
        <w:jc w:val="both"/>
        <w:rPr>
          <w:rFonts w:ascii="Times New Roman" w:hAnsi="Times New Roman"/>
          <w:bCs/>
          <w:iCs/>
          <w:sz w:val="26"/>
          <w:szCs w:val="26"/>
          <w:lang w:val="uk-UA"/>
        </w:rPr>
      </w:pPr>
      <w:bookmarkStart w:id="7" w:name="_Hlk72836664"/>
      <w:r w:rsidRPr="00827989">
        <w:rPr>
          <w:rFonts w:ascii="Times New Roman" w:hAnsi="Times New Roman"/>
          <w:bCs/>
          <w:iCs/>
          <w:sz w:val="26"/>
          <w:szCs w:val="26"/>
          <w:lang w:val="uk-UA"/>
        </w:rPr>
        <w:t>заповнений та підписаний Додаток № 5 «Декларація конфлікту інтересів учасника тендерної процедури»;</w:t>
      </w:r>
    </w:p>
    <w:bookmarkEnd w:id="7"/>
    <w:p w14:paraId="53E0F917" w14:textId="77777777"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rPr>
        <w:t>іншу інформацію і документами, що містять технічний опис предмета закупівлі</w:t>
      </w:r>
      <w:r w:rsidRPr="00827989">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C190D47" w:rsidR="00E529F3"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6B3812E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615B38C8"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2</w:t>
      </w:r>
      <w:r w:rsidRPr="000866AF">
        <w:rPr>
          <w:rFonts w:ascii="Times New Roman" w:hAnsi="Times New Roman"/>
          <w:b/>
          <w:sz w:val="26"/>
          <w:szCs w:val="26"/>
          <w:lang w:val="uk-UA"/>
        </w:rPr>
        <w:t xml:space="preserve"> </w:t>
      </w:r>
      <w:bookmarkStart w:id="8"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w:t>
      </w:r>
      <w:r w:rsidR="00EA3492">
        <w:rPr>
          <w:rFonts w:ascii="Times New Roman" w:hAnsi="Times New Roman"/>
          <w:sz w:val="26"/>
          <w:szCs w:val="26"/>
          <w:lang w:val="uk-UA"/>
        </w:rPr>
        <w:t>а специфікація»</w:t>
      </w:r>
      <w:bookmarkEnd w:id="8"/>
      <w:r w:rsidRPr="000866AF">
        <w:rPr>
          <w:rFonts w:ascii="Times New Roman" w:hAnsi="Times New Roman"/>
          <w:bCs/>
          <w:sz w:val="26"/>
          <w:szCs w:val="26"/>
          <w:lang w:val="uk-UA"/>
        </w:rPr>
        <w:t>;</w:t>
      </w:r>
    </w:p>
    <w:p w14:paraId="73CAF849"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3 «Форма цінової пропозиції»;</w:t>
      </w:r>
    </w:p>
    <w:p w14:paraId="4CA4019A" w14:textId="6F795B4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 xml:space="preserve">Додаток № </w:t>
      </w:r>
      <w:bookmarkStart w:id="9"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9"/>
      <w:r w:rsidRPr="000866AF">
        <w:rPr>
          <w:rFonts w:ascii="Times New Roman" w:hAnsi="Times New Roman"/>
          <w:sz w:val="26"/>
          <w:szCs w:val="26"/>
          <w:lang w:val="uk-UA" w:eastAsia="ru-RU"/>
        </w:rPr>
        <w:t>;</w:t>
      </w:r>
    </w:p>
    <w:p w14:paraId="4ADE5F2A" w14:textId="5AC8108D" w:rsidR="00E529F3" w:rsidRPr="000866AF" w:rsidRDefault="00D0441A"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w:t>
      </w:r>
      <w:r w:rsidR="00E529F3" w:rsidRPr="000866AF">
        <w:rPr>
          <w:rFonts w:ascii="Times New Roman" w:hAnsi="Times New Roman"/>
          <w:sz w:val="26"/>
          <w:szCs w:val="26"/>
          <w:lang w:val="uk-UA" w:eastAsia="ru-RU"/>
        </w:rPr>
        <w:t>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00E529F3" w:rsidRPr="000866AF">
        <w:rPr>
          <w:rFonts w:ascii="Times New Roman" w:hAnsi="Times New Roman"/>
          <w:sz w:val="26"/>
          <w:szCs w:val="26"/>
          <w:lang w:val="uk-UA" w:eastAsia="ru-RU"/>
        </w:rPr>
        <w:t>»;</w:t>
      </w:r>
    </w:p>
    <w:p w14:paraId="4FF5AF84" w14:textId="5082FBEE"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 xml:space="preserve">Додаток № 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627F1193" w:rsidR="00586ADC"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 7 «Календарний план»</w:t>
      </w:r>
      <w:r w:rsidR="008E257D">
        <w:rPr>
          <w:rFonts w:ascii="Times New Roman" w:hAnsi="Times New Roman"/>
          <w:sz w:val="26"/>
          <w:szCs w:val="26"/>
          <w:lang w:val="uk-UA" w:eastAsia="ru-RU"/>
        </w:rPr>
        <w:t>;</w:t>
      </w:r>
    </w:p>
    <w:p w14:paraId="3FD222B2" w14:textId="49D40750" w:rsidR="008E257D" w:rsidRPr="000866AF" w:rsidRDefault="008E257D"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8 </w:t>
      </w:r>
      <w:r w:rsidRPr="008E257D">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8E257D">
        <w:rPr>
          <w:rFonts w:ascii="Times New Roman" w:hAnsi="Times New Roman"/>
          <w:sz w:val="26"/>
          <w:szCs w:val="26"/>
          <w:lang w:val="uk-UA" w:eastAsia="ru-RU"/>
        </w:rPr>
        <w:t>»</w:t>
      </w:r>
      <w:r>
        <w:rPr>
          <w:rFonts w:ascii="Times New Roman" w:hAnsi="Times New Roman"/>
          <w:sz w:val="26"/>
          <w:szCs w:val="26"/>
          <w:lang w:val="uk-UA" w:eastAsia="ru-RU"/>
        </w:rPr>
        <w:t>.</w:t>
      </w: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lastRenderedPageBreak/>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5C69B835" w:rsidR="00EF135E" w:rsidRPr="00142793"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003E6B30" w:rsidRPr="003E6B30">
        <w:rPr>
          <w:rFonts w:ascii="Times New Roman" w:hAnsi="Times New Roman"/>
          <w:sz w:val="26"/>
          <w:szCs w:val="26"/>
          <w:lang w:val="uk-UA"/>
        </w:rPr>
        <w:t>ДК 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r w:rsidR="009C4580" w:rsidRPr="009C4580">
        <w:rPr>
          <w:rFonts w:ascii="Times New Roman" w:hAnsi="Times New Roman"/>
          <w:sz w:val="26"/>
          <w:szCs w:val="26"/>
          <w:lang w:val="uk-UA"/>
        </w:rPr>
        <w:t>,</w:t>
      </w:r>
      <w:r w:rsidRPr="00EF135E">
        <w:rPr>
          <w:rFonts w:ascii="Times New Roman" w:hAnsi="Times New Roman"/>
          <w:sz w:val="26"/>
          <w:szCs w:val="26"/>
          <w:lang w:val="uk-UA"/>
        </w:rPr>
        <w:t xml:space="preserve">  в рамках про</w:t>
      </w:r>
      <w:r w:rsidR="003E6B30">
        <w:rPr>
          <w:rFonts w:ascii="Times New Roman" w:hAnsi="Times New Roman"/>
          <w:sz w:val="26"/>
          <w:szCs w:val="26"/>
          <w:lang w:val="uk-UA"/>
        </w:rPr>
        <w:t>грами</w:t>
      </w:r>
      <w:r w:rsidRPr="00EF135E">
        <w:rPr>
          <w:rFonts w:ascii="Times New Roman" w:hAnsi="Times New Roman"/>
          <w:sz w:val="26"/>
          <w:szCs w:val="26"/>
          <w:lang w:val="uk-UA"/>
        </w:rPr>
        <w:t xml:space="preserve"> Глобального фонду </w:t>
      </w:r>
      <w:r w:rsidRPr="00075F9E">
        <w:rPr>
          <w:rFonts w:ascii="Times New Roman" w:hAnsi="Times New Roman"/>
          <w:sz w:val="26"/>
          <w:szCs w:val="26"/>
          <w:lang w:val="uk-UA"/>
        </w:rPr>
        <w:t>за адресою 04071, м. Київ, вул. Ярославська, 41</w:t>
      </w:r>
      <w:r w:rsidRPr="00075F9E">
        <w:rPr>
          <w:rFonts w:ascii="Times New Roman" w:hAnsi="Times New Roman"/>
          <w:bCs/>
          <w:sz w:val="26"/>
          <w:szCs w:val="26"/>
          <w:lang w:val="uk-UA" w:eastAsia="ru-RU"/>
        </w:rPr>
        <w:t>»</w:t>
      </w:r>
      <w:r w:rsidRPr="00075F9E">
        <w:rPr>
          <w:rFonts w:ascii="Times New Roman" w:hAnsi="Times New Roman"/>
          <w:sz w:val="26"/>
          <w:szCs w:val="26"/>
          <w:lang w:val="uk-UA" w:eastAsia="ru-RU"/>
        </w:rPr>
        <w:t xml:space="preserve"> </w:t>
      </w:r>
      <w:r w:rsidRPr="00075F9E">
        <w:rPr>
          <w:rFonts w:ascii="Times New Roman" w:hAnsi="Times New Roman"/>
          <w:b/>
          <w:sz w:val="26"/>
          <w:szCs w:val="26"/>
          <w:lang w:val="uk-UA"/>
        </w:rPr>
        <w:t xml:space="preserve">«НЕ РОЗКРИВАТИ ДО 14:00, </w:t>
      </w:r>
      <w:r w:rsidRPr="00142793">
        <w:rPr>
          <w:rFonts w:ascii="Times New Roman" w:hAnsi="Times New Roman"/>
          <w:b/>
          <w:sz w:val="26"/>
          <w:szCs w:val="26"/>
          <w:lang w:val="uk-UA"/>
        </w:rPr>
        <w:t>«</w:t>
      </w:r>
      <w:r w:rsidR="00E97D87">
        <w:rPr>
          <w:rFonts w:ascii="Times New Roman" w:hAnsi="Times New Roman"/>
          <w:b/>
          <w:sz w:val="26"/>
          <w:szCs w:val="26"/>
          <w:lang w:val="uk-UA"/>
        </w:rPr>
        <w:t>04</w:t>
      </w:r>
      <w:r w:rsidRPr="00142793">
        <w:rPr>
          <w:rFonts w:ascii="Times New Roman" w:hAnsi="Times New Roman"/>
          <w:b/>
          <w:sz w:val="26"/>
          <w:szCs w:val="26"/>
          <w:lang w:val="uk-UA" w:eastAsia="ru-RU"/>
        </w:rPr>
        <w:t xml:space="preserve">» </w:t>
      </w:r>
      <w:r w:rsidR="00E97D87">
        <w:rPr>
          <w:rFonts w:ascii="Times New Roman" w:hAnsi="Times New Roman"/>
          <w:b/>
          <w:sz w:val="26"/>
          <w:szCs w:val="26"/>
          <w:lang w:val="uk-UA" w:eastAsia="ru-RU"/>
        </w:rPr>
        <w:t>жовтн</w:t>
      </w:r>
      <w:r>
        <w:rPr>
          <w:rFonts w:ascii="Times New Roman" w:hAnsi="Times New Roman"/>
          <w:b/>
          <w:sz w:val="26"/>
          <w:szCs w:val="26"/>
          <w:lang w:val="uk-UA" w:eastAsia="ru-RU"/>
        </w:rPr>
        <w:t>я</w:t>
      </w:r>
      <w:r w:rsidRPr="00142793">
        <w:rPr>
          <w:rFonts w:ascii="Times New Roman" w:hAnsi="Times New Roman"/>
          <w:b/>
          <w:sz w:val="26"/>
          <w:szCs w:val="26"/>
          <w:lang w:val="uk-UA" w:eastAsia="ru-RU"/>
        </w:rPr>
        <w:t xml:space="preserve"> 2021 року</w:t>
      </w:r>
      <w:r w:rsidRPr="00142793">
        <w:rPr>
          <w:rFonts w:ascii="Times New Roman" w:hAnsi="Times New Roman"/>
          <w:b/>
          <w:sz w:val="26"/>
          <w:szCs w:val="26"/>
          <w:lang w:val="uk-UA"/>
        </w:rPr>
        <w:t>»,</w:t>
      </w:r>
      <w:r w:rsidRPr="00142793">
        <w:rPr>
          <w:rFonts w:ascii="Times New Roman" w:hAnsi="Times New Roman"/>
          <w:sz w:val="26"/>
          <w:szCs w:val="26"/>
          <w:lang w:val="uk-UA"/>
        </w:rPr>
        <w:t xml:space="preserve"> </w:t>
      </w:r>
      <w:r w:rsidRPr="00142793">
        <w:rPr>
          <w:rFonts w:ascii="Times New Roman" w:hAnsi="Times New Roman"/>
          <w:sz w:val="26"/>
          <w:szCs w:val="26"/>
          <w:lang w:val="uk-UA" w:eastAsia="ru-RU"/>
        </w:rPr>
        <w:t xml:space="preserve">а також код </w:t>
      </w:r>
      <w:r w:rsidRPr="00142793">
        <w:rPr>
          <w:rFonts w:ascii="Times New Roman" w:hAnsi="Times New Roman"/>
          <w:noProof/>
          <w:sz w:val="26"/>
          <w:szCs w:val="26"/>
          <w:lang w:val="uk-UA"/>
        </w:rPr>
        <w:t>ЄДРПОУ, адресу та назву учасника</w:t>
      </w:r>
      <w:r w:rsidRPr="00142793">
        <w:rPr>
          <w:rFonts w:ascii="Times New Roman" w:hAnsi="Times New Roman"/>
          <w:sz w:val="26"/>
          <w:szCs w:val="26"/>
          <w:lang w:val="uk-UA" w:eastAsia="ru-RU"/>
        </w:rPr>
        <w:t>.</w:t>
      </w:r>
    </w:p>
    <w:p w14:paraId="5F0700BD" w14:textId="45BCB89C" w:rsidR="003B52DF" w:rsidRPr="000866AF" w:rsidRDefault="00EF135E"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3E6B30" w:rsidRPr="003E6B30">
        <w:rPr>
          <w:rFonts w:ascii="Times New Roman" w:hAnsi="Times New Roman"/>
          <w:sz w:val="26"/>
          <w:szCs w:val="26"/>
          <w:lang w:val="uk-UA"/>
        </w:rPr>
        <w:t>ДК 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r w:rsidR="009C4580" w:rsidRPr="009C4580">
        <w:rPr>
          <w:rFonts w:ascii="Times New Roman" w:hAnsi="Times New Roman"/>
          <w:sz w:val="26"/>
          <w:szCs w:val="26"/>
          <w:lang w:val="uk-UA"/>
        </w:rPr>
        <w:t>,</w:t>
      </w:r>
      <w:r w:rsidR="00F71F42">
        <w:rPr>
          <w:rFonts w:ascii="Times New Roman" w:hAnsi="Times New Roman"/>
          <w:sz w:val="26"/>
          <w:szCs w:val="26"/>
          <w:lang w:val="uk-UA"/>
        </w:rPr>
        <w:t xml:space="preserve"> </w:t>
      </w:r>
      <w:r w:rsidRPr="00EF135E">
        <w:rPr>
          <w:rFonts w:ascii="Times New Roman" w:hAnsi="Times New Roman"/>
          <w:sz w:val="26"/>
          <w:szCs w:val="26"/>
          <w:lang w:val="uk-UA"/>
        </w:rPr>
        <w:t>в рамках про</w:t>
      </w:r>
      <w:r w:rsidR="003E6B30">
        <w:rPr>
          <w:rFonts w:ascii="Times New Roman" w:hAnsi="Times New Roman"/>
          <w:sz w:val="26"/>
          <w:szCs w:val="26"/>
          <w:lang w:val="uk-UA"/>
        </w:rPr>
        <w:t>грами</w:t>
      </w:r>
      <w:r w:rsidRPr="00EF135E">
        <w:rPr>
          <w:rFonts w:ascii="Times New Roman" w:hAnsi="Times New Roman"/>
          <w:sz w:val="26"/>
          <w:szCs w:val="26"/>
          <w:lang w:val="uk-UA"/>
        </w:rPr>
        <w:t xml:space="preserve">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E97D87">
        <w:rPr>
          <w:rFonts w:ascii="Times New Roman" w:hAnsi="Times New Roman"/>
          <w:b/>
          <w:sz w:val="26"/>
          <w:szCs w:val="26"/>
          <w:lang w:val="uk-UA"/>
        </w:rPr>
        <w:t>12</w:t>
      </w:r>
      <w:r w:rsidRPr="00142793">
        <w:rPr>
          <w:rFonts w:ascii="Times New Roman" w:hAnsi="Times New Roman"/>
          <w:b/>
          <w:sz w:val="26"/>
          <w:szCs w:val="26"/>
          <w:lang w:val="uk-UA" w:eastAsia="ru-RU"/>
        </w:rPr>
        <w:t>»</w:t>
      </w:r>
      <w:r w:rsidR="00320782">
        <w:rPr>
          <w:rFonts w:ascii="Times New Roman" w:hAnsi="Times New Roman"/>
          <w:b/>
          <w:sz w:val="26"/>
          <w:szCs w:val="26"/>
          <w:lang w:val="uk-UA" w:eastAsia="ru-RU"/>
        </w:rPr>
        <w:t xml:space="preserve"> </w:t>
      </w:r>
      <w:r w:rsidR="00E97D87">
        <w:rPr>
          <w:rFonts w:ascii="Times New Roman" w:hAnsi="Times New Roman"/>
          <w:b/>
          <w:sz w:val="26"/>
          <w:szCs w:val="26"/>
          <w:lang w:val="uk-UA" w:eastAsia="ru-RU"/>
        </w:rPr>
        <w:t>жовт</w:t>
      </w:r>
      <w:r>
        <w:rPr>
          <w:rFonts w:ascii="Times New Roman" w:hAnsi="Times New Roman"/>
          <w:b/>
          <w:sz w:val="26"/>
          <w:szCs w:val="26"/>
          <w:lang w:val="uk-UA" w:eastAsia="ru-RU"/>
        </w:rPr>
        <w:t>ня</w:t>
      </w:r>
      <w:r w:rsidRPr="00142793">
        <w:rPr>
          <w:rFonts w:ascii="Times New Roman" w:hAnsi="Times New Roman"/>
          <w:b/>
          <w:sz w:val="26"/>
          <w:szCs w:val="26"/>
          <w:lang w:val="uk-UA" w:eastAsia="ru-RU"/>
        </w:rPr>
        <w:t xml:space="preserve"> 2021</w:t>
      </w:r>
      <w:r>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Pr="00075F9E">
        <w:rPr>
          <w:rFonts w:ascii="Times New Roman" w:hAnsi="Times New Roman"/>
          <w:noProof/>
          <w:sz w:val="26"/>
          <w:szCs w:val="26"/>
          <w:lang w:val="uk-UA"/>
        </w:rPr>
        <w:t>ЄДРПОУ, адресу та назву учасника</w:t>
      </w:r>
      <w:r w:rsidR="003B52DF" w:rsidRPr="000866AF">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1323F04C"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lastRenderedPageBreak/>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351D592" w14:textId="77777777" w:rsidR="00E97D87" w:rsidRPr="00E05493" w:rsidRDefault="00E97D87" w:rsidP="00E97D87">
      <w:pPr>
        <w:spacing w:after="0" w:line="240" w:lineRule="auto"/>
        <w:ind w:left="5812"/>
        <w:jc w:val="right"/>
        <w:rPr>
          <w:rFonts w:ascii="Times New Roman" w:hAnsi="Times New Roman"/>
          <w:b/>
          <w:bCs/>
          <w:sz w:val="24"/>
          <w:szCs w:val="24"/>
        </w:rPr>
      </w:pPr>
      <w:bookmarkStart w:id="10" w:name="_Hlk70422133"/>
      <w:r w:rsidRPr="00E05493">
        <w:rPr>
          <w:rFonts w:ascii="Times New Roman" w:hAnsi="Times New Roman"/>
          <w:b/>
          <w:bCs/>
          <w:sz w:val="24"/>
          <w:szCs w:val="24"/>
        </w:rPr>
        <w:lastRenderedPageBreak/>
        <w:t>Додаток № 1</w:t>
      </w:r>
    </w:p>
    <w:p w14:paraId="257B48D6" w14:textId="77777777" w:rsidR="00E97D87" w:rsidRPr="00E05493" w:rsidRDefault="00E97D87" w:rsidP="00E97D87">
      <w:pPr>
        <w:spacing w:after="0" w:line="240" w:lineRule="auto"/>
        <w:ind w:left="5812"/>
        <w:jc w:val="right"/>
        <w:rPr>
          <w:rFonts w:ascii="Times New Roman" w:hAnsi="Times New Roman"/>
          <w:b/>
          <w:bCs/>
          <w:sz w:val="24"/>
          <w:szCs w:val="24"/>
        </w:rPr>
      </w:pPr>
    </w:p>
    <w:p w14:paraId="05A60AE5" w14:textId="77777777" w:rsidR="00E97D87" w:rsidRPr="00E05493" w:rsidRDefault="00E97D87" w:rsidP="00E97D87">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E05493">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4DFC9BCD" w14:textId="77777777" w:rsidR="00E97D87" w:rsidRPr="00E05493" w:rsidRDefault="00E97D87" w:rsidP="00E97D87">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E97D87" w:rsidRPr="00E05493" w14:paraId="4BF5EFE1" w14:textId="77777777" w:rsidTr="00E0589D">
        <w:tc>
          <w:tcPr>
            <w:tcW w:w="534" w:type="dxa"/>
            <w:shd w:val="clear" w:color="auto" w:fill="D9D9D9" w:themeFill="background1" w:themeFillShade="D9"/>
          </w:tcPr>
          <w:p w14:paraId="6EF1F28B" w14:textId="77777777" w:rsidR="00E97D87" w:rsidRPr="00E05493" w:rsidRDefault="00E97D87" w:rsidP="00E0589D">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52F2ADFD" w14:textId="77777777" w:rsidR="00E97D87" w:rsidRPr="00E05493" w:rsidRDefault="00E97D87" w:rsidP="00E0589D">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4309A78A" w14:textId="77777777" w:rsidR="00E97D87" w:rsidRPr="000B4F25" w:rsidRDefault="00E97D87" w:rsidP="00E0589D">
            <w:pPr>
              <w:pBdr>
                <w:top w:val="nil"/>
                <w:left w:val="nil"/>
                <w:bottom w:val="nil"/>
                <w:right w:val="nil"/>
                <w:between w:val="nil"/>
              </w:pBdr>
              <w:spacing w:after="0" w:line="240" w:lineRule="auto"/>
              <w:jc w:val="center"/>
              <w:rPr>
                <w:rFonts w:ascii="Times New Roman" w:hAnsi="Times New Roman"/>
                <w:color w:val="000000"/>
                <w:sz w:val="24"/>
                <w:szCs w:val="24"/>
              </w:rPr>
            </w:pPr>
            <w:r w:rsidRPr="000B4F25">
              <w:rPr>
                <w:rFonts w:ascii="Times New Roman" w:hAnsi="Times New Roman"/>
                <w:b/>
                <w:color w:val="000000"/>
                <w:sz w:val="24"/>
                <w:szCs w:val="24"/>
              </w:rPr>
              <w:t>Кваліфікаційні критерії (вимоги) до учасників *</w:t>
            </w:r>
          </w:p>
        </w:tc>
        <w:tc>
          <w:tcPr>
            <w:tcW w:w="5244" w:type="dxa"/>
            <w:shd w:val="clear" w:color="auto" w:fill="D9D9D9" w:themeFill="background1" w:themeFillShade="D9"/>
          </w:tcPr>
          <w:p w14:paraId="646D30CC" w14:textId="77777777" w:rsidR="00E97D87" w:rsidRPr="00E05493" w:rsidRDefault="00E97D87" w:rsidP="00E0589D">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E97D87" w:rsidRPr="00E05493" w14:paraId="5F856A75" w14:textId="77777777" w:rsidTr="00E0589D">
        <w:tc>
          <w:tcPr>
            <w:tcW w:w="534" w:type="dxa"/>
          </w:tcPr>
          <w:p w14:paraId="3500688D" w14:textId="77777777" w:rsidR="00E97D87" w:rsidRPr="00E05493" w:rsidRDefault="00E97D87" w:rsidP="00E0589D">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Pr>
          <w:p w14:paraId="6BB7AC95" w14:textId="77777777" w:rsidR="00E97D87" w:rsidRPr="000B4F25" w:rsidRDefault="00E97D87" w:rsidP="00E0589D">
            <w:pPr>
              <w:pBdr>
                <w:top w:val="nil"/>
                <w:left w:val="nil"/>
                <w:bottom w:val="nil"/>
                <w:right w:val="nil"/>
                <w:between w:val="nil"/>
              </w:pBdr>
              <w:spacing w:after="0" w:line="240" w:lineRule="auto"/>
              <w:rPr>
                <w:rFonts w:ascii="Times New Roman" w:hAnsi="Times New Roman"/>
                <w:b/>
                <w:color w:val="000000"/>
                <w:sz w:val="24"/>
                <w:szCs w:val="24"/>
              </w:rPr>
            </w:pPr>
            <w:r w:rsidRPr="000B4F25">
              <w:rPr>
                <w:rFonts w:ascii="Times New Roman" w:hAnsi="Times New Roman"/>
                <w:sz w:val="24"/>
                <w:szCs w:val="24"/>
              </w:rPr>
              <w:t xml:space="preserve">Наявність документально підтвердженого досвіду  надання послуг з проведення досліджень у  сфері ВІЛ/СНІД (надати перелік проектів за вказаною тематикою, виконаних організацією-учасником за період з 2016 по 2021 роки). </w:t>
            </w:r>
          </w:p>
        </w:tc>
        <w:tc>
          <w:tcPr>
            <w:tcW w:w="5244" w:type="dxa"/>
          </w:tcPr>
          <w:p w14:paraId="0064B549" w14:textId="77777777" w:rsidR="00E97D87" w:rsidRPr="000B4F25" w:rsidRDefault="00E97D87" w:rsidP="003E6B3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0B4F25">
              <w:rPr>
                <w:rFonts w:ascii="Times New Roman" w:hAnsi="Times New Roman"/>
                <w:sz w:val="24"/>
                <w:szCs w:val="24"/>
                <w:lang w:val="ru-RU"/>
              </w:rPr>
              <w:t>Лист-</w:t>
            </w:r>
            <w:proofErr w:type="spellStart"/>
            <w:r w:rsidRPr="000B4F25">
              <w:rPr>
                <w:rFonts w:ascii="Times New Roman" w:hAnsi="Times New Roman"/>
                <w:sz w:val="24"/>
                <w:szCs w:val="24"/>
                <w:lang w:val="ru-RU"/>
              </w:rPr>
              <w:t>повідомлення</w:t>
            </w:r>
            <w:proofErr w:type="spellEnd"/>
            <w:r w:rsidRPr="000B4F25">
              <w:rPr>
                <w:rFonts w:ascii="Times New Roman" w:hAnsi="Times New Roman"/>
                <w:sz w:val="24"/>
                <w:szCs w:val="24"/>
                <w:lang w:val="ru-RU"/>
              </w:rPr>
              <w:t xml:space="preserve"> в </w:t>
            </w:r>
            <w:proofErr w:type="spellStart"/>
            <w:r w:rsidRPr="000B4F25">
              <w:rPr>
                <w:rFonts w:ascii="Times New Roman" w:hAnsi="Times New Roman"/>
                <w:sz w:val="24"/>
                <w:szCs w:val="24"/>
                <w:lang w:val="ru-RU"/>
              </w:rPr>
              <w:t>довільній</w:t>
            </w:r>
            <w:proofErr w:type="spellEnd"/>
            <w:r w:rsidRPr="000B4F25">
              <w:rPr>
                <w:rFonts w:ascii="Times New Roman" w:hAnsi="Times New Roman"/>
                <w:sz w:val="24"/>
                <w:szCs w:val="24"/>
                <w:lang w:val="ru-RU"/>
              </w:rPr>
              <w:t xml:space="preserve"> </w:t>
            </w:r>
            <w:proofErr w:type="spellStart"/>
            <w:r w:rsidRPr="000B4F25">
              <w:rPr>
                <w:rFonts w:ascii="Times New Roman" w:hAnsi="Times New Roman"/>
                <w:sz w:val="24"/>
                <w:szCs w:val="24"/>
                <w:lang w:val="ru-RU"/>
              </w:rPr>
              <w:t>формі</w:t>
            </w:r>
            <w:proofErr w:type="spellEnd"/>
            <w:r w:rsidRPr="000B4F25">
              <w:rPr>
                <w:rFonts w:ascii="Times New Roman" w:hAnsi="Times New Roman"/>
                <w:sz w:val="24"/>
                <w:szCs w:val="24"/>
                <w:lang w:val="ru-RU"/>
              </w:rPr>
              <w:t xml:space="preserve"> про </w:t>
            </w:r>
            <w:proofErr w:type="spellStart"/>
            <w:r w:rsidRPr="000B4F25">
              <w:rPr>
                <w:rFonts w:ascii="Times New Roman" w:hAnsi="Times New Roman"/>
                <w:sz w:val="24"/>
                <w:szCs w:val="24"/>
                <w:lang w:val="ru-RU"/>
              </w:rPr>
              <w:t>діяльність</w:t>
            </w:r>
            <w:proofErr w:type="spellEnd"/>
            <w:r w:rsidRPr="000B4F25">
              <w:rPr>
                <w:rFonts w:ascii="Times New Roman" w:hAnsi="Times New Roman"/>
                <w:sz w:val="24"/>
                <w:szCs w:val="24"/>
                <w:lang w:val="ru-RU"/>
              </w:rPr>
              <w:t xml:space="preserve"> </w:t>
            </w:r>
            <w:proofErr w:type="spellStart"/>
            <w:r w:rsidRPr="000B4F25">
              <w:rPr>
                <w:rFonts w:ascii="Times New Roman" w:hAnsi="Times New Roman"/>
                <w:sz w:val="24"/>
                <w:szCs w:val="24"/>
                <w:lang w:val="ru-RU"/>
              </w:rPr>
              <w:t>організації</w:t>
            </w:r>
            <w:proofErr w:type="spellEnd"/>
            <w:r w:rsidRPr="000B4F25">
              <w:rPr>
                <w:rFonts w:ascii="Times New Roman" w:hAnsi="Times New Roman"/>
                <w:sz w:val="24"/>
                <w:szCs w:val="24"/>
                <w:lang w:val="ru-RU"/>
              </w:rPr>
              <w:t xml:space="preserve"> протягом 2016-2021 </w:t>
            </w:r>
            <w:proofErr w:type="spellStart"/>
            <w:r w:rsidRPr="000B4F25">
              <w:rPr>
                <w:rFonts w:ascii="Times New Roman" w:hAnsi="Times New Roman"/>
                <w:sz w:val="24"/>
                <w:szCs w:val="24"/>
                <w:lang w:val="ru-RU"/>
              </w:rPr>
              <w:t>років</w:t>
            </w:r>
            <w:proofErr w:type="spellEnd"/>
            <w:r w:rsidRPr="000B4F25">
              <w:rPr>
                <w:rFonts w:ascii="Times New Roman" w:hAnsi="Times New Roman"/>
                <w:sz w:val="24"/>
                <w:szCs w:val="24"/>
                <w:lang w:val="ru-RU"/>
              </w:rPr>
              <w:t xml:space="preserve"> за </w:t>
            </w:r>
            <w:proofErr w:type="spellStart"/>
            <w:r w:rsidRPr="000B4F25">
              <w:rPr>
                <w:rFonts w:ascii="Times New Roman" w:hAnsi="Times New Roman"/>
                <w:sz w:val="24"/>
                <w:szCs w:val="24"/>
                <w:lang w:val="ru-RU"/>
              </w:rPr>
              <w:t>напрямом</w:t>
            </w:r>
            <w:proofErr w:type="spellEnd"/>
            <w:r w:rsidRPr="000B4F25">
              <w:rPr>
                <w:rFonts w:ascii="Times New Roman" w:hAnsi="Times New Roman"/>
                <w:sz w:val="24"/>
                <w:szCs w:val="24"/>
                <w:lang w:val="ru-RU"/>
              </w:rPr>
              <w:t xml:space="preserve"> ВІЛ/СНІД. </w:t>
            </w:r>
          </w:p>
          <w:p w14:paraId="328B6D63" w14:textId="77777777" w:rsidR="00E97D87" w:rsidRPr="000B4F25" w:rsidRDefault="00E97D87" w:rsidP="003E6B3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0B4F25">
              <w:rPr>
                <w:rFonts w:ascii="Times New Roman" w:hAnsi="Times New Roman"/>
                <w:sz w:val="24"/>
                <w:szCs w:val="24"/>
                <w:lang w:val="uk-UA"/>
              </w:rPr>
              <w:t>Лист-повідомлення в довільній формі про діяльність організації протягом 2016-2021 рр. із зазначенням переліку послуг та компаній, яким аналогічні послуги надавались протягом зазначеного періоду.</w:t>
            </w:r>
          </w:p>
          <w:p w14:paraId="29F04DD4" w14:textId="34213D07" w:rsidR="00E97D87" w:rsidRPr="00537934" w:rsidRDefault="00E97D87" w:rsidP="003E6B3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0B4F25">
              <w:rPr>
                <w:rFonts w:ascii="Times New Roman" w:hAnsi="Times New Roman"/>
                <w:color w:val="000000"/>
                <w:sz w:val="24"/>
                <w:szCs w:val="24"/>
                <w:lang w:val="uk-UA"/>
              </w:rPr>
              <w:t xml:space="preserve">Не менше 2 (двох) копій договорів (з додатками та додатковими угодами, що є його невід’ємними частинами) про надання послуг, які зазначені у листі-повідомленні, та копії актів наданих послуг/виконаних робіт до кожного наданого </w:t>
            </w:r>
            <w:r w:rsidRPr="00537934">
              <w:rPr>
                <w:rFonts w:ascii="Times New Roman" w:hAnsi="Times New Roman"/>
                <w:color w:val="000000"/>
                <w:sz w:val="24"/>
                <w:szCs w:val="24"/>
                <w:lang w:val="uk-UA"/>
              </w:rPr>
              <w:t>договору.</w:t>
            </w:r>
          </w:p>
          <w:p w14:paraId="02E67E3C" w14:textId="764C23DD" w:rsidR="00E97D87" w:rsidRPr="000B4F25" w:rsidRDefault="00E97D87" w:rsidP="003E6B30">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4"/>
                <w:szCs w:val="24"/>
                <w:lang w:val="uk-UA"/>
              </w:rPr>
            </w:pPr>
            <w:r w:rsidRPr="00537934">
              <w:rPr>
                <w:rFonts w:ascii="Times New Roman" w:hAnsi="Times New Roman"/>
                <w:sz w:val="24"/>
                <w:szCs w:val="24"/>
                <w:lang w:val="uk-UA"/>
              </w:rPr>
              <w:t>Рекомендаційні листи від компаній, яким надавались аналогічні послуги.</w:t>
            </w:r>
          </w:p>
        </w:tc>
      </w:tr>
      <w:tr w:rsidR="00E97D87" w:rsidRPr="00E05493" w14:paraId="62C8C770" w14:textId="77777777" w:rsidTr="00E0589D">
        <w:tc>
          <w:tcPr>
            <w:tcW w:w="534" w:type="dxa"/>
          </w:tcPr>
          <w:p w14:paraId="1C520039" w14:textId="77777777" w:rsidR="00E97D87" w:rsidRPr="00E05493" w:rsidRDefault="00E97D87" w:rsidP="00E0589D">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2.</w:t>
            </w:r>
          </w:p>
        </w:tc>
        <w:tc>
          <w:tcPr>
            <w:tcW w:w="3856" w:type="dxa"/>
          </w:tcPr>
          <w:p w14:paraId="10DF3C8A" w14:textId="77777777" w:rsidR="00E97D87" w:rsidRPr="000B4F25" w:rsidRDefault="00E97D87" w:rsidP="00E0589D">
            <w:pPr>
              <w:pStyle w:val="rvps2"/>
              <w:shd w:val="clear" w:color="auto" w:fill="FFFFFF"/>
              <w:tabs>
                <w:tab w:val="left" w:pos="993"/>
              </w:tabs>
              <w:spacing w:before="0" w:beforeAutospacing="0" w:after="0" w:afterAutospacing="0"/>
              <w:rPr>
                <w:color w:val="000000"/>
                <w:lang w:val="uk-UA"/>
              </w:rPr>
            </w:pPr>
            <w:r w:rsidRPr="000B4F25">
              <w:rPr>
                <w:color w:val="000000"/>
                <w:lang w:val="uk-UA"/>
              </w:rPr>
              <w:t>Наявність працівників відповідної кваліфікації, які мають необхідні знання та досвід.</w:t>
            </w:r>
          </w:p>
          <w:p w14:paraId="5F222597" w14:textId="77777777" w:rsidR="00E97D87" w:rsidRPr="000B4F25" w:rsidRDefault="00E97D87" w:rsidP="00E0589D">
            <w:pPr>
              <w:pBdr>
                <w:top w:val="nil"/>
                <w:left w:val="nil"/>
                <w:bottom w:val="nil"/>
                <w:right w:val="nil"/>
                <w:between w:val="nil"/>
              </w:pBdr>
              <w:spacing w:after="0" w:line="240" w:lineRule="auto"/>
              <w:rPr>
                <w:rFonts w:ascii="Times New Roman" w:hAnsi="Times New Roman"/>
                <w:sz w:val="24"/>
                <w:szCs w:val="24"/>
              </w:rPr>
            </w:pPr>
          </w:p>
        </w:tc>
        <w:tc>
          <w:tcPr>
            <w:tcW w:w="5244" w:type="dxa"/>
          </w:tcPr>
          <w:p w14:paraId="114BDC03" w14:textId="4B38F3E3" w:rsidR="00537934" w:rsidRDefault="00E97D87" w:rsidP="00537934">
            <w:pPr>
              <w:pStyle w:val="a3"/>
              <w:numPr>
                <w:ilvl w:val="0"/>
                <w:numId w:val="38"/>
              </w:numPr>
              <w:pBdr>
                <w:top w:val="nil"/>
                <w:left w:val="nil"/>
                <w:bottom w:val="nil"/>
                <w:right w:val="nil"/>
                <w:between w:val="nil"/>
              </w:pBdr>
              <w:tabs>
                <w:tab w:val="left" w:pos="291"/>
              </w:tabs>
              <w:ind w:left="37" w:firstLine="0"/>
              <w:jc w:val="both"/>
              <w:rPr>
                <w:rFonts w:ascii="Times New Roman" w:hAnsi="Times New Roman"/>
                <w:color w:val="000000"/>
                <w:sz w:val="24"/>
                <w:szCs w:val="24"/>
                <w:lang w:val="uk-UA"/>
              </w:rPr>
            </w:pPr>
            <w:r w:rsidRPr="00537934">
              <w:rPr>
                <w:rFonts w:ascii="Times New Roman" w:hAnsi="Times New Roman"/>
                <w:color w:val="000000"/>
                <w:sz w:val="24"/>
                <w:szCs w:val="24"/>
                <w:lang w:val="uk-UA"/>
              </w:rPr>
              <w:t>Довідка в довільній формі щодо наявності</w:t>
            </w:r>
            <w:r w:rsidRPr="00537934">
              <w:rPr>
                <w:rFonts w:ascii="Times New Roman" w:hAnsi="Times New Roman"/>
                <w:sz w:val="24"/>
                <w:szCs w:val="24"/>
                <w:lang w:val="uk-UA"/>
              </w:rPr>
              <w:t xml:space="preserve"> </w:t>
            </w:r>
            <w:r w:rsidRPr="00537934">
              <w:rPr>
                <w:rFonts w:ascii="Times New Roman" w:hAnsi="Times New Roman"/>
                <w:color w:val="000000"/>
                <w:sz w:val="24"/>
                <w:szCs w:val="24"/>
                <w:lang w:val="uk-UA"/>
              </w:rPr>
              <w:t>працівників відповідної кваліфікації</w:t>
            </w:r>
            <w:r w:rsidRPr="00537934">
              <w:rPr>
                <w:rFonts w:ascii="Times New Roman" w:hAnsi="Times New Roman"/>
                <w:bCs/>
                <w:sz w:val="24"/>
                <w:szCs w:val="24"/>
                <w:lang w:val="uk-UA"/>
              </w:rPr>
              <w:t>, наукового ступеню та релевантного досвіду,</w:t>
            </w:r>
            <w:r w:rsidRPr="00537934">
              <w:rPr>
                <w:rFonts w:ascii="Times New Roman" w:hAnsi="Times New Roman"/>
                <w:color w:val="000000"/>
                <w:sz w:val="24"/>
                <w:szCs w:val="24"/>
                <w:lang w:val="uk-UA"/>
              </w:rPr>
              <w:t xml:space="preserve"> які мають необхідні знання та досвід не менше 3 років для надання послуг, що є предметом закупівлі.</w:t>
            </w:r>
          </w:p>
          <w:p w14:paraId="16CD4AC7" w14:textId="3FACCC6E" w:rsidR="00537934" w:rsidRDefault="00E97D87" w:rsidP="00537934">
            <w:pPr>
              <w:pStyle w:val="a3"/>
              <w:pBdr>
                <w:top w:val="nil"/>
                <w:left w:val="nil"/>
                <w:bottom w:val="nil"/>
                <w:right w:val="nil"/>
                <w:between w:val="nil"/>
              </w:pBdr>
              <w:tabs>
                <w:tab w:val="left" w:pos="291"/>
              </w:tabs>
              <w:ind w:left="37"/>
              <w:jc w:val="both"/>
              <w:rPr>
                <w:rFonts w:ascii="Times New Roman" w:hAnsi="Times New Roman"/>
                <w:color w:val="000000"/>
                <w:sz w:val="24"/>
                <w:szCs w:val="24"/>
                <w:lang w:val="uk-UA"/>
              </w:rPr>
            </w:pPr>
            <w:r w:rsidRPr="00537934">
              <w:rPr>
                <w:rFonts w:ascii="Times New Roman" w:hAnsi="Times New Roman"/>
                <w:color w:val="000000"/>
                <w:sz w:val="24"/>
                <w:szCs w:val="24"/>
                <w:lang w:val="uk-UA"/>
              </w:rPr>
              <w:t>Довідка повинна містити наступну інформацію: перелік працівників із зазначенням ПІБ та посади, досвід роботи з переліком виконуваних обов’язків та переліком послуг за 2016-2021 роки.</w:t>
            </w:r>
          </w:p>
          <w:p w14:paraId="139D03F3" w14:textId="2C15F476" w:rsidR="00537934" w:rsidRPr="00537934" w:rsidRDefault="00537934" w:rsidP="00537934">
            <w:pPr>
              <w:pStyle w:val="a3"/>
              <w:pBdr>
                <w:top w:val="nil"/>
                <w:left w:val="nil"/>
                <w:bottom w:val="nil"/>
                <w:right w:val="nil"/>
                <w:between w:val="nil"/>
              </w:pBdr>
              <w:tabs>
                <w:tab w:val="left" w:pos="291"/>
              </w:tabs>
              <w:ind w:left="3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 довідці обов’язкова наявність провідного дослідника, який буде залучений під час надання послуг. Провідний дослідник повинен мати трирічний досвід </w:t>
            </w:r>
            <w:r w:rsidRPr="00537934">
              <w:rPr>
                <w:rFonts w:ascii="Times New Roman" w:hAnsi="Times New Roman"/>
                <w:color w:val="000000"/>
                <w:sz w:val="24"/>
                <w:szCs w:val="24"/>
                <w:lang w:val="uk-UA"/>
              </w:rPr>
              <w:t>за напрямом проведення досліджень та досвід за напрямом ВІЛ/СНІД</w:t>
            </w:r>
            <w:r>
              <w:rPr>
                <w:rFonts w:ascii="Times New Roman" w:hAnsi="Times New Roman"/>
                <w:color w:val="000000"/>
                <w:sz w:val="24"/>
                <w:szCs w:val="24"/>
                <w:lang w:val="uk-UA"/>
              </w:rPr>
              <w:t>.</w:t>
            </w:r>
          </w:p>
          <w:p w14:paraId="48D998CB" w14:textId="77777777" w:rsidR="00537934" w:rsidRPr="00537934" w:rsidRDefault="00E97D87" w:rsidP="00537934">
            <w:pPr>
              <w:pStyle w:val="a3"/>
              <w:numPr>
                <w:ilvl w:val="0"/>
                <w:numId w:val="38"/>
              </w:numPr>
              <w:pBdr>
                <w:top w:val="nil"/>
                <w:left w:val="nil"/>
                <w:bottom w:val="nil"/>
                <w:right w:val="nil"/>
                <w:between w:val="nil"/>
              </w:pBdr>
              <w:tabs>
                <w:tab w:val="left" w:pos="291"/>
              </w:tabs>
              <w:ind w:left="37" w:firstLine="0"/>
              <w:jc w:val="both"/>
              <w:rPr>
                <w:rFonts w:ascii="Times New Roman" w:hAnsi="Times New Roman"/>
                <w:color w:val="000000"/>
                <w:sz w:val="24"/>
                <w:szCs w:val="24"/>
                <w:lang w:val="uk-UA"/>
              </w:rPr>
            </w:pPr>
            <w:r w:rsidRPr="00537934">
              <w:rPr>
                <w:rFonts w:ascii="Times New Roman" w:hAnsi="Times New Roman"/>
                <w:color w:val="000000"/>
                <w:sz w:val="24"/>
                <w:szCs w:val="24"/>
                <w:lang w:val="uk-UA"/>
              </w:rPr>
              <w:t>Копії дипломів, які підтверджують науковий ступінь відповідних працівників.</w:t>
            </w:r>
          </w:p>
          <w:p w14:paraId="67DB4A93" w14:textId="269AD176" w:rsidR="00E97D87" w:rsidRPr="00537934" w:rsidRDefault="00E97D87" w:rsidP="00537934">
            <w:pPr>
              <w:pStyle w:val="a3"/>
              <w:numPr>
                <w:ilvl w:val="0"/>
                <w:numId w:val="38"/>
              </w:numPr>
              <w:pBdr>
                <w:top w:val="nil"/>
                <w:left w:val="nil"/>
                <w:bottom w:val="nil"/>
                <w:right w:val="nil"/>
                <w:between w:val="nil"/>
              </w:pBdr>
              <w:tabs>
                <w:tab w:val="left" w:pos="291"/>
              </w:tabs>
              <w:ind w:left="37" w:firstLine="0"/>
              <w:jc w:val="both"/>
              <w:rPr>
                <w:rFonts w:ascii="Times New Roman" w:hAnsi="Times New Roman"/>
                <w:color w:val="000000"/>
                <w:sz w:val="24"/>
                <w:szCs w:val="24"/>
                <w:lang w:val="uk-UA"/>
              </w:rPr>
            </w:pPr>
            <w:r w:rsidRPr="00537934">
              <w:rPr>
                <w:rFonts w:ascii="Times New Roman" w:hAnsi="Times New Roman"/>
                <w:color w:val="000000"/>
                <w:sz w:val="24"/>
                <w:szCs w:val="24"/>
                <w:lang w:val="uk-UA"/>
              </w:rPr>
              <w:t>Резюме провідного дослідника</w:t>
            </w:r>
            <w:r w:rsidR="00D30472">
              <w:rPr>
                <w:rFonts w:ascii="Times New Roman" w:hAnsi="Times New Roman"/>
                <w:color w:val="000000"/>
                <w:sz w:val="24"/>
                <w:szCs w:val="24"/>
                <w:lang w:val="uk-UA"/>
              </w:rPr>
              <w:t xml:space="preserve"> зазначеного у довідці.</w:t>
            </w:r>
          </w:p>
        </w:tc>
      </w:tr>
      <w:tr w:rsidR="00E97D87" w:rsidRPr="00E05493" w14:paraId="56B8C2FA" w14:textId="77777777" w:rsidTr="00E0589D">
        <w:tc>
          <w:tcPr>
            <w:tcW w:w="534" w:type="dxa"/>
          </w:tcPr>
          <w:p w14:paraId="4B97EBF4" w14:textId="77777777" w:rsidR="00E97D87" w:rsidRPr="00E05493" w:rsidRDefault="00E97D87" w:rsidP="00E0589D">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3.</w:t>
            </w:r>
          </w:p>
        </w:tc>
        <w:tc>
          <w:tcPr>
            <w:tcW w:w="3856" w:type="dxa"/>
          </w:tcPr>
          <w:p w14:paraId="1E43C86F" w14:textId="77777777" w:rsidR="00E97D87" w:rsidRPr="000B4F25" w:rsidRDefault="00E97D87" w:rsidP="00E0589D">
            <w:pPr>
              <w:pStyle w:val="rvps2"/>
              <w:shd w:val="clear" w:color="auto" w:fill="FFFFFF"/>
              <w:tabs>
                <w:tab w:val="left" w:pos="993"/>
              </w:tabs>
              <w:spacing w:before="0" w:beforeAutospacing="0" w:after="0" w:afterAutospacing="0"/>
              <w:rPr>
                <w:color w:val="000000"/>
                <w:lang w:val="uk-UA"/>
              </w:rPr>
            </w:pPr>
            <w:r w:rsidRPr="000B4F25">
              <w:rPr>
                <w:rFonts w:eastAsia="Arial"/>
                <w:lang w:val="uk-UA"/>
              </w:rPr>
              <w:t>Наявність або можливості залучення висококваліфікованих фахівців до складу дослідницької команди: соціологів, менеджерів і мережі польових працівників, згідно з географією дослідження.</w:t>
            </w:r>
          </w:p>
        </w:tc>
        <w:tc>
          <w:tcPr>
            <w:tcW w:w="5244" w:type="dxa"/>
          </w:tcPr>
          <w:p w14:paraId="296D072B" w14:textId="14C21EB5" w:rsidR="00D30472" w:rsidRPr="00D30472" w:rsidRDefault="00E97D87" w:rsidP="00D30472">
            <w:pPr>
              <w:pStyle w:val="a3"/>
              <w:numPr>
                <w:ilvl w:val="0"/>
                <w:numId w:val="39"/>
              </w:numPr>
              <w:pBdr>
                <w:top w:val="nil"/>
                <w:left w:val="nil"/>
                <w:bottom w:val="nil"/>
                <w:right w:val="nil"/>
                <w:between w:val="nil"/>
              </w:pBdr>
              <w:tabs>
                <w:tab w:val="left" w:pos="291"/>
              </w:tabs>
              <w:ind w:left="37" w:firstLine="0"/>
              <w:jc w:val="both"/>
              <w:rPr>
                <w:rFonts w:ascii="Times New Roman" w:hAnsi="Times New Roman"/>
                <w:color w:val="000000"/>
                <w:sz w:val="24"/>
                <w:szCs w:val="24"/>
                <w:lang w:val="uk-UA"/>
              </w:rPr>
            </w:pPr>
            <w:r w:rsidRPr="00D30472">
              <w:rPr>
                <w:rFonts w:ascii="Times New Roman" w:hAnsi="Times New Roman"/>
                <w:bCs/>
                <w:sz w:val="24"/>
                <w:szCs w:val="24"/>
                <w:lang w:val="uk-UA"/>
              </w:rPr>
              <w:t>Довідка в довільній формі з переліком фахівців, які будуть залучені до проведення дослідження та описом їх кваліфікації та релевантного досвіду.</w:t>
            </w:r>
          </w:p>
        </w:tc>
      </w:tr>
      <w:tr w:rsidR="00E97D87" w:rsidRPr="00E05493" w14:paraId="29EA2319" w14:textId="77777777" w:rsidTr="00E0589D">
        <w:tc>
          <w:tcPr>
            <w:tcW w:w="534" w:type="dxa"/>
          </w:tcPr>
          <w:p w14:paraId="091CE02B" w14:textId="77777777" w:rsidR="00E97D87" w:rsidRPr="00E05493" w:rsidRDefault="00E97D87" w:rsidP="00E0589D">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4.</w:t>
            </w:r>
          </w:p>
        </w:tc>
        <w:tc>
          <w:tcPr>
            <w:tcW w:w="3856" w:type="dxa"/>
          </w:tcPr>
          <w:p w14:paraId="33D081F3" w14:textId="77777777" w:rsidR="00E97D87" w:rsidRPr="000B4F25" w:rsidRDefault="00E97D87" w:rsidP="00E0589D">
            <w:pPr>
              <w:pStyle w:val="rvps2"/>
              <w:shd w:val="clear" w:color="auto" w:fill="FFFFFF"/>
              <w:tabs>
                <w:tab w:val="left" w:pos="993"/>
              </w:tabs>
              <w:spacing w:before="0" w:beforeAutospacing="0" w:after="0" w:afterAutospacing="0"/>
              <w:rPr>
                <w:color w:val="000000"/>
                <w:lang w:val="uk-UA"/>
              </w:rPr>
            </w:pPr>
            <w:r w:rsidRPr="000B4F25">
              <w:rPr>
                <w:lang w:val="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5244" w:type="dxa"/>
          </w:tcPr>
          <w:p w14:paraId="4C2D149F" w14:textId="77777777" w:rsidR="00D30472" w:rsidRPr="00D30472" w:rsidRDefault="00E97D87" w:rsidP="00D30472">
            <w:pPr>
              <w:pStyle w:val="a3"/>
              <w:numPr>
                <w:ilvl w:val="0"/>
                <w:numId w:val="40"/>
              </w:numPr>
              <w:pBdr>
                <w:top w:val="nil"/>
                <w:left w:val="nil"/>
                <w:bottom w:val="nil"/>
                <w:right w:val="nil"/>
                <w:between w:val="nil"/>
              </w:pBdr>
              <w:tabs>
                <w:tab w:val="left" w:pos="291"/>
              </w:tabs>
              <w:ind w:left="37" w:firstLine="0"/>
              <w:jc w:val="both"/>
              <w:rPr>
                <w:rFonts w:ascii="Times New Roman" w:hAnsi="Times New Roman"/>
                <w:color w:val="000000"/>
                <w:sz w:val="24"/>
                <w:szCs w:val="24"/>
                <w:lang w:val="uk-UA"/>
              </w:rPr>
            </w:pPr>
            <w:r w:rsidRPr="00D30472">
              <w:rPr>
                <w:rFonts w:ascii="Times New Roman" w:hAnsi="Times New Roman"/>
                <w:bCs/>
                <w:sz w:val="24"/>
                <w:szCs w:val="24"/>
                <w:lang w:val="uk-UA"/>
              </w:rPr>
              <w:t xml:space="preserve">Підписана Технічна </w:t>
            </w:r>
            <w:r w:rsidR="00D30472">
              <w:rPr>
                <w:rFonts w:ascii="Times New Roman" w:hAnsi="Times New Roman"/>
                <w:bCs/>
                <w:sz w:val="24"/>
                <w:szCs w:val="24"/>
                <w:lang w:val="uk-UA"/>
              </w:rPr>
              <w:t>специфікація згідно Додатку № 2.</w:t>
            </w:r>
          </w:p>
          <w:p w14:paraId="4130155C" w14:textId="77777777" w:rsidR="00D30472" w:rsidRPr="00D30472" w:rsidRDefault="00E97D87" w:rsidP="00D30472">
            <w:pPr>
              <w:pStyle w:val="a3"/>
              <w:numPr>
                <w:ilvl w:val="0"/>
                <w:numId w:val="40"/>
              </w:numPr>
              <w:pBdr>
                <w:top w:val="nil"/>
                <w:left w:val="nil"/>
                <w:bottom w:val="nil"/>
                <w:right w:val="nil"/>
                <w:between w:val="nil"/>
              </w:pBdr>
              <w:tabs>
                <w:tab w:val="left" w:pos="291"/>
              </w:tabs>
              <w:ind w:left="37" w:firstLine="0"/>
              <w:jc w:val="both"/>
              <w:rPr>
                <w:rFonts w:ascii="Times New Roman" w:hAnsi="Times New Roman"/>
                <w:color w:val="000000"/>
                <w:sz w:val="24"/>
                <w:szCs w:val="24"/>
                <w:lang w:val="uk-UA"/>
              </w:rPr>
            </w:pPr>
            <w:r w:rsidRPr="00D30472">
              <w:rPr>
                <w:rFonts w:ascii="Times New Roman" w:hAnsi="Times New Roman"/>
                <w:sz w:val="24"/>
                <w:szCs w:val="24"/>
                <w:lang w:val="uk-UA"/>
              </w:rPr>
              <w:t xml:space="preserve"> </w:t>
            </w:r>
            <w:r w:rsidR="00D30472">
              <w:rPr>
                <w:rFonts w:ascii="Times New Roman" w:hAnsi="Times New Roman"/>
                <w:sz w:val="24"/>
                <w:szCs w:val="24"/>
                <w:lang w:val="uk-UA"/>
              </w:rPr>
              <w:t>Окремий файл у довільний формі із зазначенням:</w:t>
            </w:r>
          </w:p>
          <w:p w14:paraId="3DAE5933" w14:textId="77777777" w:rsidR="00D30472" w:rsidRPr="00D30472" w:rsidRDefault="00D30472" w:rsidP="00D30472">
            <w:pPr>
              <w:pStyle w:val="a3"/>
              <w:numPr>
                <w:ilvl w:val="0"/>
                <w:numId w:val="41"/>
              </w:numPr>
              <w:pBdr>
                <w:top w:val="nil"/>
                <w:left w:val="nil"/>
                <w:bottom w:val="nil"/>
                <w:right w:val="nil"/>
                <w:between w:val="nil"/>
              </w:pBdr>
              <w:tabs>
                <w:tab w:val="left" w:pos="291"/>
              </w:tabs>
              <w:ind w:left="37" w:firstLine="0"/>
              <w:jc w:val="both"/>
              <w:rPr>
                <w:rFonts w:ascii="Times New Roman" w:hAnsi="Times New Roman"/>
                <w:color w:val="000000"/>
                <w:sz w:val="24"/>
                <w:szCs w:val="24"/>
                <w:lang w:val="uk-UA"/>
              </w:rPr>
            </w:pPr>
            <w:r>
              <w:rPr>
                <w:rFonts w:ascii="Times New Roman" w:hAnsi="Times New Roman"/>
                <w:sz w:val="24"/>
                <w:szCs w:val="24"/>
                <w:lang w:val="uk-UA"/>
              </w:rPr>
              <w:t>д</w:t>
            </w:r>
            <w:r w:rsidR="00E97D87" w:rsidRPr="00D30472">
              <w:rPr>
                <w:rFonts w:ascii="Times New Roman" w:hAnsi="Times New Roman"/>
                <w:sz w:val="24"/>
                <w:szCs w:val="24"/>
                <w:lang w:val="uk-UA"/>
              </w:rPr>
              <w:t>етальн</w:t>
            </w:r>
            <w:r>
              <w:rPr>
                <w:rFonts w:ascii="Times New Roman" w:hAnsi="Times New Roman"/>
                <w:sz w:val="24"/>
                <w:szCs w:val="24"/>
                <w:lang w:val="uk-UA"/>
              </w:rPr>
              <w:t>ого</w:t>
            </w:r>
            <w:r w:rsidR="00E97D87" w:rsidRPr="00D30472">
              <w:rPr>
                <w:rFonts w:ascii="Times New Roman" w:hAnsi="Times New Roman"/>
                <w:sz w:val="24"/>
                <w:szCs w:val="24"/>
                <w:lang w:val="uk-UA"/>
              </w:rPr>
              <w:t xml:space="preserve"> опис</w:t>
            </w:r>
            <w:r>
              <w:rPr>
                <w:rFonts w:ascii="Times New Roman" w:hAnsi="Times New Roman"/>
                <w:sz w:val="24"/>
                <w:szCs w:val="24"/>
                <w:lang w:val="uk-UA"/>
              </w:rPr>
              <w:t>у</w:t>
            </w:r>
            <w:r w:rsidR="00E97D87" w:rsidRPr="00D30472">
              <w:rPr>
                <w:rFonts w:ascii="Times New Roman" w:hAnsi="Times New Roman"/>
                <w:sz w:val="24"/>
                <w:szCs w:val="24"/>
                <w:lang w:val="uk-UA"/>
              </w:rPr>
              <w:t xml:space="preserve"> методології дослідження</w:t>
            </w:r>
            <w:r>
              <w:rPr>
                <w:rFonts w:ascii="Times New Roman" w:hAnsi="Times New Roman"/>
                <w:sz w:val="24"/>
                <w:szCs w:val="24"/>
                <w:lang w:val="uk-UA"/>
              </w:rPr>
              <w:t>;</w:t>
            </w:r>
          </w:p>
          <w:p w14:paraId="7109EB38" w14:textId="3237B2FD" w:rsidR="00D30472" w:rsidRPr="00D30472" w:rsidRDefault="00E97D87" w:rsidP="00D30472">
            <w:pPr>
              <w:pStyle w:val="a3"/>
              <w:numPr>
                <w:ilvl w:val="0"/>
                <w:numId w:val="41"/>
              </w:numPr>
              <w:pBdr>
                <w:top w:val="nil"/>
                <w:left w:val="nil"/>
                <w:bottom w:val="nil"/>
                <w:right w:val="nil"/>
                <w:between w:val="nil"/>
              </w:pBdr>
              <w:tabs>
                <w:tab w:val="left" w:pos="291"/>
              </w:tabs>
              <w:ind w:left="37" w:firstLine="0"/>
              <w:jc w:val="both"/>
              <w:rPr>
                <w:rFonts w:ascii="Times New Roman" w:hAnsi="Times New Roman"/>
                <w:color w:val="000000"/>
                <w:sz w:val="24"/>
                <w:szCs w:val="24"/>
                <w:lang w:val="uk-UA"/>
              </w:rPr>
            </w:pPr>
            <w:r w:rsidRPr="00D30472">
              <w:rPr>
                <w:rFonts w:ascii="Times New Roman" w:hAnsi="Times New Roman"/>
                <w:sz w:val="24"/>
                <w:szCs w:val="24"/>
                <w:lang w:val="uk-UA"/>
              </w:rPr>
              <w:t>розрахунк</w:t>
            </w:r>
            <w:r w:rsidR="00D30472">
              <w:rPr>
                <w:rFonts w:ascii="Times New Roman" w:hAnsi="Times New Roman"/>
                <w:sz w:val="24"/>
                <w:szCs w:val="24"/>
                <w:lang w:val="uk-UA"/>
              </w:rPr>
              <w:t>у</w:t>
            </w:r>
            <w:r w:rsidRPr="00D30472">
              <w:rPr>
                <w:rFonts w:ascii="Times New Roman" w:hAnsi="Times New Roman"/>
                <w:sz w:val="24"/>
                <w:szCs w:val="24"/>
                <w:lang w:val="uk-UA"/>
              </w:rPr>
              <w:t xml:space="preserve"> вибіркової сукупності, відповідно до підходу, зазначеного в Технічній </w:t>
            </w:r>
            <w:r w:rsidR="00D30472">
              <w:rPr>
                <w:rFonts w:ascii="Times New Roman" w:hAnsi="Times New Roman"/>
                <w:sz w:val="24"/>
                <w:szCs w:val="24"/>
                <w:lang w:val="uk-UA"/>
              </w:rPr>
              <w:lastRenderedPageBreak/>
              <w:t>с</w:t>
            </w:r>
            <w:r w:rsidRPr="00D30472">
              <w:rPr>
                <w:rFonts w:ascii="Times New Roman" w:hAnsi="Times New Roman"/>
                <w:sz w:val="24"/>
                <w:szCs w:val="24"/>
                <w:lang w:val="uk-UA"/>
              </w:rPr>
              <w:t>пецифікації, або альтернативного за умови відповідного обґрунтування</w:t>
            </w:r>
            <w:r w:rsidR="00D30472">
              <w:rPr>
                <w:rFonts w:ascii="Times New Roman" w:hAnsi="Times New Roman"/>
                <w:sz w:val="24"/>
                <w:szCs w:val="24"/>
                <w:lang w:val="uk-UA"/>
              </w:rPr>
              <w:t>;</w:t>
            </w:r>
          </w:p>
          <w:p w14:paraId="6116272F" w14:textId="07320D89" w:rsidR="00E97D87" w:rsidRPr="00D30472" w:rsidRDefault="00E97D87" w:rsidP="00D30472">
            <w:pPr>
              <w:pStyle w:val="a3"/>
              <w:numPr>
                <w:ilvl w:val="0"/>
                <w:numId w:val="41"/>
              </w:numPr>
              <w:pBdr>
                <w:top w:val="nil"/>
                <w:left w:val="nil"/>
                <w:bottom w:val="nil"/>
                <w:right w:val="nil"/>
                <w:between w:val="nil"/>
              </w:pBdr>
              <w:tabs>
                <w:tab w:val="left" w:pos="291"/>
              </w:tabs>
              <w:ind w:left="37" w:firstLine="0"/>
              <w:jc w:val="both"/>
              <w:rPr>
                <w:rFonts w:ascii="Times New Roman" w:hAnsi="Times New Roman"/>
                <w:color w:val="000000"/>
                <w:sz w:val="24"/>
                <w:szCs w:val="24"/>
                <w:lang w:val="uk-UA"/>
              </w:rPr>
            </w:pPr>
            <w:r w:rsidRPr="00D30472">
              <w:rPr>
                <w:rFonts w:ascii="Times New Roman" w:hAnsi="Times New Roman"/>
                <w:sz w:val="24"/>
                <w:szCs w:val="24"/>
                <w:lang w:val="uk-UA"/>
              </w:rPr>
              <w:t>процедури доступу до цільових груп.</w:t>
            </w:r>
          </w:p>
        </w:tc>
      </w:tr>
      <w:tr w:rsidR="00E97D87" w:rsidRPr="00E05493" w14:paraId="300B70B0" w14:textId="77777777" w:rsidTr="00E0589D">
        <w:tc>
          <w:tcPr>
            <w:tcW w:w="534" w:type="dxa"/>
          </w:tcPr>
          <w:p w14:paraId="16513493" w14:textId="77777777" w:rsidR="00E97D87" w:rsidRPr="00E05493" w:rsidRDefault="00E97D87" w:rsidP="00E0589D">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lastRenderedPageBreak/>
              <w:t>5.</w:t>
            </w:r>
          </w:p>
        </w:tc>
        <w:tc>
          <w:tcPr>
            <w:tcW w:w="3856" w:type="dxa"/>
          </w:tcPr>
          <w:p w14:paraId="445AB19C" w14:textId="77777777" w:rsidR="00E97D87" w:rsidRPr="000B4F25" w:rsidRDefault="00E97D87" w:rsidP="00E0589D">
            <w:pPr>
              <w:pBdr>
                <w:top w:val="nil"/>
                <w:left w:val="nil"/>
                <w:bottom w:val="nil"/>
                <w:right w:val="nil"/>
                <w:between w:val="nil"/>
              </w:pBdr>
              <w:spacing w:after="0" w:line="240" w:lineRule="auto"/>
              <w:rPr>
                <w:rFonts w:ascii="Times New Roman" w:hAnsi="Times New Roman"/>
                <w:sz w:val="24"/>
                <w:szCs w:val="24"/>
              </w:rPr>
            </w:pPr>
            <w:r w:rsidRPr="000B4F2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665C8F14" w14:textId="77777777" w:rsidR="00E97D87" w:rsidRPr="00E05493" w:rsidRDefault="00E97D87" w:rsidP="00E0589D">
            <w:pPr>
              <w:pStyle w:val="a3"/>
              <w:tabs>
                <w:tab w:val="left" w:pos="317"/>
              </w:tabs>
              <w:ind w:left="33"/>
              <w:rPr>
                <w:rFonts w:ascii="Times New Roman" w:hAnsi="Times New Roman"/>
                <w:bCs/>
                <w:sz w:val="24"/>
                <w:szCs w:val="24"/>
                <w:lang w:val="uk-UA"/>
              </w:rPr>
            </w:pPr>
            <w:r w:rsidRPr="00E05493">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7E9D134" w14:textId="77777777" w:rsidR="00E97D87" w:rsidRPr="00E05493" w:rsidRDefault="00E97D87" w:rsidP="00E0589D">
            <w:pPr>
              <w:pStyle w:val="a3"/>
              <w:tabs>
                <w:tab w:val="left" w:pos="317"/>
              </w:tabs>
              <w:ind w:left="33"/>
              <w:rPr>
                <w:rFonts w:ascii="Times New Roman" w:hAnsi="Times New Roman"/>
                <w:bCs/>
                <w:sz w:val="24"/>
                <w:szCs w:val="24"/>
                <w:lang w:val="uk-UA"/>
              </w:rPr>
            </w:pPr>
            <w:r w:rsidRPr="00E05493">
              <w:rPr>
                <w:rFonts w:ascii="Times New Roman" w:hAnsi="Times New Roman"/>
                <w:bCs/>
                <w:sz w:val="24"/>
                <w:szCs w:val="24"/>
                <w:lang w:val="uk-UA"/>
              </w:rPr>
              <w:t xml:space="preserve">2. </w:t>
            </w:r>
            <w:r w:rsidRPr="00E05493">
              <w:rPr>
                <w:rFonts w:ascii="Times New Roman" w:hAnsi="Times New Roman"/>
                <w:sz w:val="24"/>
                <w:szCs w:val="24"/>
                <w:lang w:val="uk-UA"/>
              </w:rPr>
              <w:t>Статут або інший установчий документ (для юридичних осіб).</w:t>
            </w:r>
          </w:p>
        </w:tc>
      </w:tr>
      <w:tr w:rsidR="00E97D87" w:rsidRPr="00E05493" w14:paraId="333583A4" w14:textId="77777777" w:rsidTr="00E0589D">
        <w:tc>
          <w:tcPr>
            <w:tcW w:w="534" w:type="dxa"/>
          </w:tcPr>
          <w:p w14:paraId="41EEDDA3" w14:textId="77777777" w:rsidR="00E97D87" w:rsidRPr="00E05493" w:rsidRDefault="00E97D87" w:rsidP="00E0589D">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6.</w:t>
            </w:r>
          </w:p>
        </w:tc>
        <w:tc>
          <w:tcPr>
            <w:tcW w:w="3856" w:type="dxa"/>
          </w:tcPr>
          <w:p w14:paraId="03B99DEB" w14:textId="77777777" w:rsidR="00E97D87" w:rsidRPr="000B4F25" w:rsidRDefault="00E97D87" w:rsidP="00E0589D">
            <w:pPr>
              <w:pBdr>
                <w:top w:val="nil"/>
                <w:left w:val="nil"/>
                <w:bottom w:val="nil"/>
                <w:right w:val="nil"/>
                <w:between w:val="nil"/>
              </w:pBdr>
              <w:spacing w:after="0" w:line="240" w:lineRule="auto"/>
              <w:rPr>
                <w:rFonts w:ascii="Times New Roman" w:hAnsi="Times New Roman"/>
                <w:sz w:val="24"/>
                <w:szCs w:val="24"/>
              </w:rPr>
            </w:pPr>
            <w:r w:rsidRPr="000B4F25">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02EC02D6" w14:textId="77777777" w:rsidR="00E97D87" w:rsidRPr="00E05493" w:rsidRDefault="00E97D87" w:rsidP="00E0589D">
            <w:pPr>
              <w:pBdr>
                <w:top w:val="nil"/>
                <w:left w:val="nil"/>
                <w:bottom w:val="nil"/>
                <w:right w:val="nil"/>
                <w:between w:val="nil"/>
              </w:pBdr>
              <w:spacing w:after="0" w:line="240" w:lineRule="auto"/>
              <w:rPr>
                <w:rFonts w:ascii="Times New Roman" w:hAnsi="Times New Roman"/>
                <w:sz w:val="24"/>
                <w:szCs w:val="24"/>
              </w:rPr>
            </w:pPr>
            <w:r w:rsidRPr="00E05493">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E05493">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E97D87" w:rsidRPr="00E05493" w14:paraId="7DB352C4" w14:textId="77777777" w:rsidTr="00E0589D">
        <w:tc>
          <w:tcPr>
            <w:tcW w:w="534" w:type="dxa"/>
          </w:tcPr>
          <w:p w14:paraId="2707F164" w14:textId="77777777" w:rsidR="00E97D87" w:rsidRPr="00E05493" w:rsidRDefault="00E97D87" w:rsidP="00E0589D">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7.</w:t>
            </w:r>
          </w:p>
        </w:tc>
        <w:tc>
          <w:tcPr>
            <w:tcW w:w="3856" w:type="dxa"/>
          </w:tcPr>
          <w:p w14:paraId="76C44664" w14:textId="77777777" w:rsidR="00E97D87" w:rsidRPr="000B4F25" w:rsidRDefault="00E97D87" w:rsidP="00E0589D">
            <w:pPr>
              <w:pBdr>
                <w:top w:val="nil"/>
                <w:left w:val="nil"/>
                <w:bottom w:val="nil"/>
                <w:right w:val="nil"/>
                <w:between w:val="nil"/>
              </w:pBdr>
              <w:spacing w:after="0" w:line="240" w:lineRule="auto"/>
              <w:rPr>
                <w:rFonts w:ascii="Times New Roman" w:eastAsia="Arial" w:hAnsi="Times New Roman"/>
                <w:sz w:val="24"/>
                <w:szCs w:val="24"/>
              </w:rPr>
            </w:pPr>
            <w:r w:rsidRPr="000B4F25">
              <w:rPr>
                <w:rFonts w:ascii="Times New Roman" w:hAnsi="Times New Roman"/>
                <w:sz w:val="24"/>
                <w:szCs w:val="24"/>
              </w:rPr>
              <w:t>Відсутність конфлікту інтересів учасника тендерної процедури.</w:t>
            </w:r>
          </w:p>
        </w:tc>
        <w:tc>
          <w:tcPr>
            <w:tcW w:w="5244" w:type="dxa"/>
          </w:tcPr>
          <w:p w14:paraId="62CD6BF4" w14:textId="77777777" w:rsidR="00E97D87" w:rsidRPr="00E05493" w:rsidRDefault="00E97D87" w:rsidP="00E0589D">
            <w:pPr>
              <w:pBdr>
                <w:top w:val="nil"/>
                <w:left w:val="nil"/>
                <w:bottom w:val="nil"/>
                <w:right w:val="nil"/>
                <w:between w:val="nil"/>
              </w:pBdr>
              <w:spacing w:after="0" w:line="240" w:lineRule="auto"/>
              <w:rPr>
                <w:rFonts w:ascii="Times New Roman" w:hAnsi="Times New Roman"/>
                <w:bCs/>
                <w:sz w:val="24"/>
                <w:szCs w:val="24"/>
              </w:rPr>
            </w:pPr>
            <w:r w:rsidRPr="00E05493">
              <w:rPr>
                <w:rFonts w:ascii="Times New Roman" w:hAnsi="Times New Roman"/>
                <w:sz w:val="24"/>
                <w:szCs w:val="24"/>
              </w:rPr>
              <w:t>Декларація за формою згідно Додатку №5.</w:t>
            </w:r>
          </w:p>
        </w:tc>
      </w:tr>
    </w:tbl>
    <w:p w14:paraId="637B3551" w14:textId="77777777" w:rsidR="00E97D87" w:rsidRPr="00E05493" w:rsidRDefault="00E97D87" w:rsidP="00E97D87">
      <w:pPr>
        <w:rPr>
          <w:sz w:val="24"/>
          <w:szCs w:val="24"/>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5B0ADA71" w:rsidR="008C5885"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08B9E561" w14:textId="74030492"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2021 р.</w:t>
      </w:r>
    </w:p>
    <w:p w14:paraId="32D35551" w14:textId="77777777" w:rsidR="003E6B30" w:rsidRPr="003A367B" w:rsidRDefault="003E6B30"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C397136" w14:textId="77777777" w:rsidTr="005300B4">
        <w:tc>
          <w:tcPr>
            <w:tcW w:w="4859" w:type="dxa"/>
          </w:tcPr>
          <w:p w14:paraId="5EA1671E" w14:textId="77777777" w:rsidR="00D53B64"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3A367B"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56E8662E" w14:textId="77777777" w:rsidR="00D53B64" w:rsidRPr="003A367B"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2CA4C668" w14:textId="77777777" w:rsidR="00D53B64"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9E2558D" w14:textId="77777777" w:rsidR="00D53B64"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51C70C8D"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4A6B12B7" w14:textId="77777777" w:rsidR="00D53B64" w:rsidRPr="00D77147" w:rsidRDefault="00D53B64"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10"/>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6866B500"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33DC1C05" w14:textId="77777777" w:rsidR="009E1CF8" w:rsidRDefault="009E1CF8" w:rsidP="008C5885">
      <w:pPr>
        <w:tabs>
          <w:tab w:val="left" w:pos="180"/>
          <w:tab w:val="left" w:pos="567"/>
          <w:tab w:val="left" w:pos="993"/>
        </w:tabs>
        <w:ind w:right="-284"/>
        <w:jc w:val="right"/>
        <w:rPr>
          <w:rFonts w:ascii="Times New Roman" w:hAnsi="Times New Roman"/>
          <w:b/>
          <w:sz w:val="26"/>
          <w:szCs w:val="26"/>
        </w:rPr>
      </w:pPr>
    </w:p>
    <w:p w14:paraId="566E7C05" w14:textId="7BE38197" w:rsidR="008C5885" w:rsidRDefault="00D53B64"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E8467F3" w14:textId="7731C726" w:rsidR="009C4580" w:rsidRPr="00D30472" w:rsidRDefault="009C4580" w:rsidP="00D30472">
      <w:pPr>
        <w:spacing w:after="0" w:line="240" w:lineRule="auto"/>
        <w:jc w:val="center"/>
        <w:rPr>
          <w:rFonts w:ascii="Times New Roman" w:hAnsi="Times New Roman"/>
          <w:b/>
          <w:sz w:val="24"/>
          <w:szCs w:val="24"/>
        </w:rPr>
      </w:pPr>
      <w:r w:rsidRPr="00D30472">
        <w:rPr>
          <w:rFonts w:ascii="Times New Roman" w:hAnsi="Times New Roman"/>
          <w:b/>
          <w:sz w:val="24"/>
          <w:szCs w:val="24"/>
        </w:rPr>
        <w:t>Технічна специфікація</w:t>
      </w:r>
    </w:p>
    <w:p w14:paraId="2C4555AE" w14:textId="77777777" w:rsidR="009C4580" w:rsidRPr="00D30472" w:rsidRDefault="009C4580" w:rsidP="00D30472">
      <w:pPr>
        <w:pStyle w:val="a3"/>
        <w:tabs>
          <w:tab w:val="left" w:pos="426"/>
          <w:tab w:val="left" w:pos="1985"/>
        </w:tabs>
        <w:ind w:left="0"/>
        <w:jc w:val="center"/>
        <w:rPr>
          <w:rFonts w:ascii="Times New Roman" w:hAnsi="Times New Roman"/>
          <w:b/>
          <w:i/>
          <w:iCs/>
          <w:sz w:val="24"/>
          <w:szCs w:val="24"/>
          <w:lang w:val="uk-UA"/>
        </w:rPr>
      </w:pPr>
      <w:r w:rsidRPr="00D30472">
        <w:rPr>
          <w:rFonts w:ascii="Times New Roman" w:hAnsi="Times New Roman"/>
          <w:b/>
          <w:i/>
          <w:iCs/>
          <w:sz w:val="24"/>
          <w:szCs w:val="24"/>
          <w:lang w:val="uk-UA"/>
        </w:rPr>
        <w:t>Інформація про необхідні технічні, якісні та кількісні характеристики</w:t>
      </w:r>
    </w:p>
    <w:p w14:paraId="758615D0" w14:textId="707CDD10" w:rsidR="00E97D87" w:rsidRPr="00D30472" w:rsidRDefault="00E97D87" w:rsidP="00D30472">
      <w:pPr>
        <w:pStyle w:val="a3"/>
        <w:tabs>
          <w:tab w:val="left" w:pos="426"/>
          <w:tab w:val="left" w:pos="851"/>
          <w:tab w:val="left" w:pos="1560"/>
        </w:tabs>
        <w:ind w:left="0"/>
        <w:jc w:val="center"/>
        <w:rPr>
          <w:rFonts w:ascii="Times New Roman" w:eastAsia="Times New Roman" w:hAnsi="Times New Roman"/>
          <w:b/>
          <w:bCs/>
          <w:sz w:val="24"/>
          <w:szCs w:val="24"/>
          <w:lang w:val="uk-UA" w:eastAsia="ar-SA"/>
        </w:rPr>
      </w:pPr>
      <w:r w:rsidRPr="00D30472">
        <w:rPr>
          <w:rFonts w:ascii="Times New Roman" w:eastAsia="Times New Roman" w:hAnsi="Times New Roman"/>
          <w:b/>
          <w:bCs/>
          <w:sz w:val="24"/>
          <w:szCs w:val="24"/>
          <w:lang w:val="uk-UA" w:eastAsia="ar-SA"/>
        </w:rPr>
        <w:t>ДК 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p>
    <w:p w14:paraId="22BC112C" w14:textId="77777777" w:rsidR="00D52D15" w:rsidRPr="00D30472" w:rsidRDefault="00D52D15" w:rsidP="00D30472">
      <w:pPr>
        <w:tabs>
          <w:tab w:val="left" w:pos="180"/>
          <w:tab w:val="left" w:pos="567"/>
          <w:tab w:val="left" w:pos="993"/>
        </w:tabs>
        <w:spacing w:after="0" w:line="240" w:lineRule="auto"/>
        <w:ind w:right="-284"/>
        <w:jc w:val="right"/>
        <w:rPr>
          <w:rFonts w:ascii="Times New Roman" w:hAnsi="Times New Roman"/>
          <w:b/>
          <w:sz w:val="24"/>
          <w:szCs w:val="24"/>
        </w:rPr>
      </w:pPr>
    </w:p>
    <w:p w14:paraId="62C4A9BD" w14:textId="77777777" w:rsidR="00D52D15" w:rsidRPr="00D30472" w:rsidRDefault="00D52D15" w:rsidP="00D30472">
      <w:pPr>
        <w:numPr>
          <w:ilvl w:val="0"/>
          <w:numId w:val="18"/>
        </w:numPr>
        <w:tabs>
          <w:tab w:val="left" w:pos="1985"/>
        </w:tabs>
        <w:spacing w:after="0" w:line="240" w:lineRule="auto"/>
        <w:contextualSpacing/>
        <w:jc w:val="center"/>
        <w:rPr>
          <w:rFonts w:ascii="Times New Roman" w:eastAsia="Calibri" w:hAnsi="Times New Roman"/>
          <w:b/>
          <w:bCs/>
          <w:sz w:val="24"/>
          <w:szCs w:val="24"/>
        </w:rPr>
      </w:pPr>
      <w:r w:rsidRPr="00D30472">
        <w:rPr>
          <w:rFonts w:ascii="Times New Roman" w:eastAsia="Calibri" w:hAnsi="Times New Roman"/>
          <w:b/>
          <w:bCs/>
          <w:sz w:val="24"/>
          <w:szCs w:val="24"/>
        </w:rPr>
        <w:t>Загальний опис предмету закупівлі</w:t>
      </w:r>
    </w:p>
    <w:p w14:paraId="2DB0B398" w14:textId="77777777" w:rsidR="00D52D15" w:rsidRPr="00D30472" w:rsidRDefault="00D52D15" w:rsidP="00D30472">
      <w:pPr>
        <w:tabs>
          <w:tab w:val="left" w:pos="426"/>
          <w:tab w:val="left" w:pos="1985"/>
        </w:tabs>
        <w:spacing w:after="0" w:line="240" w:lineRule="auto"/>
        <w:contextualSpacing/>
        <w:jc w:val="both"/>
        <w:rPr>
          <w:rFonts w:ascii="Times New Roman" w:eastAsia="Calibri" w:hAnsi="Times New Roman"/>
          <w:b/>
          <w:bCs/>
          <w:sz w:val="24"/>
          <w:szCs w:val="24"/>
        </w:rPr>
      </w:pPr>
    </w:p>
    <w:p w14:paraId="2422974B" w14:textId="77777777" w:rsidR="00D30472" w:rsidRDefault="00D52D15" w:rsidP="00D30472">
      <w:pPr>
        <w:tabs>
          <w:tab w:val="left" w:pos="426"/>
          <w:tab w:val="left" w:pos="851"/>
          <w:tab w:val="left" w:pos="1560"/>
        </w:tabs>
        <w:spacing w:after="0" w:line="240" w:lineRule="auto"/>
        <w:ind w:firstLine="567"/>
        <w:jc w:val="both"/>
        <w:rPr>
          <w:rFonts w:ascii="Times New Roman" w:hAnsi="Times New Roman"/>
          <w:iCs/>
          <w:sz w:val="24"/>
          <w:szCs w:val="24"/>
        </w:rPr>
      </w:pPr>
      <w:r w:rsidRPr="00D30472">
        <w:rPr>
          <w:rFonts w:ascii="Times New Roman" w:hAnsi="Times New Roman"/>
          <w:b/>
          <w:bCs/>
          <w:iCs/>
          <w:sz w:val="24"/>
          <w:szCs w:val="24"/>
        </w:rPr>
        <w:t>Предмет закупівлі:</w:t>
      </w:r>
      <w:r w:rsidRPr="00D30472">
        <w:rPr>
          <w:rFonts w:ascii="Times New Roman" w:hAnsi="Times New Roman"/>
          <w:iCs/>
          <w:sz w:val="24"/>
          <w:szCs w:val="24"/>
        </w:rPr>
        <w:t xml:space="preserve"> ДК 021:2015: 79310000-0 Послуги з проведення ринкового дослідження (Послуги з проведення досліджень «Оцінка якості та доступності профілактичних послуг для осіб з груп підвищеного ризику щодо інфікува</w:t>
      </w:r>
      <w:r w:rsidR="003E6B30" w:rsidRPr="00D30472">
        <w:rPr>
          <w:rFonts w:ascii="Times New Roman" w:hAnsi="Times New Roman"/>
          <w:iCs/>
          <w:sz w:val="24"/>
          <w:szCs w:val="24"/>
        </w:rPr>
        <w:t>н</w:t>
      </w:r>
      <w:r w:rsidRPr="00D30472">
        <w:rPr>
          <w:rFonts w:ascii="Times New Roman" w:hAnsi="Times New Roman"/>
          <w:iCs/>
          <w:sz w:val="24"/>
          <w:szCs w:val="24"/>
        </w:rPr>
        <w:t>ня ВІЛ та послуг з догляду та підтримки для ЛЖВ в контексті переходу від донорського до державного фінансування»).</w:t>
      </w:r>
    </w:p>
    <w:p w14:paraId="1E887EA1" w14:textId="126ABEB3" w:rsidR="00D52D15" w:rsidRPr="00D30472" w:rsidRDefault="00D52D15" w:rsidP="00D30472">
      <w:pPr>
        <w:tabs>
          <w:tab w:val="left" w:pos="426"/>
          <w:tab w:val="left" w:pos="851"/>
          <w:tab w:val="left" w:pos="1560"/>
        </w:tabs>
        <w:spacing w:after="0" w:line="240" w:lineRule="auto"/>
        <w:ind w:firstLine="567"/>
        <w:jc w:val="both"/>
        <w:rPr>
          <w:rFonts w:ascii="Times New Roman" w:hAnsi="Times New Roman"/>
          <w:iCs/>
          <w:sz w:val="24"/>
          <w:szCs w:val="24"/>
        </w:rPr>
      </w:pPr>
      <w:r w:rsidRPr="00D30472">
        <w:rPr>
          <w:rFonts w:ascii="Times New Roman" w:hAnsi="Times New Roman"/>
          <w:iCs/>
          <w:sz w:val="24"/>
          <w:szCs w:val="24"/>
        </w:rPr>
        <w:t>Дослідження «Оцінка якості та доступності профілактичних послуг для осіб з груп підвищеного ризику щодо інфікува</w:t>
      </w:r>
      <w:r w:rsidR="003E6B30" w:rsidRPr="00D30472">
        <w:rPr>
          <w:rFonts w:ascii="Times New Roman" w:hAnsi="Times New Roman"/>
          <w:iCs/>
          <w:sz w:val="24"/>
          <w:szCs w:val="24"/>
        </w:rPr>
        <w:t>н</w:t>
      </w:r>
      <w:r w:rsidRPr="00D30472">
        <w:rPr>
          <w:rFonts w:ascii="Times New Roman" w:hAnsi="Times New Roman"/>
          <w:iCs/>
          <w:sz w:val="24"/>
          <w:szCs w:val="24"/>
        </w:rPr>
        <w:t xml:space="preserve">ня ВІЛ та послуг з догляду та підтримки для ЛЖВ в контексті переходу від донорського до державного фінансування» проводиться за фінансової підтримки Глобального фонду </w:t>
      </w:r>
      <w:r w:rsidRPr="00D30472">
        <w:rPr>
          <w:rFonts w:ascii="Times New Roman" w:hAnsi="Times New Roman"/>
          <w:bCs/>
          <w:iCs/>
          <w:sz w:val="24"/>
          <w:szCs w:val="24"/>
        </w:rPr>
        <w:t>для боротьби із СНІДом, туберкульозом та малярією.</w:t>
      </w:r>
    </w:p>
    <w:p w14:paraId="756E9F5B" w14:textId="77777777" w:rsidR="00D52D15" w:rsidRPr="00D30472" w:rsidRDefault="00D52D15" w:rsidP="00D30472">
      <w:pPr>
        <w:tabs>
          <w:tab w:val="left" w:pos="426"/>
          <w:tab w:val="left" w:pos="851"/>
          <w:tab w:val="left" w:pos="1560"/>
        </w:tabs>
        <w:spacing w:after="0" w:line="240" w:lineRule="auto"/>
        <w:jc w:val="both"/>
        <w:rPr>
          <w:rFonts w:ascii="Times New Roman" w:hAnsi="Times New Roman"/>
          <w:iCs/>
          <w:sz w:val="24"/>
          <w:szCs w:val="24"/>
        </w:rPr>
      </w:pPr>
    </w:p>
    <w:p w14:paraId="2FE46118" w14:textId="35325BFA" w:rsidR="00D52D15" w:rsidRPr="00D30472" w:rsidRDefault="00D52D15" w:rsidP="00D30472">
      <w:pPr>
        <w:tabs>
          <w:tab w:val="left" w:pos="426"/>
          <w:tab w:val="left" w:pos="851"/>
          <w:tab w:val="left" w:pos="1560"/>
        </w:tabs>
        <w:spacing w:after="0" w:line="240" w:lineRule="auto"/>
        <w:jc w:val="both"/>
        <w:rPr>
          <w:rFonts w:ascii="Times New Roman" w:hAnsi="Times New Roman"/>
          <w:b/>
          <w:bCs/>
          <w:sz w:val="24"/>
          <w:szCs w:val="24"/>
        </w:rPr>
      </w:pPr>
      <w:r w:rsidRPr="00D30472">
        <w:rPr>
          <w:rFonts w:ascii="Times New Roman" w:hAnsi="Times New Roman"/>
          <w:b/>
          <w:bCs/>
          <w:iCs/>
          <w:sz w:val="24"/>
          <w:szCs w:val="24"/>
        </w:rPr>
        <w:t xml:space="preserve">Актуальність дослідження </w:t>
      </w:r>
      <w:r w:rsidRPr="00D30472">
        <w:rPr>
          <w:rFonts w:ascii="Times New Roman" w:hAnsi="Times New Roman"/>
          <w:b/>
          <w:bCs/>
          <w:sz w:val="24"/>
          <w:szCs w:val="24"/>
        </w:rPr>
        <w:t>«Оцінка якості та доступності профілактичних послуг для осіб з груп підвищеного ризику щодо інфікуван</w:t>
      </w:r>
      <w:r w:rsidR="003E6B30" w:rsidRPr="00D30472">
        <w:rPr>
          <w:rFonts w:ascii="Times New Roman" w:hAnsi="Times New Roman"/>
          <w:b/>
          <w:bCs/>
          <w:sz w:val="24"/>
          <w:szCs w:val="24"/>
        </w:rPr>
        <w:t>н</w:t>
      </w:r>
      <w:r w:rsidRPr="00D30472">
        <w:rPr>
          <w:rFonts w:ascii="Times New Roman" w:hAnsi="Times New Roman"/>
          <w:b/>
          <w:bCs/>
          <w:sz w:val="24"/>
          <w:szCs w:val="24"/>
        </w:rPr>
        <w:t xml:space="preserve">я ВІЛ та послуг з догляду та підтримки для ЛЖВ в контексті переходу від донорського до державного фінансування» </w:t>
      </w:r>
    </w:p>
    <w:p w14:paraId="676D9315" w14:textId="77777777" w:rsidR="00D52D15" w:rsidRPr="00D30472" w:rsidRDefault="00D52D15" w:rsidP="00D30472">
      <w:pPr>
        <w:spacing w:after="0" w:line="240" w:lineRule="auto"/>
        <w:jc w:val="both"/>
        <w:rPr>
          <w:rFonts w:ascii="Times New Roman" w:hAnsi="Times New Roman"/>
          <w:b/>
          <w:bCs/>
          <w:iCs/>
          <w:sz w:val="24"/>
          <w:szCs w:val="24"/>
        </w:rPr>
      </w:pPr>
    </w:p>
    <w:p w14:paraId="71B083C3" w14:textId="42729CAD" w:rsidR="00D52D15" w:rsidRPr="00D30472" w:rsidRDefault="00D52D15" w:rsidP="00D30472">
      <w:pPr>
        <w:spacing w:after="0" w:line="240" w:lineRule="auto"/>
        <w:ind w:firstLine="567"/>
        <w:jc w:val="both"/>
        <w:rPr>
          <w:rFonts w:ascii="Times New Roman" w:hAnsi="Times New Roman"/>
          <w:sz w:val="24"/>
          <w:szCs w:val="24"/>
        </w:rPr>
      </w:pPr>
      <w:r w:rsidRPr="00D30472">
        <w:rPr>
          <w:rFonts w:ascii="Times New Roman" w:hAnsi="Times New Roman"/>
          <w:sz w:val="24"/>
          <w:szCs w:val="24"/>
        </w:rPr>
        <w:t xml:space="preserve">Станом на 2020 рік тягар епідемії ВІЛ/СНІДу у світі все ще залишається значною проблемою громадського здоров’я, попри </w:t>
      </w:r>
      <w:r w:rsidR="003E6B30" w:rsidRPr="00D30472">
        <w:rPr>
          <w:rFonts w:ascii="Times New Roman" w:hAnsi="Times New Roman"/>
          <w:sz w:val="24"/>
          <w:szCs w:val="24"/>
        </w:rPr>
        <w:t>масштабні</w:t>
      </w:r>
      <w:r w:rsidRPr="00D30472">
        <w:rPr>
          <w:rFonts w:ascii="Times New Roman" w:hAnsi="Times New Roman"/>
          <w:sz w:val="24"/>
          <w:szCs w:val="24"/>
        </w:rPr>
        <w:t xml:space="preserve"> консолідовані зусилля впроваджені світовою спільнотою на різних рівнях впливу</w:t>
      </w:r>
      <w:r w:rsidRPr="00D30472">
        <w:rPr>
          <w:rFonts w:ascii="Times New Roman" w:hAnsi="Times New Roman"/>
          <w:sz w:val="24"/>
          <w:szCs w:val="24"/>
          <w:vertAlign w:val="superscript"/>
        </w:rPr>
        <w:footnoteReference w:id="1"/>
      </w:r>
      <w:r w:rsidRPr="00D30472">
        <w:rPr>
          <w:rFonts w:ascii="Times New Roman" w:hAnsi="Times New Roman"/>
          <w:sz w:val="24"/>
          <w:szCs w:val="24"/>
        </w:rPr>
        <w:t xml:space="preserve">. Історія впровадження ключових зусиль боротьби з епідемією налічує багаторічний досвід.  Свідчення ефективності таких заходів описано у численних дослідження та </w:t>
      </w:r>
      <w:r w:rsidR="003E6B30" w:rsidRPr="00D30472">
        <w:rPr>
          <w:rFonts w:ascii="Times New Roman" w:hAnsi="Times New Roman"/>
          <w:sz w:val="24"/>
          <w:szCs w:val="24"/>
        </w:rPr>
        <w:t>ґрунтується</w:t>
      </w:r>
      <w:r w:rsidRPr="00D30472">
        <w:rPr>
          <w:rFonts w:ascii="Times New Roman" w:hAnsi="Times New Roman"/>
          <w:sz w:val="24"/>
          <w:szCs w:val="24"/>
        </w:rPr>
        <w:t xml:space="preserve"> на фактичних даних впливу на поширення епідемії, в тому числі з точки зору їх рентабельності</w:t>
      </w:r>
      <w:r w:rsidRPr="00D30472">
        <w:rPr>
          <w:rFonts w:ascii="Times New Roman" w:hAnsi="Times New Roman"/>
          <w:sz w:val="24"/>
          <w:szCs w:val="24"/>
          <w:vertAlign w:val="superscript"/>
        </w:rPr>
        <w:footnoteReference w:id="2"/>
      </w:r>
      <w:r w:rsidRPr="00D30472">
        <w:rPr>
          <w:rFonts w:ascii="Times New Roman" w:hAnsi="Times New Roman"/>
          <w:sz w:val="24"/>
          <w:szCs w:val="24"/>
          <w:vertAlign w:val="superscript"/>
        </w:rPr>
        <w:footnoteReference w:id="3"/>
      </w:r>
      <w:r w:rsidRPr="00D30472">
        <w:rPr>
          <w:rFonts w:ascii="Times New Roman" w:hAnsi="Times New Roman"/>
          <w:sz w:val="24"/>
          <w:szCs w:val="24"/>
          <w:vertAlign w:val="superscript"/>
        </w:rPr>
        <w:footnoteReference w:id="4"/>
      </w:r>
      <w:r w:rsidRPr="00D30472">
        <w:rPr>
          <w:rFonts w:ascii="Times New Roman" w:hAnsi="Times New Roman"/>
          <w:sz w:val="24"/>
          <w:szCs w:val="24"/>
        </w:rPr>
        <w:t>. У країнах з низьким доходом та нижче середнього, куди входить і Україна, все ще значний тягар епідемії припадає саме на групи, які стикаються з правовими, соціальними бар’єрами доступу до профілактичних, діагностичних послуг, лікування  та догляду у зв’язку з ВІЛ, що прямо впливає на успішність досягнення глобальних цілей у боротьбі з епідемію ВІЛ:</w:t>
      </w:r>
      <w:r w:rsidRPr="00D30472">
        <w:rPr>
          <w:rFonts w:ascii="Times New Roman" w:hAnsi="Times New Roman"/>
          <w:sz w:val="24"/>
          <w:szCs w:val="24"/>
          <w:vertAlign w:val="superscript"/>
        </w:rPr>
        <w:footnoteReference w:id="5"/>
      </w:r>
      <w:r w:rsidRPr="00D30472">
        <w:rPr>
          <w:rFonts w:ascii="Times New Roman" w:hAnsi="Times New Roman"/>
          <w:sz w:val="24"/>
          <w:szCs w:val="24"/>
          <w:vertAlign w:val="superscript"/>
        </w:rPr>
        <w:footnoteReference w:id="6"/>
      </w:r>
      <w:r w:rsidRPr="00D30472">
        <w:rPr>
          <w:rFonts w:ascii="Times New Roman" w:hAnsi="Times New Roman"/>
          <w:sz w:val="24"/>
          <w:szCs w:val="24"/>
          <w:vertAlign w:val="superscript"/>
        </w:rPr>
        <w:footnoteReference w:id="7"/>
      </w:r>
      <w:r w:rsidRPr="00D30472">
        <w:rPr>
          <w:rFonts w:ascii="Times New Roman" w:hAnsi="Times New Roman"/>
          <w:sz w:val="24"/>
          <w:szCs w:val="24"/>
        </w:rPr>
        <w:t xml:space="preserve">окремі групи вразливі до інфікування, що пов’язано з поведінковими особливостями (чоловіки, які мають сексуальні стосунки з чоловіками (ЧСЧ); люди, які вживають наркотики </w:t>
      </w:r>
      <w:r w:rsidR="003E6B30" w:rsidRPr="00D30472">
        <w:rPr>
          <w:rFonts w:ascii="Times New Roman" w:hAnsi="Times New Roman"/>
          <w:sz w:val="24"/>
          <w:szCs w:val="24"/>
        </w:rPr>
        <w:t>ін’єкційним</w:t>
      </w:r>
      <w:r w:rsidRPr="00D30472">
        <w:rPr>
          <w:rFonts w:ascii="Times New Roman" w:hAnsi="Times New Roman"/>
          <w:sz w:val="24"/>
          <w:szCs w:val="24"/>
        </w:rPr>
        <w:t xml:space="preserve"> шляхом (ЛВНІ); особи, які перебувають у в'язницях та інших закладах закритого типу; особи, які надають сексуальні послуги за винагороду та їх клієнти (СП); трансгендерні особи). З огляду на світову практику консолідовані заходи включають застосування науково </w:t>
      </w:r>
      <w:r w:rsidR="003E6B30" w:rsidRPr="00D30472">
        <w:rPr>
          <w:rFonts w:ascii="Times New Roman" w:hAnsi="Times New Roman"/>
          <w:sz w:val="24"/>
          <w:szCs w:val="24"/>
        </w:rPr>
        <w:t>обґрунтованих</w:t>
      </w:r>
      <w:r w:rsidRPr="00D30472">
        <w:rPr>
          <w:rFonts w:ascii="Times New Roman" w:hAnsi="Times New Roman"/>
          <w:sz w:val="24"/>
          <w:szCs w:val="24"/>
        </w:rPr>
        <w:t xml:space="preserve"> комплексних послуг, в тому числі низькопорогових, поведінкових інтервенцій, які дозволяють задовольнити потреби ключових груп населення та людей, які живуть з ВІЛ та досягти стійкої відповіді на епідем</w:t>
      </w:r>
      <w:r w:rsidR="003E6B30" w:rsidRPr="00D30472">
        <w:rPr>
          <w:rFonts w:ascii="Times New Roman" w:hAnsi="Times New Roman"/>
          <w:sz w:val="24"/>
          <w:szCs w:val="24"/>
        </w:rPr>
        <w:t>і</w:t>
      </w:r>
      <w:r w:rsidRPr="00D30472">
        <w:rPr>
          <w:rFonts w:ascii="Times New Roman" w:hAnsi="Times New Roman"/>
          <w:sz w:val="24"/>
          <w:szCs w:val="24"/>
        </w:rPr>
        <w:t>ю</w:t>
      </w:r>
      <w:r w:rsidRPr="00D30472">
        <w:rPr>
          <w:rFonts w:ascii="Times New Roman" w:hAnsi="Times New Roman"/>
          <w:sz w:val="24"/>
          <w:szCs w:val="24"/>
          <w:vertAlign w:val="superscript"/>
        </w:rPr>
        <w:footnoteReference w:id="8"/>
      </w:r>
      <w:r w:rsidRPr="00D30472">
        <w:rPr>
          <w:rFonts w:ascii="Times New Roman" w:hAnsi="Times New Roman"/>
          <w:sz w:val="24"/>
          <w:szCs w:val="24"/>
          <w:vertAlign w:val="superscript"/>
        </w:rPr>
        <w:footnoteReference w:id="9"/>
      </w:r>
      <w:r w:rsidRPr="00D30472">
        <w:rPr>
          <w:rFonts w:ascii="Times New Roman" w:hAnsi="Times New Roman"/>
          <w:sz w:val="24"/>
          <w:szCs w:val="24"/>
        </w:rPr>
        <w:t>. Однак, попри наявність заходів, направлених на ранню діагностику та лікування ВІЛ/ко-</w:t>
      </w:r>
      <w:r w:rsidRPr="00D30472">
        <w:rPr>
          <w:rFonts w:ascii="Times New Roman" w:hAnsi="Times New Roman"/>
          <w:sz w:val="24"/>
          <w:szCs w:val="24"/>
        </w:rPr>
        <w:lastRenderedPageBreak/>
        <w:t>інфекцій, оптимізації схем лікування та застосування комбінованих інтервенцій лікування та догляду у зв’язку з ВІЛ все ще не гарантують успішність лікування через низку факторів, які впливають на прихильність до такого лікування. Згідно окремих досліджень високий або частковий рівень прихильності до АРТ серед людей, які живуть з ВІЛ достатньо низький (близько 40%)</w:t>
      </w:r>
      <w:r w:rsidRPr="00D30472">
        <w:rPr>
          <w:rFonts w:ascii="Times New Roman" w:hAnsi="Times New Roman"/>
          <w:sz w:val="24"/>
          <w:szCs w:val="24"/>
          <w:vertAlign w:val="superscript"/>
        </w:rPr>
        <w:footnoteReference w:id="10"/>
      </w:r>
      <w:r w:rsidRPr="00D30472">
        <w:rPr>
          <w:rFonts w:ascii="Times New Roman" w:hAnsi="Times New Roman"/>
          <w:sz w:val="24"/>
          <w:szCs w:val="24"/>
          <w:vertAlign w:val="superscript"/>
        </w:rPr>
        <w:footnoteReference w:id="11"/>
      </w:r>
      <w:r w:rsidRPr="00D30472">
        <w:rPr>
          <w:rFonts w:ascii="Times New Roman" w:hAnsi="Times New Roman"/>
          <w:sz w:val="24"/>
          <w:szCs w:val="24"/>
        </w:rPr>
        <w:t>, а дотримання режиму лікування все ще є проблемою для переважної більшості тих, хто отримує АРТ</w:t>
      </w:r>
      <w:r w:rsidRPr="00D30472">
        <w:rPr>
          <w:rFonts w:ascii="Times New Roman" w:hAnsi="Times New Roman"/>
          <w:sz w:val="24"/>
          <w:szCs w:val="24"/>
          <w:vertAlign w:val="superscript"/>
        </w:rPr>
        <w:footnoteReference w:id="12"/>
      </w:r>
      <w:r w:rsidRPr="00D30472">
        <w:rPr>
          <w:rFonts w:ascii="Times New Roman" w:hAnsi="Times New Roman"/>
          <w:sz w:val="24"/>
          <w:szCs w:val="24"/>
        </w:rPr>
        <w:t xml:space="preserve">. </w:t>
      </w:r>
    </w:p>
    <w:p w14:paraId="1BBBC8B4" w14:textId="77777777" w:rsidR="00D52D15" w:rsidRPr="00D30472" w:rsidRDefault="00D52D15" w:rsidP="00D30472">
      <w:pPr>
        <w:spacing w:after="0" w:line="240" w:lineRule="auto"/>
        <w:ind w:firstLine="567"/>
        <w:jc w:val="both"/>
        <w:rPr>
          <w:rFonts w:ascii="Times New Roman" w:hAnsi="Times New Roman"/>
          <w:sz w:val="24"/>
          <w:szCs w:val="24"/>
        </w:rPr>
      </w:pPr>
      <w:r w:rsidRPr="00D30472">
        <w:rPr>
          <w:rFonts w:ascii="Times New Roman" w:hAnsi="Times New Roman"/>
          <w:sz w:val="24"/>
          <w:szCs w:val="24"/>
        </w:rPr>
        <w:t xml:space="preserve">В Україні, як і в багатьох країнах СЄЦА, в останні роки активно запроваджуються кроки, спрямовані на забезпечення сталості сервісів, пов’язаних з профілактикою, діагностикою, лікуванням та доглядом у зв’язку з ВІЛ серед ключових груп населення та людей, які живуть з ВІЛ за рахунок переходу від зовнішнього до внутрішнього фінансування та забезпечення стійкого розвитку послуг, як частини державної політики у сфері громадського здоров’я. </w:t>
      </w:r>
    </w:p>
    <w:p w14:paraId="0E0F546C" w14:textId="6F999EFD" w:rsidR="00D52D15" w:rsidRPr="00D30472" w:rsidRDefault="00D52D15" w:rsidP="00D30472">
      <w:pPr>
        <w:spacing w:after="0" w:line="240" w:lineRule="auto"/>
        <w:ind w:firstLine="567"/>
        <w:jc w:val="both"/>
        <w:rPr>
          <w:rFonts w:ascii="Times New Roman" w:hAnsi="Times New Roman"/>
          <w:sz w:val="24"/>
          <w:szCs w:val="24"/>
        </w:rPr>
      </w:pPr>
      <w:r w:rsidRPr="00D30472">
        <w:rPr>
          <w:rFonts w:ascii="Times New Roman" w:hAnsi="Times New Roman"/>
          <w:sz w:val="24"/>
          <w:szCs w:val="24"/>
        </w:rPr>
        <w:t>З 2019 в Україні державним коштом забезпечується покриття оплати за надання «базового пакету послуг» з профілактики представникам трьох ключових груп населення та догляду та підтримки ЛЖВ. До базового пакету профілактичних послуг та послуг з догляду та підтримки ЛЖВ входять: програми розповсюдження/обміну голок та шприців, консультування/надання інформаційної продукції, тестування на ВІЛ, скринінг  ТБ, розповсюдження презервативів та лубрикантів;  послуги догл</w:t>
      </w:r>
      <w:r w:rsidR="003E6B30" w:rsidRPr="00D30472">
        <w:rPr>
          <w:rFonts w:ascii="Times New Roman" w:hAnsi="Times New Roman"/>
          <w:sz w:val="24"/>
          <w:szCs w:val="24"/>
        </w:rPr>
        <w:t>я</w:t>
      </w:r>
      <w:r w:rsidRPr="00D30472">
        <w:rPr>
          <w:rFonts w:ascii="Times New Roman" w:hAnsi="Times New Roman"/>
          <w:sz w:val="24"/>
          <w:szCs w:val="24"/>
        </w:rPr>
        <w:t>ду та під</w:t>
      </w:r>
      <w:r w:rsidR="003E6B30" w:rsidRPr="00D30472">
        <w:rPr>
          <w:rFonts w:ascii="Times New Roman" w:hAnsi="Times New Roman"/>
          <w:sz w:val="24"/>
          <w:szCs w:val="24"/>
        </w:rPr>
        <w:t>т</w:t>
      </w:r>
      <w:r w:rsidRPr="00D30472">
        <w:rPr>
          <w:rFonts w:ascii="Times New Roman" w:hAnsi="Times New Roman"/>
          <w:sz w:val="24"/>
          <w:szCs w:val="24"/>
        </w:rPr>
        <w:t xml:space="preserve">римки, направлені </w:t>
      </w:r>
      <w:r w:rsidRPr="00D30472">
        <w:rPr>
          <w:rFonts w:ascii="Times New Roman" w:hAnsi="Times New Roman"/>
          <w:sz w:val="24"/>
          <w:szCs w:val="24"/>
          <w:shd w:val="clear" w:color="auto" w:fill="FFFFFF"/>
        </w:rPr>
        <w:t xml:space="preserve">на сприяння у диспансеризації, мотивування до раннього початку лікування ВІЛ, формування прихильності до АРТ та отримання медичних послуг, профілактику передачі ВІЛ. </w:t>
      </w:r>
    </w:p>
    <w:p w14:paraId="7D265B18" w14:textId="77777777" w:rsidR="00D52D15" w:rsidRPr="00D30472" w:rsidRDefault="00D52D15" w:rsidP="00D30472">
      <w:pPr>
        <w:spacing w:after="0" w:line="240" w:lineRule="auto"/>
        <w:ind w:firstLine="567"/>
        <w:jc w:val="both"/>
        <w:rPr>
          <w:rFonts w:ascii="Times New Roman" w:hAnsi="Times New Roman"/>
          <w:sz w:val="24"/>
          <w:szCs w:val="24"/>
        </w:rPr>
      </w:pPr>
      <w:r w:rsidRPr="00D30472">
        <w:rPr>
          <w:rFonts w:ascii="Times New Roman" w:hAnsi="Times New Roman"/>
          <w:sz w:val="24"/>
          <w:szCs w:val="24"/>
        </w:rPr>
        <w:t xml:space="preserve">В цьому процесі переходу варто відзначити два важливих етапи :  1) інституалізація послуг (нормативне закріплення порядку та умов надання послуг та застосування нової моделі їх фінансування); 2) збереження можливості забезпечувати надання послуг </w:t>
      </w:r>
      <w:r w:rsidRPr="00D30472">
        <w:rPr>
          <w:rFonts w:ascii="Times New Roman" w:hAnsi="Times New Roman"/>
          <w:sz w:val="24"/>
          <w:szCs w:val="24"/>
          <w:lang w:eastAsia="ru-RU"/>
        </w:rPr>
        <w:t xml:space="preserve">ВІЛ-сервісними неурядовими організаціями, національна мережа яких сформувалась за довгі роки донорського фінансування. </w:t>
      </w:r>
    </w:p>
    <w:p w14:paraId="438199D6" w14:textId="094C3D4D" w:rsidR="00D52D15" w:rsidRPr="00D30472" w:rsidRDefault="00D52D15" w:rsidP="00D30472">
      <w:pPr>
        <w:spacing w:after="0" w:line="240" w:lineRule="auto"/>
        <w:ind w:firstLine="567"/>
        <w:jc w:val="both"/>
        <w:rPr>
          <w:rFonts w:ascii="Times New Roman" w:hAnsi="Times New Roman"/>
          <w:sz w:val="24"/>
          <w:szCs w:val="24"/>
        </w:rPr>
      </w:pPr>
      <w:r w:rsidRPr="00D30472">
        <w:rPr>
          <w:rFonts w:ascii="Times New Roman" w:hAnsi="Times New Roman"/>
          <w:sz w:val="24"/>
          <w:szCs w:val="24"/>
        </w:rPr>
        <w:t xml:space="preserve">У контексті набутого досвіду </w:t>
      </w:r>
      <w:r w:rsidRPr="00D30472">
        <w:rPr>
          <w:rFonts w:ascii="Times New Roman" w:hAnsi="Times New Roman"/>
          <w:bCs/>
          <w:sz w:val="24"/>
          <w:szCs w:val="24"/>
        </w:rPr>
        <w:t>переходу</w:t>
      </w:r>
      <w:r w:rsidRPr="00D30472">
        <w:rPr>
          <w:rFonts w:ascii="Times New Roman" w:hAnsi="Times New Roman"/>
          <w:sz w:val="24"/>
          <w:szCs w:val="24"/>
        </w:rPr>
        <w:t xml:space="preserve"> важливим є </w:t>
      </w:r>
      <w:r w:rsidRPr="00D30472">
        <w:rPr>
          <w:rFonts w:ascii="Times New Roman" w:hAnsi="Times New Roman"/>
          <w:bCs/>
          <w:kern w:val="36"/>
          <w:sz w:val="24"/>
          <w:szCs w:val="24"/>
        </w:rPr>
        <w:t>розуміння дотримання стандартів, якості надання послуг, їх доступність тощо.</w:t>
      </w:r>
      <w:r w:rsidRPr="00D30472">
        <w:rPr>
          <w:rFonts w:ascii="Times New Roman" w:hAnsi="Times New Roman"/>
          <w:sz w:val="24"/>
          <w:szCs w:val="24"/>
        </w:rPr>
        <w:t xml:space="preserve"> Низка міжнародних досліджень щодо оцінки якості та доступності послуг свідчить, що незважаючи на широкий спектр розроблених стандартів та керівництв з провідних практик, їх не завжди дотримуються та використовують</w:t>
      </w:r>
      <w:r w:rsidRPr="00D30472">
        <w:rPr>
          <w:rFonts w:ascii="Times New Roman" w:hAnsi="Times New Roman"/>
          <w:sz w:val="24"/>
          <w:szCs w:val="24"/>
          <w:vertAlign w:val="superscript"/>
        </w:rPr>
        <w:footnoteReference w:id="13"/>
      </w:r>
      <w:r w:rsidRPr="00D30472">
        <w:rPr>
          <w:rFonts w:ascii="Times New Roman" w:hAnsi="Times New Roman"/>
          <w:sz w:val="24"/>
          <w:szCs w:val="24"/>
          <w:vertAlign w:val="superscript"/>
        </w:rPr>
        <w:footnoteReference w:id="14"/>
      </w:r>
      <w:r w:rsidRPr="00D30472">
        <w:rPr>
          <w:rFonts w:ascii="Times New Roman" w:hAnsi="Times New Roman"/>
          <w:sz w:val="24"/>
          <w:szCs w:val="24"/>
          <w:vertAlign w:val="superscript"/>
        </w:rPr>
        <w:footnoteReference w:id="15"/>
      </w:r>
      <w:r w:rsidRPr="00D30472">
        <w:rPr>
          <w:rFonts w:ascii="Times New Roman" w:hAnsi="Times New Roman"/>
          <w:sz w:val="24"/>
          <w:szCs w:val="24"/>
          <w:vertAlign w:val="superscript"/>
        </w:rPr>
        <w:footnoteReference w:id="16"/>
      </w:r>
      <w:r w:rsidRPr="00D30472">
        <w:rPr>
          <w:rFonts w:ascii="Times New Roman" w:hAnsi="Times New Roman"/>
          <w:sz w:val="24"/>
          <w:szCs w:val="24"/>
        </w:rPr>
        <w:t>. Це породжує необхідність отримання даних, які відображатимуть практики «на місці». У 2019 році при проведенні оцінки якості послуг та вивчення рівня з</w:t>
      </w:r>
      <w:r w:rsidR="003E6B30" w:rsidRPr="00D30472">
        <w:rPr>
          <w:rFonts w:ascii="Times New Roman" w:hAnsi="Times New Roman"/>
          <w:sz w:val="24"/>
          <w:szCs w:val="24"/>
        </w:rPr>
        <w:t>а</w:t>
      </w:r>
      <w:r w:rsidRPr="00D30472">
        <w:rPr>
          <w:rFonts w:ascii="Times New Roman" w:hAnsi="Times New Roman"/>
          <w:sz w:val="24"/>
          <w:szCs w:val="24"/>
        </w:rPr>
        <w:t>доволення клієнтів профілактичних програм</w:t>
      </w:r>
      <w:r w:rsidRPr="00D30472">
        <w:rPr>
          <w:rFonts w:ascii="Times New Roman" w:hAnsi="Times New Roman"/>
          <w:sz w:val="24"/>
          <w:szCs w:val="24"/>
          <w:vertAlign w:val="superscript"/>
        </w:rPr>
        <w:footnoteReference w:id="17"/>
      </w:r>
      <w:r w:rsidRPr="00D30472">
        <w:rPr>
          <w:rFonts w:ascii="Times New Roman" w:hAnsi="Times New Roman"/>
          <w:sz w:val="24"/>
          <w:szCs w:val="24"/>
        </w:rPr>
        <w:t xml:space="preserve"> було виявлено низку проблем у наданні послуг профілактики та лікування у зв’язку з ВІЛ серед трьох ключових груп. При цьому оцінка надання послуг з догляду та підтримки ЛЖВ немедичним персоналом з числа неурядових організацій не була в переліку завдань дослідження. </w:t>
      </w:r>
    </w:p>
    <w:p w14:paraId="5DF772CB" w14:textId="2561403E" w:rsidR="00D52D15" w:rsidRPr="00D30472" w:rsidRDefault="00D52D15" w:rsidP="00D30472">
      <w:pPr>
        <w:spacing w:after="0" w:line="240" w:lineRule="auto"/>
        <w:ind w:firstLine="567"/>
        <w:jc w:val="both"/>
        <w:rPr>
          <w:rFonts w:ascii="Times New Roman" w:hAnsi="Times New Roman"/>
          <w:sz w:val="24"/>
          <w:szCs w:val="24"/>
        </w:rPr>
      </w:pPr>
      <w:r w:rsidRPr="00D30472">
        <w:rPr>
          <w:rFonts w:ascii="Times New Roman" w:hAnsi="Times New Roman"/>
          <w:sz w:val="24"/>
          <w:szCs w:val="24"/>
        </w:rPr>
        <w:t xml:space="preserve"> З огляду на зміну моделі фінансування, та наявність нормативного регулювання послуг профілактики трьом ключовим групам (</w:t>
      </w:r>
      <w:bookmarkStart w:id="11" w:name="_Hlk79139456"/>
      <w:r w:rsidRPr="00D30472">
        <w:rPr>
          <w:rFonts w:ascii="Times New Roman" w:hAnsi="Times New Roman"/>
          <w:sz w:val="24"/>
          <w:szCs w:val="24"/>
        </w:rPr>
        <w:t>ЛВНІ, СП та ЧСЧ</w:t>
      </w:r>
      <w:bookmarkEnd w:id="11"/>
      <w:r w:rsidRPr="00D30472">
        <w:rPr>
          <w:rFonts w:ascii="Times New Roman" w:hAnsi="Times New Roman"/>
          <w:sz w:val="24"/>
          <w:szCs w:val="24"/>
        </w:rPr>
        <w:t>) та догляду та підтримки ЛЖВ, існує потреба оновлення цих даних, вивчення рівня задоволеності наданням послуг ЛЖВ та їх якості. Оцінка якості послуг буде здійснена насамперед через визначення рівня задоволеності отриманням профілактичних послуг</w:t>
      </w:r>
      <w:r w:rsidR="009A63B1" w:rsidRPr="00D30472">
        <w:rPr>
          <w:rFonts w:ascii="Times New Roman" w:hAnsi="Times New Roman"/>
          <w:sz w:val="24"/>
          <w:szCs w:val="24"/>
        </w:rPr>
        <w:t xml:space="preserve"> </w:t>
      </w:r>
      <w:r w:rsidRPr="00D30472">
        <w:rPr>
          <w:rFonts w:ascii="Times New Roman" w:hAnsi="Times New Roman"/>
          <w:sz w:val="24"/>
          <w:szCs w:val="24"/>
        </w:rPr>
        <w:t>догляду</w:t>
      </w:r>
      <w:r w:rsidR="009A63B1" w:rsidRPr="00D30472">
        <w:rPr>
          <w:rFonts w:ascii="Times New Roman" w:hAnsi="Times New Roman"/>
          <w:sz w:val="24"/>
          <w:szCs w:val="24"/>
        </w:rPr>
        <w:t xml:space="preserve"> </w:t>
      </w:r>
      <w:r w:rsidRPr="00D30472">
        <w:rPr>
          <w:rFonts w:ascii="Times New Roman" w:hAnsi="Times New Roman"/>
          <w:sz w:val="24"/>
          <w:szCs w:val="24"/>
        </w:rPr>
        <w:t xml:space="preserve">та підтримки ЛЖВ, наявних бар’єрів до отримання та факторів, що сприяють їх отриманню. Отримана інформація уможливить </w:t>
      </w:r>
      <w:r w:rsidRPr="00D30472">
        <w:rPr>
          <w:rFonts w:ascii="Times New Roman" w:hAnsi="Times New Roman"/>
          <w:sz w:val="24"/>
          <w:szCs w:val="24"/>
        </w:rPr>
        <w:lastRenderedPageBreak/>
        <w:t>подальше планування та поглиблення інтеграції послуг до системи громадського здоров’я з урахуванням досвіду їх кінцевих реципієнтів.</w:t>
      </w:r>
    </w:p>
    <w:p w14:paraId="78FBBD98" w14:textId="77777777" w:rsidR="00D52D15" w:rsidRPr="00BA4C0C" w:rsidRDefault="00D52D15" w:rsidP="00BA4C0C">
      <w:pPr>
        <w:spacing w:after="0" w:line="240" w:lineRule="auto"/>
        <w:ind w:firstLine="567"/>
        <w:jc w:val="both"/>
        <w:rPr>
          <w:rFonts w:ascii="Times New Roman" w:hAnsi="Times New Roman"/>
          <w:b/>
          <w:bCs/>
          <w:sz w:val="24"/>
          <w:szCs w:val="24"/>
        </w:rPr>
      </w:pPr>
    </w:p>
    <w:p w14:paraId="6CA566FA"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b/>
          <w:bCs/>
          <w:sz w:val="24"/>
          <w:szCs w:val="24"/>
        </w:rPr>
        <w:t>Мета дослідження</w:t>
      </w:r>
      <w:r w:rsidRPr="00BA4C0C">
        <w:rPr>
          <w:rFonts w:ascii="Times New Roman" w:hAnsi="Times New Roman"/>
          <w:sz w:val="24"/>
          <w:szCs w:val="24"/>
        </w:rPr>
        <w:t xml:space="preserve"> складається з двох компонентів.</w:t>
      </w:r>
    </w:p>
    <w:p w14:paraId="206C8147" w14:textId="31C75F32" w:rsidR="00D52D15" w:rsidRPr="00BA4C0C" w:rsidRDefault="00D52D15" w:rsidP="00BA4C0C">
      <w:pPr>
        <w:numPr>
          <w:ilvl w:val="0"/>
          <w:numId w:val="15"/>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b/>
          <w:bCs/>
          <w:sz w:val="24"/>
          <w:szCs w:val="24"/>
        </w:rPr>
        <w:t>Перший компонент</w:t>
      </w:r>
      <w:r w:rsidRPr="00BA4C0C">
        <w:rPr>
          <w:rFonts w:ascii="Times New Roman" w:eastAsia="Calibri" w:hAnsi="Times New Roman"/>
          <w:sz w:val="24"/>
          <w:szCs w:val="24"/>
        </w:rPr>
        <w:t xml:space="preserve"> передбачає</w:t>
      </w:r>
      <w:r w:rsidRPr="00BA4C0C">
        <w:rPr>
          <w:rFonts w:ascii="Times New Roman" w:eastAsia="Calibri" w:hAnsi="Times New Roman"/>
          <w:b/>
          <w:bCs/>
          <w:sz w:val="24"/>
          <w:szCs w:val="24"/>
        </w:rPr>
        <w:t xml:space="preserve"> </w:t>
      </w:r>
      <w:r w:rsidRPr="00BA4C0C">
        <w:rPr>
          <w:rFonts w:ascii="Times New Roman" w:eastAsia="Calibri" w:hAnsi="Times New Roman"/>
          <w:bCs/>
          <w:sz w:val="24"/>
          <w:szCs w:val="24"/>
        </w:rPr>
        <w:t>визначення якості та доступності профілактичних послуг для осіб з груп підвищеного ризику щодо інфікува</w:t>
      </w:r>
      <w:r w:rsidR="003E6B30" w:rsidRPr="00BA4C0C">
        <w:rPr>
          <w:rFonts w:ascii="Times New Roman" w:eastAsia="Calibri" w:hAnsi="Times New Roman"/>
          <w:bCs/>
          <w:sz w:val="24"/>
          <w:szCs w:val="24"/>
        </w:rPr>
        <w:t>н</w:t>
      </w:r>
      <w:r w:rsidRPr="00BA4C0C">
        <w:rPr>
          <w:rFonts w:ascii="Times New Roman" w:eastAsia="Calibri" w:hAnsi="Times New Roman"/>
          <w:bCs/>
          <w:sz w:val="24"/>
          <w:szCs w:val="24"/>
        </w:rPr>
        <w:t>ня ВІЛ, а саме ЛВНІ, СП, ЧСЧ в контексті переходу від донорського до державного фінансування в Україні;</w:t>
      </w:r>
    </w:p>
    <w:p w14:paraId="7DA84F64" w14:textId="77777777" w:rsidR="00D52D15" w:rsidRPr="00BA4C0C" w:rsidRDefault="00D52D15" w:rsidP="00BA4C0C">
      <w:pPr>
        <w:numPr>
          <w:ilvl w:val="0"/>
          <w:numId w:val="15"/>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b/>
          <w:sz w:val="24"/>
          <w:szCs w:val="24"/>
        </w:rPr>
        <w:t xml:space="preserve">Другий компонент </w:t>
      </w:r>
      <w:r w:rsidRPr="00BA4C0C">
        <w:rPr>
          <w:rFonts w:ascii="Times New Roman" w:eastAsia="Calibri" w:hAnsi="Times New Roman"/>
          <w:bCs/>
          <w:sz w:val="24"/>
          <w:szCs w:val="24"/>
        </w:rPr>
        <w:t xml:space="preserve">полягає у встановленні якості та доступності послуг з догляду та підтримки для ЛЖВ </w:t>
      </w:r>
      <w:bookmarkStart w:id="12" w:name="_Hlk79749324"/>
      <w:r w:rsidRPr="00BA4C0C">
        <w:rPr>
          <w:rFonts w:ascii="Times New Roman" w:eastAsia="Calibri" w:hAnsi="Times New Roman"/>
          <w:bCs/>
          <w:sz w:val="24"/>
          <w:szCs w:val="24"/>
        </w:rPr>
        <w:t>в контексті переходу від донорського до державного фінансування в Україні</w:t>
      </w:r>
      <w:bookmarkEnd w:id="12"/>
      <w:r w:rsidRPr="00BA4C0C">
        <w:rPr>
          <w:rFonts w:ascii="Times New Roman" w:eastAsia="Calibri" w:hAnsi="Times New Roman"/>
          <w:bCs/>
          <w:sz w:val="24"/>
          <w:szCs w:val="24"/>
        </w:rPr>
        <w:t>.</w:t>
      </w:r>
    </w:p>
    <w:p w14:paraId="3CFA9DEC" w14:textId="77777777" w:rsidR="00D52D15" w:rsidRPr="00BA4C0C" w:rsidRDefault="00D52D15" w:rsidP="00BA4C0C">
      <w:pPr>
        <w:spacing w:after="0" w:line="240" w:lineRule="auto"/>
        <w:ind w:firstLine="567"/>
        <w:jc w:val="both"/>
        <w:rPr>
          <w:rFonts w:ascii="Times New Roman" w:hAnsi="Times New Roman"/>
          <w:b/>
          <w:bCs/>
          <w:sz w:val="24"/>
          <w:szCs w:val="24"/>
        </w:rPr>
      </w:pPr>
    </w:p>
    <w:p w14:paraId="75894477"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b/>
          <w:bCs/>
          <w:sz w:val="24"/>
          <w:szCs w:val="24"/>
        </w:rPr>
        <w:t xml:space="preserve">Завдання: </w:t>
      </w:r>
    </w:p>
    <w:p w14:paraId="2E14925A" w14:textId="77777777" w:rsidR="00D52D15" w:rsidRPr="00BA4C0C" w:rsidRDefault="00D52D15" w:rsidP="00BA4C0C">
      <w:pPr>
        <w:spacing w:after="0" w:line="240" w:lineRule="auto"/>
        <w:ind w:firstLine="567"/>
        <w:jc w:val="both"/>
        <w:rPr>
          <w:rFonts w:ascii="Times New Roman" w:hAnsi="Times New Roman"/>
          <w:bCs/>
          <w:sz w:val="24"/>
          <w:szCs w:val="24"/>
        </w:rPr>
      </w:pPr>
      <w:r w:rsidRPr="00BA4C0C">
        <w:rPr>
          <w:rFonts w:ascii="Times New Roman" w:hAnsi="Times New Roman"/>
          <w:bCs/>
          <w:sz w:val="24"/>
          <w:szCs w:val="24"/>
        </w:rPr>
        <w:t>Перший компонент:</w:t>
      </w:r>
    </w:p>
    <w:p w14:paraId="663F49C1" w14:textId="77777777" w:rsidR="00D52D15" w:rsidRPr="00BA4C0C" w:rsidRDefault="00D52D15" w:rsidP="00BA4C0C">
      <w:pPr>
        <w:spacing w:after="0" w:line="240" w:lineRule="auto"/>
        <w:ind w:firstLine="567"/>
        <w:jc w:val="both"/>
        <w:rPr>
          <w:rFonts w:ascii="Times New Roman" w:hAnsi="Times New Roman"/>
          <w:bCs/>
          <w:sz w:val="24"/>
          <w:szCs w:val="24"/>
        </w:rPr>
      </w:pPr>
    </w:p>
    <w:p w14:paraId="24FD60C2" w14:textId="77777777" w:rsidR="00D52D15" w:rsidRPr="00BA4C0C" w:rsidRDefault="00D52D15" w:rsidP="00BA4C0C">
      <w:pPr>
        <w:numPr>
          <w:ilvl w:val="0"/>
          <w:numId w:val="16"/>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bCs/>
          <w:sz w:val="24"/>
          <w:szCs w:val="24"/>
        </w:rPr>
        <w:t xml:space="preserve">Дізнатися та </w:t>
      </w:r>
      <w:proofErr w:type="spellStart"/>
      <w:r w:rsidRPr="00BA4C0C">
        <w:rPr>
          <w:rFonts w:ascii="Times New Roman" w:eastAsia="Calibri" w:hAnsi="Times New Roman"/>
          <w:bCs/>
          <w:sz w:val="24"/>
          <w:szCs w:val="24"/>
        </w:rPr>
        <w:t>проранжувати</w:t>
      </w:r>
      <w:proofErr w:type="spellEnd"/>
      <w:r w:rsidRPr="00BA4C0C">
        <w:rPr>
          <w:rFonts w:ascii="Times New Roman" w:eastAsia="Calibri" w:hAnsi="Times New Roman"/>
          <w:bCs/>
          <w:sz w:val="24"/>
          <w:szCs w:val="24"/>
        </w:rPr>
        <w:t xml:space="preserve"> критерії якості профілактичних послуг, які фінансуються коштом державного бюджету (далі – профілактичних послуг) для ЛВНІ, СП та ЧСЧ з точки зору задоволеності отримувачів послуг;</w:t>
      </w:r>
    </w:p>
    <w:p w14:paraId="2775BEAE" w14:textId="77777777" w:rsidR="00D52D15" w:rsidRPr="00BA4C0C" w:rsidRDefault="00D52D15" w:rsidP="00BA4C0C">
      <w:pPr>
        <w:numPr>
          <w:ilvl w:val="0"/>
          <w:numId w:val="16"/>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bCs/>
          <w:sz w:val="24"/>
          <w:szCs w:val="24"/>
        </w:rPr>
        <w:t xml:space="preserve">Встановити наявні бар’єри </w:t>
      </w:r>
      <w:bookmarkStart w:id="13" w:name="_Hlk74150593"/>
      <w:r w:rsidRPr="00BA4C0C">
        <w:rPr>
          <w:rFonts w:ascii="Times New Roman" w:eastAsia="Calibri" w:hAnsi="Times New Roman"/>
          <w:bCs/>
          <w:sz w:val="24"/>
          <w:szCs w:val="24"/>
        </w:rPr>
        <w:t>до отримання профілактичних послуг для ЛВНІ, СП та ЧСЧ</w:t>
      </w:r>
      <w:bookmarkEnd w:id="13"/>
      <w:r w:rsidRPr="00BA4C0C">
        <w:rPr>
          <w:rFonts w:ascii="Times New Roman" w:eastAsia="Calibri" w:hAnsi="Times New Roman"/>
          <w:bCs/>
          <w:sz w:val="24"/>
          <w:szCs w:val="24"/>
        </w:rPr>
        <w:t xml:space="preserve">; </w:t>
      </w:r>
    </w:p>
    <w:p w14:paraId="6B20E8A2" w14:textId="77777777" w:rsidR="00D52D15" w:rsidRPr="00BA4C0C" w:rsidRDefault="00D52D15" w:rsidP="00BA4C0C">
      <w:pPr>
        <w:numPr>
          <w:ilvl w:val="0"/>
          <w:numId w:val="16"/>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bCs/>
          <w:sz w:val="24"/>
          <w:szCs w:val="24"/>
        </w:rPr>
        <w:t>Визначити фактори, які сприяють отриманню профілактичних послуг серед ЛВНІ, СП, ЧСЧ;</w:t>
      </w:r>
    </w:p>
    <w:p w14:paraId="68897D5E" w14:textId="77777777" w:rsidR="00D52D15" w:rsidRPr="00BA4C0C" w:rsidRDefault="00D52D15" w:rsidP="00BA4C0C">
      <w:pPr>
        <w:numPr>
          <w:ilvl w:val="0"/>
          <w:numId w:val="16"/>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sz w:val="24"/>
          <w:szCs w:val="24"/>
        </w:rPr>
        <w:t xml:space="preserve">Сформувати рекомендації щодо підвищення якості та доступності </w:t>
      </w:r>
      <w:r w:rsidRPr="00BA4C0C">
        <w:rPr>
          <w:rFonts w:ascii="Times New Roman" w:eastAsia="Calibri" w:hAnsi="Times New Roman"/>
          <w:bCs/>
          <w:sz w:val="24"/>
          <w:szCs w:val="24"/>
        </w:rPr>
        <w:t>профілактичних послуг для ЛВНІ, СП та ЧСЧ, які фінансуються коштом державного бюджету.</w:t>
      </w:r>
    </w:p>
    <w:p w14:paraId="7D9B7C5A" w14:textId="77777777" w:rsidR="00D52D15" w:rsidRPr="00BA4C0C" w:rsidRDefault="00D52D15" w:rsidP="00BA4C0C">
      <w:pPr>
        <w:spacing w:after="0" w:line="240" w:lineRule="auto"/>
        <w:ind w:firstLine="567"/>
        <w:jc w:val="both"/>
        <w:rPr>
          <w:rFonts w:ascii="Times New Roman" w:hAnsi="Times New Roman"/>
          <w:bCs/>
          <w:sz w:val="24"/>
          <w:szCs w:val="24"/>
        </w:rPr>
      </w:pPr>
    </w:p>
    <w:p w14:paraId="50FE768A" w14:textId="77777777" w:rsidR="00D52D15" w:rsidRPr="00BA4C0C" w:rsidRDefault="00D52D15" w:rsidP="00BA4C0C">
      <w:pPr>
        <w:spacing w:after="0" w:line="240" w:lineRule="auto"/>
        <w:ind w:firstLine="567"/>
        <w:jc w:val="both"/>
        <w:rPr>
          <w:rFonts w:ascii="Times New Roman" w:hAnsi="Times New Roman"/>
          <w:bCs/>
          <w:sz w:val="24"/>
          <w:szCs w:val="24"/>
        </w:rPr>
      </w:pPr>
      <w:r w:rsidRPr="00BA4C0C">
        <w:rPr>
          <w:rFonts w:ascii="Times New Roman" w:hAnsi="Times New Roman"/>
          <w:bCs/>
          <w:sz w:val="24"/>
          <w:szCs w:val="24"/>
        </w:rPr>
        <w:t>Другий компонент:</w:t>
      </w:r>
    </w:p>
    <w:p w14:paraId="4D167110" w14:textId="77777777" w:rsidR="00D52D15" w:rsidRPr="00BA4C0C" w:rsidRDefault="00D52D15" w:rsidP="00BA4C0C">
      <w:pPr>
        <w:numPr>
          <w:ilvl w:val="0"/>
          <w:numId w:val="17"/>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bCs/>
          <w:sz w:val="24"/>
          <w:szCs w:val="24"/>
        </w:rPr>
        <w:t xml:space="preserve">Дізнатися та </w:t>
      </w:r>
      <w:proofErr w:type="spellStart"/>
      <w:r w:rsidRPr="00BA4C0C">
        <w:rPr>
          <w:rFonts w:ascii="Times New Roman" w:eastAsia="Calibri" w:hAnsi="Times New Roman"/>
          <w:bCs/>
          <w:sz w:val="24"/>
          <w:szCs w:val="24"/>
        </w:rPr>
        <w:t>проранжувати</w:t>
      </w:r>
      <w:proofErr w:type="spellEnd"/>
      <w:r w:rsidRPr="00BA4C0C">
        <w:rPr>
          <w:rFonts w:ascii="Times New Roman" w:eastAsia="Calibri" w:hAnsi="Times New Roman"/>
          <w:bCs/>
          <w:sz w:val="24"/>
          <w:szCs w:val="24"/>
        </w:rPr>
        <w:t xml:space="preserve"> критерії якості послуг з догляду та підтримки, які фінансуються коштом державного бюджету (далі – </w:t>
      </w:r>
      <w:proofErr w:type="spellStart"/>
      <w:r w:rsidRPr="00BA4C0C">
        <w:rPr>
          <w:rFonts w:ascii="Times New Roman" w:eastAsia="Calibri" w:hAnsi="Times New Roman"/>
          <w:bCs/>
          <w:sz w:val="24"/>
          <w:szCs w:val="24"/>
        </w:rPr>
        <w:t>ДіП</w:t>
      </w:r>
      <w:proofErr w:type="spellEnd"/>
      <w:r w:rsidRPr="00BA4C0C">
        <w:rPr>
          <w:rFonts w:ascii="Times New Roman" w:eastAsia="Calibri" w:hAnsi="Times New Roman"/>
          <w:bCs/>
          <w:sz w:val="24"/>
          <w:szCs w:val="24"/>
        </w:rPr>
        <w:t>) для ЛЖВ в Україні з точки зору задоволеності отримувачів послуг</w:t>
      </w:r>
      <w:r w:rsidRPr="00BA4C0C">
        <w:rPr>
          <w:rFonts w:ascii="Times New Roman" w:eastAsia="Calibri" w:hAnsi="Times New Roman"/>
          <w:sz w:val="24"/>
          <w:szCs w:val="24"/>
        </w:rPr>
        <w:t>;</w:t>
      </w:r>
    </w:p>
    <w:p w14:paraId="70FC3FFC" w14:textId="77777777" w:rsidR="00D52D15" w:rsidRPr="00BA4C0C" w:rsidRDefault="00D52D15" w:rsidP="00BA4C0C">
      <w:pPr>
        <w:numPr>
          <w:ilvl w:val="0"/>
          <w:numId w:val="17"/>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bCs/>
          <w:sz w:val="24"/>
          <w:szCs w:val="24"/>
        </w:rPr>
        <w:t xml:space="preserve">Встановити наявні бар’єри до отримання </w:t>
      </w:r>
      <w:proofErr w:type="spellStart"/>
      <w:r w:rsidRPr="00BA4C0C">
        <w:rPr>
          <w:rFonts w:ascii="Times New Roman" w:eastAsia="Calibri" w:hAnsi="Times New Roman"/>
          <w:bCs/>
          <w:sz w:val="24"/>
          <w:szCs w:val="24"/>
        </w:rPr>
        <w:t>ДіП</w:t>
      </w:r>
      <w:proofErr w:type="spellEnd"/>
      <w:r w:rsidRPr="00BA4C0C">
        <w:rPr>
          <w:rFonts w:ascii="Times New Roman" w:eastAsia="Calibri" w:hAnsi="Times New Roman"/>
          <w:bCs/>
          <w:sz w:val="24"/>
          <w:szCs w:val="24"/>
        </w:rPr>
        <w:t xml:space="preserve"> для ЛЖВ; </w:t>
      </w:r>
    </w:p>
    <w:p w14:paraId="182FAA33" w14:textId="77777777" w:rsidR="00D52D15" w:rsidRPr="00BA4C0C" w:rsidRDefault="00D52D15" w:rsidP="00BA4C0C">
      <w:pPr>
        <w:numPr>
          <w:ilvl w:val="0"/>
          <w:numId w:val="17"/>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bCs/>
          <w:sz w:val="24"/>
          <w:szCs w:val="24"/>
        </w:rPr>
        <w:t xml:space="preserve">Визначити фактори, які сприяють отриманню послуг з </w:t>
      </w:r>
      <w:proofErr w:type="spellStart"/>
      <w:r w:rsidRPr="00BA4C0C">
        <w:rPr>
          <w:rFonts w:ascii="Times New Roman" w:eastAsia="Calibri" w:hAnsi="Times New Roman"/>
          <w:bCs/>
          <w:sz w:val="24"/>
          <w:szCs w:val="24"/>
        </w:rPr>
        <w:t>ДіП</w:t>
      </w:r>
      <w:proofErr w:type="spellEnd"/>
      <w:r w:rsidRPr="00BA4C0C">
        <w:rPr>
          <w:rFonts w:ascii="Times New Roman" w:eastAsia="Calibri" w:hAnsi="Times New Roman"/>
          <w:bCs/>
          <w:sz w:val="24"/>
          <w:szCs w:val="24"/>
        </w:rPr>
        <w:t xml:space="preserve"> для ЛЖВ;</w:t>
      </w:r>
    </w:p>
    <w:p w14:paraId="77A11F8B" w14:textId="77777777" w:rsidR="00D52D15" w:rsidRPr="00BA4C0C" w:rsidRDefault="00D52D15" w:rsidP="00BA4C0C">
      <w:pPr>
        <w:numPr>
          <w:ilvl w:val="0"/>
          <w:numId w:val="17"/>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bCs/>
          <w:sz w:val="24"/>
          <w:szCs w:val="24"/>
        </w:rPr>
        <w:t xml:space="preserve">Дослідити детермінанти, які впливають на процес формування прихильності до лікування </w:t>
      </w:r>
      <w:proofErr w:type="spellStart"/>
      <w:r w:rsidRPr="00BA4C0C">
        <w:rPr>
          <w:rFonts w:ascii="Times New Roman" w:eastAsia="Calibri" w:hAnsi="Times New Roman"/>
          <w:bCs/>
          <w:sz w:val="24"/>
          <w:szCs w:val="24"/>
        </w:rPr>
        <w:t>антитеровірусними</w:t>
      </w:r>
      <w:proofErr w:type="spellEnd"/>
      <w:r w:rsidRPr="00BA4C0C">
        <w:rPr>
          <w:rFonts w:ascii="Times New Roman" w:eastAsia="Calibri" w:hAnsi="Times New Roman"/>
          <w:bCs/>
          <w:sz w:val="24"/>
          <w:szCs w:val="24"/>
        </w:rPr>
        <w:t xml:space="preserve"> препаратами, включаючи медичні та немедичні фактори, з точки зору отримувачів послуг; </w:t>
      </w:r>
    </w:p>
    <w:p w14:paraId="7B442076" w14:textId="77777777" w:rsidR="00D52D15" w:rsidRPr="00BA4C0C" w:rsidRDefault="00D52D15" w:rsidP="00BA4C0C">
      <w:pPr>
        <w:numPr>
          <w:ilvl w:val="0"/>
          <w:numId w:val="17"/>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bCs/>
          <w:sz w:val="24"/>
          <w:szCs w:val="24"/>
        </w:rPr>
        <w:t>Встановити причини переривання та відмови від АРТ серед ЛЖВ;</w:t>
      </w:r>
    </w:p>
    <w:p w14:paraId="7F9E5091" w14:textId="77777777" w:rsidR="00D52D15" w:rsidRPr="00BA4C0C" w:rsidRDefault="00D52D15" w:rsidP="00BA4C0C">
      <w:pPr>
        <w:numPr>
          <w:ilvl w:val="0"/>
          <w:numId w:val="17"/>
        </w:numPr>
        <w:spacing w:after="0" w:line="240" w:lineRule="auto"/>
        <w:ind w:left="0" w:firstLine="567"/>
        <w:contextualSpacing/>
        <w:jc w:val="both"/>
        <w:rPr>
          <w:rFonts w:ascii="Times New Roman" w:eastAsia="Calibri" w:hAnsi="Times New Roman"/>
          <w:bCs/>
          <w:sz w:val="24"/>
          <w:szCs w:val="24"/>
        </w:rPr>
      </w:pPr>
      <w:r w:rsidRPr="00BA4C0C">
        <w:rPr>
          <w:rFonts w:ascii="Times New Roman" w:eastAsia="Calibri" w:hAnsi="Times New Roman"/>
          <w:bCs/>
          <w:sz w:val="24"/>
          <w:szCs w:val="24"/>
        </w:rPr>
        <w:t>Сформувати рекомендації щодо можливих механізмів попередження переривання АРТ в контексті надання таких послуг поза межами медичного закладу;</w:t>
      </w:r>
    </w:p>
    <w:p w14:paraId="7785B4B2" w14:textId="77777777" w:rsidR="00D52D15" w:rsidRPr="00BA4C0C" w:rsidRDefault="00D52D15" w:rsidP="00BA4C0C">
      <w:pPr>
        <w:numPr>
          <w:ilvl w:val="0"/>
          <w:numId w:val="17"/>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bCs/>
          <w:sz w:val="24"/>
          <w:szCs w:val="24"/>
        </w:rPr>
        <w:t xml:space="preserve">Сформувати рекомендації щодо підвищення якості та доступності послуг з </w:t>
      </w:r>
      <w:proofErr w:type="spellStart"/>
      <w:r w:rsidRPr="00BA4C0C">
        <w:rPr>
          <w:rFonts w:ascii="Times New Roman" w:eastAsia="Calibri" w:hAnsi="Times New Roman"/>
          <w:bCs/>
          <w:sz w:val="24"/>
          <w:szCs w:val="24"/>
        </w:rPr>
        <w:t>ДіП</w:t>
      </w:r>
      <w:proofErr w:type="spellEnd"/>
      <w:r w:rsidRPr="00BA4C0C">
        <w:rPr>
          <w:rFonts w:ascii="Times New Roman" w:eastAsia="Calibri" w:hAnsi="Times New Roman"/>
          <w:bCs/>
          <w:sz w:val="24"/>
          <w:szCs w:val="24"/>
        </w:rPr>
        <w:t xml:space="preserve"> ЛЖВ</w:t>
      </w:r>
      <w:r w:rsidRPr="00BA4C0C">
        <w:rPr>
          <w:rFonts w:ascii="Times New Roman" w:eastAsia="Calibri" w:hAnsi="Times New Roman"/>
          <w:sz w:val="24"/>
          <w:szCs w:val="24"/>
        </w:rPr>
        <w:t>, які фінансуються коштом державного бюджету.</w:t>
      </w:r>
    </w:p>
    <w:p w14:paraId="5F7211C4" w14:textId="77777777" w:rsidR="00D52D15" w:rsidRPr="00BA4C0C" w:rsidRDefault="00D52D15" w:rsidP="00BA4C0C">
      <w:pPr>
        <w:spacing w:after="0" w:line="240" w:lineRule="auto"/>
        <w:ind w:firstLine="567"/>
        <w:jc w:val="both"/>
        <w:rPr>
          <w:rFonts w:ascii="Times New Roman" w:hAnsi="Times New Roman"/>
          <w:b/>
          <w:bCs/>
          <w:sz w:val="24"/>
          <w:szCs w:val="24"/>
        </w:rPr>
      </w:pPr>
    </w:p>
    <w:p w14:paraId="362064D8"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b/>
          <w:bCs/>
          <w:sz w:val="24"/>
          <w:szCs w:val="24"/>
        </w:rPr>
        <w:t>Дизайн дослідження</w:t>
      </w:r>
    </w:p>
    <w:p w14:paraId="13C987BD" w14:textId="1F1F2C38"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 xml:space="preserve">Даний проект є </w:t>
      </w:r>
      <w:proofErr w:type="spellStart"/>
      <w:r w:rsidRPr="00BA4C0C">
        <w:rPr>
          <w:rFonts w:ascii="Times New Roman" w:hAnsi="Times New Roman"/>
          <w:sz w:val="24"/>
          <w:szCs w:val="24"/>
        </w:rPr>
        <w:t>одномоментним</w:t>
      </w:r>
      <w:proofErr w:type="spellEnd"/>
      <w:r w:rsidRPr="00BA4C0C">
        <w:rPr>
          <w:rFonts w:ascii="Times New Roman" w:hAnsi="Times New Roman"/>
          <w:sz w:val="24"/>
          <w:szCs w:val="24"/>
        </w:rPr>
        <w:t xml:space="preserve"> крос-секційним дослідженням із використанням кількісної методології. Виконання поставленої мети та завдань буде забезпечене завдяки анкетуванню осіб з груп підвищеного ризику щодо інфікуван</w:t>
      </w:r>
      <w:r w:rsidR="009A63B1" w:rsidRPr="00BA4C0C">
        <w:rPr>
          <w:rFonts w:ascii="Times New Roman" w:hAnsi="Times New Roman"/>
          <w:sz w:val="24"/>
          <w:szCs w:val="24"/>
        </w:rPr>
        <w:t>н</w:t>
      </w:r>
      <w:r w:rsidRPr="00BA4C0C">
        <w:rPr>
          <w:rFonts w:ascii="Times New Roman" w:hAnsi="Times New Roman"/>
          <w:sz w:val="24"/>
          <w:szCs w:val="24"/>
        </w:rPr>
        <w:t xml:space="preserve">я ВІЛ в Україні, а саме ЛВНІ, СП та ЧСЧ, а також клієнтів ВІЛ-програм з догляду та підтримки, як тих, хто перебуває на АРТ, так і тих, хто не перебуває. Для виконання поставлених завдань буде розроблено дві анкети для першого та другого компоненту дослідження. </w:t>
      </w:r>
    </w:p>
    <w:p w14:paraId="35692C43"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Анкета для першого компоненту дослідження має включати:</w:t>
      </w:r>
    </w:p>
    <w:p w14:paraId="1ED3CE93" w14:textId="77777777" w:rsidR="00D52D15" w:rsidRPr="00BA4C0C" w:rsidRDefault="00D52D15" w:rsidP="00BA4C0C">
      <w:pPr>
        <w:numPr>
          <w:ilvl w:val="0"/>
          <w:numId w:val="36"/>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 xml:space="preserve">Соціально-демографічний блок для отримання загальної інформації про респондента; </w:t>
      </w:r>
    </w:p>
    <w:p w14:paraId="3EA894C6" w14:textId="77777777" w:rsidR="00D52D15" w:rsidRPr="00BA4C0C" w:rsidRDefault="00D52D15" w:rsidP="00BA4C0C">
      <w:pPr>
        <w:numPr>
          <w:ilvl w:val="0"/>
          <w:numId w:val="36"/>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 xml:space="preserve">Блок питань, направлений на визначення критеріїв якості профілактичних послуг для осіб з груп </w:t>
      </w:r>
      <w:proofErr w:type="spellStart"/>
      <w:r w:rsidRPr="00BA4C0C">
        <w:rPr>
          <w:rFonts w:ascii="Times New Roman" w:eastAsia="Calibri" w:hAnsi="Times New Roman"/>
          <w:sz w:val="24"/>
          <w:szCs w:val="24"/>
        </w:rPr>
        <w:t>підвищенного</w:t>
      </w:r>
      <w:proofErr w:type="spellEnd"/>
      <w:r w:rsidRPr="00BA4C0C">
        <w:rPr>
          <w:rFonts w:ascii="Times New Roman" w:eastAsia="Calibri" w:hAnsi="Times New Roman"/>
          <w:sz w:val="24"/>
          <w:szCs w:val="24"/>
        </w:rPr>
        <w:t xml:space="preserve"> ризику щодо </w:t>
      </w:r>
      <w:proofErr w:type="spellStart"/>
      <w:r w:rsidRPr="00BA4C0C">
        <w:rPr>
          <w:rFonts w:ascii="Times New Roman" w:eastAsia="Calibri" w:hAnsi="Times New Roman"/>
          <w:sz w:val="24"/>
          <w:szCs w:val="24"/>
        </w:rPr>
        <w:t>інфікуваня</w:t>
      </w:r>
      <w:proofErr w:type="spellEnd"/>
      <w:r w:rsidRPr="00BA4C0C">
        <w:rPr>
          <w:rFonts w:ascii="Times New Roman" w:eastAsia="Calibri" w:hAnsi="Times New Roman"/>
          <w:sz w:val="24"/>
          <w:szCs w:val="24"/>
        </w:rPr>
        <w:t xml:space="preserve"> ВІЛ, а саме ЛВНІ, СП, ЧСЧ;</w:t>
      </w:r>
    </w:p>
    <w:p w14:paraId="646052AF" w14:textId="77777777" w:rsidR="00D52D15" w:rsidRPr="00BA4C0C" w:rsidRDefault="00D52D15" w:rsidP="00BA4C0C">
      <w:pPr>
        <w:numPr>
          <w:ilvl w:val="0"/>
          <w:numId w:val="36"/>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 xml:space="preserve">Блок питань для визначення </w:t>
      </w:r>
      <w:bookmarkStart w:id="14" w:name="_Hlk79158792"/>
      <w:r w:rsidRPr="00BA4C0C">
        <w:rPr>
          <w:rFonts w:ascii="Times New Roman" w:eastAsia="Calibri" w:hAnsi="Times New Roman"/>
          <w:sz w:val="24"/>
          <w:szCs w:val="24"/>
        </w:rPr>
        <w:t xml:space="preserve">бар’єрів та факторів, що сприяють </w:t>
      </w:r>
      <w:bookmarkEnd w:id="14"/>
      <w:r w:rsidRPr="00BA4C0C">
        <w:rPr>
          <w:rFonts w:ascii="Times New Roman" w:eastAsia="Calibri" w:hAnsi="Times New Roman"/>
          <w:sz w:val="24"/>
          <w:szCs w:val="24"/>
        </w:rPr>
        <w:t xml:space="preserve">отриманню профілактичних послуг для осіб з груп </w:t>
      </w:r>
      <w:proofErr w:type="spellStart"/>
      <w:r w:rsidRPr="00BA4C0C">
        <w:rPr>
          <w:rFonts w:ascii="Times New Roman" w:eastAsia="Calibri" w:hAnsi="Times New Roman"/>
          <w:sz w:val="24"/>
          <w:szCs w:val="24"/>
        </w:rPr>
        <w:t>підвищенного</w:t>
      </w:r>
      <w:proofErr w:type="spellEnd"/>
      <w:r w:rsidRPr="00BA4C0C">
        <w:rPr>
          <w:rFonts w:ascii="Times New Roman" w:eastAsia="Calibri" w:hAnsi="Times New Roman"/>
          <w:sz w:val="24"/>
          <w:szCs w:val="24"/>
        </w:rPr>
        <w:t xml:space="preserve"> ризику щодо </w:t>
      </w:r>
      <w:proofErr w:type="spellStart"/>
      <w:r w:rsidRPr="00BA4C0C">
        <w:rPr>
          <w:rFonts w:ascii="Times New Roman" w:eastAsia="Calibri" w:hAnsi="Times New Roman"/>
          <w:sz w:val="24"/>
          <w:szCs w:val="24"/>
        </w:rPr>
        <w:t>інфікуваня</w:t>
      </w:r>
      <w:proofErr w:type="spellEnd"/>
      <w:r w:rsidRPr="00BA4C0C">
        <w:rPr>
          <w:rFonts w:ascii="Times New Roman" w:eastAsia="Calibri" w:hAnsi="Times New Roman"/>
          <w:sz w:val="24"/>
          <w:szCs w:val="24"/>
        </w:rPr>
        <w:t xml:space="preserve"> ВІЛ, а саме ЛВНІ, СП, ЧСЧ.</w:t>
      </w:r>
    </w:p>
    <w:p w14:paraId="5E50ECD9" w14:textId="77777777" w:rsidR="00D52D15" w:rsidRPr="00BA4C0C" w:rsidRDefault="00D52D15" w:rsidP="00BA4C0C">
      <w:pPr>
        <w:spacing w:after="0" w:line="240" w:lineRule="auto"/>
        <w:ind w:firstLine="567"/>
        <w:contextualSpacing/>
        <w:jc w:val="both"/>
        <w:rPr>
          <w:rFonts w:ascii="Times New Roman" w:eastAsia="Calibri" w:hAnsi="Times New Roman"/>
          <w:sz w:val="24"/>
          <w:szCs w:val="24"/>
        </w:rPr>
      </w:pPr>
    </w:p>
    <w:p w14:paraId="619B2289"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Анкета для другого компоненту дослідження має включати:</w:t>
      </w:r>
    </w:p>
    <w:p w14:paraId="1788DC94" w14:textId="77777777" w:rsidR="00D52D15" w:rsidRPr="00BA4C0C" w:rsidRDefault="00D52D15" w:rsidP="00BA4C0C">
      <w:pPr>
        <w:numPr>
          <w:ilvl w:val="0"/>
          <w:numId w:val="37"/>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lastRenderedPageBreak/>
        <w:t>Соціально-демографічний блок для отримання загальної інформації про респондента;</w:t>
      </w:r>
    </w:p>
    <w:p w14:paraId="7882E870" w14:textId="77777777" w:rsidR="00D52D15" w:rsidRPr="00BA4C0C" w:rsidRDefault="00D52D15" w:rsidP="00BA4C0C">
      <w:pPr>
        <w:numPr>
          <w:ilvl w:val="0"/>
          <w:numId w:val="37"/>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 xml:space="preserve">Блок питань, направлений на визначення критеріїв якості послуг з </w:t>
      </w:r>
      <w:proofErr w:type="spellStart"/>
      <w:r w:rsidRPr="00BA4C0C">
        <w:rPr>
          <w:rFonts w:ascii="Times New Roman" w:eastAsia="Calibri" w:hAnsi="Times New Roman"/>
          <w:sz w:val="24"/>
          <w:szCs w:val="24"/>
        </w:rPr>
        <w:t>ДіП</w:t>
      </w:r>
      <w:proofErr w:type="spellEnd"/>
      <w:r w:rsidRPr="00BA4C0C">
        <w:rPr>
          <w:rFonts w:ascii="Times New Roman" w:eastAsia="Calibri" w:hAnsi="Times New Roman"/>
          <w:sz w:val="24"/>
          <w:szCs w:val="24"/>
        </w:rPr>
        <w:t xml:space="preserve"> у зв’язку з ВІЛ серед ЛЖВ та визначення задоволеності ЛЖВ якістю даних програм; </w:t>
      </w:r>
    </w:p>
    <w:p w14:paraId="511C0640" w14:textId="77777777" w:rsidR="00D52D15" w:rsidRPr="00BA4C0C" w:rsidRDefault="00D52D15" w:rsidP="00BA4C0C">
      <w:pPr>
        <w:numPr>
          <w:ilvl w:val="0"/>
          <w:numId w:val="37"/>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 xml:space="preserve">Блок питань для визначення бар’єрів та факторів, що сприяють отриманню </w:t>
      </w:r>
      <w:bookmarkStart w:id="15" w:name="_Hlk79753946"/>
      <w:r w:rsidRPr="00BA4C0C">
        <w:rPr>
          <w:rFonts w:ascii="Times New Roman" w:eastAsia="Calibri" w:hAnsi="Times New Roman"/>
          <w:sz w:val="24"/>
          <w:szCs w:val="24"/>
        </w:rPr>
        <w:t xml:space="preserve">послуг з </w:t>
      </w:r>
      <w:proofErr w:type="spellStart"/>
      <w:r w:rsidRPr="00BA4C0C">
        <w:rPr>
          <w:rFonts w:ascii="Times New Roman" w:eastAsia="Calibri" w:hAnsi="Times New Roman"/>
          <w:sz w:val="24"/>
          <w:szCs w:val="24"/>
        </w:rPr>
        <w:t>ДіП</w:t>
      </w:r>
      <w:proofErr w:type="spellEnd"/>
      <w:r w:rsidRPr="00BA4C0C">
        <w:rPr>
          <w:rFonts w:ascii="Times New Roman" w:eastAsia="Calibri" w:hAnsi="Times New Roman"/>
          <w:sz w:val="24"/>
          <w:szCs w:val="24"/>
        </w:rPr>
        <w:t xml:space="preserve"> у зв’язку з ВІЛ серед ЛЖВ</w:t>
      </w:r>
      <w:bookmarkEnd w:id="15"/>
      <w:r w:rsidRPr="00BA4C0C">
        <w:rPr>
          <w:rFonts w:ascii="Times New Roman" w:eastAsia="Calibri" w:hAnsi="Times New Roman"/>
          <w:sz w:val="24"/>
          <w:szCs w:val="24"/>
        </w:rPr>
        <w:t>;</w:t>
      </w:r>
    </w:p>
    <w:p w14:paraId="3B289EF1" w14:textId="77777777" w:rsidR="00D52D15" w:rsidRPr="00BA4C0C" w:rsidRDefault="00D52D15" w:rsidP="00BA4C0C">
      <w:pPr>
        <w:numPr>
          <w:ilvl w:val="0"/>
          <w:numId w:val="37"/>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Блок питань, який стосується причин переривання та відмови від АРТ.</w:t>
      </w:r>
    </w:p>
    <w:p w14:paraId="2066474A"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 xml:space="preserve"> </w:t>
      </w:r>
    </w:p>
    <w:p w14:paraId="0EC99D28"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b/>
          <w:bCs/>
          <w:sz w:val="24"/>
          <w:szCs w:val="24"/>
        </w:rPr>
        <w:t>Цільова аудиторія дослідження:</w:t>
      </w:r>
    </w:p>
    <w:p w14:paraId="679EAEA4" w14:textId="77777777" w:rsidR="00D52D15" w:rsidRPr="00BA4C0C" w:rsidRDefault="00D52D15" w:rsidP="00BA4C0C">
      <w:pPr>
        <w:numPr>
          <w:ilvl w:val="0"/>
          <w:numId w:val="11"/>
        </w:numPr>
        <w:spacing w:after="0" w:line="240" w:lineRule="auto"/>
        <w:ind w:left="0" w:firstLine="567"/>
        <w:contextualSpacing/>
        <w:jc w:val="both"/>
        <w:rPr>
          <w:rFonts w:ascii="Times New Roman" w:eastAsia="Calibri" w:hAnsi="Times New Roman"/>
          <w:b/>
          <w:bCs/>
          <w:sz w:val="24"/>
          <w:szCs w:val="24"/>
        </w:rPr>
      </w:pPr>
      <w:r w:rsidRPr="00BA4C0C">
        <w:rPr>
          <w:rFonts w:ascii="Times New Roman" w:eastAsia="Calibri" w:hAnsi="Times New Roman"/>
          <w:sz w:val="24"/>
          <w:szCs w:val="24"/>
        </w:rPr>
        <w:t>У рамках першого компоненту буде опитано безпосередньо представників та представниць ЛВНІ, СП, ЧСЧ.</w:t>
      </w:r>
    </w:p>
    <w:p w14:paraId="4D9EC2BD" w14:textId="77777777" w:rsidR="00D52D15" w:rsidRPr="00BA4C0C" w:rsidRDefault="00D52D15" w:rsidP="00BA4C0C">
      <w:pPr>
        <w:numPr>
          <w:ilvl w:val="0"/>
          <w:numId w:val="11"/>
        </w:numPr>
        <w:spacing w:after="0" w:line="240" w:lineRule="auto"/>
        <w:ind w:left="0" w:firstLine="567"/>
        <w:contextualSpacing/>
        <w:jc w:val="both"/>
        <w:rPr>
          <w:rFonts w:ascii="Times New Roman" w:eastAsia="Calibri" w:hAnsi="Times New Roman"/>
          <w:b/>
          <w:bCs/>
          <w:sz w:val="24"/>
          <w:szCs w:val="24"/>
        </w:rPr>
      </w:pPr>
      <w:r w:rsidRPr="00BA4C0C">
        <w:rPr>
          <w:rFonts w:ascii="Times New Roman" w:eastAsia="Calibri" w:hAnsi="Times New Roman"/>
          <w:sz w:val="24"/>
          <w:szCs w:val="24"/>
        </w:rPr>
        <w:t>У рамках другого компоненту буде опитано:</w:t>
      </w:r>
    </w:p>
    <w:p w14:paraId="5EA19B7C" w14:textId="77777777" w:rsidR="00D52D15" w:rsidRPr="001C3056" w:rsidRDefault="00D52D15" w:rsidP="001C3056">
      <w:pPr>
        <w:pStyle w:val="a3"/>
        <w:numPr>
          <w:ilvl w:val="0"/>
          <w:numId w:val="43"/>
        </w:numPr>
        <w:tabs>
          <w:tab w:val="left" w:pos="6804"/>
        </w:tabs>
        <w:ind w:hanging="153"/>
        <w:jc w:val="both"/>
        <w:rPr>
          <w:rFonts w:ascii="Times New Roman" w:hAnsi="Times New Roman"/>
          <w:sz w:val="24"/>
          <w:szCs w:val="24"/>
          <w:lang w:val="ru-RU"/>
        </w:rPr>
      </w:pPr>
      <w:proofErr w:type="spellStart"/>
      <w:r w:rsidRPr="001C3056">
        <w:rPr>
          <w:rFonts w:ascii="Times New Roman" w:hAnsi="Times New Roman"/>
          <w:sz w:val="24"/>
          <w:szCs w:val="24"/>
          <w:lang w:val="ru-RU"/>
        </w:rPr>
        <w:t>Клієнтів</w:t>
      </w:r>
      <w:proofErr w:type="spellEnd"/>
      <w:r w:rsidRPr="001C3056">
        <w:rPr>
          <w:rFonts w:ascii="Times New Roman" w:hAnsi="Times New Roman"/>
          <w:sz w:val="24"/>
          <w:szCs w:val="24"/>
          <w:lang w:val="ru-RU"/>
        </w:rPr>
        <w:t xml:space="preserve"> ВІЛ-</w:t>
      </w:r>
      <w:proofErr w:type="spellStart"/>
      <w:r w:rsidRPr="001C3056">
        <w:rPr>
          <w:rFonts w:ascii="Times New Roman" w:hAnsi="Times New Roman"/>
          <w:sz w:val="24"/>
          <w:szCs w:val="24"/>
          <w:lang w:val="ru-RU"/>
        </w:rPr>
        <w:t>програм</w:t>
      </w:r>
      <w:proofErr w:type="spellEnd"/>
      <w:r w:rsidRPr="001C3056">
        <w:rPr>
          <w:rFonts w:ascii="Times New Roman" w:hAnsi="Times New Roman"/>
          <w:sz w:val="24"/>
          <w:szCs w:val="24"/>
          <w:lang w:val="ru-RU"/>
        </w:rPr>
        <w:t xml:space="preserve"> з догляду та підтримки в </w:t>
      </w:r>
      <w:proofErr w:type="spellStart"/>
      <w:r w:rsidRPr="001C3056">
        <w:rPr>
          <w:rFonts w:ascii="Times New Roman" w:hAnsi="Times New Roman"/>
          <w:sz w:val="24"/>
          <w:szCs w:val="24"/>
          <w:lang w:val="ru-RU"/>
        </w:rPr>
        <w:t>Україні</w:t>
      </w:r>
      <w:proofErr w:type="spellEnd"/>
      <w:r w:rsidRPr="001C3056">
        <w:rPr>
          <w:rFonts w:ascii="Times New Roman" w:hAnsi="Times New Roman"/>
          <w:sz w:val="24"/>
          <w:szCs w:val="24"/>
          <w:lang w:val="ru-RU"/>
        </w:rPr>
        <w:t xml:space="preserve">, </w:t>
      </w:r>
      <w:proofErr w:type="spellStart"/>
      <w:r w:rsidRPr="001C3056">
        <w:rPr>
          <w:rFonts w:ascii="Times New Roman" w:hAnsi="Times New Roman"/>
          <w:sz w:val="24"/>
          <w:szCs w:val="24"/>
          <w:lang w:val="ru-RU"/>
        </w:rPr>
        <w:t>які</w:t>
      </w:r>
      <w:proofErr w:type="spellEnd"/>
      <w:r w:rsidRPr="001C3056">
        <w:rPr>
          <w:rFonts w:ascii="Times New Roman" w:hAnsi="Times New Roman"/>
          <w:sz w:val="24"/>
          <w:szCs w:val="24"/>
          <w:lang w:val="ru-RU"/>
        </w:rPr>
        <w:t xml:space="preserve"> </w:t>
      </w:r>
      <w:proofErr w:type="spellStart"/>
      <w:r w:rsidRPr="001C3056">
        <w:rPr>
          <w:rFonts w:ascii="Times New Roman" w:hAnsi="Times New Roman"/>
          <w:sz w:val="24"/>
          <w:szCs w:val="24"/>
          <w:lang w:val="ru-RU"/>
        </w:rPr>
        <w:t>перебувають</w:t>
      </w:r>
      <w:proofErr w:type="spellEnd"/>
      <w:r w:rsidRPr="001C3056">
        <w:rPr>
          <w:rFonts w:ascii="Times New Roman" w:hAnsi="Times New Roman"/>
          <w:sz w:val="24"/>
          <w:szCs w:val="24"/>
          <w:lang w:val="ru-RU"/>
        </w:rPr>
        <w:t xml:space="preserve"> на АРТ, </w:t>
      </w:r>
      <w:proofErr w:type="spellStart"/>
      <w:r w:rsidRPr="001C3056">
        <w:rPr>
          <w:rFonts w:ascii="Times New Roman" w:hAnsi="Times New Roman"/>
          <w:sz w:val="24"/>
          <w:szCs w:val="24"/>
          <w:lang w:val="ru-RU"/>
        </w:rPr>
        <w:t>незалежно</w:t>
      </w:r>
      <w:proofErr w:type="spellEnd"/>
      <w:r w:rsidRPr="001C3056">
        <w:rPr>
          <w:rFonts w:ascii="Times New Roman" w:hAnsi="Times New Roman"/>
          <w:sz w:val="24"/>
          <w:szCs w:val="24"/>
          <w:lang w:val="ru-RU"/>
        </w:rPr>
        <w:t xml:space="preserve"> від того, </w:t>
      </w:r>
      <w:proofErr w:type="spellStart"/>
      <w:r w:rsidRPr="001C3056">
        <w:rPr>
          <w:rFonts w:ascii="Times New Roman" w:hAnsi="Times New Roman"/>
          <w:sz w:val="24"/>
          <w:szCs w:val="24"/>
          <w:lang w:val="ru-RU"/>
        </w:rPr>
        <w:t>чи</w:t>
      </w:r>
      <w:proofErr w:type="spellEnd"/>
      <w:r w:rsidRPr="001C3056">
        <w:rPr>
          <w:rFonts w:ascii="Times New Roman" w:hAnsi="Times New Roman"/>
          <w:sz w:val="24"/>
          <w:szCs w:val="24"/>
          <w:lang w:val="ru-RU"/>
        </w:rPr>
        <w:t xml:space="preserve"> </w:t>
      </w:r>
      <w:proofErr w:type="spellStart"/>
      <w:r w:rsidRPr="001C3056">
        <w:rPr>
          <w:rFonts w:ascii="Times New Roman" w:hAnsi="Times New Roman"/>
          <w:sz w:val="24"/>
          <w:szCs w:val="24"/>
          <w:lang w:val="ru-RU"/>
        </w:rPr>
        <w:t>мали</w:t>
      </w:r>
      <w:proofErr w:type="spellEnd"/>
      <w:r w:rsidRPr="001C3056">
        <w:rPr>
          <w:rFonts w:ascii="Times New Roman" w:hAnsi="Times New Roman"/>
          <w:sz w:val="24"/>
          <w:szCs w:val="24"/>
          <w:lang w:val="ru-RU"/>
        </w:rPr>
        <w:t xml:space="preserve"> </w:t>
      </w:r>
      <w:proofErr w:type="spellStart"/>
      <w:r w:rsidRPr="001C3056">
        <w:rPr>
          <w:rFonts w:ascii="Times New Roman" w:hAnsi="Times New Roman"/>
          <w:sz w:val="24"/>
          <w:szCs w:val="24"/>
          <w:lang w:val="ru-RU"/>
        </w:rPr>
        <w:t>досвід</w:t>
      </w:r>
      <w:proofErr w:type="spellEnd"/>
      <w:r w:rsidRPr="001C3056">
        <w:rPr>
          <w:rFonts w:ascii="Times New Roman" w:hAnsi="Times New Roman"/>
          <w:sz w:val="24"/>
          <w:szCs w:val="24"/>
          <w:lang w:val="ru-RU"/>
        </w:rPr>
        <w:t xml:space="preserve"> </w:t>
      </w:r>
      <w:proofErr w:type="spellStart"/>
      <w:r w:rsidRPr="001C3056">
        <w:rPr>
          <w:rFonts w:ascii="Times New Roman" w:hAnsi="Times New Roman"/>
          <w:sz w:val="24"/>
          <w:szCs w:val="24"/>
          <w:lang w:val="ru-RU"/>
        </w:rPr>
        <w:t>переривання</w:t>
      </w:r>
      <w:proofErr w:type="spellEnd"/>
      <w:r w:rsidRPr="001C3056">
        <w:rPr>
          <w:rFonts w:ascii="Times New Roman" w:hAnsi="Times New Roman"/>
          <w:sz w:val="24"/>
          <w:szCs w:val="24"/>
          <w:lang w:val="ru-RU"/>
        </w:rPr>
        <w:t xml:space="preserve"> АРТ (</w:t>
      </w:r>
      <w:proofErr w:type="spellStart"/>
      <w:r w:rsidRPr="001C3056">
        <w:rPr>
          <w:rFonts w:ascii="Times New Roman" w:hAnsi="Times New Roman"/>
          <w:sz w:val="24"/>
          <w:szCs w:val="24"/>
          <w:lang w:val="ru-RU"/>
        </w:rPr>
        <w:t>Перериванням</w:t>
      </w:r>
      <w:proofErr w:type="spellEnd"/>
      <w:r w:rsidRPr="001C3056">
        <w:rPr>
          <w:rFonts w:ascii="Times New Roman" w:hAnsi="Times New Roman"/>
          <w:sz w:val="24"/>
          <w:szCs w:val="24"/>
          <w:lang w:val="ru-RU"/>
        </w:rPr>
        <w:t xml:space="preserve"> </w:t>
      </w:r>
      <w:proofErr w:type="spellStart"/>
      <w:r w:rsidRPr="001C3056">
        <w:rPr>
          <w:rFonts w:ascii="Times New Roman" w:hAnsi="Times New Roman"/>
          <w:sz w:val="24"/>
          <w:szCs w:val="24"/>
          <w:lang w:val="ru-RU"/>
        </w:rPr>
        <w:t>вважається</w:t>
      </w:r>
      <w:proofErr w:type="spellEnd"/>
      <w:r w:rsidRPr="001C3056">
        <w:rPr>
          <w:rFonts w:ascii="Times New Roman" w:hAnsi="Times New Roman"/>
          <w:sz w:val="24"/>
          <w:szCs w:val="24"/>
          <w:lang w:val="ru-RU"/>
        </w:rPr>
        <w:t xml:space="preserve"> </w:t>
      </w:r>
      <w:proofErr w:type="spellStart"/>
      <w:r w:rsidRPr="001C3056">
        <w:rPr>
          <w:rFonts w:ascii="Times New Roman" w:hAnsi="Times New Roman"/>
          <w:sz w:val="24"/>
          <w:szCs w:val="24"/>
          <w:lang w:val="ru-RU"/>
        </w:rPr>
        <w:t>випадок</w:t>
      </w:r>
      <w:proofErr w:type="spellEnd"/>
      <w:r w:rsidRPr="001C3056">
        <w:rPr>
          <w:rFonts w:ascii="Times New Roman" w:hAnsi="Times New Roman"/>
          <w:sz w:val="24"/>
          <w:szCs w:val="24"/>
          <w:lang w:val="ru-RU"/>
        </w:rPr>
        <w:t xml:space="preserve">, коли </w:t>
      </w:r>
      <w:proofErr w:type="spellStart"/>
      <w:r w:rsidRPr="001C3056">
        <w:rPr>
          <w:rFonts w:ascii="Times New Roman" w:hAnsi="Times New Roman"/>
          <w:sz w:val="24"/>
          <w:szCs w:val="24"/>
          <w:lang w:val="ru-RU"/>
        </w:rPr>
        <w:t>людина</w:t>
      </w:r>
      <w:proofErr w:type="spellEnd"/>
      <w:r w:rsidRPr="001C3056">
        <w:rPr>
          <w:rFonts w:ascii="Times New Roman" w:hAnsi="Times New Roman"/>
          <w:sz w:val="24"/>
          <w:szCs w:val="24"/>
          <w:lang w:val="ru-RU"/>
        </w:rPr>
        <w:t xml:space="preserve"> не </w:t>
      </w:r>
      <w:proofErr w:type="spellStart"/>
      <w:r w:rsidRPr="001C3056">
        <w:rPr>
          <w:rFonts w:ascii="Times New Roman" w:hAnsi="Times New Roman"/>
          <w:sz w:val="24"/>
          <w:szCs w:val="24"/>
          <w:lang w:val="ru-RU"/>
        </w:rPr>
        <w:t>з’являлася</w:t>
      </w:r>
      <w:proofErr w:type="spellEnd"/>
      <w:r w:rsidRPr="001C3056">
        <w:rPr>
          <w:rFonts w:ascii="Times New Roman" w:hAnsi="Times New Roman"/>
          <w:sz w:val="24"/>
          <w:szCs w:val="24"/>
          <w:lang w:val="ru-RU"/>
        </w:rPr>
        <w:t xml:space="preserve"> за препаратом протягом 3 </w:t>
      </w:r>
      <w:proofErr w:type="spellStart"/>
      <w:r w:rsidRPr="001C3056">
        <w:rPr>
          <w:rFonts w:ascii="Times New Roman" w:hAnsi="Times New Roman"/>
          <w:sz w:val="24"/>
          <w:szCs w:val="24"/>
          <w:lang w:val="ru-RU"/>
        </w:rPr>
        <w:t>місяців</w:t>
      </w:r>
      <w:proofErr w:type="spellEnd"/>
      <w:r w:rsidRPr="001C3056">
        <w:rPr>
          <w:rFonts w:ascii="Times New Roman" w:hAnsi="Times New Roman"/>
          <w:sz w:val="24"/>
          <w:szCs w:val="24"/>
          <w:lang w:val="ru-RU"/>
        </w:rPr>
        <w:t xml:space="preserve"> та </w:t>
      </w:r>
      <w:proofErr w:type="spellStart"/>
      <w:r w:rsidRPr="001C3056">
        <w:rPr>
          <w:rFonts w:ascii="Times New Roman" w:hAnsi="Times New Roman"/>
          <w:sz w:val="24"/>
          <w:szCs w:val="24"/>
          <w:lang w:val="ru-RU"/>
        </w:rPr>
        <w:t>більше</w:t>
      </w:r>
      <w:proofErr w:type="spellEnd"/>
      <w:r w:rsidRPr="001C3056">
        <w:rPr>
          <w:rFonts w:ascii="Times New Roman" w:hAnsi="Times New Roman"/>
          <w:sz w:val="24"/>
          <w:szCs w:val="24"/>
          <w:lang w:val="ru-RU"/>
        </w:rPr>
        <w:t>);</w:t>
      </w:r>
    </w:p>
    <w:p w14:paraId="78D6C12E" w14:textId="77777777" w:rsidR="00D52D15" w:rsidRPr="00CE1F1A" w:rsidRDefault="00D52D15" w:rsidP="001C3056">
      <w:pPr>
        <w:pStyle w:val="a3"/>
        <w:numPr>
          <w:ilvl w:val="0"/>
          <w:numId w:val="43"/>
        </w:numPr>
        <w:tabs>
          <w:tab w:val="left" w:pos="6804"/>
        </w:tabs>
        <w:ind w:hanging="153"/>
        <w:jc w:val="both"/>
        <w:rPr>
          <w:rFonts w:ascii="Times New Roman" w:hAnsi="Times New Roman"/>
          <w:sz w:val="24"/>
          <w:szCs w:val="24"/>
          <w:lang w:val="ru-RU"/>
        </w:rPr>
      </w:pPr>
      <w:proofErr w:type="spellStart"/>
      <w:r w:rsidRPr="00CE1F1A">
        <w:rPr>
          <w:rFonts w:ascii="Times New Roman" w:hAnsi="Times New Roman"/>
          <w:sz w:val="24"/>
          <w:szCs w:val="24"/>
          <w:lang w:val="ru-RU"/>
        </w:rPr>
        <w:t>Клієнтів</w:t>
      </w:r>
      <w:proofErr w:type="spellEnd"/>
      <w:r w:rsidRPr="00CE1F1A">
        <w:rPr>
          <w:rFonts w:ascii="Times New Roman" w:hAnsi="Times New Roman"/>
          <w:sz w:val="24"/>
          <w:szCs w:val="24"/>
          <w:lang w:val="ru-RU"/>
        </w:rPr>
        <w:t xml:space="preserve"> ВІЛ-</w:t>
      </w:r>
      <w:proofErr w:type="spellStart"/>
      <w:r w:rsidRPr="00CE1F1A">
        <w:rPr>
          <w:rFonts w:ascii="Times New Roman" w:hAnsi="Times New Roman"/>
          <w:sz w:val="24"/>
          <w:szCs w:val="24"/>
          <w:lang w:val="ru-RU"/>
        </w:rPr>
        <w:t>програм</w:t>
      </w:r>
      <w:proofErr w:type="spellEnd"/>
      <w:r w:rsidRPr="00CE1F1A">
        <w:rPr>
          <w:rFonts w:ascii="Times New Roman" w:hAnsi="Times New Roman"/>
          <w:sz w:val="24"/>
          <w:szCs w:val="24"/>
          <w:lang w:val="ru-RU"/>
        </w:rPr>
        <w:t xml:space="preserve"> з догляду та підтримки в </w:t>
      </w:r>
      <w:proofErr w:type="spellStart"/>
      <w:r w:rsidRPr="00CE1F1A">
        <w:rPr>
          <w:rFonts w:ascii="Times New Roman" w:hAnsi="Times New Roman"/>
          <w:sz w:val="24"/>
          <w:szCs w:val="24"/>
          <w:lang w:val="ru-RU"/>
        </w:rPr>
        <w:t>Україні</w:t>
      </w:r>
      <w:proofErr w:type="spellEnd"/>
      <w:r w:rsidRPr="00CE1F1A">
        <w:rPr>
          <w:rFonts w:ascii="Times New Roman" w:hAnsi="Times New Roman"/>
          <w:sz w:val="24"/>
          <w:szCs w:val="24"/>
          <w:lang w:val="ru-RU"/>
        </w:rPr>
        <w:t xml:space="preserve">, </w:t>
      </w:r>
      <w:proofErr w:type="spellStart"/>
      <w:r w:rsidRPr="00CE1F1A">
        <w:rPr>
          <w:rFonts w:ascii="Times New Roman" w:hAnsi="Times New Roman"/>
          <w:sz w:val="24"/>
          <w:szCs w:val="24"/>
          <w:lang w:val="ru-RU"/>
        </w:rPr>
        <w:t>які</w:t>
      </w:r>
      <w:proofErr w:type="spellEnd"/>
      <w:r w:rsidRPr="00CE1F1A">
        <w:rPr>
          <w:rFonts w:ascii="Times New Roman" w:hAnsi="Times New Roman"/>
          <w:sz w:val="24"/>
          <w:szCs w:val="24"/>
          <w:lang w:val="ru-RU"/>
        </w:rPr>
        <w:t xml:space="preserve"> </w:t>
      </w:r>
      <w:proofErr w:type="spellStart"/>
      <w:r w:rsidRPr="00CE1F1A">
        <w:rPr>
          <w:rFonts w:ascii="Times New Roman" w:hAnsi="Times New Roman"/>
          <w:sz w:val="24"/>
          <w:szCs w:val="24"/>
          <w:lang w:val="ru-RU"/>
        </w:rPr>
        <w:t>відмовились</w:t>
      </w:r>
      <w:proofErr w:type="spellEnd"/>
      <w:r w:rsidRPr="00CE1F1A">
        <w:rPr>
          <w:rFonts w:ascii="Times New Roman" w:hAnsi="Times New Roman"/>
          <w:sz w:val="24"/>
          <w:szCs w:val="24"/>
          <w:lang w:val="ru-RU"/>
        </w:rPr>
        <w:t xml:space="preserve"> від АРТ, </w:t>
      </w:r>
      <w:proofErr w:type="spellStart"/>
      <w:r w:rsidRPr="00CE1F1A">
        <w:rPr>
          <w:rFonts w:ascii="Times New Roman" w:hAnsi="Times New Roman"/>
          <w:sz w:val="24"/>
          <w:szCs w:val="24"/>
          <w:lang w:val="ru-RU"/>
        </w:rPr>
        <w:t>включно</w:t>
      </w:r>
      <w:proofErr w:type="spellEnd"/>
      <w:r w:rsidRPr="00CE1F1A">
        <w:rPr>
          <w:rFonts w:ascii="Times New Roman" w:hAnsi="Times New Roman"/>
          <w:sz w:val="24"/>
          <w:szCs w:val="24"/>
          <w:lang w:val="ru-RU"/>
        </w:rPr>
        <w:t xml:space="preserve"> з </w:t>
      </w:r>
      <w:proofErr w:type="spellStart"/>
      <w:r w:rsidRPr="00CE1F1A">
        <w:rPr>
          <w:rFonts w:ascii="Times New Roman" w:hAnsi="Times New Roman"/>
          <w:sz w:val="24"/>
          <w:szCs w:val="24"/>
          <w:lang w:val="ru-RU"/>
        </w:rPr>
        <w:t>тими</w:t>
      </w:r>
      <w:proofErr w:type="spellEnd"/>
      <w:r w:rsidRPr="00CE1F1A">
        <w:rPr>
          <w:rFonts w:ascii="Times New Roman" w:hAnsi="Times New Roman"/>
          <w:sz w:val="24"/>
          <w:szCs w:val="24"/>
          <w:lang w:val="ru-RU"/>
        </w:rPr>
        <w:t xml:space="preserve">, </w:t>
      </w:r>
      <w:proofErr w:type="spellStart"/>
      <w:r w:rsidRPr="00CE1F1A">
        <w:rPr>
          <w:rFonts w:ascii="Times New Roman" w:hAnsi="Times New Roman"/>
          <w:sz w:val="24"/>
          <w:szCs w:val="24"/>
          <w:lang w:val="ru-RU"/>
        </w:rPr>
        <w:t>хто</w:t>
      </w:r>
      <w:proofErr w:type="spellEnd"/>
      <w:r w:rsidRPr="00CE1F1A">
        <w:rPr>
          <w:rFonts w:ascii="Times New Roman" w:hAnsi="Times New Roman"/>
          <w:sz w:val="24"/>
          <w:szCs w:val="24"/>
          <w:lang w:val="ru-RU"/>
        </w:rPr>
        <w:t xml:space="preserve"> мав </w:t>
      </w:r>
      <w:proofErr w:type="spellStart"/>
      <w:r w:rsidRPr="00CE1F1A">
        <w:rPr>
          <w:rFonts w:ascii="Times New Roman" w:hAnsi="Times New Roman"/>
          <w:sz w:val="24"/>
          <w:szCs w:val="24"/>
          <w:lang w:val="ru-RU"/>
        </w:rPr>
        <w:t>досвід</w:t>
      </w:r>
      <w:proofErr w:type="spellEnd"/>
      <w:r w:rsidRPr="00CE1F1A">
        <w:rPr>
          <w:rFonts w:ascii="Times New Roman" w:hAnsi="Times New Roman"/>
          <w:sz w:val="24"/>
          <w:szCs w:val="24"/>
          <w:lang w:val="ru-RU"/>
        </w:rPr>
        <w:t xml:space="preserve"> </w:t>
      </w:r>
      <w:proofErr w:type="spellStart"/>
      <w:proofErr w:type="gramStart"/>
      <w:r w:rsidRPr="00CE1F1A">
        <w:rPr>
          <w:rFonts w:ascii="Times New Roman" w:hAnsi="Times New Roman"/>
          <w:sz w:val="24"/>
          <w:szCs w:val="24"/>
          <w:lang w:val="ru-RU"/>
        </w:rPr>
        <w:t>переривання</w:t>
      </w:r>
      <w:proofErr w:type="spellEnd"/>
      <w:r w:rsidRPr="00CE1F1A">
        <w:rPr>
          <w:rFonts w:ascii="Times New Roman" w:hAnsi="Times New Roman"/>
          <w:sz w:val="24"/>
          <w:szCs w:val="24"/>
          <w:lang w:val="ru-RU"/>
        </w:rPr>
        <w:t xml:space="preserve">  (</w:t>
      </w:r>
      <w:proofErr w:type="spellStart"/>
      <w:proofErr w:type="gramEnd"/>
      <w:r w:rsidRPr="00CE1F1A">
        <w:rPr>
          <w:rFonts w:ascii="Times New Roman" w:hAnsi="Times New Roman"/>
          <w:sz w:val="24"/>
          <w:szCs w:val="24"/>
          <w:lang w:val="ru-RU"/>
        </w:rPr>
        <w:t>відмовою</w:t>
      </w:r>
      <w:proofErr w:type="spellEnd"/>
      <w:r w:rsidRPr="00CE1F1A">
        <w:rPr>
          <w:rFonts w:ascii="Times New Roman" w:hAnsi="Times New Roman"/>
          <w:sz w:val="24"/>
          <w:szCs w:val="24"/>
          <w:lang w:val="ru-RU"/>
        </w:rPr>
        <w:t xml:space="preserve"> </w:t>
      </w:r>
      <w:proofErr w:type="spellStart"/>
      <w:r w:rsidRPr="00CE1F1A">
        <w:rPr>
          <w:rFonts w:ascii="Times New Roman" w:hAnsi="Times New Roman"/>
          <w:sz w:val="24"/>
          <w:szCs w:val="24"/>
          <w:lang w:val="ru-RU"/>
        </w:rPr>
        <w:t>вважається</w:t>
      </w:r>
      <w:proofErr w:type="spellEnd"/>
      <w:r w:rsidRPr="00CE1F1A">
        <w:rPr>
          <w:rFonts w:ascii="Times New Roman" w:hAnsi="Times New Roman"/>
          <w:sz w:val="24"/>
          <w:szCs w:val="24"/>
          <w:lang w:val="ru-RU"/>
        </w:rPr>
        <w:t xml:space="preserve"> </w:t>
      </w:r>
      <w:proofErr w:type="spellStart"/>
      <w:r w:rsidRPr="00CE1F1A">
        <w:rPr>
          <w:rFonts w:ascii="Times New Roman" w:hAnsi="Times New Roman"/>
          <w:sz w:val="24"/>
          <w:szCs w:val="24"/>
          <w:lang w:val="ru-RU"/>
        </w:rPr>
        <w:t>написання</w:t>
      </w:r>
      <w:proofErr w:type="spellEnd"/>
      <w:r w:rsidRPr="00CE1F1A">
        <w:rPr>
          <w:rFonts w:ascii="Times New Roman" w:hAnsi="Times New Roman"/>
          <w:sz w:val="24"/>
          <w:szCs w:val="24"/>
          <w:lang w:val="ru-RU"/>
        </w:rPr>
        <w:t xml:space="preserve"> заяви про </w:t>
      </w:r>
      <w:proofErr w:type="spellStart"/>
      <w:r w:rsidRPr="00CE1F1A">
        <w:rPr>
          <w:rFonts w:ascii="Times New Roman" w:hAnsi="Times New Roman"/>
          <w:sz w:val="24"/>
          <w:szCs w:val="24"/>
          <w:lang w:val="ru-RU"/>
        </w:rPr>
        <w:t>відмову</w:t>
      </w:r>
      <w:proofErr w:type="spellEnd"/>
      <w:r w:rsidRPr="00CE1F1A">
        <w:rPr>
          <w:rFonts w:ascii="Times New Roman" w:hAnsi="Times New Roman"/>
          <w:sz w:val="24"/>
          <w:szCs w:val="24"/>
          <w:lang w:val="ru-RU"/>
        </w:rPr>
        <w:t xml:space="preserve"> від </w:t>
      </w:r>
      <w:proofErr w:type="spellStart"/>
      <w:r w:rsidRPr="00CE1F1A">
        <w:rPr>
          <w:rFonts w:ascii="Times New Roman" w:hAnsi="Times New Roman"/>
          <w:sz w:val="24"/>
          <w:szCs w:val="24"/>
          <w:lang w:val="ru-RU"/>
        </w:rPr>
        <w:t>прийому</w:t>
      </w:r>
      <w:proofErr w:type="spellEnd"/>
      <w:r w:rsidRPr="00CE1F1A">
        <w:rPr>
          <w:rFonts w:ascii="Times New Roman" w:hAnsi="Times New Roman"/>
          <w:sz w:val="24"/>
          <w:szCs w:val="24"/>
          <w:lang w:val="ru-RU"/>
        </w:rPr>
        <w:t xml:space="preserve"> АРТ-</w:t>
      </w:r>
      <w:proofErr w:type="spellStart"/>
      <w:r w:rsidRPr="00CE1F1A">
        <w:rPr>
          <w:rFonts w:ascii="Times New Roman" w:hAnsi="Times New Roman"/>
          <w:sz w:val="24"/>
          <w:szCs w:val="24"/>
          <w:lang w:val="ru-RU"/>
        </w:rPr>
        <w:t>препаратів</w:t>
      </w:r>
      <w:proofErr w:type="spellEnd"/>
      <w:r w:rsidRPr="00CE1F1A">
        <w:rPr>
          <w:rFonts w:ascii="Times New Roman" w:hAnsi="Times New Roman"/>
          <w:sz w:val="24"/>
          <w:szCs w:val="24"/>
          <w:lang w:val="ru-RU"/>
        </w:rPr>
        <w:t>)</w:t>
      </w:r>
    </w:p>
    <w:p w14:paraId="61BDF972" w14:textId="77777777" w:rsidR="00D52D15" w:rsidRPr="00BA4C0C" w:rsidRDefault="00D52D15" w:rsidP="00BA4C0C">
      <w:pPr>
        <w:spacing w:after="0" w:line="240" w:lineRule="auto"/>
        <w:ind w:firstLine="567"/>
        <w:jc w:val="both"/>
        <w:rPr>
          <w:rFonts w:ascii="Times New Roman" w:hAnsi="Times New Roman"/>
          <w:b/>
          <w:bCs/>
          <w:sz w:val="24"/>
          <w:szCs w:val="24"/>
        </w:rPr>
      </w:pPr>
    </w:p>
    <w:p w14:paraId="50176E71"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b/>
          <w:bCs/>
          <w:sz w:val="24"/>
          <w:szCs w:val="24"/>
        </w:rPr>
        <w:t>Критерії включення:</w:t>
      </w:r>
    </w:p>
    <w:p w14:paraId="2DF4D1B3" w14:textId="77777777" w:rsidR="00D52D15" w:rsidRPr="00BA4C0C" w:rsidRDefault="00D52D15" w:rsidP="00BA4C0C">
      <w:pPr>
        <w:numPr>
          <w:ilvl w:val="0"/>
          <w:numId w:val="12"/>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Для ЛВНІ, СП, ЧСЧ:</w:t>
      </w:r>
    </w:p>
    <w:p w14:paraId="241D820B" w14:textId="77777777" w:rsidR="00D52D15" w:rsidRPr="00BA4C0C" w:rsidRDefault="00D52D15" w:rsidP="00BA4C0C">
      <w:pPr>
        <w:numPr>
          <w:ilvl w:val="0"/>
          <w:numId w:val="13"/>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Є представником/</w:t>
      </w:r>
      <w:proofErr w:type="spellStart"/>
      <w:r w:rsidRPr="00BA4C0C">
        <w:rPr>
          <w:rFonts w:ascii="Times New Roman" w:eastAsia="Calibri" w:hAnsi="Times New Roman"/>
          <w:sz w:val="24"/>
          <w:szCs w:val="24"/>
        </w:rPr>
        <w:t>цею</w:t>
      </w:r>
      <w:proofErr w:type="spellEnd"/>
      <w:r w:rsidRPr="00BA4C0C">
        <w:rPr>
          <w:rFonts w:ascii="Times New Roman" w:eastAsia="Calibri" w:hAnsi="Times New Roman"/>
          <w:sz w:val="24"/>
          <w:szCs w:val="24"/>
        </w:rPr>
        <w:t xml:space="preserve"> ЛВНІ, СП, ЧСЧ;</w:t>
      </w:r>
    </w:p>
    <w:p w14:paraId="1B129473" w14:textId="77777777" w:rsidR="00D52D15" w:rsidRPr="00BA4C0C" w:rsidRDefault="00D52D15" w:rsidP="00BA4C0C">
      <w:pPr>
        <w:numPr>
          <w:ilvl w:val="0"/>
          <w:numId w:val="13"/>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 xml:space="preserve">Для ЛВНІ та ЧСЧ: </w:t>
      </w:r>
      <w:bookmarkStart w:id="16" w:name="_Hlk79742629"/>
      <w:r w:rsidRPr="00BA4C0C">
        <w:rPr>
          <w:rFonts w:ascii="Times New Roman" w:eastAsia="Calibri" w:hAnsi="Times New Roman"/>
          <w:sz w:val="24"/>
          <w:szCs w:val="24"/>
        </w:rPr>
        <w:t>віком від 14 років і старше на момент дослідження</w:t>
      </w:r>
      <w:bookmarkEnd w:id="16"/>
      <w:r w:rsidRPr="00BA4C0C">
        <w:rPr>
          <w:rFonts w:ascii="Times New Roman" w:eastAsia="Calibri" w:hAnsi="Times New Roman"/>
          <w:sz w:val="24"/>
          <w:szCs w:val="24"/>
        </w:rPr>
        <w:t>;</w:t>
      </w:r>
    </w:p>
    <w:p w14:paraId="32D5B8F3" w14:textId="77777777" w:rsidR="00D52D15" w:rsidRPr="00BA4C0C" w:rsidRDefault="00D52D15" w:rsidP="00BA4C0C">
      <w:pPr>
        <w:numPr>
          <w:ilvl w:val="0"/>
          <w:numId w:val="13"/>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Для СП: віком від 18 років і старше на момент дослідження</w:t>
      </w:r>
    </w:p>
    <w:p w14:paraId="4C250C75" w14:textId="77777777" w:rsidR="00D52D15" w:rsidRPr="00BA4C0C" w:rsidRDefault="00D52D15" w:rsidP="00BA4C0C">
      <w:pPr>
        <w:numPr>
          <w:ilvl w:val="0"/>
          <w:numId w:val="13"/>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 xml:space="preserve">Є </w:t>
      </w:r>
      <w:bookmarkStart w:id="17" w:name="_Hlk79756168"/>
      <w:r w:rsidRPr="00BA4C0C">
        <w:rPr>
          <w:rFonts w:ascii="Times New Roman" w:eastAsia="Calibri" w:hAnsi="Times New Roman"/>
          <w:sz w:val="24"/>
          <w:szCs w:val="24"/>
        </w:rPr>
        <w:t xml:space="preserve">клієнт/ками </w:t>
      </w:r>
      <w:bookmarkEnd w:id="17"/>
      <w:r w:rsidRPr="00BA4C0C">
        <w:rPr>
          <w:rFonts w:ascii="Times New Roman" w:eastAsia="Calibri" w:hAnsi="Times New Roman"/>
          <w:sz w:val="24"/>
          <w:szCs w:val="24"/>
        </w:rPr>
        <w:t xml:space="preserve">профілактичних послуг для осіб з груп </w:t>
      </w:r>
      <w:proofErr w:type="spellStart"/>
      <w:r w:rsidRPr="00BA4C0C">
        <w:rPr>
          <w:rFonts w:ascii="Times New Roman" w:eastAsia="Calibri" w:hAnsi="Times New Roman"/>
          <w:sz w:val="24"/>
          <w:szCs w:val="24"/>
        </w:rPr>
        <w:t>підвищенного</w:t>
      </w:r>
      <w:proofErr w:type="spellEnd"/>
      <w:r w:rsidRPr="00BA4C0C">
        <w:rPr>
          <w:rFonts w:ascii="Times New Roman" w:eastAsia="Calibri" w:hAnsi="Times New Roman"/>
          <w:sz w:val="24"/>
          <w:szCs w:val="24"/>
        </w:rPr>
        <w:t xml:space="preserve"> ризику щодо </w:t>
      </w:r>
      <w:proofErr w:type="spellStart"/>
      <w:r w:rsidRPr="00BA4C0C">
        <w:rPr>
          <w:rFonts w:ascii="Times New Roman" w:eastAsia="Calibri" w:hAnsi="Times New Roman"/>
          <w:sz w:val="24"/>
          <w:szCs w:val="24"/>
        </w:rPr>
        <w:t>інфікуваня</w:t>
      </w:r>
      <w:proofErr w:type="spellEnd"/>
      <w:r w:rsidRPr="00BA4C0C">
        <w:rPr>
          <w:rFonts w:ascii="Times New Roman" w:eastAsia="Calibri" w:hAnsi="Times New Roman"/>
          <w:sz w:val="24"/>
          <w:szCs w:val="24"/>
        </w:rPr>
        <w:t xml:space="preserve"> ВІЛ у відповідному населеному пункті протягом мінімум 3 місяців на момент участі в дослідженні.</w:t>
      </w:r>
    </w:p>
    <w:p w14:paraId="445BB799" w14:textId="77777777" w:rsidR="00D52D15" w:rsidRPr="00BA4C0C" w:rsidRDefault="00D52D15" w:rsidP="00BA4C0C">
      <w:pPr>
        <w:spacing w:after="0" w:line="240" w:lineRule="auto"/>
        <w:ind w:firstLine="567"/>
        <w:contextualSpacing/>
        <w:jc w:val="both"/>
        <w:rPr>
          <w:rFonts w:ascii="Times New Roman" w:eastAsia="Calibri" w:hAnsi="Times New Roman"/>
          <w:sz w:val="24"/>
          <w:szCs w:val="24"/>
        </w:rPr>
      </w:pPr>
    </w:p>
    <w:p w14:paraId="0D9F5349" w14:textId="77777777" w:rsidR="00D52D15" w:rsidRPr="00BA4C0C" w:rsidRDefault="00D52D15" w:rsidP="00BA4C0C">
      <w:pPr>
        <w:numPr>
          <w:ilvl w:val="0"/>
          <w:numId w:val="12"/>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Для ЛЖВ:</w:t>
      </w:r>
    </w:p>
    <w:p w14:paraId="344ABDCF" w14:textId="77777777" w:rsidR="00D52D15" w:rsidRPr="00BA4C0C" w:rsidRDefault="00D52D15" w:rsidP="00BA4C0C">
      <w:pPr>
        <w:numPr>
          <w:ilvl w:val="0"/>
          <w:numId w:val="9"/>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Віком від 14 років і старше на момент дослідження;</w:t>
      </w:r>
    </w:p>
    <w:p w14:paraId="32608112" w14:textId="0F9D98AF" w:rsidR="00D52D15" w:rsidRPr="00BA4C0C" w:rsidRDefault="00D52D15" w:rsidP="00BA4C0C">
      <w:pPr>
        <w:numPr>
          <w:ilvl w:val="0"/>
          <w:numId w:val="9"/>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 xml:space="preserve">Є клієнт/ками ВІЛ-програм з догляду та підтримки у відповідному </w:t>
      </w:r>
      <w:proofErr w:type="spellStart"/>
      <w:r w:rsidR="009A63B1" w:rsidRPr="00BA4C0C">
        <w:rPr>
          <w:rFonts w:ascii="Times New Roman" w:eastAsia="Calibri" w:hAnsi="Times New Roman"/>
          <w:sz w:val="24"/>
          <w:szCs w:val="24"/>
        </w:rPr>
        <w:t>населенному</w:t>
      </w:r>
      <w:proofErr w:type="spellEnd"/>
      <w:r w:rsidRPr="00BA4C0C">
        <w:rPr>
          <w:rFonts w:ascii="Times New Roman" w:eastAsia="Calibri" w:hAnsi="Times New Roman"/>
          <w:sz w:val="24"/>
          <w:szCs w:val="24"/>
        </w:rPr>
        <w:t xml:space="preserve"> пункті протягом мінімум 3 місяців на момент участі в дослідженні.</w:t>
      </w:r>
    </w:p>
    <w:p w14:paraId="3B446555" w14:textId="77777777" w:rsidR="00D52D15" w:rsidRPr="00BA4C0C" w:rsidRDefault="00D52D15" w:rsidP="00BA4C0C">
      <w:pPr>
        <w:spacing w:after="0" w:line="240" w:lineRule="auto"/>
        <w:ind w:firstLine="567"/>
        <w:contextualSpacing/>
        <w:jc w:val="both"/>
        <w:rPr>
          <w:rFonts w:ascii="Times New Roman" w:eastAsia="Calibri" w:hAnsi="Times New Roman"/>
          <w:sz w:val="24"/>
          <w:szCs w:val="24"/>
        </w:rPr>
      </w:pPr>
    </w:p>
    <w:p w14:paraId="49F046E5"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b/>
          <w:bCs/>
          <w:sz w:val="24"/>
          <w:szCs w:val="24"/>
        </w:rPr>
        <w:t>Критерії виключення:</w:t>
      </w:r>
    </w:p>
    <w:p w14:paraId="21DC90F1" w14:textId="77777777" w:rsidR="00D52D15" w:rsidRPr="00BA4C0C" w:rsidRDefault="00D52D15" w:rsidP="00BA4C0C">
      <w:pPr>
        <w:numPr>
          <w:ilvl w:val="0"/>
          <w:numId w:val="10"/>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Перебувають у стані наркотичного чи алкогольного сп’яніння на час участі в дослідженні.</w:t>
      </w:r>
    </w:p>
    <w:p w14:paraId="25B1278C" w14:textId="77777777" w:rsidR="00D52D15" w:rsidRPr="00BA4C0C" w:rsidRDefault="00D52D15" w:rsidP="00BA4C0C">
      <w:pPr>
        <w:spacing w:after="0" w:line="240" w:lineRule="auto"/>
        <w:ind w:firstLine="567"/>
        <w:contextualSpacing/>
        <w:jc w:val="both"/>
        <w:rPr>
          <w:rFonts w:ascii="Times New Roman" w:eastAsia="Calibri" w:hAnsi="Times New Roman"/>
          <w:sz w:val="24"/>
          <w:szCs w:val="24"/>
        </w:rPr>
      </w:pPr>
    </w:p>
    <w:p w14:paraId="1846EFF7"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b/>
          <w:bCs/>
          <w:sz w:val="24"/>
          <w:szCs w:val="24"/>
        </w:rPr>
        <w:t xml:space="preserve">Інструменти дослідження:  </w:t>
      </w:r>
    </w:p>
    <w:p w14:paraId="7470A2DB" w14:textId="77777777" w:rsidR="00D52D15" w:rsidRPr="00BA4C0C" w:rsidRDefault="00D52D15" w:rsidP="00BA4C0C">
      <w:pPr>
        <w:numPr>
          <w:ilvl w:val="0"/>
          <w:numId w:val="8"/>
        </w:numPr>
        <w:spacing w:after="0" w:line="240" w:lineRule="auto"/>
        <w:ind w:left="0" w:firstLine="567"/>
        <w:jc w:val="both"/>
        <w:rPr>
          <w:rFonts w:ascii="Times New Roman" w:hAnsi="Times New Roman"/>
          <w:sz w:val="24"/>
          <w:szCs w:val="24"/>
        </w:rPr>
      </w:pPr>
      <w:r w:rsidRPr="00BA4C0C">
        <w:rPr>
          <w:rFonts w:ascii="Times New Roman" w:hAnsi="Times New Roman"/>
          <w:sz w:val="24"/>
          <w:szCs w:val="24"/>
        </w:rPr>
        <w:t>Анкета для проведення опитування клієнтів/</w:t>
      </w:r>
      <w:proofErr w:type="spellStart"/>
      <w:r w:rsidRPr="00BA4C0C">
        <w:rPr>
          <w:rFonts w:ascii="Times New Roman" w:hAnsi="Times New Roman"/>
          <w:sz w:val="24"/>
          <w:szCs w:val="24"/>
        </w:rPr>
        <w:t>ок</w:t>
      </w:r>
      <w:proofErr w:type="spellEnd"/>
      <w:r w:rsidRPr="00BA4C0C">
        <w:rPr>
          <w:rFonts w:ascii="Times New Roman" w:hAnsi="Times New Roman"/>
          <w:sz w:val="24"/>
          <w:szCs w:val="24"/>
        </w:rPr>
        <w:t xml:space="preserve"> профілактичних послуг для осіб з груп </w:t>
      </w:r>
      <w:proofErr w:type="spellStart"/>
      <w:r w:rsidRPr="00BA4C0C">
        <w:rPr>
          <w:rFonts w:ascii="Times New Roman" w:hAnsi="Times New Roman"/>
          <w:sz w:val="24"/>
          <w:szCs w:val="24"/>
        </w:rPr>
        <w:t>підвищенного</w:t>
      </w:r>
      <w:proofErr w:type="spellEnd"/>
      <w:r w:rsidRPr="00BA4C0C">
        <w:rPr>
          <w:rFonts w:ascii="Times New Roman" w:hAnsi="Times New Roman"/>
          <w:sz w:val="24"/>
          <w:szCs w:val="24"/>
        </w:rPr>
        <w:t xml:space="preserve"> ризику щодо </w:t>
      </w:r>
      <w:proofErr w:type="spellStart"/>
      <w:r w:rsidRPr="00BA4C0C">
        <w:rPr>
          <w:rFonts w:ascii="Times New Roman" w:hAnsi="Times New Roman"/>
          <w:sz w:val="24"/>
          <w:szCs w:val="24"/>
        </w:rPr>
        <w:t>інфікуваня</w:t>
      </w:r>
      <w:proofErr w:type="spellEnd"/>
      <w:r w:rsidRPr="00BA4C0C">
        <w:rPr>
          <w:rFonts w:ascii="Times New Roman" w:hAnsi="Times New Roman"/>
          <w:sz w:val="24"/>
          <w:szCs w:val="24"/>
        </w:rPr>
        <w:t xml:space="preserve"> ВІЛ;</w:t>
      </w:r>
    </w:p>
    <w:p w14:paraId="20249A61" w14:textId="77777777" w:rsidR="00D52D15" w:rsidRPr="00BA4C0C" w:rsidRDefault="00D52D15" w:rsidP="00BA4C0C">
      <w:pPr>
        <w:numPr>
          <w:ilvl w:val="0"/>
          <w:numId w:val="8"/>
        </w:numPr>
        <w:spacing w:after="0" w:line="240" w:lineRule="auto"/>
        <w:ind w:left="0" w:firstLine="567"/>
        <w:jc w:val="both"/>
        <w:rPr>
          <w:rFonts w:ascii="Times New Roman" w:hAnsi="Times New Roman"/>
          <w:sz w:val="24"/>
          <w:szCs w:val="24"/>
        </w:rPr>
      </w:pPr>
      <w:r w:rsidRPr="00BA4C0C">
        <w:rPr>
          <w:rFonts w:ascii="Times New Roman" w:hAnsi="Times New Roman"/>
          <w:sz w:val="24"/>
          <w:szCs w:val="24"/>
        </w:rPr>
        <w:t>Анкета для проведення опитування клієнт/ками ВІЛ-програм (ЛЖВ) з догляду та підтримки.</w:t>
      </w:r>
    </w:p>
    <w:p w14:paraId="37434797" w14:textId="77777777" w:rsidR="00D52D15" w:rsidRPr="00BA4C0C" w:rsidRDefault="00D52D15" w:rsidP="00BA4C0C">
      <w:pPr>
        <w:spacing w:after="0" w:line="240" w:lineRule="auto"/>
        <w:ind w:firstLine="567"/>
        <w:jc w:val="both"/>
        <w:rPr>
          <w:rFonts w:ascii="Times New Roman" w:hAnsi="Times New Roman"/>
          <w:sz w:val="24"/>
          <w:szCs w:val="24"/>
        </w:rPr>
      </w:pPr>
    </w:p>
    <w:p w14:paraId="2B1E4938"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b/>
          <w:bCs/>
          <w:sz w:val="24"/>
          <w:szCs w:val="24"/>
        </w:rPr>
        <w:t>Вибірка та географія дослідження</w:t>
      </w:r>
    </w:p>
    <w:p w14:paraId="43EBA942"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Проведення опитування буде відбуватися у вибіркових областях за допомогою репрезентативної двоступеневої кластерної вибірки. Оскільки надання профілактичних послуг та ВІЛ-сервісів організовано за географічним принципом, тобто кількість послуг і клієнт/ками розраховується для кожної області окремо, доцільним є підхід до формування вибірки, за якого кожна область розглядається як окремий кластер. При цьому наявна різниця в кількості представників/</w:t>
      </w:r>
      <w:proofErr w:type="spellStart"/>
      <w:r w:rsidRPr="00BA4C0C">
        <w:rPr>
          <w:rFonts w:ascii="Times New Roman" w:hAnsi="Times New Roman"/>
          <w:sz w:val="24"/>
          <w:szCs w:val="24"/>
        </w:rPr>
        <w:t>ць</w:t>
      </w:r>
      <w:proofErr w:type="spellEnd"/>
      <w:r w:rsidRPr="00BA4C0C">
        <w:rPr>
          <w:rFonts w:ascii="Times New Roman" w:hAnsi="Times New Roman"/>
          <w:sz w:val="24"/>
          <w:szCs w:val="24"/>
        </w:rPr>
        <w:t xml:space="preserve"> ЛВНІ, СП, ЧСЧ та клієнтів/</w:t>
      </w:r>
      <w:proofErr w:type="spellStart"/>
      <w:r w:rsidRPr="00BA4C0C">
        <w:rPr>
          <w:rFonts w:ascii="Times New Roman" w:hAnsi="Times New Roman"/>
          <w:sz w:val="24"/>
          <w:szCs w:val="24"/>
        </w:rPr>
        <w:t>ок</w:t>
      </w:r>
      <w:proofErr w:type="spellEnd"/>
      <w:r w:rsidRPr="00BA4C0C">
        <w:rPr>
          <w:rFonts w:ascii="Times New Roman" w:hAnsi="Times New Roman"/>
          <w:sz w:val="24"/>
          <w:szCs w:val="24"/>
        </w:rPr>
        <w:t xml:space="preserve"> ВІЛ-програм та нерівномірність покриття ВІЛ-програмами території України. Тому наступним кроком формування вибірки буде вибір областей відмінних за згаданими характеристиками. Сумарно для першого компоненту дослідження вибірка має складати 3200 людей. Сумарно для другого компоненту дослідження вибірка має складати 2400 людей.</w:t>
      </w:r>
    </w:p>
    <w:p w14:paraId="42C9207E"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Орієнтовні регіони проведення дослідження:</w:t>
      </w:r>
    </w:p>
    <w:p w14:paraId="38F0619C" w14:textId="77777777" w:rsidR="00D52D15" w:rsidRPr="00BA4C0C" w:rsidRDefault="00D52D15" w:rsidP="00BA4C0C">
      <w:pPr>
        <w:numPr>
          <w:ilvl w:val="0"/>
          <w:numId w:val="14"/>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lastRenderedPageBreak/>
        <w:t>Дніпропетровська область;</w:t>
      </w:r>
    </w:p>
    <w:p w14:paraId="78DD5D5C" w14:textId="77777777" w:rsidR="00D52D15" w:rsidRPr="00BA4C0C" w:rsidRDefault="00D52D15" w:rsidP="00BA4C0C">
      <w:pPr>
        <w:numPr>
          <w:ilvl w:val="0"/>
          <w:numId w:val="14"/>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Донецька область</w:t>
      </w:r>
      <w:r w:rsidRPr="00BA4C0C">
        <w:rPr>
          <w:rFonts w:ascii="Times New Roman" w:eastAsia="Calibri" w:hAnsi="Times New Roman"/>
          <w:sz w:val="24"/>
          <w:szCs w:val="24"/>
          <w:vertAlign w:val="superscript"/>
        </w:rPr>
        <w:footnoteReference w:id="18"/>
      </w:r>
      <w:r w:rsidRPr="00BA4C0C">
        <w:rPr>
          <w:rFonts w:ascii="Times New Roman" w:eastAsia="Calibri" w:hAnsi="Times New Roman"/>
          <w:sz w:val="24"/>
          <w:szCs w:val="24"/>
        </w:rPr>
        <w:t>;</w:t>
      </w:r>
    </w:p>
    <w:p w14:paraId="5F537B65" w14:textId="77777777" w:rsidR="00D52D15" w:rsidRPr="00BA4C0C" w:rsidRDefault="00D52D15" w:rsidP="00BA4C0C">
      <w:pPr>
        <w:numPr>
          <w:ilvl w:val="0"/>
          <w:numId w:val="14"/>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Львівська область;</w:t>
      </w:r>
    </w:p>
    <w:p w14:paraId="20B1BDF7" w14:textId="77777777" w:rsidR="00D52D15" w:rsidRPr="00BA4C0C" w:rsidRDefault="00D52D15" w:rsidP="00BA4C0C">
      <w:pPr>
        <w:numPr>
          <w:ilvl w:val="0"/>
          <w:numId w:val="14"/>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Одеська область;</w:t>
      </w:r>
    </w:p>
    <w:p w14:paraId="5DD17243" w14:textId="77777777" w:rsidR="00D52D15" w:rsidRPr="00BA4C0C" w:rsidRDefault="00D52D15" w:rsidP="00BA4C0C">
      <w:pPr>
        <w:numPr>
          <w:ilvl w:val="0"/>
          <w:numId w:val="14"/>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Рівненська область;</w:t>
      </w:r>
    </w:p>
    <w:p w14:paraId="471963C2" w14:textId="77777777" w:rsidR="00D52D15" w:rsidRPr="00BA4C0C" w:rsidRDefault="00D52D15" w:rsidP="00BA4C0C">
      <w:pPr>
        <w:numPr>
          <w:ilvl w:val="0"/>
          <w:numId w:val="14"/>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Харківська область;</w:t>
      </w:r>
    </w:p>
    <w:p w14:paraId="3414E723" w14:textId="77777777" w:rsidR="00D52D15" w:rsidRPr="00BA4C0C" w:rsidRDefault="00D52D15" w:rsidP="00BA4C0C">
      <w:pPr>
        <w:numPr>
          <w:ilvl w:val="0"/>
          <w:numId w:val="14"/>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Черкаська область;</w:t>
      </w:r>
    </w:p>
    <w:p w14:paraId="20F40581" w14:textId="77777777" w:rsidR="00D52D15" w:rsidRPr="00BA4C0C" w:rsidRDefault="00D52D15" w:rsidP="00BA4C0C">
      <w:pPr>
        <w:numPr>
          <w:ilvl w:val="0"/>
          <w:numId w:val="14"/>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м. Київ.</w:t>
      </w:r>
    </w:p>
    <w:p w14:paraId="4C83ECE5"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 xml:space="preserve">Детальна географія та вибірка для збору даних буде узгоджена із </w:t>
      </w:r>
      <w:proofErr w:type="spellStart"/>
      <w:r w:rsidRPr="00BA4C0C">
        <w:rPr>
          <w:rFonts w:ascii="Times New Roman" w:hAnsi="Times New Roman"/>
          <w:sz w:val="24"/>
          <w:szCs w:val="24"/>
        </w:rPr>
        <w:t>Замовникомта</w:t>
      </w:r>
      <w:proofErr w:type="spellEnd"/>
      <w:r w:rsidRPr="00BA4C0C">
        <w:rPr>
          <w:rFonts w:ascii="Times New Roman" w:hAnsi="Times New Roman"/>
          <w:sz w:val="24"/>
          <w:szCs w:val="24"/>
        </w:rPr>
        <w:t xml:space="preserve"> може бути змінена на етапі підготовки Протоколу дослідження.</w:t>
      </w:r>
    </w:p>
    <w:p w14:paraId="7C23EE85" w14:textId="77777777" w:rsidR="00D52D15" w:rsidRPr="00BA4C0C" w:rsidRDefault="00D52D15" w:rsidP="00BA4C0C">
      <w:pPr>
        <w:tabs>
          <w:tab w:val="left" w:pos="0"/>
          <w:tab w:val="left" w:pos="284"/>
        </w:tabs>
        <w:spacing w:after="0" w:line="240" w:lineRule="auto"/>
        <w:ind w:firstLine="567"/>
        <w:jc w:val="center"/>
        <w:rPr>
          <w:rFonts w:ascii="Times New Roman" w:hAnsi="Times New Roman"/>
          <w:b/>
          <w:bCs/>
          <w:iCs/>
          <w:color w:val="000000" w:themeColor="text1"/>
          <w:sz w:val="24"/>
          <w:szCs w:val="24"/>
        </w:rPr>
      </w:pPr>
    </w:p>
    <w:p w14:paraId="098262A6" w14:textId="77777777" w:rsidR="00D52D15" w:rsidRPr="00BA4C0C" w:rsidRDefault="00D52D15" w:rsidP="00BA4C0C">
      <w:pPr>
        <w:tabs>
          <w:tab w:val="left" w:pos="0"/>
          <w:tab w:val="left" w:pos="284"/>
        </w:tabs>
        <w:spacing w:after="0" w:line="240" w:lineRule="auto"/>
        <w:ind w:firstLine="567"/>
        <w:jc w:val="center"/>
        <w:rPr>
          <w:rFonts w:ascii="Times New Roman" w:hAnsi="Times New Roman"/>
          <w:color w:val="000000"/>
          <w:sz w:val="24"/>
          <w:szCs w:val="24"/>
          <w:u w:val="single"/>
        </w:rPr>
      </w:pPr>
      <w:r w:rsidRPr="00BA4C0C">
        <w:rPr>
          <w:rFonts w:ascii="Times New Roman" w:hAnsi="Times New Roman"/>
          <w:b/>
          <w:bCs/>
          <w:iCs/>
          <w:color w:val="000000" w:themeColor="text1"/>
          <w:sz w:val="24"/>
          <w:szCs w:val="24"/>
        </w:rPr>
        <w:t>Строк проведення дослідження:</w:t>
      </w:r>
    </w:p>
    <w:p w14:paraId="6A0F375E" w14:textId="77777777" w:rsidR="00D52D15" w:rsidRPr="00BA4C0C" w:rsidRDefault="00D52D15" w:rsidP="00BA4C0C">
      <w:pPr>
        <w:tabs>
          <w:tab w:val="left" w:pos="0"/>
          <w:tab w:val="left" w:pos="284"/>
        </w:tabs>
        <w:spacing w:after="0" w:line="240" w:lineRule="auto"/>
        <w:ind w:firstLine="567"/>
        <w:jc w:val="both"/>
        <w:rPr>
          <w:rFonts w:ascii="Times New Roman" w:hAnsi="Times New Roman"/>
          <w:color w:val="000000"/>
          <w:sz w:val="24"/>
          <w:szCs w:val="24"/>
        </w:rPr>
      </w:pPr>
      <w:r w:rsidRPr="00BA4C0C">
        <w:rPr>
          <w:rFonts w:ascii="Times New Roman" w:hAnsi="Times New Roman"/>
          <w:bCs/>
          <w:iCs/>
          <w:color w:val="000000" w:themeColor="text1"/>
          <w:sz w:val="24"/>
          <w:szCs w:val="24"/>
        </w:rPr>
        <w:t>Жовтень 2021 року – серпень</w:t>
      </w:r>
      <w:r w:rsidRPr="00BA4C0C">
        <w:rPr>
          <w:rFonts w:ascii="Times New Roman" w:hAnsi="Times New Roman"/>
          <w:bCs/>
          <w:iCs/>
          <w:color w:val="FF0000"/>
          <w:sz w:val="24"/>
          <w:szCs w:val="24"/>
        </w:rPr>
        <w:t xml:space="preserve"> </w:t>
      </w:r>
      <w:r w:rsidRPr="00BA4C0C">
        <w:rPr>
          <w:rFonts w:ascii="Times New Roman" w:hAnsi="Times New Roman"/>
          <w:bCs/>
          <w:iCs/>
          <w:color w:val="000000" w:themeColor="text1"/>
          <w:sz w:val="24"/>
          <w:szCs w:val="24"/>
        </w:rPr>
        <w:t>2022 року (згідно Календарного плану).</w:t>
      </w:r>
    </w:p>
    <w:p w14:paraId="64CC12C6" w14:textId="77777777" w:rsidR="00D52D15" w:rsidRPr="00BA4C0C" w:rsidRDefault="00D52D15" w:rsidP="00BA4C0C">
      <w:pPr>
        <w:spacing w:after="0" w:line="240" w:lineRule="auto"/>
        <w:ind w:firstLine="567"/>
        <w:rPr>
          <w:rFonts w:ascii="Times New Roman" w:hAnsi="Times New Roman"/>
          <w:b/>
          <w:bCs/>
          <w:sz w:val="24"/>
          <w:szCs w:val="24"/>
        </w:rPr>
      </w:pPr>
    </w:p>
    <w:p w14:paraId="03F918EA" w14:textId="19A9FB07" w:rsidR="00D52D15" w:rsidRPr="00BA4C0C" w:rsidRDefault="00D52D15" w:rsidP="00BA4C0C">
      <w:pPr>
        <w:numPr>
          <w:ilvl w:val="0"/>
          <w:numId w:val="22"/>
        </w:numPr>
        <w:spacing w:after="0" w:line="240" w:lineRule="auto"/>
        <w:ind w:left="0" w:firstLine="567"/>
        <w:contextualSpacing/>
        <w:rPr>
          <w:rFonts w:ascii="Times New Roman" w:eastAsia="Calibri" w:hAnsi="Times New Roman"/>
          <w:b/>
          <w:bCs/>
          <w:sz w:val="24"/>
          <w:szCs w:val="24"/>
        </w:rPr>
      </w:pPr>
      <w:r w:rsidRPr="00BA4C0C">
        <w:rPr>
          <w:rFonts w:ascii="Times New Roman" w:eastAsia="Calibri" w:hAnsi="Times New Roman"/>
          <w:b/>
          <w:bCs/>
          <w:sz w:val="24"/>
          <w:szCs w:val="24"/>
        </w:rPr>
        <w:t>Складові (структура) послуги з проведення досліджень  «Оцінка якості та доступності профілактичних послуг для осіб з груп підвищеного ризику щодо інфікуван</w:t>
      </w:r>
      <w:r w:rsidR="003E6B30" w:rsidRPr="00BA4C0C">
        <w:rPr>
          <w:rFonts w:ascii="Times New Roman" w:eastAsia="Calibri" w:hAnsi="Times New Roman"/>
          <w:b/>
          <w:bCs/>
          <w:sz w:val="24"/>
          <w:szCs w:val="24"/>
        </w:rPr>
        <w:t>н</w:t>
      </w:r>
      <w:r w:rsidRPr="00BA4C0C">
        <w:rPr>
          <w:rFonts w:ascii="Times New Roman" w:eastAsia="Calibri" w:hAnsi="Times New Roman"/>
          <w:b/>
          <w:bCs/>
          <w:sz w:val="24"/>
          <w:szCs w:val="24"/>
        </w:rPr>
        <w:t>я ВІЛ та послуг з догляду та підтримки для ЛЖВ в контексті переходу від донорського до державного фінансування»:</w:t>
      </w:r>
    </w:p>
    <w:p w14:paraId="063D7A77" w14:textId="77777777" w:rsidR="00D52D15" w:rsidRPr="00BA4C0C" w:rsidRDefault="00D52D15" w:rsidP="00BA4C0C">
      <w:pPr>
        <w:spacing w:after="0" w:line="240" w:lineRule="auto"/>
        <w:ind w:firstLine="567"/>
        <w:rPr>
          <w:rFonts w:ascii="Times New Roman" w:hAnsi="Times New Roman"/>
          <w:b/>
          <w:bCs/>
          <w:sz w:val="24"/>
          <w:szCs w:val="24"/>
        </w:rPr>
      </w:pPr>
    </w:p>
    <w:p w14:paraId="7F8FD635" w14:textId="77777777" w:rsidR="00D52D15" w:rsidRPr="00BA4C0C" w:rsidRDefault="00D52D15" w:rsidP="00BA4C0C">
      <w:pPr>
        <w:spacing w:after="0" w:line="240" w:lineRule="auto"/>
        <w:ind w:firstLine="567"/>
        <w:rPr>
          <w:rFonts w:ascii="Times New Roman" w:hAnsi="Times New Roman"/>
          <w:b/>
          <w:bCs/>
          <w:sz w:val="24"/>
          <w:szCs w:val="24"/>
        </w:rPr>
      </w:pPr>
      <w:r w:rsidRPr="00BA4C0C">
        <w:rPr>
          <w:rFonts w:ascii="Times New Roman" w:hAnsi="Times New Roman"/>
          <w:b/>
          <w:bCs/>
          <w:sz w:val="24"/>
          <w:szCs w:val="24"/>
        </w:rPr>
        <w:t>Етап 1: Підготовчий етап, що включає:</w:t>
      </w:r>
    </w:p>
    <w:p w14:paraId="4C19AB2F" w14:textId="77777777" w:rsidR="00D52D15" w:rsidRPr="00BA4C0C" w:rsidRDefault="00D52D15" w:rsidP="00BA4C0C">
      <w:pPr>
        <w:spacing w:after="0" w:line="240" w:lineRule="auto"/>
        <w:ind w:firstLine="567"/>
        <w:rPr>
          <w:rFonts w:ascii="Times New Roman" w:hAnsi="Times New Roman"/>
          <w:sz w:val="24"/>
          <w:szCs w:val="24"/>
        </w:rPr>
      </w:pPr>
    </w:p>
    <w:p w14:paraId="0FC914B3" w14:textId="77777777" w:rsidR="00D52D15" w:rsidRPr="00BA4C0C" w:rsidRDefault="00D52D15" w:rsidP="00BA4C0C">
      <w:pPr>
        <w:numPr>
          <w:ilvl w:val="0"/>
          <w:numId w:val="19"/>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Послугу з підготовки протоколу дослідження.</w:t>
      </w:r>
    </w:p>
    <w:p w14:paraId="302BDCB6" w14:textId="77777777" w:rsidR="00D52D15" w:rsidRPr="00BA4C0C" w:rsidRDefault="00D52D15" w:rsidP="00BA4C0C">
      <w:pPr>
        <w:numPr>
          <w:ilvl w:val="0"/>
          <w:numId w:val="19"/>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Послугу зі складання анкети для першого компоненту дослідження;</w:t>
      </w:r>
    </w:p>
    <w:p w14:paraId="1DBF091D" w14:textId="77777777" w:rsidR="00D52D15" w:rsidRPr="00BA4C0C" w:rsidRDefault="00D52D15" w:rsidP="00BA4C0C">
      <w:pPr>
        <w:numPr>
          <w:ilvl w:val="0"/>
          <w:numId w:val="19"/>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Послугу зі складання анкети для другого компоненту дослідження;</w:t>
      </w:r>
    </w:p>
    <w:p w14:paraId="44CD4C97" w14:textId="77777777" w:rsidR="00D52D15" w:rsidRPr="00BA4C0C" w:rsidRDefault="00D52D15" w:rsidP="00BA4C0C">
      <w:pPr>
        <w:spacing w:after="0" w:line="240" w:lineRule="auto"/>
        <w:ind w:firstLine="567"/>
        <w:rPr>
          <w:rFonts w:ascii="Times New Roman" w:hAnsi="Times New Roman"/>
          <w:sz w:val="24"/>
          <w:szCs w:val="24"/>
        </w:rPr>
      </w:pPr>
    </w:p>
    <w:p w14:paraId="13001965" w14:textId="77777777" w:rsidR="00D52D15" w:rsidRPr="00BA4C0C" w:rsidRDefault="00D52D15" w:rsidP="00BA4C0C">
      <w:pPr>
        <w:spacing w:after="0" w:line="240" w:lineRule="auto"/>
        <w:ind w:firstLine="567"/>
        <w:rPr>
          <w:rFonts w:ascii="Times New Roman" w:hAnsi="Times New Roman"/>
          <w:b/>
          <w:bCs/>
          <w:sz w:val="24"/>
          <w:szCs w:val="24"/>
        </w:rPr>
      </w:pPr>
      <w:r w:rsidRPr="00BA4C0C">
        <w:rPr>
          <w:rFonts w:ascii="Times New Roman" w:hAnsi="Times New Roman"/>
          <w:b/>
          <w:bCs/>
          <w:sz w:val="24"/>
          <w:szCs w:val="24"/>
        </w:rPr>
        <w:t>Етап 2: Польовий етап, що включає:</w:t>
      </w:r>
    </w:p>
    <w:p w14:paraId="05DAF7AF" w14:textId="77777777" w:rsidR="00D52D15" w:rsidRPr="00BA4C0C" w:rsidRDefault="00D52D15" w:rsidP="00BA4C0C">
      <w:pPr>
        <w:numPr>
          <w:ilvl w:val="0"/>
          <w:numId w:val="20"/>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Послугу з рекрутингу та проведення анкетування 3200 респондентів для першого компоненту дослідження;</w:t>
      </w:r>
    </w:p>
    <w:p w14:paraId="3C5CACB2" w14:textId="77777777" w:rsidR="00D52D15" w:rsidRPr="00BA4C0C" w:rsidRDefault="00D52D15" w:rsidP="00BA4C0C">
      <w:pPr>
        <w:numPr>
          <w:ilvl w:val="0"/>
          <w:numId w:val="20"/>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Послугу з рекрутингу та проведення анкетування 2400 респондентів для другого компоненту дослідження;</w:t>
      </w:r>
    </w:p>
    <w:p w14:paraId="4A5A0460" w14:textId="77777777" w:rsidR="00D52D15" w:rsidRPr="00BA4C0C" w:rsidRDefault="00D52D15" w:rsidP="00BA4C0C">
      <w:pPr>
        <w:spacing w:after="0" w:line="240" w:lineRule="auto"/>
        <w:ind w:firstLine="567"/>
        <w:jc w:val="both"/>
        <w:rPr>
          <w:rFonts w:ascii="Times New Roman" w:hAnsi="Times New Roman"/>
          <w:b/>
          <w:bCs/>
          <w:sz w:val="24"/>
          <w:szCs w:val="24"/>
        </w:rPr>
      </w:pPr>
    </w:p>
    <w:p w14:paraId="7A66BD4C"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b/>
          <w:bCs/>
          <w:sz w:val="24"/>
          <w:szCs w:val="24"/>
        </w:rPr>
        <w:t>Етап 3: Підсумковий етап, що включає:</w:t>
      </w:r>
    </w:p>
    <w:p w14:paraId="5279186D" w14:textId="77777777" w:rsidR="00D52D15" w:rsidRPr="00BA4C0C" w:rsidRDefault="00D52D15" w:rsidP="00BA4C0C">
      <w:pPr>
        <w:numPr>
          <w:ilvl w:val="0"/>
          <w:numId w:val="2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Послугу з очистки даних масиву для першого компоненту дослідження;</w:t>
      </w:r>
    </w:p>
    <w:p w14:paraId="0AAAE558" w14:textId="77777777" w:rsidR="00D52D15" w:rsidRPr="00BA4C0C" w:rsidRDefault="00D52D15" w:rsidP="00BA4C0C">
      <w:pPr>
        <w:numPr>
          <w:ilvl w:val="0"/>
          <w:numId w:val="2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Послугу з очистки даних масиву для другого компоненту дослідження.</w:t>
      </w:r>
    </w:p>
    <w:p w14:paraId="592D08FB" w14:textId="77777777" w:rsidR="00D52D15" w:rsidRPr="00BA4C0C" w:rsidRDefault="00D52D15" w:rsidP="00BA4C0C">
      <w:pPr>
        <w:numPr>
          <w:ilvl w:val="0"/>
          <w:numId w:val="2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Послугу з написання звіту дослідження;</w:t>
      </w:r>
    </w:p>
    <w:p w14:paraId="2FBE5EE0" w14:textId="77777777" w:rsidR="00D52D15" w:rsidRPr="00BA4C0C" w:rsidRDefault="00D52D15" w:rsidP="00BA4C0C">
      <w:pPr>
        <w:numPr>
          <w:ilvl w:val="0"/>
          <w:numId w:val="2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 xml:space="preserve">Послугу з проведення </w:t>
      </w:r>
      <w:proofErr w:type="spellStart"/>
      <w:r w:rsidRPr="00BA4C0C">
        <w:rPr>
          <w:rFonts w:ascii="Times New Roman" w:eastAsia="Calibri" w:hAnsi="Times New Roman"/>
          <w:sz w:val="24"/>
          <w:szCs w:val="24"/>
        </w:rPr>
        <w:t>перезентації</w:t>
      </w:r>
      <w:proofErr w:type="spellEnd"/>
      <w:r w:rsidRPr="00BA4C0C">
        <w:rPr>
          <w:rFonts w:ascii="Times New Roman" w:eastAsia="Calibri" w:hAnsi="Times New Roman"/>
          <w:sz w:val="24"/>
          <w:szCs w:val="24"/>
        </w:rPr>
        <w:t xml:space="preserve"> результатів дослідження;</w:t>
      </w:r>
    </w:p>
    <w:p w14:paraId="354A7B1C" w14:textId="77777777" w:rsidR="00D52D15" w:rsidRPr="00BA4C0C" w:rsidRDefault="00D52D15" w:rsidP="00BA4C0C">
      <w:pPr>
        <w:numPr>
          <w:ilvl w:val="0"/>
          <w:numId w:val="2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 xml:space="preserve">Послугу з проведення </w:t>
      </w:r>
      <w:proofErr w:type="spellStart"/>
      <w:r w:rsidRPr="00BA4C0C">
        <w:rPr>
          <w:rFonts w:ascii="Times New Roman" w:eastAsia="Calibri" w:hAnsi="Times New Roman"/>
          <w:sz w:val="24"/>
          <w:szCs w:val="24"/>
        </w:rPr>
        <w:t>перезентації</w:t>
      </w:r>
      <w:proofErr w:type="spellEnd"/>
      <w:r w:rsidRPr="00BA4C0C">
        <w:rPr>
          <w:rFonts w:ascii="Times New Roman" w:eastAsia="Calibri" w:hAnsi="Times New Roman"/>
          <w:sz w:val="24"/>
          <w:szCs w:val="24"/>
        </w:rPr>
        <w:t xml:space="preserve"> результатів дослідження для стейкхолдерів.</w:t>
      </w:r>
    </w:p>
    <w:p w14:paraId="0561C2CF" w14:textId="77777777" w:rsidR="00D52D15" w:rsidRPr="00BA4C0C" w:rsidRDefault="00D52D15" w:rsidP="00BA4C0C">
      <w:pPr>
        <w:spacing w:after="0" w:line="240" w:lineRule="auto"/>
        <w:ind w:firstLine="567"/>
        <w:rPr>
          <w:rFonts w:ascii="Times New Roman" w:hAnsi="Times New Roman"/>
          <w:sz w:val="24"/>
          <w:szCs w:val="24"/>
        </w:rPr>
      </w:pPr>
    </w:p>
    <w:p w14:paraId="127B2651" w14:textId="77777777" w:rsidR="00D52D15" w:rsidRPr="00BA4C0C" w:rsidRDefault="00D52D15" w:rsidP="00BA4C0C">
      <w:pPr>
        <w:numPr>
          <w:ilvl w:val="0"/>
          <w:numId w:val="22"/>
        </w:numPr>
        <w:tabs>
          <w:tab w:val="left" w:pos="426"/>
          <w:tab w:val="left" w:pos="851"/>
          <w:tab w:val="left" w:pos="1560"/>
        </w:tabs>
        <w:spacing w:after="0" w:line="240" w:lineRule="auto"/>
        <w:ind w:left="0" w:firstLine="567"/>
        <w:contextualSpacing/>
        <w:rPr>
          <w:rFonts w:ascii="Times New Roman" w:eastAsia="Calibri" w:hAnsi="Times New Roman"/>
          <w:b/>
          <w:sz w:val="24"/>
          <w:szCs w:val="24"/>
        </w:rPr>
      </w:pPr>
      <w:r w:rsidRPr="00BA4C0C">
        <w:rPr>
          <w:rFonts w:ascii="Times New Roman" w:eastAsia="Calibri" w:hAnsi="Times New Roman"/>
          <w:b/>
          <w:sz w:val="24"/>
          <w:szCs w:val="24"/>
        </w:rPr>
        <w:t>Технічні вимоги до предмета закупівлі:</w:t>
      </w:r>
    </w:p>
    <w:p w14:paraId="19799DDC" w14:textId="444F4A25" w:rsidR="00D52D15" w:rsidRPr="00BA4C0C" w:rsidRDefault="00D52D15" w:rsidP="00BA4C0C">
      <w:pPr>
        <w:spacing w:after="0" w:line="240" w:lineRule="auto"/>
        <w:ind w:firstLine="567"/>
        <w:rPr>
          <w:rFonts w:ascii="Times New Roman" w:hAnsi="Times New Roman"/>
          <w:sz w:val="24"/>
          <w:szCs w:val="24"/>
        </w:rPr>
      </w:pPr>
      <w:r w:rsidRPr="00BA4C0C">
        <w:rPr>
          <w:rFonts w:ascii="Times New Roman" w:hAnsi="Times New Roman"/>
          <w:sz w:val="24"/>
          <w:szCs w:val="24"/>
        </w:rPr>
        <w:t>Послуга з проведення досліджень «Оцінка якості та доступності профілактичних послуг для осіб з груп підвищеного ризику щодо інфікуван</w:t>
      </w:r>
      <w:r w:rsidR="009A63B1" w:rsidRPr="00BA4C0C">
        <w:rPr>
          <w:rFonts w:ascii="Times New Roman" w:hAnsi="Times New Roman"/>
          <w:sz w:val="24"/>
          <w:szCs w:val="24"/>
        </w:rPr>
        <w:t>н</w:t>
      </w:r>
      <w:r w:rsidRPr="00BA4C0C">
        <w:rPr>
          <w:rFonts w:ascii="Times New Roman" w:hAnsi="Times New Roman"/>
          <w:sz w:val="24"/>
          <w:szCs w:val="24"/>
        </w:rPr>
        <w:t>я ВІЛ та послуг з догляду та підтримки для ЛЖВ в контексті переходу від донорського до державного фінансування» має відповідати наступним технічним вимогам:</w:t>
      </w:r>
    </w:p>
    <w:p w14:paraId="69A9CFBF" w14:textId="77777777" w:rsidR="00D52D15" w:rsidRPr="00BA4C0C" w:rsidRDefault="00D52D15" w:rsidP="00BA4C0C">
      <w:pPr>
        <w:spacing w:after="0" w:line="240" w:lineRule="auto"/>
        <w:ind w:firstLine="567"/>
        <w:rPr>
          <w:rFonts w:ascii="Times New Roman" w:hAnsi="Times New Roman"/>
          <w:b/>
          <w:bCs/>
          <w:sz w:val="24"/>
          <w:szCs w:val="24"/>
        </w:rPr>
      </w:pPr>
      <w:r w:rsidRPr="00BA4C0C">
        <w:rPr>
          <w:rFonts w:ascii="Times New Roman" w:hAnsi="Times New Roman"/>
          <w:b/>
          <w:bCs/>
          <w:sz w:val="24"/>
          <w:szCs w:val="24"/>
        </w:rPr>
        <w:t>Етап 1: Підготовчий етап</w:t>
      </w:r>
    </w:p>
    <w:p w14:paraId="3293AF86" w14:textId="77777777" w:rsidR="00D52D15" w:rsidRPr="00BA4C0C" w:rsidRDefault="00D52D15" w:rsidP="00BA4C0C">
      <w:pPr>
        <w:numPr>
          <w:ilvl w:val="0"/>
          <w:numId w:val="23"/>
        </w:numPr>
        <w:spacing w:after="0" w:line="240" w:lineRule="auto"/>
        <w:ind w:left="0" w:firstLine="567"/>
        <w:rPr>
          <w:rFonts w:ascii="Times New Roman" w:hAnsi="Times New Roman"/>
          <w:sz w:val="24"/>
          <w:szCs w:val="24"/>
        </w:rPr>
      </w:pPr>
      <w:r w:rsidRPr="00BA4C0C">
        <w:rPr>
          <w:rFonts w:ascii="Times New Roman" w:hAnsi="Times New Roman"/>
          <w:sz w:val="24"/>
          <w:szCs w:val="24"/>
        </w:rPr>
        <w:t>Послуга з підготовки протоколу дослідження. Результатом надання послуги є Протокол, який має відповідати наступним вимогам:</w:t>
      </w:r>
    </w:p>
    <w:p w14:paraId="66C1790D" w14:textId="77777777" w:rsidR="00D52D15" w:rsidRPr="00BA4C0C" w:rsidRDefault="00D52D15" w:rsidP="00BA4C0C">
      <w:pPr>
        <w:numPr>
          <w:ilvl w:val="0"/>
          <w:numId w:val="26"/>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Має бути наданий Замовнику в електронному форматі;</w:t>
      </w:r>
    </w:p>
    <w:p w14:paraId="274DCB9B" w14:textId="77777777" w:rsidR="00D52D15" w:rsidRPr="00BA4C0C" w:rsidRDefault="00D52D15" w:rsidP="00BA4C0C">
      <w:pPr>
        <w:numPr>
          <w:ilvl w:val="0"/>
          <w:numId w:val="26"/>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 xml:space="preserve">Мати наступну структуру: </w:t>
      </w:r>
    </w:p>
    <w:p w14:paraId="6E88B1A7" w14:textId="77777777" w:rsidR="00D52D15" w:rsidRPr="00BA4C0C" w:rsidRDefault="00D52D15" w:rsidP="00BA4C0C">
      <w:pPr>
        <w:numPr>
          <w:ilvl w:val="0"/>
          <w:numId w:val="24"/>
        </w:numPr>
        <w:spacing w:after="0" w:line="240" w:lineRule="auto"/>
        <w:ind w:left="0" w:firstLine="567"/>
        <w:contextualSpacing/>
        <w:rPr>
          <w:rFonts w:ascii="Times New Roman" w:hAnsi="Times New Roman"/>
          <w:sz w:val="24"/>
          <w:szCs w:val="24"/>
        </w:rPr>
      </w:pPr>
      <w:r w:rsidRPr="00BA4C0C">
        <w:rPr>
          <w:rFonts w:ascii="Times New Roman" w:hAnsi="Times New Roman"/>
          <w:sz w:val="24"/>
          <w:szCs w:val="24"/>
        </w:rPr>
        <w:t xml:space="preserve">Вступна частина (титульний аркуш, список авторів, зміст, скорочення та умовні познаки); </w:t>
      </w:r>
    </w:p>
    <w:p w14:paraId="0D14444A" w14:textId="77777777" w:rsidR="00D52D15" w:rsidRPr="00BA4C0C" w:rsidRDefault="00D52D15" w:rsidP="00BA4C0C">
      <w:pPr>
        <w:numPr>
          <w:ilvl w:val="0"/>
          <w:numId w:val="24"/>
        </w:numPr>
        <w:spacing w:after="0" w:line="240" w:lineRule="auto"/>
        <w:ind w:left="0" w:firstLine="567"/>
        <w:contextualSpacing/>
        <w:rPr>
          <w:rFonts w:ascii="Times New Roman" w:hAnsi="Times New Roman"/>
          <w:sz w:val="24"/>
          <w:szCs w:val="24"/>
        </w:rPr>
      </w:pPr>
      <w:r w:rsidRPr="00BA4C0C">
        <w:rPr>
          <w:rFonts w:ascii="Times New Roman" w:hAnsi="Times New Roman"/>
          <w:sz w:val="24"/>
          <w:szCs w:val="24"/>
        </w:rPr>
        <w:t>Детальний опис проблеми та обґрунтуванням дослідження;</w:t>
      </w:r>
    </w:p>
    <w:p w14:paraId="5D8C7EA8" w14:textId="77777777" w:rsidR="00D52D15" w:rsidRPr="00BA4C0C" w:rsidRDefault="00D52D15" w:rsidP="00BA4C0C">
      <w:pPr>
        <w:numPr>
          <w:ilvl w:val="0"/>
          <w:numId w:val="24"/>
        </w:numPr>
        <w:spacing w:after="0" w:line="240" w:lineRule="auto"/>
        <w:ind w:left="0" w:firstLine="567"/>
        <w:contextualSpacing/>
        <w:rPr>
          <w:rFonts w:ascii="Times New Roman" w:hAnsi="Times New Roman"/>
          <w:sz w:val="24"/>
          <w:szCs w:val="24"/>
        </w:rPr>
      </w:pPr>
      <w:r w:rsidRPr="00BA4C0C">
        <w:rPr>
          <w:rFonts w:ascii="Times New Roman" w:hAnsi="Times New Roman"/>
          <w:sz w:val="24"/>
          <w:szCs w:val="24"/>
        </w:rPr>
        <w:t xml:space="preserve">Опис завдань та мети дослідження; </w:t>
      </w:r>
    </w:p>
    <w:p w14:paraId="71E3E093" w14:textId="77777777" w:rsidR="00D52D15" w:rsidRPr="00BA4C0C" w:rsidRDefault="00D52D15" w:rsidP="00BA4C0C">
      <w:pPr>
        <w:numPr>
          <w:ilvl w:val="0"/>
          <w:numId w:val="24"/>
        </w:numPr>
        <w:spacing w:after="0" w:line="240" w:lineRule="auto"/>
        <w:ind w:left="0" w:firstLine="567"/>
        <w:contextualSpacing/>
        <w:rPr>
          <w:rFonts w:ascii="Times New Roman" w:hAnsi="Times New Roman"/>
          <w:sz w:val="24"/>
          <w:szCs w:val="24"/>
        </w:rPr>
      </w:pPr>
      <w:r w:rsidRPr="00BA4C0C">
        <w:rPr>
          <w:rFonts w:ascii="Times New Roman" w:hAnsi="Times New Roman"/>
          <w:sz w:val="24"/>
          <w:szCs w:val="24"/>
        </w:rPr>
        <w:t>Детальний опис методології та дизайну дослідження;</w:t>
      </w:r>
    </w:p>
    <w:p w14:paraId="4E2B56AC" w14:textId="77777777" w:rsidR="00D52D15" w:rsidRPr="00BA4C0C" w:rsidRDefault="00D52D15" w:rsidP="00BA4C0C">
      <w:pPr>
        <w:numPr>
          <w:ilvl w:val="0"/>
          <w:numId w:val="24"/>
        </w:numPr>
        <w:spacing w:after="0" w:line="240" w:lineRule="auto"/>
        <w:ind w:left="0" w:firstLine="567"/>
        <w:contextualSpacing/>
        <w:rPr>
          <w:rFonts w:ascii="Times New Roman" w:hAnsi="Times New Roman"/>
          <w:sz w:val="24"/>
          <w:szCs w:val="24"/>
        </w:rPr>
      </w:pPr>
      <w:r w:rsidRPr="00BA4C0C">
        <w:rPr>
          <w:rFonts w:ascii="Times New Roman" w:hAnsi="Times New Roman"/>
          <w:sz w:val="24"/>
          <w:szCs w:val="24"/>
        </w:rPr>
        <w:lastRenderedPageBreak/>
        <w:t>Географія дослідження;</w:t>
      </w:r>
    </w:p>
    <w:p w14:paraId="6FA8D448" w14:textId="77777777" w:rsidR="00D52D15" w:rsidRPr="00BA4C0C" w:rsidRDefault="00D52D15" w:rsidP="00BA4C0C">
      <w:pPr>
        <w:numPr>
          <w:ilvl w:val="0"/>
          <w:numId w:val="24"/>
        </w:numPr>
        <w:spacing w:after="0" w:line="240" w:lineRule="auto"/>
        <w:ind w:left="0" w:firstLine="567"/>
        <w:contextualSpacing/>
        <w:rPr>
          <w:rFonts w:ascii="Times New Roman" w:hAnsi="Times New Roman"/>
          <w:sz w:val="24"/>
          <w:szCs w:val="24"/>
        </w:rPr>
      </w:pPr>
      <w:r w:rsidRPr="00BA4C0C">
        <w:rPr>
          <w:rFonts w:ascii="Times New Roman" w:hAnsi="Times New Roman"/>
          <w:sz w:val="24"/>
          <w:szCs w:val="24"/>
        </w:rPr>
        <w:t>Етичні засади проведення дослідження;</w:t>
      </w:r>
    </w:p>
    <w:p w14:paraId="3AE4B928" w14:textId="77777777" w:rsidR="00D52D15" w:rsidRPr="00BA4C0C" w:rsidRDefault="00D52D15" w:rsidP="00BA4C0C">
      <w:pPr>
        <w:numPr>
          <w:ilvl w:val="0"/>
          <w:numId w:val="24"/>
        </w:numPr>
        <w:spacing w:after="0" w:line="240" w:lineRule="auto"/>
        <w:ind w:left="0" w:firstLine="567"/>
        <w:contextualSpacing/>
        <w:rPr>
          <w:rFonts w:ascii="Times New Roman" w:hAnsi="Times New Roman"/>
          <w:sz w:val="24"/>
          <w:szCs w:val="24"/>
        </w:rPr>
      </w:pPr>
      <w:r w:rsidRPr="00BA4C0C">
        <w:rPr>
          <w:rFonts w:ascii="Times New Roman" w:hAnsi="Times New Roman"/>
          <w:sz w:val="24"/>
          <w:szCs w:val="24"/>
        </w:rPr>
        <w:t>Список використаних джерел;</w:t>
      </w:r>
    </w:p>
    <w:p w14:paraId="739FF5B1" w14:textId="77777777" w:rsidR="00D52D15" w:rsidRPr="00BA4C0C" w:rsidRDefault="00D52D15" w:rsidP="00BA4C0C">
      <w:pPr>
        <w:numPr>
          <w:ilvl w:val="0"/>
          <w:numId w:val="24"/>
        </w:numPr>
        <w:spacing w:after="0" w:line="240" w:lineRule="auto"/>
        <w:ind w:left="0" w:firstLine="567"/>
        <w:contextualSpacing/>
        <w:rPr>
          <w:rFonts w:ascii="Times New Roman" w:hAnsi="Times New Roman"/>
          <w:sz w:val="24"/>
          <w:szCs w:val="24"/>
        </w:rPr>
      </w:pPr>
      <w:r w:rsidRPr="00BA4C0C">
        <w:rPr>
          <w:rFonts w:ascii="Times New Roman" w:hAnsi="Times New Roman"/>
          <w:sz w:val="24"/>
          <w:szCs w:val="24"/>
        </w:rPr>
        <w:t>Додатки (за необхідності).</w:t>
      </w:r>
    </w:p>
    <w:p w14:paraId="5AA1700D" w14:textId="77777777" w:rsidR="00D52D15" w:rsidRPr="00BA4C0C" w:rsidRDefault="00D52D15" w:rsidP="00BA4C0C">
      <w:pPr>
        <w:numPr>
          <w:ilvl w:val="0"/>
          <w:numId w:val="23"/>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Послуга зі складання 2 анкет для першого та другого компонентів дослідження. Результатом надання послуги є 2 анкети, які відповідають наступним вимогам:</w:t>
      </w:r>
    </w:p>
    <w:p w14:paraId="7E547A29" w14:textId="77777777" w:rsidR="00D52D15" w:rsidRPr="00BA4C0C" w:rsidRDefault="00D52D15" w:rsidP="00BA4C0C">
      <w:pPr>
        <w:spacing w:after="0" w:line="240" w:lineRule="auto"/>
        <w:ind w:firstLine="567"/>
        <w:contextualSpacing/>
        <w:rPr>
          <w:rFonts w:ascii="Times New Roman" w:eastAsia="Calibri" w:hAnsi="Times New Roman"/>
          <w:sz w:val="24"/>
          <w:szCs w:val="24"/>
        </w:rPr>
      </w:pPr>
    </w:p>
    <w:p w14:paraId="09DF7620" w14:textId="77777777" w:rsidR="00D52D15" w:rsidRPr="00BA4C0C" w:rsidRDefault="00D52D15" w:rsidP="00BA4C0C">
      <w:pPr>
        <w:numPr>
          <w:ilvl w:val="0"/>
          <w:numId w:val="27"/>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Частини анкет мають бути узгоджені із Замовником;</w:t>
      </w:r>
    </w:p>
    <w:p w14:paraId="5CC36D95" w14:textId="77777777" w:rsidR="00D52D15" w:rsidRPr="00BA4C0C" w:rsidRDefault="00D52D15" w:rsidP="00BA4C0C">
      <w:pPr>
        <w:numPr>
          <w:ilvl w:val="0"/>
          <w:numId w:val="27"/>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Анкети мають бути надана Замовнику в електронному форматі.</w:t>
      </w:r>
    </w:p>
    <w:p w14:paraId="504FE3AA" w14:textId="77777777" w:rsidR="00D52D15" w:rsidRPr="00BA4C0C" w:rsidRDefault="00D52D15" w:rsidP="00BA4C0C">
      <w:pPr>
        <w:spacing w:after="0" w:line="240" w:lineRule="auto"/>
        <w:ind w:firstLine="567"/>
        <w:rPr>
          <w:rFonts w:ascii="Times New Roman" w:hAnsi="Times New Roman"/>
          <w:b/>
          <w:bCs/>
          <w:sz w:val="24"/>
          <w:szCs w:val="24"/>
        </w:rPr>
      </w:pPr>
    </w:p>
    <w:p w14:paraId="23DDD83C" w14:textId="77777777" w:rsidR="00D52D15" w:rsidRPr="00BA4C0C" w:rsidRDefault="00D52D15" w:rsidP="00BA4C0C">
      <w:pPr>
        <w:spacing w:after="0" w:line="240" w:lineRule="auto"/>
        <w:ind w:firstLine="567"/>
        <w:rPr>
          <w:rFonts w:ascii="Times New Roman" w:hAnsi="Times New Roman"/>
          <w:b/>
          <w:bCs/>
          <w:sz w:val="24"/>
          <w:szCs w:val="24"/>
        </w:rPr>
      </w:pPr>
      <w:r w:rsidRPr="00BA4C0C">
        <w:rPr>
          <w:rFonts w:ascii="Times New Roman" w:hAnsi="Times New Roman"/>
          <w:b/>
          <w:bCs/>
          <w:sz w:val="24"/>
          <w:szCs w:val="24"/>
        </w:rPr>
        <w:t>Етап 2: Польовий етап</w:t>
      </w:r>
    </w:p>
    <w:p w14:paraId="10BD49B8" w14:textId="77777777" w:rsidR="00D52D15" w:rsidRPr="00BA4C0C" w:rsidRDefault="00D52D15" w:rsidP="00BA4C0C">
      <w:pPr>
        <w:numPr>
          <w:ilvl w:val="0"/>
          <w:numId w:val="25"/>
        </w:numPr>
        <w:spacing w:after="0" w:line="240" w:lineRule="auto"/>
        <w:ind w:left="0" w:firstLine="567"/>
        <w:rPr>
          <w:rFonts w:ascii="Times New Roman" w:hAnsi="Times New Roman"/>
          <w:sz w:val="24"/>
          <w:szCs w:val="24"/>
        </w:rPr>
      </w:pPr>
      <w:r w:rsidRPr="00BA4C0C">
        <w:rPr>
          <w:rFonts w:ascii="Times New Roman" w:hAnsi="Times New Roman"/>
          <w:sz w:val="24"/>
          <w:szCs w:val="24"/>
        </w:rPr>
        <w:t>Послугу з рекрутингу та проведення анкетування 3200 респондентів у рамках першого компоненту дослідження, що має включати:</w:t>
      </w:r>
    </w:p>
    <w:p w14:paraId="48C1DC1A" w14:textId="77777777" w:rsidR="00D52D15" w:rsidRPr="00BA4C0C" w:rsidRDefault="00D52D15" w:rsidP="00BA4C0C">
      <w:pPr>
        <w:numPr>
          <w:ilvl w:val="0"/>
          <w:numId w:val="28"/>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Рекрутинг респондентів: сумарно 3200 респондентів з числа ЛВНІ, ЧСЧ, СП, відповідно до узгодженого географічного розподілу;</w:t>
      </w:r>
    </w:p>
    <w:p w14:paraId="5025BD7E" w14:textId="77777777" w:rsidR="00D52D15" w:rsidRPr="00BA4C0C" w:rsidRDefault="00D52D15" w:rsidP="00BA4C0C">
      <w:pPr>
        <w:numPr>
          <w:ilvl w:val="0"/>
          <w:numId w:val="28"/>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Компенсацію респондентам за витрачений на анкетування час;</w:t>
      </w:r>
    </w:p>
    <w:p w14:paraId="52E361C4" w14:textId="77777777" w:rsidR="00D52D15" w:rsidRPr="00BA4C0C" w:rsidRDefault="00D52D15" w:rsidP="00BA4C0C">
      <w:pPr>
        <w:numPr>
          <w:ilvl w:val="0"/>
          <w:numId w:val="28"/>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 xml:space="preserve">Створення електронної бази даних на основі проведеного анкетування та надання її Замовнику; </w:t>
      </w:r>
    </w:p>
    <w:p w14:paraId="782A719E" w14:textId="77777777" w:rsidR="00D52D15" w:rsidRPr="00BA4C0C" w:rsidRDefault="00D52D15" w:rsidP="00BA4C0C">
      <w:pPr>
        <w:numPr>
          <w:ilvl w:val="0"/>
          <w:numId w:val="28"/>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Виконавець має забезпечити проведення анкетування методом особистих інтерв’ю (</w:t>
      </w:r>
      <w:proofErr w:type="spellStart"/>
      <w:r w:rsidRPr="00BA4C0C">
        <w:rPr>
          <w:rFonts w:ascii="Times New Roman" w:eastAsia="Calibri" w:hAnsi="Times New Roman"/>
          <w:sz w:val="24"/>
          <w:szCs w:val="24"/>
        </w:rPr>
        <w:t>face-to-face</w:t>
      </w:r>
      <w:proofErr w:type="spellEnd"/>
      <w:r w:rsidRPr="00BA4C0C">
        <w:rPr>
          <w:rFonts w:ascii="Times New Roman" w:eastAsia="Calibri" w:hAnsi="Times New Roman"/>
          <w:sz w:val="24"/>
          <w:szCs w:val="24"/>
        </w:rPr>
        <w:t>).</w:t>
      </w:r>
    </w:p>
    <w:p w14:paraId="0F55BD4D" w14:textId="77777777" w:rsidR="00D52D15" w:rsidRPr="00BA4C0C" w:rsidRDefault="00D52D15" w:rsidP="00BA4C0C">
      <w:pPr>
        <w:spacing w:after="0" w:line="240" w:lineRule="auto"/>
        <w:ind w:firstLine="567"/>
        <w:contextualSpacing/>
        <w:rPr>
          <w:rFonts w:ascii="Times New Roman" w:eastAsia="Calibri" w:hAnsi="Times New Roman"/>
          <w:sz w:val="24"/>
          <w:szCs w:val="24"/>
        </w:rPr>
      </w:pPr>
    </w:p>
    <w:p w14:paraId="674BF309" w14:textId="77777777" w:rsidR="00D52D15" w:rsidRPr="00BA4C0C" w:rsidRDefault="00D52D15" w:rsidP="00BA4C0C">
      <w:pPr>
        <w:numPr>
          <w:ilvl w:val="0"/>
          <w:numId w:val="25"/>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Послугу з рекрутингу та проведення анкетування 2400 респондентів у рамках другого компоненту дослідження, що має включати:</w:t>
      </w:r>
    </w:p>
    <w:p w14:paraId="67B785B8" w14:textId="77777777" w:rsidR="00D52D15" w:rsidRPr="00BA4C0C" w:rsidRDefault="00D52D15" w:rsidP="00BA4C0C">
      <w:pPr>
        <w:spacing w:after="0" w:line="240" w:lineRule="auto"/>
        <w:ind w:firstLine="567"/>
        <w:contextualSpacing/>
        <w:rPr>
          <w:rFonts w:ascii="Times New Roman" w:eastAsia="Calibri" w:hAnsi="Times New Roman"/>
          <w:sz w:val="24"/>
          <w:szCs w:val="24"/>
        </w:rPr>
      </w:pPr>
    </w:p>
    <w:p w14:paraId="0691E1CD" w14:textId="77777777" w:rsidR="00D52D15" w:rsidRPr="00BA4C0C" w:rsidRDefault="00D52D15" w:rsidP="00BA4C0C">
      <w:pPr>
        <w:numPr>
          <w:ilvl w:val="0"/>
          <w:numId w:val="29"/>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Рекрутинг респондентів: сумарно 2400 респондентів з числа ЛЖВ, відповідно до узгодженого географічного розподілу;</w:t>
      </w:r>
    </w:p>
    <w:p w14:paraId="259035EA" w14:textId="77777777" w:rsidR="00D52D15" w:rsidRPr="00BA4C0C" w:rsidRDefault="00D52D15" w:rsidP="00BA4C0C">
      <w:pPr>
        <w:numPr>
          <w:ilvl w:val="0"/>
          <w:numId w:val="29"/>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Компенсацію респондентам за витрачений на анкетування час;</w:t>
      </w:r>
    </w:p>
    <w:p w14:paraId="28710D94" w14:textId="77777777" w:rsidR="00D52D15" w:rsidRPr="00BA4C0C" w:rsidRDefault="00D52D15" w:rsidP="00BA4C0C">
      <w:pPr>
        <w:numPr>
          <w:ilvl w:val="0"/>
          <w:numId w:val="29"/>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 xml:space="preserve">Створення електронної бази даних на основі проведеного анкетування та надання її Замовнику; </w:t>
      </w:r>
    </w:p>
    <w:p w14:paraId="1422A9C1" w14:textId="77777777" w:rsidR="00D52D15" w:rsidRPr="00BA4C0C" w:rsidRDefault="00D52D15" w:rsidP="00BA4C0C">
      <w:pPr>
        <w:numPr>
          <w:ilvl w:val="0"/>
          <w:numId w:val="29"/>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Виконавець має забезпечити проведення анкетування методом особистих інтерв’ю (</w:t>
      </w:r>
      <w:proofErr w:type="spellStart"/>
      <w:r w:rsidRPr="00BA4C0C">
        <w:rPr>
          <w:rFonts w:ascii="Times New Roman" w:eastAsia="Calibri" w:hAnsi="Times New Roman"/>
          <w:sz w:val="24"/>
          <w:szCs w:val="24"/>
        </w:rPr>
        <w:t>face-to-face</w:t>
      </w:r>
      <w:proofErr w:type="spellEnd"/>
      <w:r w:rsidRPr="00BA4C0C">
        <w:rPr>
          <w:rFonts w:ascii="Times New Roman" w:eastAsia="Calibri" w:hAnsi="Times New Roman"/>
          <w:sz w:val="24"/>
          <w:szCs w:val="24"/>
        </w:rPr>
        <w:t>).</w:t>
      </w:r>
    </w:p>
    <w:p w14:paraId="10D7136E" w14:textId="77777777" w:rsidR="00D52D15" w:rsidRPr="00BA4C0C" w:rsidRDefault="00D52D15" w:rsidP="00BA4C0C">
      <w:pPr>
        <w:spacing w:after="0" w:line="240" w:lineRule="auto"/>
        <w:ind w:firstLine="567"/>
        <w:rPr>
          <w:rFonts w:ascii="Times New Roman" w:hAnsi="Times New Roman"/>
          <w:sz w:val="24"/>
          <w:szCs w:val="24"/>
        </w:rPr>
      </w:pPr>
    </w:p>
    <w:p w14:paraId="26110CEC" w14:textId="77777777" w:rsidR="00D52D15" w:rsidRPr="00BA4C0C" w:rsidRDefault="00D52D15" w:rsidP="00BA4C0C">
      <w:pPr>
        <w:spacing w:after="0" w:line="240" w:lineRule="auto"/>
        <w:ind w:firstLine="567"/>
        <w:rPr>
          <w:rFonts w:ascii="Times New Roman" w:hAnsi="Times New Roman"/>
          <w:sz w:val="24"/>
          <w:szCs w:val="24"/>
        </w:rPr>
      </w:pPr>
      <w:r w:rsidRPr="00BA4C0C">
        <w:rPr>
          <w:rFonts w:ascii="Times New Roman" w:hAnsi="Times New Roman"/>
          <w:sz w:val="24"/>
          <w:szCs w:val="24"/>
        </w:rPr>
        <w:t>Виконавець має забезпечити рекрутинг респондентів, відповідно до розподілу, зазначеного в Таблиці 1, та після узгодження списку респондентів із Замовником.</w:t>
      </w:r>
    </w:p>
    <w:p w14:paraId="772988C8" w14:textId="77777777" w:rsidR="00D52D15" w:rsidRPr="00BA4C0C" w:rsidRDefault="00D52D15" w:rsidP="00BA4C0C">
      <w:pPr>
        <w:spacing w:after="0" w:line="240" w:lineRule="auto"/>
        <w:ind w:firstLine="567"/>
        <w:rPr>
          <w:rFonts w:ascii="Times New Roman" w:hAnsi="Times New Roman"/>
          <w:sz w:val="24"/>
          <w:szCs w:val="24"/>
        </w:rPr>
      </w:pPr>
      <w:r w:rsidRPr="00BA4C0C">
        <w:rPr>
          <w:rFonts w:ascii="Times New Roman" w:hAnsi="Times New Roman"/>
          <w:sz w:val="24"/>
          <w:szCs w:val="24"/>
        </w:rPr>
        <w:t>Таблиця 1. Розподіл респондентів за регіонами</w:t>
      </w:r>
      <w:r w:rsidRPr="00BA4C0C">
        <w:rPr>
          <w:rFonts w:ascii="Times New Roman" w:hAnsi="Times New Roman"/>
          <w:sz w:val="24"/>
          <w:szCs w:val="24"/>
          <w:vertAlign w:val="superscript"/>
        </w:rPr>
        <w:footnoteReference w:id="19"/>
      </w:r>
    </w:p>
    <w:tbl>
      <w:tblPr>
        <w:tblStyle w:val="14"/>
        <w:tblW w:w="0" w:type="auto"/>
        <w:tblLook w:val="04A0" w:firstRow="1" w:lastRow="0" w:firstColumn="1" w:lastColumn="0" w:noHBand="0" w:noVBand="1"/>
      </w:tblPr>
      <w:tblGrid>
        <w:gridCol w:w="1026"/>
        <w:gridCol w:w="2643"/>
        <w:gridCol w:w="1712"/>
        <w:gridCol w:w="1434"/>
        <w:gridCol w:w="1407"/>
        <w:gridCol w:w="1407"/>
      </w:tblGrid>
      <w:tr w:rsidR="00D52D15" w:rsidRPr="00BA4C0C" w14:paraId="215EE65A" w14:textId="77777777" w:rsidTr="00E0589D">
        <w:tc>
          <w:tcPr>
            <w:tcW w:w="818" w:type="dxa"/>
            <w:vAlign w:val="center"/>
          </w:tcPr>
          <w:p w14:paraId="0F7152B3"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b/>
                <w:sz w:val="24"/>
                <w:szCs w:val="24"/>
                <w:lang w:val="uk-UA"/>
              </w:rPr>
              <w:t>№</w:t>
            </w:r>
          </w:p>
        </w:tc>
        <w:tc>
          <w:tcPr>
            <w:tcW w:w="2437" w:type="dxa"/>
            <w:vAlign w:val="center"/>
          </w:tcPr>
          <w:p w14:paraId="097E6231"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b/>
                <w:sz w:val="24"/>
                <w:szCs w:val="24"/>
                <w:lang w:val="uk-UA"/>
              </w:rPr>
              <w:t>Область</w:t>
            </w:r>
          </w:p>
        </w:tc>
        <w:tc>
          <w:tcPr>
            <w:tcW w:w="2045" w:type="dxa"/>
            <w:vAlign w:val="center"/>
          </w:tcPr>
          <w:p w14:paraId="50899803"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ЛЖВ</w:t>
            </w:r>
          </w:p>
        </w:tc>
        <w:tc>
          <w:tcPr>
            <w:tcW w:w="1467" w:type="dxa"/>
            <w:vAlign w:val="center"/>
          </w:tcPr>
          <w:p w14:paraId="49999D5B"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ЛВНІ</w:t>
            </w:r>
          </w:p>
        </w:tc>
        <w:tc>
          <w:tcPr>
            <w:tcW w:w="1431" w:type="dxa"/>
          </w:tcPr>
          <w:p w14:paraId="253685F9"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ЧСЧ</w:t>
            </w:r>
          </w:p>
        </w:tc>
        <w:tc>
          <w:tcPr>
            <w:tcW w:w="1431" w:type="dxa"/>
          </w:tcPr>
          <w:p w14:paraId="37BE7A19"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СП</w:t>
            </w:r>
          </w:p>
        </w:tc>
      </w:tr>
      <w:tr w:rsidR="00D52D15" w:rsidRPr="00BA4C0C" w14:paraId="407EF254" w14:textId="77777777" w:rsidTr="00E0589D">
        <w:tc>
          <w:tcPr>
            <w:tcW w:w="818" w:type="dxa"/>
            <w:vAlign w:val="center"/>
          </w:tcPr>
          <w:p w14:paraId="50B7D94B"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1</w:t>
            </w:r>
          </w:p>
        </w:tc>
        <w:tc>
          <w:tcPr>
            <w:tcW w:w="2437" w:type="dxa"/>
          </w:tcPr>
          <w:p w14:paraId="381800D7"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 xml:space="preserve">Дніпропетровська </w:t>
            </w:r>
          </w:p>
        </w:tc>
        <w:tc>
          <w:tcPr>
            <w:tcW w:w="2045" w:type="dxa"/>
          </w:tcPr>
          <w:p w14:paraId="0BE515D8"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5411</w:t>
            </w:r>
          </w:p>
        </w:tc>
        <w:tc>
          <w:tcPr>
            <w:tcW w:w="1467" w:type="dxa"/>
          </w:tcPr>
          <w:p w14:paraId="6E83BBDC"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23200</w:t>
            </w:r>
          </w:p>
        </w:tc>
        <w:tc>
          <w:tcPr>
            <w:tcW w:w="1431" w:type="dxa"/>
          </w:tcPr>
          <w:p w14:paraId="4ECAD032"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3821</w:t>
            </w:r>
          </w:p>
        </w:tc>
        <w:tc>
          <w:tcPr>
            <w:tcW w:w="1431" w:type="dxa"/>
          </w:tcPr>
          <w:p w14:paraId="55A1EFF2"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4760</w:t>
            </w:r>
          </w:p>
        </w:tc>
      </w:tr>
      <w:tr w:rsidR="00D52D15" w:rsidRPr="00BA4C0C" w14:paraId="42718B7E" w14:textId="77777777" w:rsidTr="00E0589D">
        <w:tc>
          <w:tcPr>
            <w:tcW w:w="818" w:type="dxa"/>
            <w:vAlign w:val="center"/>
          </w:tcPr>
          <w:p w14:paraId="61234B11"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2</w:t>
            </w:r>
          </w:p>
        </w:tc>
        <w:tc>
          <w:tcPr>
            <w:tcW w:w="2437" w:type="dxa"/>
          </w:tcPr>
          <w:p w14:paraId="2203C11D"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Донецька</w:t>
            </w:r>
            <w:r w:rsidRPr="00BA4C0C">
              <w:rPr>
                <w:rFonts w:ascii="Times New Roman" w:hAnsi="Times New Roman"/>
                <w:sz w:val="24"/>
                <w:szCs w:val="24"/>
                <w:vertAlign w:val="superscript"/>
                <w:lang w:val="uk-UA"/>
              </w:rPr>
              <w:footnoteReference w:id="20"/>
            </w:r>
          </w:p>
        </w:tc>
        <w:tc>
          <w:tcPr>
            <w:tcW w:w="2045" w:type="dxa"/>
          </w:tcPr>
          <w:p w14:paraId="05144BA2"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2104</w:t>
            </w:r>
          </w:p>
        </w:tc>
        <w:tc>
          <w:tcPr>
            <w:tcW w:w="1467" w:type="dxa"/>
            <w:vAlign w:val="center"/>
          </w:tcPr>
          <w:p w14:paraId="76A62E03"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9648</w:t>
            </w:r>
          </w:p>
        </w:tc>
        <w:tc>
          <w:tcPr>
            <w:tcW w:w="1431" w:type="dxa"/>
          </w:tcPr>
          <w:p w14:paraId="604010B7"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1648</w:t>
            </w:r>
          </w:p>
        </w:tc>
        <w:tc>
          <w:tcPr>
            <w:tcW w:w="1431" w:type="dxa"/>
          </w:tcPr>
          <w:p w14:paraId="14CE1E6A"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2160</w:t>
            </w:r>
          </w:p>
        </w:tc>
      </w:tr>
      <w:tr w:rsidR="00D52D15" w:rsidRPr="00BA4C0C" w14:paraId="3ABBCF70" w14:textId="77777777" w:rsidTr="00E0589D">
        <w:tc>
          <w:tcPr>
            <w:tcW w:w="818" w:type="dxa"/>
            <w:vAlign w:val="center"/>
          </w:tcPr>
          <w:p w14:paraId="19014973"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3</w:t>
            </w:r>
          </w:p>
        </w:tc>
        <w:tc>
          <w:tcPr>
            <w:tcW w:w="2437" w:type="dxa"/>
          </w:tcPr>
          <w:p w14:paraId="616B9119"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Львівська</w:t>
            </w:r>
          </w:p>
        </w:tc>
        <w:tc>
          <w:tcPr>
            <w:tcW w:w="2045" w:type="dxa"/>
          </w:tcPr>
          <w:p w14:paraId="76AA617E"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1047</w:t>
            </w:r>
          </w:p>
        </w:tc>
        <w:tc>
          <w:tcPr>
            <w:tcW w:w="1467" w:type="dxa"/>
          </w:tcPr>
          <w:p w14:paraId="016B10D2"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6371</w:t>
            </w:r>
          </w:p>
        </w:tc>
        <w:tc>
          <w:tcPr>
            <w:tcW w:w="1431" w:type="dxa"/>
          </w:tcPr>
          <w:p w14:paraId="0370E717"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2643</w:t>
            </w:r>
          </w:p>
        </w:tc>
        <w:tc>
          <w:tcPr>
            <w:tcW w:w="1431" w:type="dxa"/>
          </w:tcPr>
          <w:p w14:paraId="1D5E0393"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1511</w:t>
            </w:r>
          </w:p>
        </w:tc>
      </w:tr>
      <w:tr w:rsidR="00D52D15" w:rsidRPr="00BA4C0C" w14:paraId="7B2A3F71" w14:textId="77777777" w:rsidTr="00E0589D">
        <w:tc>
          <w:tcPr>
            <w:tcW w:w="818" w:type="dxa"/>
            <w:vAlign w:val="center"/>
          </w:tcPr>
          <w:p w14:paraId="5211DC9B"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4</w:t>
            </w:r>
          </w:p>
        </w:tc>
        <w:tc>
          <w:tcPr>
            <w:tcW w:w="2437" w:type="dxa"/>
          </w:tcPr>
          <w:p w14:paraId="12491176"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Одеська</w:t>
            </w:r>
          </w:p>
        </w:tc>
        <w:tc>
          <w:tcPr>
            <w:tcW w:w="2045" w:type="dxa"/>
          </w:tcPr>
          <w:p w14:paraId="182F859B"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5894</w:t>
            </w:r>
          </w:p>
        </w:tc>
        <w:tc>
          <w:tcPr>
            <w:tcW w:w="1467" w:type="dxa"/>
            <w:vAlign w:val="center"/>
          </w:tcPr>
          <w:p w14:paraId="72254573"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18618</w:t>
            </w:r>
          </w:p>
        </w:tc>
        <w:tc>
          <w:tcPr>
            <w:tcW w:w="1431" w:type="dxa"/>
          </w:tcPr>
          <w:p w14:paraId="1AE64B2F"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3773</w:t>
            </w:r>
          </w:p>
        </w:tc>
        <w:tc>
          <w:tcPr>
            <w:tcW w:w="1431" w:type="dxa"/>
          </w:tcPr>
          <w:p w14:paraId="0FDF0E0A"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5559</w:t>
            </w:r>
          </w:p>
        </w:tc>
      </w:tr>
      <w:tr w:rsidR="00D52D15" w:rsidRPr="00BA4C0C" w14:paraId="0077F088" w14:textId="77777777" w:rsidTr="00E0589D">
        <w:tc>
          <w:tcPr>
            <w:tcW w:w="818" w:type="dxa"/>
            <w:vAlign w:val="center"/>
          </w:tcPr>
          <w:p w14:paraId="1ED0B987"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5</w:t>
            </w:r>
          </w:p>
        </w:tc>
        <w:tc>
          <w:tcPr>
            <w:tcW w:w="2437" w:type="dxa"/>
          </w:tcPr>
          <w:p w14:paraId="486A440A"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Рівненська</w:t>
            </w:r>
          </w:p>
        </w:tc>
        <w:tc>
          <w:tcPr>
            <w:tcW w:w="2045" w:type="dxa"/>
          </w:tcPr>
          <w:p w14:paraId="2FC0FEDD"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533</w:t>
            </w:r>
          </w:p>
        </w:tc>
        <w:tc>
          <w:tcPr>
            <w:tcW w:w="1467" w:type="dxa"/>
            <w:vAlign w:val="center"/>
          </w:tcPr>
          <w:p w14:paraId="19FE25DA"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2545</w:t>
            </w:r>
          </w:p>
        </w:tc>
        <w:tc>
          <w:tcPr>
            <w:tcW w:w="1431" w:type="dxa"/>
          </w:tcPr>
          <w:p w14:paraId="45FECD33"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664</w:t>
            </w:r>
          </w:p>
        </w:tc>
        <w:tc>
          <w:tcPr>
            <w:tcW w:w="1431" w:type="dxa"/>
          </w:tcPr>
          <w:p w14:paraId="5B12EF6C"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576</w:t>
            </w:r>
          </w:p>
        </w:tc>
      </w:tr>
      <w:tr w:rsidR="00D52D15" w:rsidRPr="00BA4C0C" w14:paraId="3BFDCB37" w14:textId="77777777" w:rsidTr="00E0589D">
        <w:tc>
          <w:tcPr>
            <w:tcW w:w="818" w:type="dxa"/>
            <w:vAlign w:val="center"/>
          </w:tcPr>
          <w:p w14:paraId="14535345"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6</w:t>
            </w:r>
          </w:p>
        </w:tc>
        <w:tc>
          <w:tcPr>
            <w:tcW w:w="2437" w:type="dxa"/>
          </w:tcPr>
          <w:p w14:paraId="5BAE4AF1"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Харківська</w:t>
            </w:r>
          </w:p>
        </w:tc>
        <w:tc>
          <w:tcPr>
            <w:tcW w:w="2045" w:type="dxa"/>
          </w:tcPr>
          <w:p w14:paraId="487DF2D4"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943</w:t>
            </w:r>
          </w:p>
        </w:tc>
        <w:tc>
          <w:tcPr>
            <w:tcW w:w="1467" w:type="dxa"/>
            <w:vAlign w:val="center"/>
          </w:tcPr>
          <w:p w14:paraId="22D98722"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8862</w:t>
            </w:r>
          </w:p>
        </w:tc>
        <w:tc>
          <w:tcPr>
            <w:tcW w:w="1431" w:type="dxa"/>
          </w:tcPr>
          <w:p w14:paraId="0E21EE35"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3932</w:t>
            </w:r>
          </w:p>
        </w:tc>
        <w:tc>
          <w:tcPr>
            <w:tcW w:w="1431" w:type="dxa"/>
          </w:tcPr>
          <w:p w14:paraId="46BC2C56"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3133</w:t>
            </w:r>
          </w:p>
        </w:tc>
      </w:tr>
      <w:tr w:rsidR="00D52D15" w:rsidRPr="00BA4C0C" w14:paraId="74C7EEEC" w14:textId="77777777" w:rsidTr="00E0589D">
        <w:tc>
          <w:tcPr>
            <w:tcW w:w="818" w:type="dxa"/>
            <w:vAlign w:val="center"/>
          </w:tcPr>
          <w:p w14:paraId="1269CD02"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7</w:t>
            </w:r>
          </w:p>
        </w:tc>
        <w:tc>
          <w:tcPr>
            <w:tcW w:w="2437" w:type="dxa"/>
          </w:tcPr>
          <w:p w14:paraId="7FEA78E6"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Черкаська</w:t>
            </w:r>
          </w:p>
        </w:tc>
        <w:tc>
          <w:tcPr>
            <w:tcW w:w="2045" w:type="dxa"/>
          </w:tcPr>
          <w:p w14:paraId="612D1214"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779</w:t>
            </w:r>
          </w:p>
        </w:tc>
        <w:tc>
          <w:tcPr>
            <w:tcW w:w="1467" w:type="dxa"/>
            <w:vAlign w:val="center"/>
          </w:tcPr>
          <w:p w14:paraId="191B734B"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5897</w:t>
            </w:r>
          </w:p>
        </w:tc>
        <w:tc>
          <w:tcPr>
            <w:tcW w:w="1431" w:type="dxa"/>
          </w:tcPr>
          <w:p w14:paraId="4D22B88C"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877</w:t>
            </w:r>
          </w:p>
        </w:tc>
        <w:tc>
          <w:tcPr>
            <w:tcW w:w="1431" w:type="dxa"/>
          </w:tcPr>
          <w:p w14:paraId="480EA475"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1000</w:t>
            </w:r>
          </w:p>
        </w:tc>
      </w:tr>
      <w:tr w:rsidR="00D52D15" w:rsidRPr="00BA4C0C" w14:paraId="28B2F9A6" w14:textId="77777777" w:rsidTr="00E0589D">
        <w:tc>
          <w:tcPr>
            <w:tcW w:w="818" w:type="dxa"/>
            <w:vAlign w:val="center"/>
          </w:tcPr>
          <w:p w14:paraId="3525CC72"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8</w:t>
            </w:r>
          </w:p>
        </w:tc>
        <w:tc>
          <w:tcPr>
            <w:tcW w:w="2437" w:type="dxa"/>
          </w:tcPr>
          <w:p w14:paraId="0620FCDF" w14:textId="30DC3992"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м.</w:t>
            </w:r>
            <w:r w:rsidR="009A63B1" w:rsidRPr="00BA4C0C">
              <w:rPr>
                <w:rFonts w:ascii="Times New Roman" w:hAnsi="Times New Roman"/>
                <w:sz w:val="24"/>
                <w:szCs w:val="24"/>
                <w:lang w:val="uk-UA"/>
              </w:rPr>
              <w:t xml:space="preserve"> </w:t>
            </w:r>
            <w:r w:rsidRPr="00BA4C0C">
              <w:rPr>
                <w:rFonts w:ascii="Times New Roman" w:hAnsi="Times New Roman"/>
                <w:sz w:val="24"/>
                <w:szCs w:val="24"/>
                <w:lang w:val="uk-UA"/>
              </w:rPr>
              <w:t>Київ</w:t>
            </w:r>
          </w:p>
        </w:tc>
        <w:tc>
          <w:tcPr>
            <w:tcW w:w="2045" w:type="dxa"/>
          </w:tcPr>
          <w:p w14:paraId="3A91A71E"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3202</w:t>
            </w:r>
          </w:p>
        </w:tc>
        <w:tc>
          <w:tcPr>
            <w:tcW w:w="1467" w:type="dxa"/>
            <w:vAlign w:val="center"/>
          </w:tcPr>
          <w:p w14:paraId="00C4F4E8"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19883</w:t>
            </w:r>
          </w:p>
        </w:tc>
        <w:tc>
          <w:tcPr>
            <w:tcW w:w="1431" w:type="dxa"/>
          </w:tcPr>
          <w:p w14:paraId="1EF414F1"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13059</w:t>
            </w:r>
          </w:p>
        </w:tc>
        <w:tc>
          <w:tcPr>
            <w:tcW w:w="1431" w:type="dxa"/>
          </w:tcPr>
          <w:p w14:paraId="14D41EEC"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sz w:val="24"/>
                <w:szCs w:val="24"/>
                <w:lang w:val="uk-UA"/>
              </w:rPr>
              <w:t>7446</w:t>
            </w:r>
          </w:p>
        </w:tc>
      </w:tr>
      <w:tr w:rsidR="00D52D15" w:rsidRPr="00BA4C0C" w14:paraId="66FF99A3" w14:textId="77777777" w:rsidTr="00E0589D">
        <w:tc>
          <w:tcPr>
            <w:tcW w:w="3255" w:type="dxa"/>
            <w:gridSpan w:val="2"/>
          </w:tcPr>
          <w:p w14:paraId="75201015" w14:textId="77777777" w:rsidR="00D52D15" w:rsidRPr="00BA4C0C" w:rsidRDefault="00D52D15" w:rsidP="00BA4C0C">
            <w:pPr>
              <w:spacing w:after="0" w:line="240" w:lineRule="auto"/>
              <w:ind w:firstLine="567"/>
              <w:rPr>
                <w:rFonts w:ascii="Times New Roman" w:hAnsi="Times New Roman"/>
                <w:sz w:val="24"/>
                <w:szCs w:val="24"/>
                <w:lang w:val="uk-UA"/>
              </w:rPr>
            </w:pPr>
            <w:r w:rsidRPr="00BA4C0C">
              <w:rPr>
                <w:rFonts w:ascii="Times New Roman" w:hAnsi="Times New Roman"/>
                <w:b/>
                <w:bCs/>
                <w:sz w:val="24"/>
                <w:szCs w:val="24"/>
                <w:lang w:val="uk-UA"/>
              </w:rPr>
              <w:t>Всього</w:t>
            </w:r>
          </w:p>
        </w:tc>
        <w:tc>
          <w:tcPr>
            <w:tcW w:w="2045" w:type="dxa"/>
          </w:tcPr>
          <w:p w14:paraId="6A15F5B7"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19913</w:t>
            </w:r>
          </w:p>
        </w:tc>
        <w:tc>
          <w:tcPr>
            <w:tcW w:w="1467" w:type="dxa"/>
          </w:tcPr>
          <w:p w14:paraId="67806E48"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95024</w:t>
            </w:r>
          </w:p>
        </w:tc>
        <w:tc>
          <w:tcPr>
            <w:tcW w:w="1431" w:type="dxa"/>
          </w:tcPr>
          <w:p w14:paraId="4513A336"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31277</w:t>
            </w:r>
          </w:p>
        </w:tc>
        <w:tc>
          <w:tcPr>
            <w:tcW w:w="1431" w:type="dxa"/>
          </w:tcPr>
          <w:p w14:paraId="1D692D67"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26145</w:t>
            </w:r>
          </w:p>
        </w:tc>
      </w:tr>
      <w:tr w:rsidR="00D52D15" w:rsidRPr="00BA4C0C" w14:paraId="305554E4" w14:textId="77777777" w:rsidTr="00E0589D">
        <w:tc>
          <w:tcPr>
            <w:tcW w:w="3255" w:type="dxa"/>
            <w:gridSpan w:val="2"/>
          </w:tcPr>
          <w:p w14:paraId="76B5FE85"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Вибірка</w:t>
            </w:r>
          </w:p>
        </w:tc>
        <w:tc>
          <w:tcPr>
            <w:tcW w:w="2045" w:type="dxa"/>
          </w:tcPr>
          <w:p w14:paraId="3EF21B45" w14:textId="77777777" w:rsidR="00D52D15" w:rsidRPr="00BA4C0C" w:rsidRDefault="00D52D15" w:rsidP="00BA4C0C">
            <w:pPr>
              <w:spacing w:after="0" w:line="240" w:lineRule="auto"/>
              <w:ind w:firstLine="567"/>
              <w:rPr>
                <w:rFonts w:ascii="Times New Roman" w:hAnsi="Times New Roman"/>
                <w:b/>
                <w:bCs/>
                <w:sz w:val="24"/>
                <w:szCs w:val="24"/>
                <w:lang w:val="uk-UA"/>
              </w:rPr>
            </w:pPr>
            <w:r w:rsidRPr="00BA4C0C">
              <w:rPr>
                <w:rFonts w:ascii="Times New Roman" w:hAnsi="Times New Roman"/>
                <w:b/>
                <w:bCs/>
                <w:sz w:val="24"/>
                <w:szCs w:val="24"/>
                <w:lang w:val="uk-UA"/>
              </w:rPr>
              <w:t>2400</w:t>
            </w:r>
          </w:p>
        </w:tc>
        <w:tc>
          <w:tcPr>
            <w:tcW w:w="4329" w:type="dxa"/>
            <w:gridSpan w:val="3"/>
          </w:tcPr>
          <w:p w14:paraId="690CEFB8" w14:textId="77777777" w:rsidR="00D52D15" w:rsidRPr="00BA4C0C" w:rsidRDefault="00D52D15" w:rsidP="00BA4C0C">
            <w:pPr>
              <w:spacing w:after="0" w:line="240" w:lineRule="auto"/>
              <w:ind w:firstLine="567"/>
              <w:jc w:val="center"/>
              <w:rPr>
                <w:rFonts w:ascii="Times New Roman" w:hAnsi="Times New Roman"/>
                <w:b/>
                <w:bCs/>
                <w:sz w:val="24"/>
                <w:szCs w:val="24"/>
                <w:lang w:val="uk-UA"/>
              </w:rPr>
            </w:pPr>
            <w:r w:rsidRPr="00BA4C0C">
              <w:rPr>
                <w:rFonts w:ascii="Times New Roman" w:hAnsi="Times New Roman"/>
                <w:b/>
                <w:bCs/>
                <w:sz w:val="24"/>
                <w:szCs w:val="24"/>
                <w:lang w:val="uk-UA"/>
              </w:rPr>
              <w:t>3200</w:t>
            </w:r>
          </w:p>
        </w:tc>
      </w:tr>
    </w:tbl>
    <w:p w14:paraId="54A669A5" w14:textId="77777777" w:rsidR="00D52D15" w:rsidRPr="00BA4C0C" w:rsidRDefault="00D52D15" w:rsidP="00BA4C0C">
      <w:pPr>
        <w:spacing w:after="0" w:line="240" w:lineRule="auto"/>
        <w:ind w:firstLine="567"/>
        <w:rPr>
          <w:rFonts w:ascii="Times New Roman" w:hAnsi="Times New Roman"/>
          <w:sz w:val="24"/>
          <w:szCs w:val="24"/>
        </w:rPr>
      </w:pPr>
    </w:p>
    <w:p w14:paraId="0F2FCF56" w14:textId="77777777" w:rsidR="00D52D15" w:rsidRPr="00BA4C0C" w:rsidRDefault="00D52D15" w:rsidP="00BA4C0C">
      <w:pPr>
        <w:spacing w:after="0" w:line="240" w:lineRule="auto"/>
        <w:ind w:firstLine="567"/>
        <w:rPr>
          <w:rFonts w:ascii="Times New Roman" w:hAnsi="Times New Roman"/>
          <w:b/>
          <w:bCs/>
          <w:sz w:val="24"/>
          <w:szCs w:val="24"/>
        </w:rPr>
      </w:pPr>
      <w:r w:rsidRPr="00BA4C0C">
        <w:rPr>
          <w:rFonts w:ascii="Times New Roman" w:hAnsi="Times New Roman"/>
          <w:b/>
          <w:bCs/>
          <w:sz w:val="24"/>
          <w:szCs w:val="24"/>
        </w:rPr>
        <w:t>Етап 3: Підсумковий етап</w:t>
      </w:r>
    </w:p>
    <w:p w14:paraId="3831DB67" w14:textId="77777777" w:rsidR="00D52D15" w:rsidRPr="00BA4C0C" w:rsidRDefault="00D52D15" w:rsidP="00BA4C0C">
      <w:pPr>
        <w:numPr>
          <w:ilvl w:val="0"/>
          <w:numId w:val="35"/>
        </w:numPr>
        <w:spacing w:after="0" w:line="240" w:lineRule="auto"/>
        <w:ind w:left="0" w:firstLine="567"/>
        <w:contextualSpacing/>
        <w:rPr>
          <w:rFonts w:ascii="Times New Roman" w:eastAsia="Calibri" w:hAnsi="Times New Roman"/>
          <w:sz w:val="24"/>
          <w:szCs w:val="24"/>
        </w:rPr>
      </w:pPr>
      <w:bookmarkStart w:id="18" w:name="_Hlk80019938"/>
      <w:r w:rsidRPr="00BA4C0C">
        <w:rPr>
          <w:rFonts w:ascii="Times New Roman" w:eastAsia="Calibri" w:hAnsi="Times New Roman"/>
          <w:sz w:val="24"/>
          <w:szCs w:val="24"/>
        </w:rPr>
        <w:t>Послуга з очистки та аналізу даних для першого компоненту дослідження, що включає:</w:t>
      </w:r>
    </w:p>
    <w:p w14:paraId="6BBACAFE" w14:textId="77777777" w:rsidR="00D52D15" w:rsidRPr="00BA4C0C" w:rsidRDefault="00D52D15" w:rsidP="00BA4C0C">
      <w:pPr>
        <w:numPr>
          <w:ilvl w:val="0"/>
          <w:numId w:val="30"/>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 xml:space="preserve">Перевірку масиву на наявність </w:t>
      </w:r>
      <w:proofErr w:type="spellStart"/>
      <w:r w:rsidRPr="00BA4C0C">
        <w:rPr>
          <w:rFonts w:ascii="Times New Roman" w:eastAsia="Calibri" w:hAnsi="Times New Roman"/>
          <w:sz w:val="24"/>
          <w:szCs w:val="24"/>
        </w:rPr>
        <w:t>продубльованих</w:t>
      </w:r>
      <w:proofErr w:type="spellEnd"/>
      <w:r w:rsidRPr="00BA4C0C">
        <w:rPr>
          <w:rFonts w:ascii="Times New Roman" w:eastAsia="Calibri" w:hAnsi="Times New Roman"/>
          <w:sz w:val="24"/>
          <w:szCs w:val="24"/>
        </w:rPr>
        <w:t xml:space="preserve"> анкет;</w:t>
      </w:r>
    </w:p>
    <w:p w14:paraId="780A6489" w14:textId="77777777" w:rsidR="00D52D15" w:rsidRPr="00BA4C0C" w:rsidRDefault="00D52D15" w:rsidP="00BA4C0C">
      <w:pPr>
        <w:numPr>
          <w:ilvl w:val="0"/>
          <w:numId w:val="30"/>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Перевірку масиву на системні, логічні та механічні помилки;</w:t>
      </w:r>
    </w:p>
    <w:p w14:paraId="41BFDC1F" w14:textId="77777777" w:rsidR="00D52D15" w:rsidRPr="00BA4C0C" w:rsidRDefault="00D52D15" w:rsidP="00BA4C0C">
      <w:pPr>
        <w:numPr>
          <w:ilvl w:val="0"/>
          <w:numId w:val="30"/>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lastRenderedPageBreak/>
        <w:t>Перевірку масиву на дотримання логіки опитувальника;</w:t>
      </w:r>
    </w:p>
    <w:p w14:paraId="786C70F1" w14:textId="77777777" w:rsidR="00D52D15" w:rsidRPr="00BA4C0C" w:rsidRDefault="00D52D15" w:rsidP="00BA4C0C">
      <w:pPr>
        <w:numPr>
          <w:ilvl w:val="0"/>
          <w:numId w:val="30"/>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Перевірку масиву на наявність незаповнених записів;</w:t>
      </w:r>
    </w:p>
    <w:p w14:paraId="7335CC07" w14:textId="77777777" w:rsidR="00D52D15" w:rsidRPr="00BA4C0C" w:rsidRDefault="00D52D15" w:rsidP="00BA4C0C">
      <w:pPr>
        <w:numPr>
          <w:ilvl w:val="0"/>
          <w:numId w:val="30"/>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 xml:space="preserve">Перевірку масиву на дотримання вибірки виправлення знайдених помилок чи </w:t>
      </w:r>
      <w:proofErr w:type="spellStart"/>
      <w:r w:rsidRPr="00BA4C0C">
        <w:rPr>
          <w:rFonts w:ascii="Times New Roman" w:eastAsia="Calibri" w:hAnsi="Times New Roman"/>
          <w:sz w:val="24"/>
          <w:szCs w:val="24"/>
        </w:rPr>
        <w:t>невідповідностей</w:t>
      </w:r>
      <w:proofErr w:type="spellEnd"/>
      <w:r w:rsidRPr="00BA4C0C">
        <w:rPr>
          <w:rFonts w:ascii="Times New Roman" w:eastAsia="Calibri" w:hAnsi="Times New Roman"/>
          <w:sz w:val="24"/>
          <w:szCs w:val="24"/>
        </w:rPr>
        <w:t>.</w:t>
      </w:r>
    </w:p>
    <w:bookmarkEnd w:id="18"/>
    <w:p w14:paraId="71E119C2" w14:textId="77777777" w:rsidR="00D52D15" w:rsidRPr="00BA4C0C" w:rsidRDefault="00D52D15" w:rsidP="00BA4C0C">
      <w:pPr>
        <w:spacing w:after="0" w:line="240" w:lineRule="auto"/>
        <w:ind w:firstLine="567"/>
        <w:contextualSpacing/>
        <w:rPr>
          <w:rFonts w:ascii="Times New Roman" w:eastAsia="Calibri" w:hAnsi="Times New Roman"/>
          <w:sz w:val="24"/>
          <w:szCs w:val="24"/>
        </w:rPr>
      </w:pPr>
    </w:p>
    <w:p w14:paraId="63A612FF" w14:textId="77777777" w:rsidR="00D52D15" w:rsidRPr="00BA4C0C" w:rsidRDefault="00D52D15" w:rsidP="00BA4C0C">
      <w:pPr>
        <w:numPr>
          <w:ilvl w:val="0"/>
          <w:numId w:val="35"/>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Послуга з очистки та аналізу даних для другого компоненту дослідження, що включає:</w:t>
      </w:r>
    </w:p>
    <w:p w14:paraId="7533B3A6" w14:textId="77777777" w:rsidR="00D52D15" w:rsidRPr="00BA4C0C" w:rsidRDefault="00D52D15" w:rsidP="00BA4C0C">
      <w:pPr>
        <w:numPr>
          <w:ilvl w:val="0"/>
          <w:numId w:val="3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 xml:space="preserve">Перевірку масиву на наявність </w:t>
      </w:r>
      <w:proofErr w:type="spellStart"/>
      <w:r w:rsidRPr="00BA4C0C">
        <w:rPr>
          <w:rFonts w:ascii="Times New Roman" w:eastAsia="Calibri" w:hAnsi="Times New Roman"/>
          <w:sz w:val="24"/>
          <w:szCs w:val="24"/>
        </w:rPr>
        <w:t>продубльованих</w:t>
      </w:r>
      <w:proofErr w:type="spellEnd"/>
      <w:r w:rsidRPr="00BA4C0C">
        <w:rPr>
          <w:rFonts w:ascii="Times New Roman" w:eastAsia="Calibri" w:hAnsi="Times New Roman"/>
          <w:sz w:val="24"/>
          <w:szCs w:val="24"/>
        </w:rPr>
        <w:t xml:space="preserve"> анкет;</w:t>
      </w:r>
    </w:p>
    <w:p w14:paraId="5B7FE08A" w14:textId="77777777" w:rsidR="00D52D15" w:rsidRPr="00BA4C0C" w:rsidRDefault="00D52D15" w:rsidP="00BA4C0C">
      <w:pPr>
        <w:numPr>
          <w:ilvl w:val="0"/>
          <w:numId w:val="3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Перевірку масиву на системні, логічні та механічні помилки;</w:t>
      </w:r>
    </w:p>
    <w:p w14:paraId="53D5E413" w14:textId="77777777" w:rsidR="00D52D15" w:rsidRPr="00BA4C0C" w:rsidRDefault="00D52D15" w:rsidP="00BA4C0C">
      <w:pPr>
        <w:numPr>
          <w:ilvl w:val="0"/>
          <w:numId w:val="3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Перевірку масиву на дотримання логіки опитувальника;</w:t>
      </w:r>
    </w:p>
    <w:p w14:paraId="4F9B93DA" w14:textId="77777777" w:rsidR="00D52D15" w:rsidRPr="00BA4C0C" w:rsidRDefault="00D52D15" w:rsidP="00BA4C0C">
      <w:pPr>
        <w:numPr>
          <w:ilvl w:val="0"/>
          <w:numId w:val="3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Перевірку масиву на наявність незаповнених записів;</w:t>
      </w:r>
    </w:p>
    <w:p w14:paraId="1E840211" w14:textId="77777777" w:rsidR="00D52D15" w:rsidRPr="00BA4C0C" w:rsidRDefault="00D52D15" w:rsidP="00BA4C0C">
      <w:pPr>
        <w:numPr>
          <w:ilvl w:val="0"/>
          <w:numId w:val="31"/>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 xml:space="preserve">Перевірку масиву на дотримання вибірки виправлення знайдених помилок чи </w:t>
      </w:r>
      <w:proofErr w:type="spellStart"/>
      <w:r w:rsidRPr="00BA4C0C">
        <w:rPr>
          <w:rFonts w:ascii="Times New Roman" w:eastAsia="Calibri" w:hAnsi="Times New Roman"/>
          <w:sz w:val="24"/>
          <w:szCs w:val="24"/>
        </w:rPr>
        <w:t>невідповідностей</w:t>
      </w:r>
      <w:proofErr w:type="spellEnd"/>
      <w:r w:rsidRPr="00BA4C0C">
        <w:rPr>
          <w:rFonts w:ascii="Times New Roman" w:eastAsia="Calibri" w:hAnsi="Times New Roman"/>
          <w:sz w:val="24"/>
          <w:szCs w:val="24"/>
        </w:rPr>
        <w:t>.</w:t>
      </w:r>
    </w:p>
    <w:p w14:paraId="495000EB" w14:textId="77777777" w:rsidR="00D52D15" w:rsidRPr="00BA4C0C" w:rsidRDefault="00D52D15" w:rsidP="00BA4C0C">
      <w:pPr>
        <w:spacing w:after="0" w:line="240" w:lineRule="auto"/>
        <w:ind w:firstLine="567"/>
        <w:contextualSpacing/>
        <w:rPr>
          <w:rFonts w:ascii="Times New Roman" w:eastAsia="Calibri" w:hAnsi="Times New Roman"/>
          <w:sz w:val="24"/>
          <w:szCs w:val="24"/>
        </w:rPr>
      </w:pPr>
    </w:p>
    <w:p w14:paraId="1D4020CC"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Результатом надання послуги з очистки та аналізу даних для першого та другого компонентів дослідження є два очищені та, за потреби, зважені масиви даних у форматі .</w:t>
      </w:r>
      <w:proofErr w:type="spellStart"/>
      <w:r w:rsidRPr="00BA4C0C">
        <w:rPr>
          <w:rFonts w:ascii="Times New Roman" w:hAnsi="Times New Roman"/>
          <w:sz w:val="24"/>
          <w:szCs w:val="24"/>
        </w:rPr>
        <w:t>sav</w:t>
      </w:r>
      <w:proofErr w:type="spellEnd"/>
      <w:r w:rsidRPr="00BA4C0C">
        <w:rPr>
          <w:rFonts w:ascii="Times New Roman" w:hAnsi="Times New Roman"/>
          <w:sz w:val="24"/>
          <w:szCs w:val="24"/>
        </w:rPr>
        <w:t>, повністю сумісні з SPSS версії 17 і пізніші та окремо відкриті питання у форматі .</w:t>
      </w:r>
      <w:proofErr w:type="spellStart"/>
      <w:r w:rsidRPr="00BA4C0C">
        <w:rPr>
          <w:rFonts w:ascii="Times New Roman" w:hAnsi="Times New Roman"/>
          <w:sz w:val="24"/>
          <w:szCs w:val="24"/>
        </w:rPr>
        <w:t>xls</w:t>
      </w:r>
      <w:proofErr w:type="spellEnd"/>
      <w:r w:rsidRPr="00BA4C0C">
        <w:rPr>
          <w:rFonts w:ascii="Times New Roman" w:hAnsi="Times New Roman"/>
          <w:sz w:val="24"/>
          <w:szCs w:val="24"/>
        </w:rPr>
        <w:t>.</w:t>
      </w:r>
    </w:p>
    <w:p w14:paraId="4036FB64" w14:textId="77777777" w:rsidR="00D52D15" w:rsidRPr="00BA4C0C" w:rsidRDefault="00D52D15" w:rsidP="00BA4C0C">
      <w:pPr>
        <w:numPr>
          <w:ilvl w:val="0"/>
          <w:numId w:val="35"/>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Послуга з написання аналітичного звіту за результатом проведення дослідження, що включає:</w:t>
      </w:r>
    </w:p>
    <w:p w14:paraId="1856F788" w14:textId="77777777" w:rsidR="00D52D15" w:rsidRPr="00BA4C0C" w:rsidRDefault="00D52D15" w:rsidP="00BA4C0C">
      <w:pPr>
        <w:numPr>
          <w:ilvl w:val="0"/>
          <w:numId w:val="32"/>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Звіт з результатами дослідження, який має бути наданий Замовнику в електронному форматі;</w:t>
      </w:r>
    </w:p>
    <w:p w14:paraId="5B62EBD4" w14:textId="77777777" w:rsidR="00D52D15" w:rsidRPr="00BA4C0C" w:rsidRDefault="00D52D15" w:rsidP="00BA4C0C">
      <w:pPr>
        <w:numPr>
          <w:ilvl w:val="0"/>
          <w:numId w:val="32"/>
        </w:numPr>
        <w:spacing w:after="0" w:line="240" w:lineRule="auto"/>
        <w:ind w:left="0" w:firstLine="567"/>
        <w:contextualSpacing/>
        <w:rPr>
          <w:rFonts w:ascii="Times New Roman" w:eastAsia="Calibri" w:hAnsi="Times New Roman"/>
          <w:sz w:val="24"/>
          <w:szCs w:val="24"/>
        </w:rPr>
      </w:pPr>
      <w:r w:rsidRPr="00BA4C0C">
        <w:rPr>
          <w:rFonts w:ascii="Times New Roman" w:eastAsia="Calibri" w:hAnsi="Times New Roman"/>
          <w:sz w:val="24"/>
          <w:szCs w:val="24"/>
        </w:rPr>
        <w:t>Резюме з результатами дослідження, яке має бути надане Замовнику в електронному форматі.</w:t>
      </w:r>
    </w:p>
    <w:p w14:paraId="3A19E88A"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 xml:space="preserve">Виконавець проводить аналіз даних опитування, яке було проведене в рамках польового етапу дослідження «Оцінка якості та доступності профілактичних послуг для осіб з груп </w:t>
      </w:r>
      <w:proofErr w:type="spellStart"/>
      <w:r w:rsidRPr="00BA4C0C">
        <w:rPr>
          <w:rFonts w:ascii="Times New Roman" w:hAnsi="Times New Roman"/>
          <w:sz w:val="24"/>
          <w:szCs w:val="24"/>
        </w:rPr>
        <w:t>підвищенного</w:t>
      </w:r>
      <w:proofErr w:type="spellEnd"/>
      <w:r w:rsidRPr="00BA4C0C">
        <w:rPr>
          <w:rFonts w:ascii="Times New Roman" w:hAnsi="Times New Roman"/>
          <w:sz w:val="24"/>
          <w:szCs w:val="24"/>
        </w:rPr>
        <w:t xml:space="preserve"> ризику щодо </w:t>
      </w:r>
      <w:proofErr w:type="spellStart"/>
      <w:r w:rsidRPr="00BA4C0C">
        <w:rPr>
          <w:rFonts w:ascii="Times New Roman" w:hAnsi="Times New Roman"/>
          <w:sz w:val="24"/>
          <w:szCs w:val="24"/>
        </w:rPr>
        <w:t>інфікуваня</w:t>
      </w:r>
      <w:proofErr w:type="spellEnd"/>
      <w:r w:rsidRPr="00BA4C0C">
        <w:rPr>
          <w:rFonts w:ascii="Times New Roman" w:hAnsi="Times New Roman"/>
          <w:sz w:val="24"/>
          <w:szCs w:val="24"/>
        </w:rPr>
        <w:t xml:space="preserve"> ВІЛ та послуг з догляду та підтримки для ЛЖВ в контексті переходу від донорського до державного фінансування». Анкети для першого та другого компонентів дослідження містили дані, необхідні для виконання послуги з написання аналітичного звіту дослідження.</w:t>
      </w:r>
    </w:p>
    <w:p w14:paraId="0EFAB6CD"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BA4C0C">
        <w:rPr>
          <w:rFonts w:ascii="Times New Roman" w:hAnsi="Times New Roman"/>
          <w:sz w:val="24"/>
          <w:szCs w:val="24"/>
        </w:rPr>
        <w:t>test</w:t>
      </w:r>
      <w:proofErr w:type="spellEnd"/>
      <w:r w:rsidRPr="00BA4C0C">
        <w:rPr>
          <w:rFonts w:ascii="Times New Roman" w:hAnsi="Times New Roman"/>
          <w:sz w:val="24"/>
          <w:szCs w:val="24"/>
        </w:rPr>
        <w:t>)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43438095"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 xml:space="preserve">За результатами аналізу даних опитування Виконавець готує аналітичний звіт, у якому буде викладено короткий опис дослідження, результати та рекомендації. Аналітичний звіт має бути узгодженим із Замовником та наданий експертам в області ЗПТ та ВІЛ для коментарів. </w:t>
      </w:r>
    </w:p>
    <w:p w14:paraId="0FA8B11E"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Загальний обсяг звіту має складати не менше 80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559F8F55"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 xml:space="preserve">На основі аналітичного звіту після його узгодження Виконавець готує резюме дослідження, що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Дизайн резюме дослідження має відповідати бренд-буку </w:t>
      </w:r>
      <w:r w:rsidRPr="00BA4C0C">
        <w:rPr>
          <w:rFonts w:ascii="Times New Roman" w:hAnsi="Times New Roman"/>
          <w:sz w:val="24"/>
          <w:szCs w:val="24"/>
        </w:rPr>
        <w:lastRenderedPageBreak/>
        <w:t>Замовника, містити його логотип та має бути узгодженим з комунікаційним відділом Замовника.</w:t>
      </w:r>
    </w:p>
    <w:p w14:paraId="654A9C00" w14:textId="77777777" w:rsidR="00D52D15" w:rsidRPr="00BA4C0C" w:rsidRDefault="00D52D15" w:rsidP="00BA4C0C">
      <w:pPr>
        <w:numPr>
          <w:ilvl w:val="0"/>
          <w:numId w:val="35"/>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Послуга з проведення презентацій результатів дослідження включає в себе:</w:t>
      </w:r>
    </w:p>
    <w:p w14:paraId="7A4F89F5" w14:textId="77777777" w:rsidR="00D52D15" w:rsidRPr="00BA4C0C" w:rsidRDefault="00D52D15" w:rsidP="00BA4C0C">
      <w:pPr>
        <w:numPr>
          <w:ilvl w:val="0"/>
          <w:numId w:val="33"/>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Підготовку презентації в електронному форматі на основі узгодженого звіту дослідження;</w:t>
      </w:r>
    </w:p>
    <w:p w14:paraId="586C73AA" w14:textId="77777777" w:rsidR="00D52D15" w:rsidRPr="00BA4C0C" w:rsidRDefault="00D52D15" w:rsidP="00BA4C0C">
      <w:pPr>
        <w:numPr>
          <w:ilvl w:val="0"/>
          <w:numId w:val="33"/>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Презентація результатів даних для Замовника та експертів дослідження для попереднього узгодження даних та внесення додаткових правок (за необхідності);</w:t>
      </w:r>
    </w:p>
    <w:p w14:paraId="539E1DBE" w14:textId="77777777" w:rsidR="00D52D15" w:rsidRPr="00BA4C0C" w:rsidRDefault="00D52D15" w:rsidP="00BA4C0C">
      <w:pPr>
        <w:numPr>
          <w:ilvl w:val="0"/>
          <w:numId w:val="33"/>
        </w:numPr>
        <w:spacing w:after="0" w:line="240" w:lineRule="auto"/>
        <w:ind w:left="0" w:firstLine="567"/>
        <w:contextualSpacing/>
        <w:jc w:val="both"/>
        <w:rPr>
          <w:rFonts w:ascii="Times New Roman" w:eastAsia="Calibri" w:hAnsi="Times New Roman"/>
          <w:sz w:val="24"/>
          <w:szCs w:val="24"/>
        </w:rPr>
      </w:pPr>
      <w:r w:rsidRPr="00BA4C0C">
        <w:rPr>
          <w:rFonts w:ascii="Times New Roman" w:eastAsia="Calibri" w:hAnsi="Times New Roman"/>
          <w:sz w:val="24"/>
          <w:szCs w:val="24"/>
        </w:rPr>
        <w:t xml:space="preserve">Організацію презентації для стейкхолдерів (запрошення учасників, визначення формату презентації, організація </w:t>
      </w:r>
      <w:proofErr w:type="spellStart"/>
      <w:r w:rsidRPr="00BA4C0C">
        <w:rPr>
          <w:rFonts w:ascii="Times New Roman" w:eastAsia="Calibri" w:hAnsi="Times New Roman"/>
          <w:sz w:val="24"/>
          <w:szCs w:val="24"/>
        </w:rPr>
        <w:t>кейтерингу</w:t>
      </w:r>
      <w:proofErr w:type="spellEnd"/>
      <w:r w:rsidRPr="00BA4C0C">
        <w:rPr>
          <w:rFonts w:ascii="Times New Roman" w:eastAsia="Calibri" w:hAnsi="Times New Roman"/>
          <w:sz w:val="24"/>
          <w:szCs w:val="24"/>
        </w:rPr>
        <w:t xml:space="preserve"> за необхідності);</w:t>
      </w:r>
    </w:p>
    <w:p w14:paraId="73E7EBD2" w14:textId="77777777" w:rsidR="00D52D15" w:rsidRPr="00BA4C0C" w:rsidRDefault="00D52D15" w:rsidP="00BA4C0C">
      <w:pPr>
        <w:numPr>
          <w:ilvl w:val="0"/>
          <w:numId w:val="33"/>
        </w:numPr>
        <w:spacing w:after="0" w:line="240" w:lineRule="auto"/>
        <w:ind w:left="0" w:firstLine="567"/>
        <w:contextualSpacing/>
        <w:jc w:val="both"/>
        <w:rPr>
          <w:rFonts w:ascii="Times New Roman" w:eastAsia="Calibri" w:hAnsi="Times New Roman"/>
          <w:sz w:val="24"/>
          <w:szCs w:val="24"/>
        </w:rPr>
      </w:pPr>
      <w:proofErr w:type="spellStart"/>
      <w:r w:rsidRPr="00BA4C0C">
        <w:rPr>
          <w:rFonts w:ascii="Times New Roman" w:eastAsia="Calibri" w:hAnsi="Times New Roman"/>
          <w:sz w:val="24"/>
          <w:szCs w:val="24"/>
        </w:rPr>
        <w:t>Фотозвіт</w:t>
      </w:r>
      <w:proofErr w:type="spellEnd"/>
      <w:r w:rsidRPr="00BA4C0C">
        <w:rPr>
          <w:rFonts w:ascii="Times New Roman" w:eastAsia="Calibri" w:hAnsi="Times New Roman"/>
          <w:sz w:val="24"/>
          <w:szCs w:val="24"/>
        </w:rPr>
        <w:t xml:space="preserve"> (за умови, що презентація відбувалась </w:t>
      </w:r>
      <w:proofErr w:type="spellStart"/>
      <w:r w:rsidRPr="00BA4C0C">
        <w:rPr>
          <w:rFonts w:ascii="Times New Roman" w:eastAsia="Calibri" w:hAnsi="Times New Roman"/>
          <w:sz w:val="24"/>
          <w:szCs w:val="24"/>
        </w:rPr>
        <w:t>оффлайн</w:t>
      </w:r>
      <w:proofErr w:type="spellEnd"/>
      <w:r w:rsidRPr="00BA4C0C">
        <w:rPr>
          <w:rFonts w:ascii="Times New Roman" w:eastAsia="Calibri" w:hAnsi="Times New Roman"/>
          <w:sz w:val="24"/>
          <w:szCs w:val="24"/>
        </w:rPr>
        <w:t>) або відеозапис презентації для стейкхолдерів (за умови, що презентація відбувалась онлайн).</w:t>
      </w:r>
    </w:p>
    <w:p w14:paraId="1FAB712F" w14:textId="77777777" w:rsidR="00D52D15" w:rsidRPr="00BA4C0C" w:rsidRDefault="00D52D15" w:rsidP="00BA4C0C">
      <w:pPr>
        <w:spacing w:after="0" w:line="240" w:lineRule="auto"/>
        <w:ind w:firstLine="567"/>
        <w:jc w:val="both"/>
        <w:rPr>
          <w:rFonts w:ascii="Times New Roman" w:hAnsi="Times New Roman"/>
          <w:sz w:val="24"/>
          <w:szCs w:val="24"/>
        </w:rPr>
      </w:pPr>
      <w:r w:rsidRPr="00BA4C0C">
        <w:rPr>
          <w:rFonts w:ascii="Times New Roman" w:hAnsi="Times New Roman"/>
          <w:sz w:val="24"/>
          <w:szCs w:val="24"/>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0F21C9FB"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b/>
          <w:bCs/>
          <w:sz w:val="24"/>
          <w:szCs w:val="24"/>
        </w:rPr>
        <w:t xml:space="preserve">Вимоги до звітної документації за усіма етапами: </w:t>
      </w:r>
    </w:p>
    <w:p w14:paraId="1E4E549D" w14:textId="77777777" w:rsidR="00D52D15" w:rsidRPr="00BA4C0C" w:rsidRDefault="00D52D15" w:rsidP="00BA4C0C">
      <w:pPr>
        <w:numPr>
          <w:ilvl w:val="0"/>
          <w:numId w:val="34"/>
        </w:numPr>
        <w:spacing w:after="0" w:line="240" w:lineRule="auto"/>
        <w:ind w:left="0" w:firstLine="567"/>
        <w:jc w:val="both"/>
        <w:rPr>
          <w:rFonts w:ascii="Times New Roman" w:hAnsi="Times New Roman"/>
          <w:sz w:val="24"/>
          <w:szCs w:val="24"/>
        </w:rPr>
      </w:pPr>
      <w:r w:rsidRPr="00BA4C0C">
        <w:rPr>
          <w:rFonts w:ascii="Times New Roman" w:hAnsi="Times New Roman"/>
          <w:sz w:val="24"/>
          <w:szCs w:val="24"/>
        </w:rPr>
        <w:t>Звітна документація надається після кожного етапу надання послуги;</w:t>
      </w:r>
    </w:p>
    <w:p w14:paraId="3E10C7E1" w14:textId="77777777" w:rsidR="00D52D15" w:rsidRPr="00BA4C0C" w:rsidRDefault="00D52D15" w:rsidP="00BA4C0C">
      <w:pPr>
        <w:numPr>
          <w:ilvl w:val="0"/>
          <w:numId w:val="34"/>
        </w:numPr>
        <w:spacing w:after="0" w:line="240" w:lineRule="auto"/>
        <w:ind w:left="0" w:firstLine="567"/>
        <w:jc w:val="both"/>
        <w:rPr>
          <w:rFonts w:ascii="Times New Roman" w:hAnsi="Times New Roman"/>
          <w:sz w:val="24"/>
          <w:szCs w:val="24"/>
        </w:rPr>
      </w:pPr>
      <w:r w:rsidRPr="00BA4C0C">
        <w:rPr>
          <w:rFonts w:ascii="Times New Roman" w:hAnsi="Times New Roman"/>
          <w:sz w:val="24"/>
          <w:szCs w:val="24"/>
        </w:rPr>
        <w:t>Звітна документація та результати надання послуг за кожним етапом узгоджуються із Замовником;</w:t>
      </w:r>
    </w:p>
    <w:p w14:paraId="24D0C919" w14:textId="41B56B9F" w:rsidR="00D52D15" w:rsidRPr="00BA4C0C" w:rsidRDefault="00D52D15" w:rsidP="00BA4C0C">
      <w:pPr>
        <w:numPr>
          <w:ilvl w:val="0"/>
          <w:numId w:val="34"/>
        </w:numPr>
        <w:spacing w:after="0" w:line="240" w:lineRule="auto"/>
        <w:ind w:left="0" w:firstLine="567"/>
        <w:jc w:val="both"/>
        <w:rPr>
          <w:rFonts w:ascii="Times New Roman" w:hAnsi="Times New Roman"/>
          <w:sz w:val="24"/>
          <w:szCs w:val="24"/>
        </w:rPr>
      </w:pPr>
      <w:r w:rsidRPr="00BA4C0C">
        <w:rPr>
          <w:rFonts w:ascii="Times New Roman" w:hAnsi="Times New Roman"/>
          <w:sz w:val="24"/>
          <w:szCs w:val="24"/>
        </w:rPr>
        <w:t xml:space="preserve">Усі матеріали і </w:t>
      </w:r>
      <w:proofErr w:type="spellStart"/>
      <w:r w:rsidRPr="00BA4C0C">
        <w:rPr>
          <w:rFonts w:ascii="Times New Roman" w:hAnsi="Times New Roman"/>
          <w:sz w:val="24"/>
          <w:szCs w:val="24"/>
        </w:rPr>
        <w:t>фіналізовані</w:t>
      </w:r>
      <w:proofErr w:type="spellEnd"/>
      <w:r w:rsidRPr="00BA4C0C">
        <w:rPr>
          <w:rFonts w:ascii="Times New Roman" w:hAnsi="Times New Roman"/>
          <w:sz w:val="24"/>
          <w:szCs w:val="24"/>
        </w:rPr>
        <w:t xml:space="preserve"> документи, що надаються в електронному вигляді, мають бути надіслані Замовнику електронною поштою із супровідним листом на адресу </w:t>
      </w:r>
      <w:hyperlink r:id="rId13" w:history="1">
        <w:r w:rsidR="009A63B1" w:rsidRPr="00BA4C0C">
          <w:rPr>
            <w:rStyle w:val="a7"/>
            <w:rFonts w:ascii="Times New Roman" w:hAnsi="Times New Roman"/>
            <w:sz w:val="24"/>
            <w:szCs w:val="24"/>
          </w:rPr>
          <w:t>info@phc.org.ua</w:t>
        </w:r>
      </w:hyperlink>
      <w:r w:rsidR="009A63B1" w:rsidRPr="00BA4C0C">
        <w:rPr>
          <w:rFonts w:ascii="Times New Roman" w:hAnsi="Times New Roman"/>
          <w:sz w:val="24"/>
          <w:szCs w:val="24"/>
        </w:rPr>
        <w:t xml:space="preserve"> </w:t>
      </w:r>
      <w:r w:rsidRPr="00BA4C0C">
        <w:rPr>
          <w:rFonts w:ascii="Times New Roman" w:hAnsi="Times New Roman"/>
          <w:sz w:val="24"/>
          <w:szCs w:val="24"/>
        </w:rPr>
        <w:t xml:space="preserve"> із копією на адресу відповідального фахівця від Замовника;</w:t>
      </w:r>
    </w:p>
    <w:p w14:paraId="78BF8D0F" w14:textId="77777777" w:rsidR="00D52D15" w:rsidRPr="00BA4C0C" w:rsidRDefault="00D52D15" w:rsidP="00BA4C0C">
      <w:pPr>
        <w:numPr>
          <w:ilvl w:val="0"/>
          <w:numId w:val="34"/>
        </w:numPr>
        <w:spacing w:after="0" w:line="240" w:lineRule="auto"/>
        <w:ind w:left="0" w:firstLine="567"/>
        <w:jc w:val="both"/>
        <w:rPr>
          <w:rFonts w:ascii="Times New Roman" w:hAnsi="Times New Roman"/>
          <w:sz w:val="24"/>
          <w:szCs w:val="24"/>
        </w:rPr>
      </w:pPr>
      <w:r w:rsidRPr="00BA4C0C">
        <w:rPr>
          <w:rFonts w:ascii="Times New Roman" w:hAnsi="Times New Roman"/>
          <w:sz w:val="24"/>
          <w:szCs w:val="24"/>
        </w:rPr>
        <w:t xml:space="preserve">Для документів необхідно використовувати наступе: форматування: шрифт - </w:t>
      </w:r>
      <w:proofErr w:type="spellStart"/>
      <w:r w:rsidRPr="00BA4C0C">
        <w:rPr>
          <w:rFonts w:ascii="Times New Roman" w:hAnsi="Times New Roman"/>
          <w:sz w:val="24"/>
          <w:szCs w:val="24"/>
        </w:rPr>
        <w:t>Museo</w:t>
      </w:r>
      <w:proofErr w:type="spellEnd"/>
      <w:r w:rsidRPr="00BA4C0C">
        <w:rPr>
          <w:rFonts w:ascii="Times New Roman" w:hAnsi="Times New Roman"/>
          <w:sz w:val="24"/>
          <w:szCs w:val="24"/>
        </w:rPr>
        <w:t xml:space="preserve"> </w:t>
      </w:r>
      <w:proofErr w:type="spellStart"/>
      <w:r w:rsidRPr="00BA4C0C">
        <w:rPr>
          <w:rFonts w:ascii="Times New Roman" w:hAnsi="Times New Roman"/>
          <w:sz w:val="24"/>
          <w:szCs w:val="24"/>
        </w:rPr>
        <w:t>Sans</w:t>
      </w:r>
      <w:proofErr w:type="spellEnd"/>
      <w:r w:rsidRPr="00BA4C0C">
        <w:rPr>
          <w:rFonts w:ascii="Times New Roman" w:hAnsi="Times New Roman"/>
          <w:sz w:val="24"/>
          <w:szCs w:val="24"/>
        </w:rPr>
        <w:t xml:space="preserve"> </w:t>
      </w:r>
      <w:proofErr w:type="spellStart"/>
      <w:r w:rsidRPr="00BA4C0C">
        <w:rPr>
          <w:rFonts w:ascii="Times New Roman" w:hAnsi="Times New Roman"/>
          <w:sz w:val="24"/>
          <w:szCs w:val="24"/>
        </w:rPr>
        <w:t>Cyrl</w:t>
      </w:r>
      <w:proofErr w:type="spellEnd"/>
      <w:r w:rsidRPr="00BA4C0C">
        <w:rPr>
          <w:rFonts w:ascii="Times New Roman" w:hAnsi="Times New Roman"/>
          <w:sz w:val="24"/>
          <w:szCs w:val="24"/>
        </w:rPr>
        <w:t>,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1F0FB5D9"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b/>
          <w:bCs/>
          <w:sz w:val="24"/>
          <w:szCs w:val="24"/>
        </w:rPr>
        <w:t>Право власності на результати дослідження:</w:t>
      </w:r>
    </w:p>
    <w:p w14:paraId="38C01375" w14:textId="77777777" w:rsidR="00D52D15" w:rsidRPr="00BA4C0C" w:rsidRDefault="00D52D15" w:rsidP="00BA4C0C">
      <w:pPr>
        <w:spacing w:after="0" w:line="240" w:lineRule="auto"/>
        <w:ind w:firstLine="567"/>
        <w:jc w:val="both"/>
        <w:rPr>
          <w:rFonts w:ascii="Times New Roman" w:hAnsi="Times New Roman"/>
          <w:b/>
          <w:bCs/>
          <w:sz w:val="24"/>
          <w:szCs w:val="24"/>
        </w:rPr>
      </w:pPr>
      <w:r w:rsidRPr="00BA4C0C">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6132C239" w14:textId="7351F0C0" w:rsidR="00E97D87" w:rsidRDefault="00E97D87" w:rsidP="00E97D87">
      <w:pPr>
        <w:pStyle w:val="a3"/>
        <w:tabs>
          <w:tab w:val="left" w:pos="426"/>
          <w:tab w:val="left" w:pos="851"/>
          <w:tab w:val="left" w:pos="1560"/>
        </w:tabs>
        <w:jc w:val="center"/>
        <w:rPr>
          <w:rFonts w:ascii="Times New Roman" w:hAnsi="Times New Roman"/>
          <w:b/>
          <w:sz w:val="24"/>
          <w:szCs w:val="24"/>
          <w:lang w:val="uk-UA"/>
        </w:rPr>
      </w:pPr>
    </w:p>
    <w:p w14:paraId="2974DA33" w14:textId="77777777" w:rsidR="00D53B64" w:rsidRPr="003A367B"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2021 р.</w:t>
      </w: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5300B4">
        <w:tc>
          <w:tcPr>
            <w:tcW w:w="4859" w:type="dxa"/>
          </w:tcPr>
          <w:p w14:paraId="02E3A1E9" w14:textId="77777777" w:rsidR="00D53B64"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5300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5300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0D826119" w14:textId="77777777" w:rsidR="00BA4C0C" w:rsidRDefault="00BA4C0C" w:rsidP="008C5885">
      <w:pPr>
        <w:spacing w:after="0" w:line="240" w:lineRule="auto"/>
        <w:ind w:left="5812"/>
        <w:jc w:val="right"/>
        <w:rPr>
          <w:rFonts w:ascii="Times New Roman" w:hAnsi="Times New Roman"/>
          <w:b/>
          <w:bCs/>
          <w:sz w:val="26"/>
          <w:szCs w:val="26"/>
        </w:rPr>
      </w:pPr>
    </w:p>
    <w:p w14:paraId="1EC33E73" w14:textId="77777777" w:rsidR="00BA4C0C" w:rsidRDefault="00BA4C0C" w:rsidP="008C5885">
      <w:pPr>
        <w:spacing w:after="0" w:line="240" w:lineRule="auto"/>
        <w:ind w:left="5812"/>
        <w:jc w:val="right"/>
        <w:rPr>
          <w:rFonts w:ascii="Times New Roman" w:hAnsi="Times New Roman"/>
          <w:b/>
          <w:bCs/>
          <w:sz w:val="26"/>
          <w:szCs w:val="26"/>
        </w:rPr>
      </w:pPr>
    </w:p>
    <w:p w14:paraId="75D54106" w14:textId="77777777" w:rsidR="00BA4C0C" w:rsidRDefault="00BA4C0C" w:rsidP="008C5885">
      <w:pPr>
        <w:spacing w:after="0" w:line="240" w:lineRule="auto"/>
        <w:ind w:left="5812"/>
        <w:jc w:val="right"/>
        <w:rPr>
          <w:rFonts w:ascii="Times New Roman" w:hAnsi="Times New Roman"/>
          <w:b/>
          <w:bCs/>
          <w:sz w:val="26"/>
          <w:szCs w:val="26"/>
        </w:rPr>
      </w:pPr>
    </w:p>
    <w:p w14:paraId="6FC545DE" w14:textId="77777777" w:rsidR="00BA4C0C" w:rsidRDefault="00BA4C0C" w:rsidP="008C5885">
      <w:pPr>
        <w:spacing w:after="0" w:line="240" w:lineRule="auto"/>
        <w:ind w:left="5812"/>
        <w:jc w:val="right"/>
        <w:rPr>
          <w:rFonts w:ascii="Times New Roman" w:hAnsi="Times New Roman"/>
          <w:b/>
          <w:bCs/>
          <w:sz w:val="26"/>
          <w:szCs w:val="26"/>
        </w:rPr>
      </w:pPr>
    </w:p>
    <w:p w14:paraId="39CE7F2F" w14:textId="77777777" w:rsidR="00BA4C0C" w:rsidRDefault="00BA4C0C" w:rsidP="008C5885">
      <w:pPr>
        <w:spacing w:after="0" w:line="240" w:lineRule="auto"/>
        <w:ind w:left="5812"/>
        <w:jc w:val="right"/>
        <w:rPr>
          <w:rFonts w:ascii="Times New Roman" w:hAnsi="Times New Roman"/>
          <w:b/>
          <w:bCs/>
          <w:sz w:val="26"/>
          <w:szCs w:val="26"/>
        </w:rPr>
      </w:pPr>
    </w:p>
    <w:p w14:paraId="1EE015D1" w14:textId="77777777" w:rsidR="00CE1F1A" w:rsidRDefault="00CE1F1A" w:rsidP="008C5885">
      <w:pPr>
        <w:spacing w:after="0" w:line="240" w:lineRule="auto"/>
        <w:ind w:left="5812"/>
        <w:jc w:val="right"/>
        <w:rPr>
          <w:rFonts w:ascii="Times New Roman" w:hAnsi="Times New Roman"/>
          <w:b/>
          <w:bCs/>
          <w:sz w:val="26"/>
          <w:szCs w:val="26"/>
        </w:rPr>
      </w:pPr>
    </w:p>
    <w:p w14:paraId="5EADA808" w14:textId="77777777" w:rsidR="00CE1F1A" w:rsidRDefault="00CE1F1A" w:rsidP="008C5885">
      <w:pPr>
        <w:spacing w:after="0" w:line="240" w:lineRule="auto"/>
        <w:ind w:left="5812"/>
        <w:jc w:val="right"/>
        <w:rPr>
          <w:rFonts w:ascii="Times New Roman" w:hAnsi="Times New Roman"/>
          <w:b/>
          <w:bCs/>
          <w:sz w:val="26"/>
          <w:szCs w:val="26"/>
        </w:rPr>
      </w:pPr>
    </w:p>
    <w:p w14:paraId="775EE722" w14:textId="15B1BD08"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6893D841" w:rsidR="008C5885" w:rsidRPr="00BA4C0C"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BA4C0C">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50429E" w:rsidRPr="00BA4C0C">
        <w:rPr>
          <w:rFonts w:ascii="Times New Roman" w:hAnsi="Times New Roman"/>
          <w:b/>
          <w:sz w:val="24"/>
          <w:szCs w:val="24"/>
        </w:rPr>
        <w:t>ДК 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r w:rsidR="004A71D3" w:rsidRPr="00BA4C0C">
        <w:rPr>
          <w:rFonts w:ascii="Times New Roman" w:hAnsi="Times New Roman"/>
          <w:b/>
          <w:sz w:val="24"/>
          <w:szCs w:val="24"/>
        </w:rPr>
        <w:t xml:space="preserve"> </w:t>
      </w:r>
      <w:r w:rsidRPr="00BA4C0C">
        <w:rPr>
          <w:rFonts w:ascii="Times New Roman" w:hAnsi="Times New Roman"/>
          <w:sz w:val="24"/>
          <w:szCs w:val="24"/>
        </w:rPr>
        <w:t>в наступному обсязі:</w:t>
      </w:r>
    </w:p>
    <w:p w14:paraId="3357F89A" w14:textId="77777777" w:rsidR="008C5885" w:rsidRPr="00BA4C0C"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BA4C0C" w14:paraId="59909656" w14:textId="77777777" w:rsidTr="008C5885">
        <w:tc>
          <w:tcPr>
            <w:tcW w:w="563" w:type="dxa"/>
            <w:shd w:val="clear" w:color="auto" w:fill="D9D9D9" w:themeFill="background1" w:themeFillShade="D9"/>
          </w:tcPr>
          <w:p w14:paraId="50E8F6F3"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w:t>
            </w:r>
          </w:p>
        </w:tc>
        <w:tc>
          <w:tcPr>
            <w:tcW w:w="9355" w:type="dxa"/>
            <w:gridSpan w:val="2"/>
            <w:shd w:val="clear" w:color="auto" w:fill="D9D9D9" w:themeFill="background1" w:themeFillShade="D9"/>
          </w:tcPr>
          <w:p w14:paraId="14569B4D" w14:textId="77777777" w:rsidR="008C5885" w:rsidRPr="00BA4C0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BA4C0C">
              <w:rPr>
                <w:rFonts w:ascii="Times New Roman" w:hAnsi="Times New Roman"/>
                <w:sz w:val="24"/>
                <w:szCs w:val="24"/>
                <w:lang w:val="uk-UA"/>
              </w:rPr>
              <w:t>Відомості про учасника*</w:t>
            </w:r>
          </w:p>
        </w:tc>
      </w:tr>
      <w:tr w:rsidR="008C5885" w:rsidRPr="00BA4C0C" w14:paraId="62A84A4A" w14:textId="77777777" w:rsidTr="008C5885">
        <w:tc>
          <w:tcPr>
            <w:tcW w:w="563" w:type="dxa"/>
          </w:tcPr>
          <w:p w14:paraId="1AE45861"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1</w:t>
            </w:r>
          </w:p>
        </w:tc>
        <w:tc>
          <w:tcPr>
            <w:tcW w:w="4536" w:type="dxa"/>
          </w:tcPr>
          <w:p w14:paraId="451F53BC"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A4C0C">
              <w:rPr>
                <w:rFonts w:ascii="Times New Roman" w:hAnsi="Times New Roman"/>
                <w:color w:val="000000"/>
                <w:sz w:val="24"/>
                <w:szCs w:val="24"/>
                <w:lang w:val="uk-UA"/>
              </w:rPr>
              <w:t>Найменування юридичної особи:</w:t>
            </w:r>
          </w:p>
        </w:tc>
        <w:tc>
          <w:tcPr>
            <w:tcW w:w="4819" w:type="dxa"/>
            <w:shd w:val="clear" w:color="auto" w:fill="FFFF00"/>
          </w:tcPr>
          <w:p w14:paraId="5DDC2C9C"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09587E03" w14:textId="77777777" w:rsidTr="008C5885">
        <w:tc>
          <w:tcPr>
            <w:tcW w:w="563" w:type="dxa"/>
          </w:tcPr>
          <w:p w14:paraId="6D36EF1E"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2</w:t>
            </w:r>
          </w:p>
        </w:tc>
        <w:tc>
          <w:tcPr>
            <w:tcW w:w="4536" w:type="dxa"/>
          </w:tcPr>
          <w:p w14:paraId="6F8043DD"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A4C0C">
              <w:rPr>
                <w:rFonts w:ascii="Times New Roman" w:hAnsi="Times New Roman"/>
                <w:color w:val="000000"/>
                <w:sz w:val="24"/>
                <w:szCs w:val="24"/>
                <w:lang w:val="uk-UA"/>
              </w:rPr>
              <w:t>Юридична адреса:</w:t>
            </w:r>
          </w:p>
        </w:tc>
        <w:tc>
          <w:tcPr>
            <w:tcW w:w="4819" w:type="dxa"/>
            <w:shd w:val="clear" w:color="auto" w:fill="FFFF00"/>
          </w:tcPr>
          <w:p w14:paraId="26B859C4"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2732A9B7" w14:textId="77777777" w:rsidTr="008C5885">
        <w:tc>
          <w:tcPr>
            <w:tcW w:w="563" w:type="dxa"/>
          </w:tcPr>
          <w:p w14:paraId="22E6E959"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3</w:t>
            </w:r>
          </w:p>
        </w:tc>
        <w:tc>
          <w:tcPr>
            <w:tcW w:w="4536" w:type="dxa"/>
          </w:tcPr>
          <w:p w14:paraId="0F92ADE9"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A4C0C">
              <w:rPr>
                <w:rFonts w:ascii="Times New Roman" w:hAnsi="Times New Roman"/>
                <w:color w:val="000000"/>
                <w:sz w:val="24"/>
                <w:szCs w:val="24"/>
                <w:lang w:val="uk-UA"/>
              </w:rPr>
              <w:t>ПІБ та посада керівника юридичної особи (для Юр. осіб):</w:t>
            </w:r>
          </w:p>
        </w:tc>
        <w:tc>
          <w:tcPr>
            <w:tcW w:w="4819" w:type="dxa"/>
            <w:shd w:val="clear" w:color="auto" w:fill="FFFF00"/>
          </w:tcPr>
          <w:p w14:paraId="09268E6D"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5FC0489B" w14:textId="77777777" w:rsidTr="008C5885">
        <w:tc>
          <w:tcPr>
            <w:tcW w:w="563" w:type="dxa"/>
          </w:tcPr>
          <w:p w14:paraId="5DA59B35"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4</w:t>
            </w:r>
          </w:p>
        </w:tc>
        <w:tc>
          <w:tcPr>
            <w:tcW w:w="4536" w:type="dxa"/>
          </w:tcPr>
          <w:p w14:paraId="35403644"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A4C0C">
              <w:rPr>
                <w:rFonts w:ascii="Times New Roman" w:hAnsi="Times New Roman"/>
                <w:color w:val="000000"/>
                <w:sz w:val="24"/>
                <w:szCs w:val="24"/>
                <w:lang w:val="uk-UA"/>
              </w:rPr>
              <w:t>Номер телефону керівника юридичної особи  (для Юр. осіб):</w:t>
            </w:r>
          </w:p>
        </w:tc>
        <w:tc>
          <w:tcPr>
            <w:tcW w:w="4819" w:type="dxa"/>
            <w:shd w:val="clear" w:color="auto" w:fill="FFFF00"/>
          </w:tcPr>
          <w:p w14:paraId="7B6EABC3"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6C879EDE" w14:textId="77777777" w:rsidTr="008C5885">
        <w:tc>
          <w:tcPr>
            <w:tcW w:w="563" w:type="dxa"/>
          </w:tcPr>
          <w:p w14:paraId="6EAE4A62"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5</w:t>
            </w:r>
          </w:p>
        </w:tc>
        <w:tc>
          <w:tcPr>
            <w:tcW w:w="4536" w:type="dxa"/>
          </w:tcPr>
          <w:p w14:paraId="2F6876E8"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A4C0C">
              <w:rPr>
                <w:rFonts w:ascii="Times New Roman" w:hAnsi="Times New Roman"/>
                <w:color w:val="000000"/>
                <w:sz w:val="24"/>
                <w:szCs w:val="24"/>
                <w:lang w:val="uk-UA"/>
              </w:rPr>
              <w:t>Контактна особа:</w:t>
            </w:r>
          </w:p>
        </w:tc>
        <w:tc>
          <w:tcPr>
            <w:tcW w:w="4819" w:type="dxa"/>
            <w:shd w:val="clear" w:color="auto" w:fill="FFFF00"/>
          </w:tcPr>
          <w:p w14:paraId="55A66BEF"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7FB397CD" w14:textId="77777777" w:rsidTr="008C5885">
        <w:tc>
          <w:tcPr>
            <w:tcW w:w="563" w:type="dxa"/>
          </w:tcPr>
          <w:p w14:paraId="29E68BD5"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6</w:t>
            </w:r>
          </w:p>
        </w:tc>
        <w:tc>
          <w:tcPr>
            <w:tcW w:w="4536" w:type="dxa"/>
          </w:tcPr>
          <w:p w14:paraId="0C8F347D"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A4C0C">
              <w:rPr>
                <w:rFonts w:ascii="Times New Roman" w:hAnsi="Times New Roman"/>
                <w:color w:val="000000"/>
                <w:sz w:val="24"/>
                <w:szCs w:val="24"/>
                <w:lang w:val="uk-UA"/>
              </w:rPr>
              <w:t xml:space="preserve">Номер </w:t>
            </w:r>
            <w:proofErr w:type="spellStart"/>
            <w:r w:rsidRPr="00BA4C0C">
              <w:rPr>
                <w:rFonts w:ascii="Times New Roman" w:hAnsi="Times New Roman"/>
                <w:color w:val="000000"/>
                <w:sz w:val="24"/>
                <w:szCs w:val="24"/>
                <w:lang w:val="uk-UA"/>
              </w:rPr>
              <w:t>моб</w:t>
            </w:r>
            <w:proofErr w:type="spellEnd"/>
            <w:r w:rsidRPr="00BA4C0C">
              <w:rPr>
                <w:rFonts w:ascii="Times New Roman" w:hAnsi="Times New Roman"/>
                <w:color w:val="000000"/>
                <w:sz w:val="24"/>
                <w:szCs w:val="24"/>
                <w:lang w:val="uk-UA"/>
              </w:rPr>
              <w:t>. телефону контактної особи:</w:t>
            </w:r>
          </w:p>
        </w:tc>
        <w:tc>
          <w:tcPr>
            <w:tcW w:w="4819" w:type="dxa"/>
            <w:shd w:val="clear" w:color="auto" w:fill="FFFF00"/>
          </w:tcPr>
          <w:p w14:paraId="6CDD452C"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58E34B85" w14:textId="77777777" w:rsidTr="008C5885">
        <w:tc>
          <w:tcPr>
            <w:tcW w:w="563" w:type="dxa"/>
          </w:tcPr>
          <w:p w14:paraId="27D38631"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7</w:t>
            </w:r>
          </w:p>
        </w:tc>
        <w:tc>
          <w:tcPr>
            <w:tcW w:w="4536" w:type="dxa"/>
          </w:tcPr>
          <w:p w14:paraId="78CFBCDF"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A4C0C">
              <w:rPr>
                <w:rFonts w:ascii="Times New Roman" w:hAnsi="Times New Roman"/>
                <w:color w:val="000000"/>
                <w:sz w:val="24"/>
                <w:szCs w:val="24"/>
                <w:lang w:val="uk-UA"/>
              </w:rPr>
              <w:t>Електронна пошта контактної особи:</w:t>
            </w:r>
          </w:p>
        </w:tc>
        <w:tc>
          <w:tcPr>
            <w:tcW w:w="4819" w:type="dxa"/>
            <w:shd w:val="clear" w:color="auto" w:fill="FFFF00"/>
          </w:tcPr>
          <w:p w14:paraId="548DA442"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35AE8655" w14:textId="77777777" w:rsidTr="008C5885">
        <w:tc>
          <w:tcPr>
            <w:tcW w:w="563" w:type="dxa"/>
          </w:tcPr>
          <w:p w14:paraId="22D51B77"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8</w:t>
            </w:r>
          </w:p>
        </w:tc>
        <w:tc>
          <w:tcPr>
            <w:tcW w:w="4536" w:type="dxa"/>
          </w:tcPr>
          <w:p w14:paraId="648B5827"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A4C0C">
              <w:rPr>
                <w:rFonts w:ascii="Times New Roman" w:hAnsi="Times New Roman"/>
                <w:color w:val="000000"/>
                <w:sz w:val="24"/>
                <w:szCs w:val="24"/>
                <w:lang w:val="uk-UA"/>
              </w:rPr>
              <w:t>Адреса веб-сайту (за наявності):</w:t>
            </w:r>
          </w:p>
        </w:tc>
        <w:tc>
          <w:tcPr>
            <w:tcW w:w="4819" w:type="dxa"/>
            <w:shd w:val="clear" w:color="auto" w:fill="FFFF00"/>
          </w:tcPr>
          <w:p w14:paraId="50C1CBA6"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643729D9" w14:textId="77777777" w:rsidTr="008C5885">
        <w:tc>
          <w:tcPr>
            <w:tcW w:w="563" w:type="dxa"/>
          </w:tcPr>
          <w:p w14:paraId="03643B5B"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9</w:t>
            </w:r>
          </w:p>
        </w:tc>
        <w:tc>
          <w:tcPr>
            <w:tcW w:w="4536" w:type="dxa"/>
          </w:tcPr>
          <w:p w14:paraId="3745C8AF"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A4C0C">
              <w:rPr>
                <w:rFonts w:ascii="Times New Roman" w:hAnsi="Times New Roman"/>
                <w:color w:val="000000"/>
                <w:sz w:val="24"/>
                <w:szCs w:val="24"/>
                <w:lang w:val="uk-UA"/>
              </w:rPr>
              <w:t>Банківські реквізити:</w:t>
            </w:r>
          </w:p>
        </w:tc>
        <w:tc>
          <w:tcPr>
            <w:tcW w:w="4819" w:type="dxa"/>
            <w:shd w:val="clear" w:color="auto" w:fill="FFFF00"/>
          </w:tcPr>
          <w:p w14:paraId="0B30A503"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3FB7291D" w14:textId="77777777" w:rsidTr="008C5885">
        <w:tc>
          <w:tcPr>
            <w:tcW w:w="563" w:type="dxa"/>
          </w:tcPr>
          <w:p w14:paraId="334D47CB"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10</w:t>
            </w:r>
          </w:p>
        </w:tc>
        <w:tc>
          <w:tcPr>
            <w:tcW w:w="4536" w:type="dxa"/>
          </w:tcPr>
          <w:p w14:paraId="36C8080B"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A4C0C">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BA4C0C" w14:paraId="6989D528" w14:textId="77777777" w:rsidTr="008C5885">
        <w:tc>
          <w:tcPr>
            <w:tcW w:w="563" w:type="dxa"/>
          </w:tcPr>
          <w:p w14:paraId="70B10769" w14:textId="77777777" w:rsidR="008C5885" w:rsidRPr="00BA4C0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A4C0C">
              <w:rPr>
                <w:rFonts w:ascii="Times New Roman" w:hAnsi="Times New Roman"/>
                <w:sz w:val="24"/>
                <w:szCs w:val="24"/>
                <w:lang w:val="uk-UA"/>
              </w:rPr>
              <w:t>11</w:t>
            </w:r>
          </w:p>
        </w:tc>
        <w:tc>
          <w:tcPr>
            <w:tcW w:w="4536" w:type="dxa"/>
          </w:tcPr>
          <w:p w14:paraId="52764B18" w14:textId="77777777" w:rsidR="008C5885" w:rsidRPr="00BA4C0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A4C0C">
              <w:rPr>
                <w:rFonts w:ascii="Times New Roman" w:hAnsi="Times New Roman"/>
                <w:color w:val="000000"/>
                <w:sz w:val="24"/>
                <w:szCs w:val="24"/>
                <w:lang w:val="uk-UA"/>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BA4C0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7777777" w:rsidR="008C5885" w:rsidRPr="00BA4C0C" w:rsidRDefault="008C5885" w:rsidP="008C5885">
      <w:pPr>
        <w:pBdr>
          <w:top w:val="nil"/>
          <w:left w:val="nil"/>
          <w:bottom w:val="nil"/>
          <w:right w:val="nil"/>
          <w:between w:val="nil"/>
        </w:pBdr>
        <w:ind w:right="-426"/>
        <w:rPr>
          <w:rFonts w:ascii="Times New Roman" w:hAnsi="Times New Roman"/>
          <w:sz w:val="24"/>
          <w:szCs w:val="24"/>
        </w:rPr>
      </w:pPr>
      <w:r w:rsidRPr="00BA4C0C">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BA4C0C" w14:paraId="5CA05056" w14:textId="77777777" w:rsidTr="00C80BEC">
        <w:trPr>
          <w:trHeight w:val="765"/>
        </w:trPr>
        <w:tc>
          <w:tcPr>
            <w:tcW w:w="568" w:type="dxa"/>
            <w:shd w:val="clear" w:color="000000" w:fill="BFBFBF"/>
            <w:noWrap/>
            <w:vAlign w:val="bottom"/>
            <w:hideMark/>
          </w:tcPr>
          <w:p w14:paraId="1C431AF0" w14:textId="77777777" w:rsidR="00DB2E4D" w:rsidRPr="00BA4C0C"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BA4C0C" w:rsidRDefault="00DB2E4D" w:rsidP="00586ADC">
            <w:pPr>
              <w:spacing w:after="0" w:line="240" w:lineRule="auto"/>
              <w:jc w:val="center"/>
              <w:rPr>
                <w:rFonts w:ascii="Times New Roman" w:hAnsi="Times New Roman"/>
                <w:b/>
                <w:bCs/>
                <w:color w:val="000000"/>
                <w:sz w:val="24"/>
                <w:szCs w:val="24"/>
              </w:rPr>
            </w:pPr>
            <w:r w:rsidRPr="00BA4C0C">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BA4C0C" w:rsidRDefault="00DB2E4D" w:rsidP="00586ADC">
            <w:pPr>
              <w:spacing w:after="0" w:line="240" w:lineRule="auto"/>
              <w:jc w:val="center"/>
              <w:rPr>
                <w:rFonts w:ascii="Times New Roman" w:hAnsi="Times New Roman"/>
                <w:b/>
                <w:bCs/>
                <w:color w:val="000000"/>
              </w:rPr>
            </w:pPr>
            <w:r w:rsidRPr="00BA4C0C">
              <w:rPr>
                <w:rFonts w:ascii="Times New Roman" w:hAnsi="Times New Roman"/>
                <w:b/>
                <w:bCs/>
                <w:color w:val="000000"/>
              </w:rPr>
              <w:t>Відповідність вимогам / згода</w:t>
            </w:r>
            <w:r w:rsidRPr="00BA4C0C">
              <w:rPr>
                <w:rFonts w:ascii="Times New Roman" w:hAnsi="Times New Roman"/>
                <w:b/>
                <w:bCs/>
                <w:color w:val="000000"/>
              </w:rPr>
              <w:br/>
              <w:t>(ТАК / НІ)</w:t>
            </w:r>
          </w:p>
        </w:tc>
      </w:tr>
      <w:tr w:rsidR="00DB2E4D" w:rsidRPr="00BA4C0C" w14:paraId="00E89A4C" w14:textId="77777777" w:rsidTr="00C80BEC">
        <w:trPr>
          <w:trHeight w:val="510"/>
        </w:trPr>
        <w:tc>
          <w:tcPr>
            <w:tcW w:w="568" w:type="dxa"/>
            <w:shd w:val="clear" w:color="auto" w:fill="auto"/>
            <w:noWrap/>
            <w:hideMark/>
          </w:tcPr>
          <w:p w14:paraId="0D36D613" w14:textId="77777777"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t>1</w:t>
            </w:r>
          </w:p>
        </w:tc>
        <w:tc>
          <w:tcPr>
            <w:tcW w:w="2551" w:type="dxa"/>
            <w:shd w:val="clear" w:color="auto" w:fill="auto"/>
            <w:hideMark/>
          </w:tcPr>
          <w:p w14:paraId="0BBF60C9" w14:textId="77777777" w:rsidR="00DB2E4D" w:rsidRPr="00BA4C0C" w:rsidRDefault="00DB2E4D" w:rsidP="00586ADC">
            <w:pPr>
              <w:spacing w:after="0" w:line="240" w:lineRule="auto"/>
              <w:rPr>
                <w:rFonts w:ascii="Times New Roman" w:hAnsi="Times New Roman"/>
                <w:b/>
                <w:bCs/>
                <w:sz w:val="24"/>
                <w:szCs w:val="24"/>
              </w:rPr>
            </w:pPr>
            <w:r w:rsidRPr="00BA4C0C">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BA4C0C" w:rsidRDefault="00DB2E4D" w:rsidP="00586ADC">
            <w:pPr>
              <w:spacing w:after="0" w:line="240" w:lineRule="auto"/>
              <w:jc w:val="right"/>
              <w:rPr>
                <w:rFonts w:ascii="Times New Roman" w:hAnsi="Times New Roman"/>
                <w:sz w:val="24"/>
                <w:szCs w:val="24"/>
              </w:rPr>
            </w:pPr>
            <w:r w:rsidRPr="00BA4C0C">
              <w:rPr>
                <w:rFonts w:ascii="Times New Roman" w:hAnsi="Times New Roman"/>
                <w:sz w:val="24"/>
                <w:szCs w:val="24"/>
              </w:rPr>
              <w:t>початок:</w:t>
            </w:r>
          </w:p>
        </w:tc>
        <w:tc>
          <w:tcPr>
            <w:tcW w:w="1467" w:type="dxa"/>
            <w:shd w:val="clear" w:color="auto" w:fill="auto"/>
            <w:hideMark/>
          </w:tcPr>
          <w:p w14:paraId="788C3D57" w14:textId="77777777" w:rsidR="00DB2E4D" w:rsidRPr="00BA4C0C" w:rsidRDefault="00DB2E4D" w:rsidP="00586ADC">
            <w:pPr>
              <w:spacing w:after="0" w:line="240" w:lineRule="auto"/>
              <w:jc w:val="right"/>
              <w:rPr>
                <w:rFonts w:ascii="Times New Roman" w:hAnsi="Times New Roman"/>
                <w:sz w:val="24"/>
                <w:szCs w:val="24"/>
              </w:rPr>
            </w:pPr>
            <w:r w:rsidRPr="00BA4C0C">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B507AD2"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t xml:space="preserve">кінець: </w:t>
            </w:r>
            <w:r w:rsidR="0050429E" w:rsidRPr="00BA4C0C">
              <w:rPr>
                <w:rFonts w:ascii="Times New Roman" w:hAnsi="Times New Roman"/>
                <w:sz w:val="24"/>
                <w:szCs w:val="24"/>
              </w:rPr>
              <w:t>серп</w:t>
            </w:r>
            <w:r w:rsidR="00854ED2" w:rsidRPr="00BA4C0C">
              <w:rPr>
                <w:rFonts w:ascii="Times New Roman" w:hAnsi="Times New Roman"/>
                <w:sz w:val="24"/>
                <w:szCs w:val="24"/>
              </w:rPr>
              <w:t xml:space="preserve">ень </w:t>
            </w:r>
            <w:r w:rsidRPr="00BA4C0C">
              <w:rPr>
                <w:rFonts w:ascii="Times New Roman" w:hAnsi="Times New Roman"/>
                <w:sz w:val="24"/>
                <w:szCs w:val="24"/>
              </w:rPr>
              <w:t>20</w:t>
            </w:r>
            <w:r w:rsidR="008D638D" w:rsidRPr="00BA4C0C">
              <w:rPr>
                <w:rFonts w:ascii="Times New Roman" w:hAnsi="Times New Roman"/>
                <w:sz w:val="24"/>
                <w:szCs w:val="24"/>
              </w:rPr>
              <w:t>2</w:t>
            </w:r>
            <w:r w:rsidR="00994F94" w:rsidRPr="00BA4C0C">
              <w:rPr>
                <w:rFonts w:ascii="Times New Roman" w:hAnsi="Times New Roman"/>
                <w:sz w:val="24"/>
                <w:szCs w:val="24"/>
              </w:rPr>
              <w:t>2</w:t>
            </w:r>
            <w:r w:rsidR="0050429E" w:rsidRPr="00BA4C0C">
              <w:rPr>
                <w:rFonts w:ascii="Times New Roman" w:hAnsi="Times New Roman"/>
                <w:sz w:val="24"/>
                <w:szCs w:val="24"/>
              </w:rPr>
              <w:t xml:space="preserve"> року</w:t>
            </w:r>
          </w:p>
        </w:tc>
      </w:tr>
      <w:tr w:rsidR="00DB2E4D" w:rsidRPr="00BA4C0C" w14:paraId="015A7026" w14:textId="77777777" w:rsidTr="00C80BEC">
        <w:trPr>
          <w:trHeight w:val="897"/>
        </w:trPr>
        <w:tc>
          <w:tcPr>
            <w:tcW w:w="568" w:type="dxa"/>
            <w:shd w:val="clear" w:color="auto" w:fill="auto"/>
            <w:noWrap/>
            <w:hideMark/>
          </w:tcPr>
          <w:p w14:paraId="767411B3" w14:textId="77777777"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t>2</w:t>
            </w:r>
          </w:p>
        </w:tc>
        <w:tc>
          <w:tcPr>
            <w:tcW w:w="2551" w:type="dxa"/>
            <w:shd w:val="clear" w:color="auto" w:fill="auto"/>
            <w:hideMark/>
          </w:tcPr>
          <w:p w14:paraId="5DD7F3CB" w14:textId="77777777" w:rsidR="00DB2E4D" w:rsidRPr="00BA4C0C" w:rsidRDefault="00DB2E4D" w:rsidP="00586ADC">
            <w:pPr>
              <w:spacing w:after="0" w:line="240" w:lineRule="auto"/>
              <w:rPr>
                <w:rFonts w:ascii="Times New Roman" w:hAnsi="Times New Roman"/>
                <w:b/>
                <w:bCs/>
                <w:sz w:val="24"/>
                <w:szCs w:val="24"/>
              </w:rPr>
            </w:pPr>
            <w:r w:rsidRPr="00BA4C0C">
              <w:rPr>
                <w:rFonts w:ascii="Times New Roman" w:hAnsi="Times New Roman"/>
                <w:b/>
                <w:bCs/>
                <w:sz w:val="24"/>
                <w:szCs w:val="24"/>
              </w:rPr>
              <w:t>Умови оплати:</w:t>
            </w:r>
          </w:p>
        </w:tc>
        <w:tc>
          <w:tcPr>
            <w:tcW w:w="5103" w:type="dxa"/>
            <w:gridSpan w:val="3"/>
            <w:shd w:val="clear" w:color="auto" w:fill="auto"/>
            <w:hideMark/>
          </w:tcPr>
          <w:p w14:paraId="40B08A30" w14:textId="23F723B1" w:rsidR="00DB2E4D" w:rsidRPr="00BA4C0C" w:rsidRDefault="00DB2E4D" w:rsidP="007223DD">
            <w:pPr>
              <w:spacing w:after="0" w:line="240" w:lineRule="auto"/>
              <w:jc w:val="both"/>
              <w:rPr>
                <w:rFonts w:ascii="Times New Roman" w:hAnsi="Times New Roman"/>
                <w:sz w:val="24"/>
                <w:szCs w:val="24"/>
              </w:rPr>
            </w:pPr>
            <w:r w:rsidRPr="00BA4C0C">
              <w:rPr>
                <w:rFonts w:ascii="Times New Roman" w:hAnsi="Times New Roman"/>
                <w:sz w:val="24"/>
                <w:szCs w:val="24"/>
              </w:rPr>
              <w:t>Оплата послуг здійснюється на умовах</w:t>
            </w:r>
            <w:r w:rsidRPr="00BA4C0C">
              <w:rPr>
                <w:rFonts w:ascii="Times New Roman" w:hAnsi="Times New Roman"/>
                <w:sz w:val="24"/>
                <w:szCs w:val="24"/>
              </w:rPr>
              <w:br/>
              <w:t xml:space="preserve">оплати </w:t>
            </w:r>
            <w:r w:rsidR="008D638D" w:rsidRPr="00BA4C0C">
              <w:rPr>
                <w:rFonts w:ascii="Times New Roman" w:hAnsi="Times New Roman"/>
                <w:sz w:val="24"/>
                <w:szCs w:val="24"/>
              </w:rPr>
              <w:t>за</w:t>
            </w:r>
            <w:r w:rsidRPr="00BA4C0C">
              <w:rPr>
                <w:rFonts w:ascii="Times New Roman" w:hAnsi="Times New Roman"/>
                <w:sz w:val="24"/>
                <w:szCs w:val="24"/>
              </w:rPr>
              <w:t xml:space="preserve"> факт</w:t>
            </w:r>
            <w:r w:rsidR="008D638D" w:rsidRPr="00BA4C0C">
              <w:rPr>
                <w:rFonts w:ascii="Times New Roman" w:hAnsi="Times New Roman"/>
                <w:sz w:val="24"/>
                <w:szCs w:val="24"/>
              </w:rPr>
              <w:t>ом надання послуг</w:t>
            </w:r>
            <w:r w:rsidRPr="00BA4C0C">
              <w:rPr>
                <w:rFonts w:ascii="Times New Roman" w:hAnsi="Times New Roman"/>
                <w:sz w:val="24"/>
                <w:szCs w:val="24"/>
              </w:rPr>
              <w:t xml:space="preserve">, </w:t>
            </w:r>
            <w:r w:rsidR="007223DD" w:rsidRPr="00BA4C0C">
              <w:rPr>
                <w:rFonts w:ascii="Times New Roman" w:hAnsi="Times New Roman"/>
                <w:sz w:val="24"/>
                <w:szCs w:val="24"/>
              </w:rPr>
              <w:t>або передоплата щонайбільше – 70 % від вартості надання послуг на кожному етапі</w:t>
            </w:r>
            <w:r w:rsidR="00C80BEC" w:rsidRPr="00BA4C0C">
              <w:rPr>
                <w:rFonts w:ascii="Times New Roman" w:hAnsi="Times New Roman"/>
                <w:sz w:val="24"/>
                <w:szCs w:val="24"/>
              </w:rPr>
              <w:t>.</w:t>
            </w:r>
            <w:r w:rsidR="00C43033" w:rsidRPr="00BA4C0C">
              <w:rPr>
                <w:rFonts w:ascii="Times New Roman" w:hAnsi="Times New Roman"/>
                <w:sz w:val="24"/>
                <w:szCs w:val="24"/>
              </w:rPr>
              <w:t xml:space="preserve"> </w:t>
            </w:r>
          </w:p>
        </w:tc>
        <w:tc>
          <w:tcPr>
            <w:tcW w:w="1701" w:type="dxa"/>
            <w:shd w:val="clear" w:color="000000" w:fill="FFFF00"/>
            <w:noWrap/>
            <w:hideMark/>
          </w:tcPr>
          <w:p w14:paraId="4FB22C4D" w14:textId="77777777"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t> </w:t>
            </w:r>
          </w:p>
        </w:tc>
      </w:tr>
      <w:tr w:rsidR="00DB2E4D" w:rsidRPr="00BA4C0C" w14:paraId="2B2CA7C8" w14:textId="77777777" w:rsidTr="00C80BEC">
        <w:trPr>
          <w:trHeight w:val="255"/>
        </w:trPr>
        <w:tc>
          <w:tcPr>
            <w:tcW w:w="568" w:type="dxa"/>
            <w:shd w:val="clear" w:color="auto" w:fill="auto"/>
            <w:noWrap/>
            <w:hideMark/>
          </w:tcPr>
          <w:p w14:paraId="058D240C" w14:textId="77777777"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t>3</w:t>
            </w:r>
          </w:p>
        </w:tc>
        <w:tc>
          <w:tcPr>
            <w:tcW w:w="2551" w:type="dxa"/>
            <w:shd w:val="clear" w:color="auto" w:fill="auto"/>
            <w:hideMark/>
          </w:tcPr>
          <w:p w14:paraId="12AC835B" w14:textId="77777777" w:rsidR="00DB2E4D" w:rsidRPr="00BA4C0C" w:rsidRDefault="00DB2E4D" w:rsidP="00586ADC">
            <w:pPr>
              <w:spacing w:after="0" w:line="240" w:lineRule="auto"/>
              <w:rPr>
                <w:rFonts w:ascii="Times New Roman" w:hAnsi="Times New Roman"/>
                <w:b/>
                <w:bCs/>
                <w:sz w:val="24"/>
                <w:szCs w:val="24"/>
              </w:rPr>
            </w:pPr>
            <w:r w:rsidRPr="00BA4C0C">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BA4C0C" w:rsidRDefault="00DB2E4D" w:rsidP="00586ADC">
            <w:pPr>
              <w:spacing w:after="0" w:line="240" w:lineRule="auto"/>
              <w:rPr>
                <w:rFonts w:ascii="Times New Roman" w:hAnsi="Times New Roman"/>
                <w:sz w:val="24"/>
                <w:szCs w:val="24"/>
              </w:rPr>
            </w:pPr>
            <w:r w:rsidRPr="00BA4C0C">
              <w:rPr>
                <w:rFonts w:ascii="Times New Roman" w:hAnsi="Times New Roman"/>
                <w:sz w:val="24"/>
                <w:szCs w:val="24"/>
              </w:rPr>
              <w:t>Безготівковий розрахунок</w:t>
            </w:r>
            <w:r w:rsidR="00C80BEC" w:rsidRPr="00BA4C0C">
              <w:rPr>
                <w:rFonts w:ascii="Times New Roman" w:hAnsi="Times New Roman"/>
                <w:sz w:val="24"/>
                <w:szCs w:val="24"/>
              </w:rPr>
              <w:t>.</w:t>
            </w:r>
          </w:p>
        </w:tc>
        <w:tc>
          <w:tcPr>
            <w:tcW w:w="1701" w:type="dxa"/>
            <w:shd w:val="clear" w:color="000000" w:fill="FFFF00"/>
            <w:noWrap/>
            <w:hideMark/>
          </w:tcPr>
          <w:p w14:paraId="2059AC1D" w14:textId="77777777"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t> </w:t>
            </w:r>
          </w:p>
        </w:tc>
      </w:tr>
      <w:tr w:rsidR="00DB2E4D" w:rsidRPr="00BA4C0C" w14:paraId="642E4E6E" w14:textId="77777777" w:rsidTr="00C80BEC">
        <w:trPr>
          <w:trHeight w:val="405"/>
        </w:trPr>
        <w:tc>
          <w:tcPr>
            <w:tcW w:w="568" w:type="dxa"/>
            <w:shd w:val="clear" w:color="auto" w:fill="auto"/>
            <w:noWrap/>
            <w:hideMark/>
          </w:tcPr>
          <w:p w14:paraId="7CE8523A" w14:textId="7BC074D3" w:rsidR="00DB2E4D" w:rsidRPr="00BA4C0C" w:rsidRDefault="005C1FC7" w:rsidP="00586ADC">
            <w:pPr>
              <w:spacing w:after="0" w:line="240" w:lineRule="auto"/>
              <w:jc w:val="center"/>
              <w:rPr>
                <w:rFonts w:ascii="Times New Roman" w:hAnsi="Times New Roman"/>
                <w:sz w:val="24"/>
                <w:szCs w:val="24"/>
              </w:rPr>
            </w:pPr>
            <w:r w:rsidRPr="00BA4C0C">
              <w:rPr>
                <w:rFonts w:ascii="Times New Roman" w:hAnsi="Times New Roman"/>
                <w:sz w:val="24"/>
                <w:szCs w:val="24"/>
              </w:rPr>
              <w:t>4</w:t>
            </w:r>
          </w:p>
        </w:tc>
        <w:tc>
          <w:tcPr>
            <w:tcW w:w="2551" w:type="dxa"/>
            <w:shd w:val="clear" w:color="auto" w:fill="auto"/>
            <w:hideMark/>
          </w:tcPr>
          <w:p w14:paraId="77A7816A" w14:textId="77777777" w:rsidR="00DB2E4D" w:rsidRPr="00BA4C0C" w:rsidRDefault="00DB2E4D" w:rsidP="00586ADC">
            <w:pPr>
              <w:spacing w:after="0" w:line="240" w:lineRule="auto"/>
              <w:rPr>
                <w:rFonts w:ascii="Times New Roman" w:hAnsi="Times New Roman"/>
                <w:b/>
                <w:bCs/>
                <w:sz w:val="24"/>
                <w:szCs w:val="24"/>
              </w:rPr>
            </w:pPr>
            <w:r w:rsidRPr="00BA4C0C">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BA4C0C" w:rsidRDefault="00DB2E4D" w:rsidP="00586ADC">
            <w:pPr>
              <w:spacing w:after="0" w:line="240" w:lineRule="auto"/>
              <w:rPr>
                <w:rFonts w:ascii="Times New Roman" w:hAnsi="Times New Roman"/>
                <w:sz w:val="24"/>
                <w:szCs w:val="24"/>
              </w:rPr>
            </w:pPr>
            <w:r w:rsidRPr="00BA4C0C">
              <w:rPr>
                <w:rFonts w:ascii="Times New Roman" w:hAnsi="Times New Roman"/>
                <w:sz w:val="24"/>
                <w:szCs w:val="24"/>
              </w:rPr>
              <w:t>Згідно умов договору</w:t>
            </w:r>
            <w:r w:rsidR="00C80BEC" w:rsidRPr="00BA4C0C">
              <w:rPr>
                <w:rFonts w:ascii="Times New Roman" w:hAnsi="Times New Roman"/>
                <w:sz w:val="24"/>
                <w:szCs w:val="24"/>
              </w:rPr>
              <w:t>.</w:t>
            </w:r>
          </w:p>
        </w:tc>
        <w:tc>
          <w:tcPr>
            <w:tcW w:w="1701" w:type="dxa"/>
            <w:shd w:val="clear" w:color="000000" w:fill="FFFF00"/>
            <w:noWrap/>
            <w:hideMark/>
          </w:tcPr>
          <w:p w14:paraId="1821CFD1" w14:textId="77777777"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t> </w:t>
            </w:r>
          </w:p>
        </w:tc>
      </w:tr>
      <w:tr w:rsidR="00DB2E4D" w:rsidRPr="00BA4C0C" w14:paraId="3004A6DB" w14:textId="77777777" w:rsidTr="00C80BEC">
        <w:trPr>
          <w:trHeight w:val="420"/>
        </w:trPr>
        <w:tc>
          <w:tcPr>
            <w:tcW w:w="568" w:type="dxa"/>
            <w:shd w:val="clear" w:color="auto" w:fill="auto"/>
            <w:noWrap/>
            <w:hideMark/>
          </w:tcPr>
          <w:p w14:paraId="5F83B311" w14:textId="6767C85A" w:rsidR="00DB2E4D" w:rsidRPr="00BA4C0C" w:rsidRDefault="005C1FC7" w:rsidP="00586ADC">
            <w:pPr>
              <w:spacing w:after="0" w:line="240" w:lineRule="auto"/>
              <w:jc w:val="center"/>
              <w:rPr>
                <w:rFonts w:ascii="Times New Roman" w:hAnsi="Times New Roman"/>
                <w:sz w:val="24"/>
                <w:szCs w:val="24"/>
              </w:rPr>
            </w:pPr>
            <w:r w:rsidRPr="00BA4C0C">
              <w:rPr>
                <w:rFonts w:ascii="Times New Roman" w:hAnsi="Times New Roman"/>
                <w:sz w:val="24"/>
                <w:szCs w:val="24"/>
              </w:rPr>
              <w:t>5</w:t>
            </w:r>
          </w:p>
        </w:tc>
        <w:tc>
          <w:tcPr>
            <w:tcW w:w="2551" w:type="dxa"/>
            <w:shd w:val="clear" w:color="auto" w:fill="auto"/>
            <w:hideMark/>
          </w:tcPr>
          <w:p w14:paraId="5A797C99" w14:textId="349369EA" w:rsidR="00DB2E4D" w:rsidRPr="00BA4C0C" w:rsidRDefault="00DB2E4D" w:rsidP="00586ADC">
            <w:pPr>
              <w:spacing w:after="0" w:line="240" w:lineRule="auto"/>
              <w:rPr>
                <w:rFonts w:ascii="Times New Roman" w:hAnsi="Times New Roman"/>
                <w:b/>
                <w:bCs/>
                <w:sz w:val="24"/>
                <w:szCs w:val="24"/>
              </w:rPr>
            </w:pPr>
            <w:r w:rsidRPr="00BA4C0C">
              <w:rPr>
                <w:rFonts w:ascii="Times New Roman" w:hAnsi="Times New Roman"/>
                <w:b/>
                <w:bCs/>
                <w:sz w:val="24"/>
                <w:szCs w:val="24"/>
              </w:rPr>
              <w:t xml:space="preserve">Умови </w:t>
            </w:r>
            <w:r w:rsidR="003240A3" w:rsidRPr="00BA4C0C">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BA4C0C" w:rsidRDefault="00DB2E4D" w:rsidP="00586ADC">
            <w:pPr>
              <w:spacing w:after="0" w:line="240" w:lineRule="auto"/>
              <w:rPr>
                <w:rFonts w:ascii="Times New Roman" w:hAnsi="Times New Roman"/>
                <w:sz w:val="24"/>
                <w:szCs w:val="24"/>
              </w:rPr>
            </w:pPr>
            <w:r w:rsidRPr="00BA4C0C">
              <w:rPr>
                <w:rFonts w:ascii="Times New Roman" w:hAnsi="Times New Roman"/>
                <w:sz w:val="24"/>
                <w:szCs w:val="24"/>
              </w:rPr>
              <w:t>Згідно умов договору</w:t>
            </w:r>
            <w:r w:rsidR="00C80BEC" w:rsidRPr="00BA4C0C">
              <w:rPr>
                <w:rFonts w:ascii="Times New Roman" w:hAnsi="Times New Roman"/>
                <w:sz w:val="24"/>
                <w:szCs w:val="24"/>
              </w:rPr>
              <w:t>.</w:t>
            </w:r>
          </w:p>
        </w:tc>
        <w:tc>
          <w:tcPr>
            <w:tcW w:w="1701" w:type="dxa"/>
            <w:shd w:val="clear" w:color="000000" w:fill="FFFF00"/>
            <w:noWrap/>
            <w:hideMark/>
          </w:tcPr>
          <w:p w14:paraId="07D92247" w14:textId="77777777"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t> </w:t>
            </w:r>
          </w:p>
        </w:tc>
      </w:tr>
      <w:tr w:rsidR="00DB2E4D" w:rsidRPr="00BA4C0C" w14:paraId="2196EA55" w14:textId="77777777" w:rsidTr="00C80BEC">
        <w:trPr>
          <w:trHeight w:val="563"/>
        </w:trPr>
        <w:tc>
          <w:tcPr>
            <w:tcW w:w="568" w:type="dxa"/>
            <w:shd w:val="clear" w:color="auto" w:fill="auto"/>
            <w:noWrap/>
            <w:hideMark/>
          </w:tcPr>
          <w:p w14:paraId="3D81FEB5" w14:textId="68044C9D" w:rsidR="00DB2E4D" w:rsidRPr="00BA4C0C" w:rsidRDefault="005C1FC7" w:rsidP="00586ADC">
            <w:pPr>
              <w:spacing w:after="0" w:line="240" w:lineRule="auto"/>
              <w:jc w:val="center"/>
              <w:rPr>
                <w:rFonts w:ascii="Times New Roman" w:hAnsi="Times New Roman"/>
                <w:sz w:val="24"/>
                <w:szCs w:val="24"/>
              </w:rPr>
            </w:pPr>
            <w:r w:rsidRPr="00BA4C0C">
              <w:rPr>
                <w:rFonts w:ascii="Times New Roman" w:hAnsi="Times New Roman"/>
                <w:sz w:val="24"/>
                <w:szCs w:val="24"/>
              </w:rPr>
              <w:t>6</w:t>
            </w:r>
          </w:p>
        </w:tc>
        <w:tc>
          <w:tcPr>
            <w:tcW w:w="2551" w:type="dxa"/>
            <w:shd w:val="clear" w:color="auto" w:fill="auto"/>
            <w:hideMark/>
          </w:tcPr>
          <w:p w14:paraId="3F154A92" w14:textId="77777777" w:rsidR="00DB2E4D" w:rsidRPr="00BA4C0C" w:rsidRDefault="00DB2E4D" w:rsidP="00586ADC">
            <w:pPr>
              <w:spacing w:after="0" w:line="240" w:lineRule="auto"/>
              <w:rPr>
                <w:rFonts w:ascii="Times New Roman" w:hAnsi="Times New Roman"/>
                <w:b/>
                <w:bCs/>
                <w:sz w:val="24"/>
                <w:szCs w:val="24"/>
              </w:rPr>
            </w:pPr>
            <w:r w:rsidRPr="00BA4C0C">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BA4C0C" w:rsidRDefault="00DB2E4D" w:rsidP="00586ADC">
            <w:pPr>
              <w:spacing w:after="0" w:line="240" w:lineRule="auto"/>
              <w:rPr>
                <w:rFonts w:ascii="Times New Roman" w:hAnsi="Times New Roman"/>
              </w:rPr>
            </w:pPr>
            <w:r w:rsidRPr="00BA4C0C">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w:t>
            </w:r>
            <w:r w:rsidRPr="00BA4C0C">
              <w:rPr>
                <w:rFonts w:ascii="Times New Roman" w:hAnsi="Times New Roman"/>
              </w:rPr>
              <w:lastRenderedPageBreak/>
              <w:t>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lastRenderedPageBreak/>
              <w:t> </w:t>
            </w:r>
          </w:p>
        </w:tc>
      </w:tr>
      <w:tr w:rsidR="00DB2E4D" w:rsidRPr="00BA4C0C" w14:paraId="1789ADF1" w14:textId="77777777" w:rsidTr="00C80BEC">
        <w:trPr>
          <w:trHeight w:val="765"/>
        </w:trPr>
        <w:tc>
          <w:tcPr>
            <w:tcW w:w="568" w:type="dxa"/>
            <w:shd w:val="clear" w:color="auto" w:fill="auto"/>
            <w:noWrap/>
            <w:hideMark/>
          </w:tcPr>
          <w:p w14:paraId="35A87940" w14:textId="6D905BF6" w:rsidR="00DB2E4D" w:rsidRPr="00BA4C0C" w:rsidRDefault="005C1FC7" w:rsidP="00586ADC">
            <w:pPr>
              <w:spacing w:after="0" w:line="240" w:lineRule="auto"/>
              <w:jc w:val="center"/>
              <w:rPr>
                <w:rFonts w:ascii="Times New Roman" w:hAnsi="Times New Roman"/>
                <w:sz w:val="24"/>
                <w:szCs w:val="24"/>
              </w:rPr>
            </w:pPr>
            <w:r w:rsidRPr="00BA4C0C">
              <w:rPr>
                <w:rFonts w:ascii="Times New Roman" w:hAnsi="Times New Roman"/>
                <w:sz w:val="24"/>
                <w:szCs w:val="24"/>
              </w:rPr>
              <w:t>7</w:t>
            </w:r>
          </w:p>
        </w:tc>
        <w:tc>
          <w:tcPr>
            <w:tcW w:w="2551" w:type="dxa"/>
            <w:shd w:val="clear" w:color="auto" w:fill="auto"/>
            <w:hideMark/>
          </w:tcPr>
          <w:p w14:paraId="1B4052D6" w14:textId="77777777" w:rsidR="00DB2E4D" w:rsidRPr="00BA4C0C" w:rsidRDefault="00DB2E4D" w:rsidP="00586ADC">
            <w:pPr>
              <w:spacing w:after="0" w:line="240" w:lineRule="auto"/>
              <w:rPr>
                <w:rFonts w:ascii="Times New Roman" w:hAnsi="Times New Roman"/>
                <w:b/>
                <w:bCs/>
                <w:sz w:val="24"/>
                <w:szCs w:val="24"/>
              </w:rPr>
            </w:pPr>
            <w:r w:rsidRPr="00BA4C0C">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BA4C0C" w:rsidRDefault="00DB2E4D" w:rsidP="00586ADC">
            <w:pPr>
              <w:spacing w:after="0" w:line="240" w:lineRule="auto"/>
              <w:rPr>
                <w:rFonts w:ascii="Times New Roman" w:hAnsi="Times New Roman"/>
                <w:sz w:val="24"/>
                <w:szCs w:val="24"/>
              </w:rPr>
            </w:pPr>
            <w:r w:rsidRPr="00BA4C0C">
              <w:rPr>
                <w:rFonts w:ascii="Times New Roman" w:hAnsi="Times New Roman"/>
                <w:sz w:val="24"/>
                <w:szCs w:val="24"/>
              </w:rPr>
              <w:t>Вартість товару, робіт або послуг не може бути змінена протягом строку дії договору</w:t>
            </w:r>
            <w:r w:rsidR="00C80BEC" w:rsidRPr="00BA4C0C">
              <w:rPr>
                <w:rFonts w:ascii="Times New Roman" w:hAnsi="Times New Roman"/>
                <w:sz w:val="24"/>
                <w:szCs w:val="24"/>
              </w:rPr>
              <w:t>.</w:t>
            </w:r>
          </w:p>
        </w:tc>
        <w:tc>
          <w:tcPr>
            <w:tcW w:w="1701" w:type="dxa"/>
            <w:shd w:val="clear" w:color="000000" w:fill="FFFF00"/>
            <w:noWrap/>
            <w:hideMark/>
          </w:tcPr>
          <w:p w14:paraId="303C6209" w14:textId="77777777" w:rsidR="00DB2E4D" w:rsidRPr="00BA4C0C" w:rsidRDefault="00DB2E4D" w:rsidP="00586ADC">
            <w:pPr>
              <w:spacing w:after="0" w:line="240" w:lineRule="auto"/>
              <w:jc w:val="center"/>
              <w:rPr>
                <w:rFonts w:ascii="Times New Roman" w:hAnsi="Times New Roman"/>
                <w:sz w:val="24"/>
                <w:szCs w:val="24"/>
              </w:rPr>
            </w:pPr>
            <w:r w:rsidRPr="00BA4C0C">
              <w:rPr>
                <w:rFonts w:ascii="Times New Roman" w:hAnsi="Times New Roman"/>
                <w:sz w:val="24"/>
                <w:szCs w:val="24"/>
              </w:rPr>
              <w:t> </w:t>
            </w:r>
          </w:p>
        </w:tc>
      </w:tr>
    </w:tbl>
    <w:p w14:paraId="7D9D8D9C" w14:textId="77777777" w:rsidR="004B3C18" w:rsidRPr="00BA4C0C"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Pr="00BA4C0C" w:rsidRDefault="00DB2E4D" w:rsidP="00DB2E4D">
      <w:pPr>
        <w:spacing w:after="0" w:line="240" w:lineRule="auto"/>
        <w:ind w:left="-284" w:right="-142" w:firstLine="568"/>
        <w:jc w:val="both"/>
        <w:rPr>
          <w:rFonts w:ascii="Times New Roman" w:hAnsi="Times New Roman"/>
          <w:color w:val="000000"/>
          <w:sz w:val="24"/>
          <w:szCs w:val="24"/>
        </w:rPr>
      </w:pPr>
      <w:r w:rsidRPr="00BA4C0C">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BA4C0C"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148"/>
        <w:gridCol w:w="3118"/>
      </w:tblGrid>
      <w:tr w:rsidR="00295E76" w:rsidRPr="00BA4C0C" w14:paraId="24828085" w14:textId="77777777" w:rsidTr="003A367B">
        <w:trPr>
          <w:trHeight w:val="628"/>
        </w:trPr>
        <w:tc>
          <w:tcPr>
            <w:tcW w:w="260"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BA4C0C" w:rsidRDefault="00295E76" w:rsidP="00330BF0">
            <w:pPr>
              <w:spacing w:after="120" w:line="240" w:lineRule="auto"/>
              <w:jc w:val="center"/>
              <w:rPr>
                <w:rFonts w:ascii="Times New Roman" w:hAnsi="Times New Roman"/>
                <w:b/>
              </w:rPr>
            </w:pPr>
            <w:r w:rsidRPr="00BA4C0C">
              <w:rPr>
                <w:rFonts w:ascii="Times New Roman" w:hAnsi="Times New Roman"/>
                <w:b/>
              </w:rPr>
              <w:t>№</w:t>
            </w:r>
          </w:p>
        </w:tc>
        <w:tc>
          <w:tcPr>
            <w:tcW w:w="3145" w:type="pct"/>
            <w:tcBorders>
              <w:top w:val="single" w:sz="4" w:space="0" w:color="auto"/>
              <w:left w:val="single" w:sz="4" w:space="0" w:color="auto"/>
              <w:bottom w:val="single" w:sz="4" w:space="0" w:color="auto"/>
              <w:right w:val="single" w:sz="4" w:space="0" w:color="auto"/>
            </w:tcBorders>
            <w:hideMark/>
          </w:tcPr>
          <w:p w14:paraId="765FD2DB" w14:textId="77777777" w:rsidR="00295E76" w:rsidRPr="00BA4C0C" w:rsidRDefault="00295E76" w:rsidP="00330BF0">
            <w:pPr>
              <w:spacing w:after="120" w:line="240" w:lineRule="auto"/>
              <w:jc w:val="center"/>
              <w:rPr>
                <w:rFonts w:ascii="Times New Roman" w:hAnsi="Times New Roman"/>
                <w:b/>
              </w:rPr>
            </w:pPr>
            <w:r w:rsidRPr="00BA4C0C">
              <w:rPr>
                <w:rFonts w:ascii="Times New Roman" w:hAnsi="Times New Roman"/>
                <w:b/>
              </w:rPr>
              <w:t>Найменування послуг</w:t>
            </w:r>
          </w:p>
        </w:tc>
        <w:tc>
          <w:tcPr>
            <w:tcW w:w="1595" w:type="pct"/>
            <w:tcBorders>
              <w:top w:val="single" w:sz="4" w:space="0" w:color="auto"/>
              <w:left w:val="single" w:sz="4" w:space="0" w:color="auto"/>
              <w:bottom w:val="single" w:sz="4" w:space="0" w:color="auto"/>
              <w:right w:val="single" w:sz="4" w:space="0" w:color="auto"/>
            </w:tcBorders>
            <w:hideMark/>
          </w:tcPr>
          <w:p w14:paraId="552917CA" w14:textId="77777777" w:rsidR="00295E76" w:rsidRPr="00BA4C0C" w:rsidRDefault="00295E76" w:rsidP="00330BF0">
            <w:pPr>
              <w:spacing w:after="120" w:line="240" w:lineRule="auto"/>
              <w:jc w:val="center"/>
              <w:rPr>
                <w:rFonts w:ascii="Times New Roman" w:hAnsi="Times New Roman"/>
                <w:b/>
              </w:rPr>
            </w:pPr>
            <w:r w:rsidRPr="00BA4C0C">
              <w:rPr>
                <w:rFonts w:ascii="Times New Roman" w:hAnsi="Times New Roman"/>
                <w:b/>
              </w:rPr>
              <w:t>Вартість послуг (без ПДВ), грн</w:t>
            </w:r>
          </w:p>
        </w:tc>
      </w:tr>
      <w:tr w:rsidR="007E38E4" w:rsidRPr="00BA4C0C" w14:paraId="14261BA8" w14:textId="77777777" w:rsidTr="007E38E4">
        <w:tc>
          <w:tcPr>
            <w:tcW w:w="260"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BA4C0C" w:rsidRDefault="005067B7" w:rsidP="007E38E4">
            <w:pPr>
              <w:spacing w:after="0" w:line="240" w:lineRule="auto"/>
              <w:ind w:left="29"/>
              <w:rPr>
                <w:rFonts w:ascii="Times New Roman" w:hAnsi="Times New Roman"/>
              </w:rPr>
            </w:pPr>
            <w:r w:rsidRPr="00BA4C0C">
              <w:rPr>
                <w:rFonts w:ascii="Times New Roman" w:hAnsi="Times New Roman"/>
              </w:rPr>
              <w:t>1</w:t>
            </w:r>
          </w:p>
        </w:tc>
        <w:tc>
          <w:tcPr>
            <w:tcW w:w="3145" w:type="pct"/>
            <w:tcBorders>
              <w:top w:val="nil"/>
              <w:left w:val="single" w:sz="4" w:space="0" w:color="auto"/>
              <w:bottom w:val="single" w:sz="4" w:space="0" w:color="auto"/>
              <w:right w:val="single" w:sz="4" w:space="0" w:color="auto"/>
            </w:tcBorders>
            <w:shd w:val="clear" w:color="auto" w:fill="auto"/>
            <w:vAlign w:val="center"/>
          </w:tcPr>
          <w:p w14:paraId="56E16059" w14:textId="1AE7A62B" w:rsidR="007E38E4" w:rsidRPr="00BA4C0C" w:rsidRDefault="005067B7" w:rsidP="007E38E4">
            <w:pPr>
              <w:spacing w:after="0" w:line="240" w:lineRule="auto"/>
              <w:jc w:val="both"/>
              <w:rPr>
                <w:rFonts w:ascii="Times New Roman" w:eastAsia="Calibri" w:hAnsi="Times New Roman"/>
                <w:bCs/>
                <w:iCs/>
              </w:rPr>
            </w:pPr>
            <w:r w:rsidRPr="00BA4C0C">
              <w:rPr>
                <w:rFonts w:ascii="Times New Roman" w:hAnsi="Times New Roman"/>
                <w:color w:val="000000"/>
              </w:rPr>
              <w:t xml:space="preserve">ДК </w:t>
            </w:r>
            <w:r w:rsidR="0050429E" w:rsidRPr="00BA4C0C">
              <w:rPr>
                <w:rFonts w:ascii="Times New Roman" w:hAnsi="Times New Roman"/>
                <w:color w:val="000000"/>
              </w:rPr>
              <w:t>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p>
        </w:tc>
        <w:tc>
          <w:tcPr>
            <w:tcW w:w="1595" w:type="pct"/>
            <w:tcBorders>
              <w:top w:val="single" w:sz="4" w:space="0" w:color="auto"/>
              <w:left w:val="single" w:sz="4" w:space="0" w:color="auto"/>
              <w:bottom w:val="single" w:sz="4" w:space="0" w:color="auto"/>
              <w:right w:val="single" w:sz="4" w:space="0" w:color="auto"/>
            </w:tcBorders>
          </w:tcPr>
          <w:p w14:paraId="1B9742F0" w14:textId="77777777" w:rsidR="007E38E4" w:rsidRPr="00BA4C0C" w:rsidRDefault="007E38E4" w:rsidP="007E38E4">
            <w:pPr>
              <w:spacing w:after="0" w:line="240" w:lineRule="auto"/>
              <w:rPr>
                <w:rFonts w:ascii="Times New Roman" w:hAnsi="Times New Roman"/>
                <w:color w:val="FFFF00"/>
                <w:highlight w:val="yellow"/>
              </w:rPr>
            </w:pPr>
          </w:p>
          <w:p w14:paraId="492258B4" w14:textId="77777777" w:rsidR="005067B7" w:rsidRPr="00BA4C0C" w:rsidRDefault="005067B7" w:rsidP="007E38E4">
            <w:pPr>
              <w:spacing w:after="0" w:line="240" w:lineRule="auto"/>
              <w:rPr>
                <w:rFonts w:ascii="Times New Roman" w:hAnsi="Times New Roman"/>
                <w:color w:val="FFFF00"/>
                <w:highlight w:val="yellow"/>
              </w:rPr>
            </w:pPr>
          </w:p>
          <w:p w14:paraId="1F3A218F" w14:textId="14EFA890" w:rsidR="005067B7" w:rsidRPr="00BA4C0C" w:rsidRDefault="005067B7" w:rsidP="005067B7">
            <w:pPr>
              <w:spacing w:after="0" w:line="240" w:lineRule="auto"/>
              <w:jc w:val="center"/>
              <w:rPr>
                <w:rFonts w:ascii="Times New Roman" w:hAnsi="Times New Roman"/>
                <w:color w:val="FFFF00"/>
                <w:highlight w:val="yellow"/>
              </w:rPr>
            </w:pPr>
          </w:p>
        </w:tc>
      </w:tr>
      <w:tr w:rsidR="00295E76" w:rsidRPr="00BA4C0C" w14:paraId="6946F283" w14:textId="77777777" w:rsidTr="00C80BEC">
        <w:tc>
          <w:tcPr>
            <w:tcW w:w="3405"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BA4C0C" w:rsidRDefault="00295E76" w:rsidP="00330BF0">
            <w:pPr>
              <w:spacing w:after="120" w:line="240" w:lineRule="auto"/>
              <w:jc w:val="right"/>
              <w:rPr>
                <w:rFonts w:ascii="Times New Roman" w:hAnsi="Times New Roman"/>
                <w:b/>
              </w:rPr>
            </w:pPr>
            <w:r w:rsidRPr="00BA4C0C">
              <w:rPr>
                <w:rFonts w:ascii="Times New Roman" w:hAnsi="Times New Roman"/>
                <w:b/>
              </w:rPr>
              <w:t>Всього</w:t>
            </w:r>
            <w:r w:rsidR="00C43033" w:rsidRPr="00BA4C0C">
              <w:rPr>
                <w:rFonts w:ascii="Times New Roman" w:hAnsi="Times New Roman"/>
                <w:b/>
              </w:rPr>
              <w:t>, грн без ПДВ</w:t>
            </w:r>
            <w:r w:rsidRPr="00BA4C0C">
              <w:rPr>
                <w:rFonts w:ascii="Times New Roman" w:hAnsi="Times New Roman"/>
                <w:b/>
              </w:rPr>
              <w:t>:</w:t>
            </w:r>
          </w:p>
        </w:tc>
        <w:tc>
          <w:tcPr>
            <w:tcW w:w="1595" w:type="pct"/>
            <w:tcBorders>
              <w:top w:val="single" w:sz="4" w:space="0" w:color="auto"/>
              <w:left w:val="single" w:sz="4" w:space="0" w:color="auto"/>
              <w:bottom w:val="single" w:sz="4" w:space="0" w:color="auto"/>
              <w:right w:val="single" w:sz="4" w:space="0" w:color="auto"/>
            </w:tcBorders>
          </w:tcPr>
          <w:p w14:paraId="0E4E34A9" w14:textId="77777777" w:rsidR="00295E76" w:rsidRPr="00BA4C0C" w:rsidRDefault="00295E76" w:rsidP="00330BF0">
            <w:pPr>
              <w:spacing w:after="120" w:line="240" w:lineRule="auto"/>
              <w:rPr>
                <w:rFonts w:ascii="Times New Roman" w:hAnsi="Times New Roman"/>
                <w:b/>
                <w:color w:val="FFFF00"/>
                <w:highlight w:val="yellow"/>
              </w:rPr>
            </w:pPr>
          </w:p>
        </w:tc>
      </w:tr>
    </w:tbl>
    <w:p w14:paraId="61D2717E" w14:textId="564E1B07" w:rsidR="00295E76" w:rsidRPr="00BA4C0C" w:rsidRDefault="00295E76" w:rsidP="00C80BEC">
      <w:pPr>
        <w:spacing w:after="0" w:line="240" w:lineRule="auto"/>
        <w:ind w:firstLine="426"/>
        <w:jc w:val="both"/>
        <w:rPr>
          <w:rFonts w:ascii="Times New Roman" w:hAnsi="Times New Roman"/>
          <w:sz w:val="24"/>
          <w:szCs w:val="24"/>
        </w:rPr>
      </w:pPr>
      <w:r w:rsidRPr="00BA4C0C">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BA4C0C">
        <w:rPr>
          <w:rFonts w:ascii="Times New Roman" w:hAnsi="Times New Roman"/>
          <w:sz w:val="24"/>
          <w:szCs w:val="24"/>
        </w:rPr>
        <w:t xml:space="preserve">послуг </w:t>
      </w:r>
      <w:r w:rsidRPr="00BA4C0C">
        <w:rPr>
          <w:rFonts w:ascii="Times New Roman" w:hAnsi="Times New Roman"/>
          <w:sz w:val="24"/>
          <w:szCs w:val="24"/>
        </w:rPr>
        <w:t>без ПДВ</w:t>
      </w:r>
      <w:r w:rsidRPr="00BA4C0C">
        <w:rPr>
          <w:rStyle w:val="aa"/>
          <w:rFonts w:ascii="Times New Roman" w:hAnsi="Times New Roman"/>
          <w:sz w:val="24"/>
          <w:szCs w:val="24"/>
        </w:rPr>
        <w:footnoteReference w:id="21"/>
      </w:r>
      <w:r w:rsidRPr="00BA4C0C">
        <w:rPr>
          <w:rFonts w:ascii="Times New Roman" w:hAnsi="Times New Roman"/>
          <w:sz w:val="24"/>
          <w:szCs w:val="24"/>
        </w:rPr>
        <w:t xml:space="preserve"> в форматі Excel за зразком</w:t>
      </w:r>
      <w:r w:rsidR="001E4D5E" w:rsidRPr="00BA4C0C">
        <w:rPr>
          <w:rFonts w:ascii="Times New Roman" w:hAnsi="Times New Roman"/>
          <w:sz w:val="24"/>
          <w:szCs w:val="24"/>
        </w:rPr>
        <w:t>, що міститься в Додатку № 4</w:t>
      </w:r>
      <w:r w:rsidRPr="00BA4C0C">
        <w:rPr>
          <w:rFonts w:ascii="Times New Roman" w:hAnsi="Times New Roman"/>
          <w:sz w:val="24"/>
          <w:szCs w:val="24"/>
        </w:rPr>
        <w:t>).</w:t>
      </w:r>
    </w:p>
    <w:p w14:paraId="2196B5C5" w14:textId="28B1E412" w:rsidR="00C43033" w:rsidRPr="00BA4C0C" w:rsidRDefault="00C43033" w:rsidP="00C43033">
      <w:pPr>
        <w:spacing w:after="0" w:line="240" w:lineRule="auto"/>
        <w:ind w:firstLine="426"/>
        <w:jc w:val="both"/>
        <w:rPr>
          <w:rFonts w:ascii="Times New Roman" w:hAnsi="Times New Roman"/>
          <w:b/>
          <w:i/>
          <w:sz w:val="24"/>
          <w:szCs w:val="24"/>
          <w:u w:val="single"/>
        </w:rPr>
      </w:pPr>
      <w:r w:rsidRPr="00BA4C0C">
        <w:rPr>
          <w:rFonts w:ascii="Times New Roman" w:hAnsi="Times New Roman"/>
          <w:b/>
          <w:i/>
          <w:sz w:val="24"/>
          <w:szCs w:val="24"/>
        </w:rPr>
        <w:t xml:space="preserve">Умови оплати: </w:t>
      </w:r>
      <w:r w:rsidRPr="00BA4C0C">
        <w:rPr>
          <w:rFonts w:ascii="Times New Roman" w:hAnsi="Times New Roman"/>
          <w:b/>
          <w:i/>
          <w:sz w:val="24"/>
          <w:szCs w:val="24"/>
          <w:u w:val="single"/>
        </w:rPr>
        <w:t xml:space="preserve">По факту надання послуг (післяплата) </w:t>
      </w:r>
      <w:r w:rsidRPr="00BA4C0C">
        <w:rPr>
          <w:rFonts w:ascii="Times New Roman" w:hAnsi="Times New Roman"/>
          <w:b/>
          <w:i/>
          <w:sz w:val="24"/>
          <w:szCs w:val="24"/>
          <w:highlight w:val="yellow"/>
          <w:u w:val="single"/>
        </w:rPr>
        <w:t>або</w:t>
      </w:r>
      <w:r w:rsidRPr="00BA4C0C">
        <w:rPr>
          <w:rFonts w:ascii="Times New Roman" w:hAnsi="Times New Roman"/>
          <w:b/>
          <w:i/>
          <w:sz w:val="24"/>
          <w:szCs w:val="24"/>
          <w:u w:val="single"/>
        </w:rPr>
        <w:t xml:space="preserve"> передоплата </w:t>
      </w:r>
      <w:bookmarkStart w:id="19" w:name="_Hlk65051990"/>
      <w:r w:rsidRPr="00BA4C0C">
        <w:rPr>
          <w:rFonts w:ascii="Times New Roman" w:hAnsi="Times New Roman"/>
          <w:b/>
          <w:i/>
          <w:sz w:val="24"/>
          <w:szCs w:val="24"/>
          <w:u w:val="single"/>
        </w:rPr>
        <w:t>щонайбільше – 70 % від вартості надання послуг на кожному етапі*</w:t>
      </w:r>
      <w:bookmarkEnd w:id="19"/>
    </w:p>
    <w:p w14:paraId="2DC801C3" w14:textId="77777777" w:rsidR="00C43033" w:rsidRPr="00BA4C0C" w:rsidRDefault="00C43033" w:rsidP="00C43033">
      <w:pPr>
        <w:spacing w:after="0" w:line="240" w:lineRule="auto"/>
        <w:ind w:firstLine="426"/>
        <w:jc w:val="both"/>
        <w:rPr>
          <w:rFonts w:ascii="Times New Roman" w:hAnsi="Times New Roman"/>
          <w:b/>
          <w:i/>
          <w:sz w:val="24"/>
          <w:szCs w:val="24"/>
          <w:u w:val="single"/>
          <w:vertAlign w:val="superscript"/>
        </w:rPr>
      </w:pPr>
      <w:r w:rsidRPr="00BA4C0C">
        <w:rPr>
          <w:rFonts w:ascii="Times New Roman" w:hAnsi="Times New Roman"/>
          <w:b/>
          <w:i/>
          <w:sz w:val="24"/>
          <w:szCs w:val="24"/>
          <w:highlight w:val="yellow"/>
          <w:u w:val="single"/>
          <w:vertAlign w:val="superscript"/>
        </w:rPr>
        <w:t>(обрати необхідне)</w:t>
      </w:r>
    </w:p>
    <w:p w14:paraId="6CF85C58" w14:textId="77777777" w:rsidR="00C43033" w:rsidRPr="00BA4C0C" w:rsidRDefault="00C43033" w:rsidP="00C43033">
      <w:pPr>
        <w:spacing w:after="0" w:line="240" w:lineRule="auto"/>
        <w:ind w:firstLine="426"/>
        <w:jc w:val="both"/>
        <w:rPr>
          <w:rFonts w:ascii="Times New Roman" w:hAnsi="Times New Roman"/>
          <w:b/>
          <w:i/>
          <w:sz w:val="24"/>
          <w:szCs w:val="24"/>
          <w:u w:val="single"/>
          <w:vertAlign w:val="superscript"/>
        </w:rPr>
      </w:pPr>
      <w:r w:rsidRPr="00BA4C0C">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41EB5B2D" w:rsidR="008C5885" w:rsidRPr="00BA4C0C" w:rsidRDefault="008C5885" w:rsidP="00C80BEC">
      <w:pPr>
        <w:spacing w:after="0" w:line="240" w:lineRule="auto"/>
        <w:ind w:firstLine="426"/>
        <w:jc w:val="both"/>
        <w:rPr>
          <w:rFonts w:ascii="Times New Roman" w:hAnsi="Times New Roman"/>
          <w:sz w:val="24"/>
          <w:szCs w:val="24"/>
        </w:rPr>
      </w:pPr>
      <w:r w:rsidRPr="00BA4C0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50429E" w:rsidRPr="00BA4C0C">
        <w:rPr>
          <w:rFonts w:ascii="Times New Roman" w:hAnsi="Times New Roman"/>
          <w:sz w:val="24"/>
          <w:szCs w:val="24"/>
        </w:rPr>
        <w:t>ДК 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r w:rsidR="00E21F0E" w:rsidRPr="00BA4C0C">
        <w:rPr>
          <w:rFonts w:ascii="Times New Roman" w:hAnsi="Times New Roman"/>
          <w:sz w:val="24"/>
          <w:szCs w:val="24"/>
        </w:rPr>
        <w:t>,</w:t>
      </w:r>
      <w:r w:rsidR="008D638D" w:rsidRPr="00BA4C0C">
        <w:rPr>
          <w:rFonts w:ascii="Times New Roman" w:hAnsi="Times New Roman"/>
          <w:sz w:val="24"/>
          <w:szCs w:val="24"/>
        </w:rPr>
        <w:t xml:space="preserve"> </w:t>
      </w:r>
      <w:r w:rsidRPr="00BA4C0C">
        <w:rPr>
          <w:rFonts w:ascii="Times New Roman" w:hAnsi="Times New Roman"/>
          <w:sz w:val="24"/>
          <w:szCs w:val="24"/>
        </w:rPr>
        <w:t>в рамках про</w:t>
      </w:r>
      <w:r w:rsidR="0050429E" w:rsidRPr="00BA4C0C">
        <w:rPr>
          <w:rFonts w:ascii="Times New Roman" w:hAnsi="Times New Roman"/>
          <w:sz w:val="24"/>
          <w:szCs w:val="24"/>
        </w:rPr>
        <w:t>грами</w:t>
      </w:r>
      <w:r w:rsidRPr="00BA4C0C">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BA4C0C" w:rsidRDefault="008C5885" w:rsidP="00C80BEC">
      <w:pPr>
        <w:suppressAutoHyphens/>
        <w:spacing w:after="0" w:line="240" w:lineRule="auto"/>
        <w:ind w:firstLine="426"/>
        <w:jc w:val="both"/>
        <w:rPr>
          <w:rFonts w:ascii="Times New Roman" w:hAnsi="Times New Roman"/>
          <w:sz w:val="24"/>
          <w:szCs w:val="24"/>
        </w:rPr>
      </w:pPr>
      <w:r w:rsidRPr="00BA4C0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BA4C0C">
        <w:rPr>
          <w:rFonts w:ascii="Times New Roman" w:hAnsi="Times New Roman"/>
          <w:bCs/>
          <w:iCs/>
          <w:sz w:val="24"/>
          <w:szCs w:val="24"/>
        </w:rPr>
        <w:t xml:space="preserve">Повідомляємо, що </w:t>
      </w:r>
      <w:r w:rsidRPr="00BA4C0C">
        <w:rPr>
          <w:rFonts w:ascii="Times New Roman" w:hAnsi="Times New Roman"/>
          <w:b/>
          <w:bCs/>
          <w:iCs/>
          <w:sz w:val="24"/>
          <w:szCs w:val="24"/>
        </w:rPr>
        <w:t>ми ознайомлені</w:t>
      </w:r>
      <w:r w:rsidRPr="00BA4C0C">
        <w:rPr>
          <w:rFonts w:ascii="Times New Roman" w:hAnsi="Times New Roman"/>
          <w:bCs/>
          <w:iCs/>
          <w:sz w:val="24"/>
          <w:szCs w:val="24"/>
        </w:rPr>
        <w:t xml:space="preserve"> з </w:t>
      </w:r>
      <w:r w:rsidRPr="00BA4C0C">
        <w:rPr>
          <w:rFonts w:ascii="Times New Roman" w:hAnsi="Times New Roman"/>
          <w:sz w:val="24"/>
          <w:szCs w:val="24"/>
        </w:rPr>
        <w:t xml:space="preserve">Постановою  Кабінету Міністрів України </w:t>
      </w:r>
      <w:r w:rsidRPr="00BA4C0C">
        <w:rPr>
          <w:rFonts w:ascii="Times New Roman" w:eastAsia="Arial" w:hAnsi="Times New Roman"/>
          <w:sz w:val="24"/>
          <w:szCs w:val="24"/>
        </w:rPr>
        <w:t>від 17</w:t>
      </w:r>
      <w:r w:rsidRPr="003A367B">
        <w:rPr>
          <w:rFonts w:ascii="Times New Roman" w:eastAsia="Arial" w:hAnsi="Times New Roman"/>
          <w:sz w:val="24"/>
          <w:szCs w:val="24"/>
        </w:rPr>
        <w:t xml:space="preserve">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69FF532D"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21</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CDF84AF" w14:textId="77777777" w:rsidR="00C64D24" w:rsidRDefault="00C64D24" w:rsidP="00C80BEC">
      <w:pPr>
        <w:spacing w:after="0" w:line="240" w:lineRule="auto"/>
        <w:ind w:left="4820"/>
        <w:rPr>
          <w:rFonts w:ascii="Times New Roman" w:hAnsi="Times New Roman"/>
          <w:sz w:val="26"/>
          <w:szCs w:val="26"/>
        </w:rPr>
      </w:pPr>
    </w:p>
    <w:p w14:paraId="0F4F4CD0" w14:textId="77777777" w:rsidR="002B0C0F" w:rsidRDefault="002B0C0F" w:rsidP="00C80BEC">
      <w:pPr>
        <w:spacing w:after="0" w:line="240" w:lineRule="auto"/>
        <w:ind w:left="4820"/>
        <w:rPr>
          <w:rFonts w:ascii="Times New Roman" w:hAnsi="Times New Roman"/>
          <w:sz w:val="26"/>
          <w:szCs w:val="26"/>
        </w:rPr>
      </w:pPr>
    </w:p>
    <w:p w14:paraId="7DAC8D23" w14:textId="6353C0A7" w:rsidR="00C80BEC" w:rsidRPr="00D53B64" w:rsidRDefault="001E4D5E" w:rsidP="00C80BEC">
      <w:pPr>
        <w:spacing w:after="0" w:line="240" w:lineRule="auto"/>
        <w:ind w:left="4820"/>
        <w:rPr>
          <w:rFonts w:ascii="Times New Roman" w:hAnsi="Times New Roman"/>
          <w:b/>
          <w:bCs/>
          <w:sz w:val="26"/>
          <w:szCs w:val="26"/>
        </w:rPr>
      </w:pPr>
      <w:r w:rsidRPr="00D53B64">
        <w:rPr>
          <w:rFonts w:ascii="Times New Roman" w:hAnsi="Times New Roman"/>
          <w:b/>
          <w:bCs/>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7103B612"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B854DAF"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50429E" w:rsidRPr="0050429E">
        <w:rPr>
          <w:rFonts w:ascii="Times New Roman" w:hAnsi="Times New Roman" w:cs="Times New Roman"/>
          <w:color w:val="000000"/>
          <w:sz w:val="26"/>
          <w:szCs w:val="26"/>
        </w:rPr>
        <w:t>ДК 021:2015 - 79310000-0 - Послуги з проведення ринкових досліджень (Дослідження «Оцінка якості та доступності профілактичних послуг для осіб з груп підвищеного ризику щодо інфікування ВІЛ та послуг з догляду та підтримки для ЛЖВ в контексті переходу від донорського до державного фінансування»)</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50429E">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31CE9464" w14:textId="10287162"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317F3BF2" w:rsidR="00295E76" w:rsidRDefault="00295E76" w:rsidP="00330BF0">
      <w:pPr>
        <w:spacing w:after="0" w:line="240" w:lineRule="auto"/>
        <w:rPr>
          <w:sz w:val="26"/>
          <w:szCs w:val="26"/>
        </w:rPr>
      </w:pP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54D7" w14:textId="77777777" w:rsidR="00670AE4" w:rsidRDefault="00670AE4" w:rsidP="00295E76">
      <w:pPr>
        <w:spacing w:after="0" w:line="240" w:lineRule="auto"/>
      </w:pPr>
      <w:r>
        <w:separator/>
      </w:r>
    </w:p>
  </w:endnote>
  <w:endnote w:type="continuationSeparator" w:id="0">
    <w:p w14:paraId="611A6761" w14:textId="77777777" w:rsidR="00670AE4" w:rsidRDefault="00670AE4"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3F3D" w14:textId="77777777" w:rsidR="00670AE4" w:rsidRDefault="00670AE4" w:rsidP="00295E76">
      <w:pPr>
        <w:spacing w:after="0" w:line="240" w:lineRule="auto"/>
      </w:pPr>
      <w:r>
        <w:separator/>
      </w:r>
    </w:p>
  </w:footnote>
  <w:footnote w:type="continuationSeparator" w:id="0">
    <w:p w14:paraId="10EB8FEA" w14:textId="77777777" w:rsidR="00670AE4" w:rsidRDefault="00670AE4" w:rsidP="00295E76">
      <w:pPr>
        <w:spacing w:after="0" w:line="240" w:lineRule="auto"/>
      </w:pPr>
      <w:r>
        <w:continuationSeparator/>
      </w:r>
    </w:p>
  </w:footnote>
  <w:footnote w:id="1">
    <w:p w14:paraId="028DFABF" w14:textId="77777777" w:rsidR="00D52D15" w:rsidRPr="00B1212F" w:rsidRDefault="00D52D15" w:rsidP="00D52D15">
      <w:pPr>
        <w:pStyle w:val="a8"/>
        <w:rPr>
          <w:rFonts w:ascii="Times New Roman" w:hAnsi="Times New Roman"/>
          <w:sz w:val="16"/>
          <w:szCs w:val="16"/>
        </w:rPr>
      </w:pPr>
      <w:r w:rsidRPr="00C003C3">
        <w:rPr>
          <w:rStyle w:val="aa"/>
          <w:sz w:val="14"/>
          <w:szCs w:val="14"/>
        </w:rPr>
        <w:footnoteRef/>
      </w:r>
      <w:r w:rsidRPr="00C003C3">
        <w:rPr>
          <w:sz w:val="14"/>
          <w:szCs w:val="14"/>
        </w:rPr>
        <w:t xml:space="preserve"> </w:t>
      </w:r>
      <w:r w:rsidRPr="00B1212F">
        <w:rPr>
          <w:rFonts w:ascii="Times New Roman" w:hAnsi="Times New Roman"/>
          <w:sz w:val="16"/>
          <w:szCs w:val="16"/>
        </w:rPr>
        <w:t>https://www.unaids.org/ru/resources/fact-sheet</w:t>
      </w:r>
    </w:p>
  </w:footnote>
  <w:footnote w:id="2">
    <w:p w14:paraId="1BD928E9" w14:textId="77777777" w:rsidR="00D52D15" w:rsidRPr="00B1212F" w:rsidRDefault="00D52D15" w:rsidP="00D52D15">
      <w:pPr>
        <w:shd w:val="clear" w:color="auto" w:fill="FFFFFF"/>
        <w:spacing w:after="0" w:line="240" w:lineRule="auto"/>
        <w:outlineLvl w:val="0"/>
        <w:rPr>
          <w:rFonts w:ascii="Times New Roman" w:hAnsi="Times New Roman"/>
          <w:bCs/>
          <w:color w:val="555555"/>
          <w:kern w:val="36"/>
          <w:sz w:val="16"/>
          <w:szCs w:val="16"/>
        </w:rPr>
      </w:pPr>
      <w:r w:rsidRPr="00B1212F">
        <w:rPr>
          <w:rStyle w:val="aa"/>
          <w:rFonts w:ascii="Times New Roman" w:hAnsi="Times New Roman"/>
          <w:sz w:val="16"/>
          <w:szCs w:val="16"/>
        </w:rPr>
        <w:footnoteRef/>
      </w:r>
      <w:r w:rsidRPr="00B1212F">
        <w:rPr>
          <w:rFonts w:ascii="Times New Roman" w:hAnsi="Times New Roman"/>
          <w:sz w:val="16"/>
          <w:szCs w:val="16"/>
        </w:rPr>
        <w:t xml:space="preserve"> </w:t>
      </w:r>
      <w:r w:rsidRPr="00B1212F">
        <w:rPr>
          <w:rFonts w:ascii="Times New Roman" w:hAnsi="Times New Roman"/>
          <w:bCs/>
          <w:color w:val="555555"/>
          <w:kern w:val="36"/>
          <w:sz w:val="16"/>
          <w:szCs w:val="16"/>
        </w:rPr>
        <w:t xml:space="preserve">Antiretroviral Therapy Adherence Support: Recommendations and Future Directions </w:t>
      </w:r>
      <w:hyperlink r:id="rId1" w:history="1">
        <w:r w:rsidRPr="00B1212F">
          <w:rPr>
            <w:rFonts w:ascii="Times New Roman" w:hAnsi="Times New Roman"/>
            <w:color w:val="006ACC"/>
            <w:sz w:val="16"/>
            <w:szCs w:val="16"/>
            <w:u w:val="single"/>
          </w:rPr>
          <w:t>K. Rivet Amico</w:t>
        </w:r>
      </w:hyperlink>
      <w:r w:rsidRPr="00B1212F">
        <w:rPr>
          <w:rFonts w:ascii="Times New Roman" w:hAnsi="Times New Roman"/>
          <w:color w:val="000000"/>
          <w:sz w:val="16"/>
          <w:szCs w:val="16"/>
        </w:rPr>
        <w:t>, PhD, </w:t>
      </w:r>
      <w:hyperlink r:id="rId2" w:history="1">
        <w:r w:rsidRPr="00B1212F">
          <w:rPr>
            <w:rFonts w:ascii="Times New Roman" w:hAnsi="Times New Roman"/>
            <w:color w:val="006ACC"/>
            <w:sz w:val="16"/>
            <w:szCs w:val="16"/>
            <w:u w:val="single"/>
          </w:rPr>
          <w:t>Catherine Orrell</w:t>
        </w:r>
      </w:hyperlink>
      <w:r w:rsidRPr="00B1212F">
        <w:rPr>
          <w:rFonts w:ascii="Times New Roman" w:hAnsi="Times New Roman"/>
          <w:color w:val="000000"/>
          <w:sz w:val="16"/>
          <w:szCs w:val="16"/>
        </w:rPr>
        <w:t>, MBChB, MSc, MMed</w:t>
      </w:r>
      <w:r w:rsidRPr="00B1212F">
        <w:rPr>
          <w:rFonts w:ascii="Times New Roman" w:hAnsi="Times New Roman"/>
          <w:color w:val="000000"/>
          <w:sz w:val="16"/>
          <w:szCs w:val="16"/>
          <w:lang w:val="en-US"/>
        </w:rPr>
        <w:t xml:space="preserve">; </w:t>
      </w:r>
      <w:r w:rsidRPr="00B1212F">
        <w:rPr>
          <w:rFonts w:ascii="Times New Roman" w:hAnsi="Times New Roman"/>
          <w:color w:val="000000"/>
          <w:sz w:val="16"/>
          <w:szCs w:val="16"/>
        </w:rPr>
        <w:t xml:space="preserve"> </w:t>
      </w:r>
      <w:r w:rsidRPr="00B1212F">
        <w:rPr>
          <w:rFonts w:ascii="Times New Roman" w:hAnsi="Times New Roman"/>
          <w:color w:val="555555"/>
          <w:sz w:val="16"/>
          <w:szCs w:val="16"/>
          <w:shd w:val="clear" w:color="auto" w:fill="FFFFFF"/>
        </w:rPr>
        <w:t xml:space="preserve">First Published January 18, 2013 Research </w:t>
      </w:r>
      <w:hyperlink r:id="rId3" w:history="1">
        <w:r w:rsidRPr="00B1212F">
          <w:rPr>
            <w:rFonts w:ascii="Times New Roman" w:hAnsi="Times New Roman"/>
            <w:color w:val="006ACC"/>
            <w:sz w:val="16"/>
            <w:szCs w:val="16"/>
            <w:u w:val="single"/>
            <w:shd w:val="clear" w:color="auto" w:fill="FFFFFF"/>
          </w:rPr>
          <w:t>https://doi.org/10.1177/1545109712459041</w:t>
        </w:r>
      </w:hyperlink>
    </w:p>
  </w:footnote>
  <w:footnote w:id="3">
    <w:p w14:paraId="75033CF9" w14:textId="77777777" w:rsidR="00D52D15" w:rsidRPr="00B1212F" w:rsidRDefault="00D52D15" w:rsidP="00D52D15">
      <w:pPr>
        <w:pStyle w:val="a8"/>
        <w:rPr>
          <w:rFonts w:ascii="Times New Roman" w:hAnsi="Times New Roman"/>
          <w:sz w:val="16"/>
          <w:szCs w:val="16"/>
          <w:lang w:val="uk-UA"/>
        </w:rPr>
      </w:pPr>
      <w:r w:rsidRPr="00B1212F">
        <w:rPr>
          <w:rStyle w:val="aa"/>
          <w:rFonts w:ascii="Times New Roman" w:hAnsi="Times New Roman"/>
          <w:sz w:val="16"/>
          <w:szCs w:val="16"/>
        </w:rPr>
        <w:footnoteRef/>
      </w:r>
      <w:r w:rsidRPr="00B1212F">
        <w:rPr>
          <w:rFonts w:ascii="Times New Roman" w:hAnsi="Times New Roman"/>
          <w:color w:val="303030"/>
          <w:sz w:val="16"/>
          <w:szCs w:val="16"/>
          <w:shd w:val="clear" w:color="auto" w:fill="FFFFFF"/>
        </w:rPr>
        <w:t>Associations between availability and coverage of HIV-prevention measures and subsequent incidence of diagnosed HIV infection among injection drug users.</w:t>
      </w:r>
      <w:r w:rsidRPr="00B1212F">
        <w:rPr>
          <w:rFonts w:ascii="Times New Roman" w:hAnsi="Times New Roman"/>
          <w:sz w:val="16"/>
          <w:szCs w:val="16"/>
        </w:rPr>
        <w:t xml:space="preserve"> </w:t>
      </w:r>
      <w:r w:rsidRPr="00B1212F">
        <w:rPr>
          <w:rFonts w:ascii="Times New Roman" w:hAnsi="Times New Roman"/>
          <w:i/>
          <w:iCs/>
          <w:color w:val="303030"/>
          <w:sz w:val="16"/>
          <w:szCs w:val="16"/>
        </w:rPr>
        <w:t>Wiessing L, Likatavicius G, Klempová D, Hedrich D, Nardone A, Griffiths P</w:t>
      </w:r>
      <w:r w:rsidRPr="00B1212F">
        <w:rPr>
          <w:rFonts w:ascii="Times New Roman" w:hAnsi="Times New Roman"/>
          <w:sz w:val="16"/>
          <w:szCs w:val="16"/>
        </w:rPr>
        <w:t xml:space="preserve"> </w:t>
      </w:r>
      <w:r w:rsidRPr="00B1212F">
        <w:rPr>
          <w:rFonts w:ascii="Times New Roman" w:hAnsi="Times New Roman"/>
          <w:i/>
          <w:iCs/>
          <w:color w:val="303030"/>
          <w:sz w:val="16"/>
          <w:szCs w:val="16"/>
        </w:rPr>
        <w:t>Am J Public Health. 2009 Jun; 99(6):1049-52.</w:t>
      </w:r>
    </w:p>
  </w:footnote>
  <w:footnote w:id="4">
    <w:p w14:paraId="1847147F" w14:textId="77777777" w:rsidR="00D52D15" w:rsidRPr="00B1212F" w:rsidRDefault="00D52D15" w:rsidP="00D52D15">
      <w:pPr>
        <w:spacing w:after="0"/>
        <w:jc w:val="both"/>
        <w:rPr>
          <w:rFonts w:ascii="Times New Roman" w:hAnsi="Times New Roman"/>
          <w:b/>
          <w:bCs/>
          <w:sz w:val="16"/>
          <w:szCs w:val="16"/>
        </w:rPr>
      </w:pPr>
      <w:r w:rsidRPr="00B1212F">
        <w:rPr>
          <w:rStyle w:val="aa"/>
          <w:rFonts w:ascii="Times New Roman" w:hAnsi="Times New Roman"/>
          <w:sz w:val="16"/>
          <w:szCs w:val="16"/>
        </w:rPr>
        <w:footnoteRef/>
      </w:r>
      <w:r w:rsidRPr="00B1212F">
        <w:rPr>
          <w:rFonts w:ascii="Times New Roman" w:hAnsi="Times New Roman"/>
          <w:sz w:val="16"/>
          <w:szCs w:val="16"/>
        </w:rPr>
        <w:t xml:space="preserve"> </w:t>
      </w:r>
      <w:r w:rsidRPr="00B1212F">
        <w:rPr>
          <w:rFonts w:ascii="Times New Roman" w:hAnsi="Times New Roman"/>
          <w:color w:val="333333"/>
          <w:sz w:val="16"/>
          <w:szCs w:val="16"/>
          <w:shd w:val="clear" w:color="auto" w:fill="FFFFFF"/>
        </w:rPr>
        <w:t>Mannheimer, SB, Matts, J, Telzak, E </w:t>
      </w:r>
      <w:r w:rsidRPr="00B1212F">
        <w:rPr>
          <w:rStyle w:val="nlmarticle-title"/>
          <w:rFonts w:ascii="Times New Roman" w:hAnsi="Times New Roman"/>
          <w:color w:val="333333"/>
          <w:sz w:val="16"/>
          <w:szCs w:val="16"/>
          <w:shd w:val="clear" w:color="auto" w:fill="FFFFFF"/>
        </w:rPr>
        <w:t>Quality of life in HIV-infected individuals receiving antiretroviral therapy is related to adherence</w:t>
      </w:r>
      <w:r w:rsidRPr="00B1212F">
        <w:rPr>
          <w:rFonts w:ascii="Times New Roman" w:hAnsi="Times New Roman"/>
          <w:color w:val="333333"/>
          <w:sz w:val="16"/>
          <w:szCs w:val="16"/>
          <w:shd w:val="clear" w:color="auto" w:fill="FFFFFF"/>
        </w:rPr>
        <w:t>. AIDS Care. </w:t>
      </w:r>
      <w:r w:rsidRPr="00B1212F">
        <w:rPr>
          <w:rStyle w:val="nlmyear"/>
          <w:rFonts w:ascii="Times New Roman" w:hAnsi="Times New Roman"/>
          <w:color w:val="333333"/>
          <w:sz w:val="16"/>
          <w:szCs w:val="16"/>
          <w:shd w:val="clear" w:color="auto" w:fill="FFFFFF"/>
        </w:rPr>
        <w:t>2005</w:t>
      </w:r>
      <w:r w:rsidRPr="00B1212F">
        <w:rPr>
          <w:rFonts w:ascii="Times New Roman" w:hAnsi="Times New Roman"/>
          <w:color w:val="333333"/>
          <w:sz w:val="16"/>
          <w:szCs w:val="16"/>
          <w:shd w:val="clear" w:color="auto" w:fill="FFFFFF"/>
        </w:rPr>
        <w:t>;17(1):</w:t>
      </w:r>
      <w:r w:rsidRPr="00B1212F">
        <w:rPr>
          <w:rStyle w:val="nlmfpage"/>
          <w:rFonts w:ascii="Times New Roman" w:hAnsi="Times New Roman"/>
          <w:color w:val="333333"/>
          <w:sz w:val="16"/>
          <w:szCs w:val="16"/>
          <w:shd w:val="clear" w:color="auto" w:fill="FFFFFF"/>
        </w:rPr>
        <w:t>10</w:t>
      </w:r>
      <w:r w:rsidRPr="00B1212F">
        <w:rPr>
          <w:rFonts w:ascii="Times New Roman" w:hAnsi="Times New Roman"/>
          <w:color w:val="333333"/>
          <w:sz w:val="16"/>
          <w:szCs w:val="16"/>
          <w:shd w:val="clear" w:color="auto" w:fill="FFFFFF"/>
        </w:rPr>
        <w:t>–</w:t>
      </w:r>
      <w:r w:rsidRPr="00B1212F">
        <w:rPr>
          <w:rStyle w:val="nlmlpage"/>
          <w:rFonts w:ascii="Times New Roman" w:hAnsi="Times New Roman"/>
          <w:color w:val="333333"/>
          <w:sz w:val="16"/>
          <w:szCs w:val="16"/>
          <w:shd w:val="clear" w:color="auto" w:fill="FFFFFF"/>
        </w:rPr>
        <w:t>22</w:t>
      </w:r>
      <w:r w:rsidRPr="00B1212F">
        <w:rPr>
          <w:rFonts w:ascii="Times New Roman" w:hAnsi="Times New Roman"/>
          <w:color w:val="333333"/>
          <w:sz w:val="16"/>
          <w:szCs w:val="16"/>
          <w:shd w:val="clear" w:color="auto" w:fill="FFFFFF"/>
        </w:rPr>
        <w:t>.</w:t>
      </w:r>
    </w:p>
  </w:footnote>
  <w:footnote w:id="5">
    <w:p w14:paraId="79E9FF4F" w14:textId="77777777" w:rsidR="00D52D15" w:rsidRPr="00B1212F" w:rsidRDefault="00D52D15" w:rsidP="00D52D15">
      <w:pPr>
        <w:pStyle w:val="a8"/>
        <w:rPr>
          <w:rFonts w:ascii="Times New Roman" w:hAnsi="Times New Roman"/>
          <w:sz w:val="16"/>
          <w:szCs w:val="16"/>
          <w:lang w:val="uk-UA"/>
        </w:rPr>
      </w:pPr>
      <w:r w:rsidRPr="00B1212F">
        <w:rPr>
          <w:rStyle w:val="aa"/>
          <w:rFonts w:ascii="Times New Roman" w:hAnsi="Times New Roman"/>
          <w:sz w:val="16"/>
          <w:szCs w:val="16"/>
        </w:rPr>
        <w:footnoteRef/>
      </w:r>
      <w:r w:rsidRPr="00B1212F">
        <w:rPr>
          <w:rFonts w:ascii="Times New Roman" w:hAnsi="Times New Roman"/>
          <w:sz w:val="16"/>
          <w:szCs w:val="16"/>
          <w:lang w:val="uk-UA"/>
        </w:rPr>
        <w:t xml:space="preserve"> </w:t>
      </w:r>
      <w:hyperlink r:id="rId4" w:history="1">
        <w:r w:rsidRPr="00B1212F">
          <w:rPr>
            <w:rStyle w:val="a7"/>
            <w:rFonts w:ascii="Times New Roman" w:hAnsi="Times New Roman"/>
            <w:sz w:val="16"/>
            <w:szCs w:val="16"/>
          </w:rPr>
          <w:t>https</w:t>
        </w:r>
        <w:r w:rsidRPr="00B1212F">
          <w:rPr>
            <w:rStyle w:val="a7"/>
            <w:rFonts w:ascii="Times New Roman" w:hAnsi="Times New Roman"/>
            <w:sz w:val="16"/>
            <w:szCs w:val="16"/>
            <w:lang w:val="uk-UA"/>
          </w:rPr>
          <w:t>://</w:t>
        </w:r>
        <w:r w:rsidRPr="00B1212F">
          <w:rPr>
            <w:rStyle w:val="a7"/>
            <w:rFonts w:ascii="Times New Roman" w:hAnsi="Times New Roman"/>
            <w:sz w:val="16"/>
            <w:szCs w:val="16"/>
          </w:rPr>
          <w:t>www</w:t>
        </w:r>
        <w:r w:rsidRPr="00B1212F">
          <w:rPr>
            <w:rStyle w:val="a7"/>
            <w:rFonts w:ascii="Times New Roman" w:hAnsi="Times New Roman"/>
            <w:sz w:val="16"/>
            <w:szCs w:val="16"/>
            <w:lang w:val="uk-UA"/>
          </w:rPr>
          <w:t>.</w:t>
        </w:r>
        <w:r w:rsidRPr="00B1212F">
          <w:rPr>
            <w:rStyle w:val="a7"/>
            <w:rFonts w:ascii="Times New Roman" w:hAnsi="Times New Roman"/>
            <w:sz w:val="16"/>
            <w:szCs w:val="16"/>
          </w:rPr>
          <w:t>ncbi</w:t>
        </w:r>
        <w:r w:rsidRPr="00B1212F">
          <w:rPr>
            <w:rStyle w:val="a7"/>
            <w:rFonts w:ascii="Times New Roman" w:hAnsi="Times New Roman"/>
            <w:sz w:val="16"/>
            <w:szCs w:val="16"/>
            <w:lang w:val="uk-UA"/>
          </w:rPr>
          <w:t>.</w:t>
        </w:r>
        <w:r w:rsidRPr="00B1212F">
          <w:rPr>
            <w:rStyle w:val="a7"/>
            <w:rFonts w:ascii="Times New Roman" w:hAnsi="Times New Roman"/>
            <w:sz w:val="16"/>
            <w:szCs w:val="16"/>
          </w:rPr>
          <w:t>nlm</w:t>
        </w:r>
        <w:r w:rsidRPr="00B1212F">
          <w:rPr>
            <w:rStyle w:val="a7"/>
            <w:rFonts w:ascii="Times New Roman" w:hAnsi="Times New Roman"/>
            <w:sz w:val="16"/>
            <w:szCs w:val="16"/>
            <w:lang w:val="uk-UA"/>
          </w:rPr>
          <w:t>.</w:t>
        </w:r>
        <w:r w:rsidRPr="00B1212F">
          <w:rPr>
            <w:rStyle w:val="a7"/>
            <w:rFonts w:ascii="Times New Roman" w:hAnsi="Times New Roman"/>
            <w:sz w:val="16"/>
            <w:szCs w:val="16"/>
          </w:rPr>
          <w:t>nih</w:t>
        </w:r>
        <w:r w:rsidRPr="00B1212F">
          <w:rPr>
            <w:rStyle w:val="a7"/>
            <w:rFonts w:ascii="Times New Roman" w:hAnsi="Times New Roman"/>
            <w:sz w:val="16"/>
            <w:szCs w:val="16"/>
            <w:lang w:val="uk-UA"/>
          </w:rPr>
          <w:t>.</w:t>
        </w:r>
        <w:r w:rsidRPr="00B1212F">
          <w:rPr>
            <w:rStyle w:val="a7"/>
            <w:rFonts w:ascii="Times New Roman" w:hAnsi="Times New Roman"/>
            <w:sz w:val="16"/>
            <w:szCs w:val="16"/>
          </w:rPr>
          <w:t>gov</w:t>
        </w:r>
        <w:r w:rsidRPr="00B1212F">
          <w:rPr>
            <w:rStyle w:val="a7"/>
            <w:rFonts w:ascii="Times New Roman" w:hAnsi="Times New Roman"/>
            <w:sz w:val="16"/>
            <w:szCs w:val="16"/>
            <w:lang w:val="uk-UA"/>
          </w:rPr>
          <w:t>/</w:t>
        </w:r>
        <w:r w:rsidRPr="00B1212F">
          <w:rPr>
            <w:rStyle w:val="a7"/>
            <w:rFonts w:ascii="Times New Roman" w:hAnsi="Times New Roman"/>
            <w:sz w:val="16"/>
            <w:szCs w:val="16"/>
          </w:rPr>
          <w:t>pmc</w:t>
        </w:r>
        <w:r w:rsidRPr="00B1212F">
          <w:rPr>
            <w:rStyle w:val="a7"/>
            <w:rFonts w:ascii="Times New Roman" w:hAnsi="Times New Roman"/>
            <w:sz w:val="16"/>
            <w:szCs w:val="16"/>
            <w:lang w:val="uk-UA"/>
          </w:rPr>
          <w:t>/</w:t>
        </w:r>
        <w:r w:rsidRPr="00B1212F">
          <w:rPr>
            <w:rStyle w:val="a7"/>
            <w:rFonts w:ascii="Times New Roman" w:hAnsi="Times New Roman"/>
            <w:sz w:val="16"/>
            <w:szCs w:val="16"/>
          </w:rPr>
          <w:t>articles</w:t>
        </w:r>
        <w:r w:rsidRPr="00B1212F">
          <w:rPr>
            <w:rStyle w:val="a7"/>
            <w:rFonts w:ascii="Times New Roman" w:hAnsi="Times New Roman"/>
            <w:sz w:val="16"/>
            <w:szCs w:val="16"/>
            <w:lang w:val="uk-UA"/>
          </w:rPr>
          <w:t>/</w:t>
        </w:r>
        <w:r w:rsidRPr="00B1212F">
          <w:rPr>
            <w:rStyle w:val="a7"/>
            <w:rFonts w:ascii="Times New Roman" w:hAnsi="Times New Roman"/>
            <w:sz w:val="16"/>
            <w:szCs w:val="16"/>
          </w:rPr>
          <w:t>PMC</w:t>
        </w:r>
        <w:r w:rsidRPr="00B1212F">
          <w:rPr>
            <w:rStyle w:val="a7"/>
            <w:rFonts w:ascii="Times New Roman" w:hAnsi="Times New Roman"/>
            <w:sz w:val="16"/>
            <w:szCs w:val="16"/>
            <w:lang w:val="uk-UA"/>
          </w:rPr>
          <w:t>4174506/</w:t>
        </w:r>
      </w:hyperlink>
    </w:p>
  </w:footnote>
  <w:footnote w:id="6">
    <w:p w14:paraId="20F47C3A" w14:textId="77777777" w:rsidR="00D52D15" w:rsidRPr="00CB3A21" w:rsidRDefault="00D52D15" w:rsidP="00D52D15">
      <w:pPr>
        <w:pStyle w:val="a8"/>
        <w:rPr>
          <w:rFonts w:ascii="Times New Roman" w:hAnsi="Times New Roman"/>
          <w:sz w:val="16"/>
          <w:szCs w:val="16"/>
          <w:lang w:val="uk-UA"/>
        </w:rPr>
      </w:pPr>
      <w:r w:rsidRPr="00B1212F">
        <w:rPr>
          <w:rStyle w:val="aa"/>
          <w:rFonts w:ascii="Times New Roman" w:hAnsi="Times New Roman"/>
          <w:sz w:val="16"/>
          <w:szCs w:val="16"/>
        </w:rPr>
        <w:footnoteRef/>
      </w:r>
      <w:r w:rsidRPr="00CB3A21">
        <w:rPr>
          <w:rFonts w:ascii="Times New Roman" w:hAnsi="Times New Roman"/>
          <w:sz w:val="16"/>
          <w:szCs w:val="16"/>
          <w:lang w:val="uk-UA"/>
        </w:rPr>
        <w:t xml:space="preserve"> </w:t>
      </w:r>
      <w:hyperlink r:id="rId5" w:history="1">
        <w:r w:rsidRPr="00B1212F">
          <w:rPr>
            <w:rStyle w:val="a7"/>
            <w:rFonts w:ascii="Times New Roman" w:hAnsi="Times New Roman"/>
            <w:sz w:val="16"/>
            <w:szCs w:val="16"/>
          </w:rPr>
          <w:t>https</w:t>
        </w:r>
        <w:r w:rsidRPr="00CB3A21">
          <w:rPr>
            <w:rStyle w:val="a7"/>
            <w:rFonts w:ascii="Times New Roman" w:hAnsi="Times New Roman"/>
            <w:sz w:val="16"/>
            <w:szCs w:val="16"/>
            <w:lang w:val="uk-UA"/>
          </w:rPr>
          <w:t>://</w:t>
        </w:r>
        <w:r w:rsidRPr="00B1212F">
          <w:rPr>
            <w:rStyle w:val="a7"/>
            <w:rFonts w:ascii="Times New Roman" w:hAnsi="Times New Roman"/>
            <w:sz w:val="16"/>
            <w:szCs w:val="16"/>
          </w:rPr>
          <w:t>www</w:t>
        </w:r>
        <w:r w:rsidRPr="00CB3A21">
          <w:rPr>
            <w:rStyle w:val="a7"/>
            <w:rFonts w:ascii="Times New Roman" w:hAnsi="Times New Roman"/>
            <w:sz w:val="16"/>
            <w:szCs w:val="16"/>
            <w:lang w:val="uk-UA"/>
          </w:rPr>
          <w:t>.</w:t>
        </w:r>
        <w:proofErr w:type="spellStart"/>
        <w:r w:rsidRPr="00B1212F">
          <w:rPr>
            <w:rStyle w:val="a7"/>
            <w:rFonts w:ascii="Times New Roman" w:hAnsi="Times New Roman"/>
            <w:sz w:val="16"/>
            <w:szCs w:val="16"/>
          </w:rPr>
          <w:t>ncbi</w:t>
        </w:r>
        <w:proofErr w:type="spellEnd"/>
        <w:r w:rsidRPr="00CB3A21">
          <w:rPr>
            <w:rStyle w:val="a7"/>
            <w:rFonts w:ascii="Times New Roman" w:hAnsi="Times New Roman"/>
            <w:sz w:val="16"/>
            <w:szCs w:val="16"/>
            <w:lang w:val="uk-UA"/>
          </w:rPr>
          <w:t>.</w:t>
        </w:r>
        <w:proofErr w:type="spellStart"/>
        <w:r w:rsidRPr="00B1212F">
          <w:rPr>
            <w:rStyle w:val="a7"/>
            <w:rFonts w:ascii="Times New Roman" w:hAnsi="Times New Roman"/>
            <w:sz w:val="16"/>
            <w:szCs w:val="16"/>
          </w:rPr>
          <w:t>nlm</w:t>
        </w:r>
        <w:proofErr w:type="spellEnd"/>
        <w:r w:rsidRPr="00CB3A21">
          <w:rPr>
            <w:rStyle w:val="a7"/>
            <w:rFonts w:ascii="Times New Roman" w:hAnsi="Times New Roman"/>
            <w:sz w:val="16"/>
            <w:szCs w:val="16"/>
            <w:lang w:val="uk-UA"/>
          </w:rPr>
          <w:t>.</w:t>
        </w:r>
        <w:proofErr w:type="spellStart"/>
        <w:r w:rsidRPr="00B1212F">
          <w:rPr>
            <w:rStyle w:val="a7"/>
            <w:rFonts w:ascii="Times New Roman" w:hAnsi="Times New Roman"/>
            <w:sz w:val="16"/>
            <w:szCs w:val="16"/>
          </w:rPr>
          <w:t>nih</w:t>
        </w:r>
        <w:proofErr w:type="spellEnd"/>
        <w:r w:rsidRPr="00CB3A21">
          <w:rPr>
            <w:rStyle w:val="a7"/>
            <w:rFonts w:ascii="Times New Roman" w:hAnsi="Times New Roman"/>
            <w:sz w:val="16"/>
            <w:szCs w:val="16"/>
            <w:lang w:val="uk-UA"/>
          </w:rPr>
          <w:t>.</w:t>
        </w:r>
        <w:r w:rsidRPr="00B1212F">
          <w:rPr>
            <w:rStyle w:val="a7"/>
            <w:rFonts w:ascii="Times New Roman" w:hAnsi="Times New Roman"/>
            <w:sz w:val="16"/>
            <w:szCs w:val="16"/>
          </w:rPr>
          <w:t>gov</w:t>
        </w:r>
        <w:r w:rsidRPr="00CB3A21">
          <w:rPr>
            <w:rStyle w:val="a7"/>
            <w:rFonts w:ascii="Times New Roman" w:hAnsi="Times New Roman"/>
            <w:sz w:val="16"/>
            <w:szCs w:val="16"/>
            <w:lang w:val="uk-UA"/>
          </w:rPr>
          <w:t>/</w:t>
        </w:r>
        <w:proofErr w:type="spellStart"/>
        <w:r w:rsidRPr="00B1212F">
          <w:rPr>
            <w:rStyle w:val="a7"/>
            <w:rFonts w:ascii="Times New Roman" w:hAnsi="Times New Roman"/>
            <w:sz w:val="16"/>
            <w:szCs w:val="16"/>
          </w:rPr>
          <w:t>pmc</w:t>
        </w:r>
        <w:proofErr w:type="spellEnd"/>
        <w:r w:rsidRPr="00CB3A21">
          <w:rPr>
            <w:rStyle w:val="a7"/>
            <w:rFonts w:ascii="Times New Roman" w:hAnsi="Times New Roman"/>
            <w:sz w:val="16"/>
            <w:szCs w:val="16"/>
            <w:lang w:val="uk-UA"/>
          </w:rPr>
          <w:t>/</w:t>
        </w:r>
        <w:r w:rsidRPr="00B1212F">
          <w:rPr>
            <w:rStyle w:val="a7"/>
            <w:rFonts w:ascii="Times New Roman" w:hAnsi="Times New Roman"/>
            <w:sz w:val="16"/>
            <w:szCs w:val="16"/>
          </w:rPr>
          <w:t>articles</w:t>
        </w:r>
        <w:r w:rsidRPr="00CB3A21">
          <w:rPr>
            <w:rStyle w:val="a7"/>
            <w:rFonts w:ascii="Times New Roman" w:hAnsi="Times New Roman"/>
            <w:sz w:val="16"/>
            <w:szCs w:val="16"/>
            <w:lang w:val="uk-UA"/>
          </w:rPr>
          <w:t>/</w:t>
        </w:r>
        <w:r w:rsidRPr="00B1212F">
          <w:rPr>
            <w:rStyle w:val="a7"/>
            <w:rFonts w:ascii="Times New Roman" w:hAnsi="Times New Roman"/>
            <w:sz w:val="16"/>
            <w:szCs w:val="16"/>
          </w:rPr>
          <w:t>PMC</w:t>
        </w:r>
        <w:r w:rsidRPr="00CB3A21">
          <w:rPr>
            <w:rStyle w:val="a7"/>
            <w:rFonts w:ascii="Times New Roman" w:hAnsi="Times New Roman"/>
            <w:sz w:val="16"/>
            <w:szCs w:val="16"/>
            <w:lang w:val="uk-UA"/>
          </w:rPr>
          <w:t>3775865/</w:t>
        </w:r>
      </w:hyperlink>
    </w:p>
  </w:footnote>
  <w:footnote w:id="7">
    <w:p w14:paraId="5E4E80BB" w14:textId="77777777" w:rsidR="00D52D15" w:rsidRPr="00B1212F" w:rsidRDefault="00D52D15" w:rsidP="00D52D15">
      <w:pPr>
        <w:tabs>
          <w:tab w:val="left" w:pos="426"/>
          <w:tab w:val="left" w:pos="1134"/>
          <w:tab w:val="left" w:pos="1985"/>
        </w:tabs>
        <w:spacing w:after="0" w:line="240" w:lineRule="auto"/>
        <w:jc w:val="both"/>
        <w:rPr>
          <w:rFonts w:ascii="Times New Roman" w:hAnsi="Times New Roman"/>
          <w:b/>
          <w:bCs/>
          <w:sz w:val="16"/>
          <w:szCs w:val="16"/>
        </w:rPr>
      </w:pPr>
      <w:r w:rsidRPr="00B1212F">
        <w:rPr>
          <w:rStyle w:val="aa"/>
          <w:rFonts w:ascii="Times New Roman" w:hAnsi="Times New Roman"/>
          <w:sz w:val="16"/>
          <w:szCs w:val="16"/>
        </w:rPr>
        <w:footnoteRef/>
      </w:r>
      <w:r w:rsidRPr="00B1212F">
        <w:rPr>
          <w:rFonts w:ascii="Times New Roman" w:hAnsi="Times New Roman"/>
          <w:sz w:val="16"/>
          <w:szCs w:val="16"/>
        </w:rPr>
        <w:t xml:space="preserve"> THE GLOBAL RESPONSE AND UNMET ACTIONS FOR HIV AND SEX WORKERS Kate Shannon1, Anna-Louise Crago2, Stefan D. Baral3, Linda-Gail Bekker4, Deanna Kerrigan3, Michele R. Decker3, Tonia Poteat3, Andrea L. Wirtz3, Brian Weir3, Marie-Claude Boily5, Jenny Butler6, Steffanie A. Strathdee7, and Chris Beyrer3; Lancet. 2018 August 25; 392(10148): 698–710. doi:10.1016/S0140-6736(18)31439-9</w:t>
      </w:r>
    </w:p>
  </w:footnote>
  <w:footnote w:id="8">
    <w:p w14:paraId="04AD609A" w14:textId="77777777" w:rsidR="00D52D15" w:rsidRPr="00085606" w:rsidRDefault="00D52D15" w:rsidP="00D52D15">
      <w:pPr>
        <w:pStyle w:val="a8"/>
        <w:rPr>
          <w:sz w:val="16"/>
          <w:szCs w:val="16"/>
        </w:rPr>
      </w:pPr>
      <w:r>
        <w:rPr>
          <w:rStyle w:val="aa"/>
        </w:rPr>
        <w:footnoteRef/>
      </w:r>
      <w:r>
        <w:t xml:space="preserve"> </w:t>
      </w:r>
      <w:r w:rsidRPr="00586430">
        <w:rPr>
          <w:rFonts w:ascii="Times New Roman" w:hAnsi="Times New Roman"/>
          <w:color w:val="333333"/>
          <w:sz w:val="16"/>
          <w:szCs w:val="16"/>
          <w:shd w:val="clear" w:color="auto" w:fill="FFFFFF"/>
        </w:rPr>
        <w:t>Wiessing L, Likatavicius G, Klempová D, Hedrich D, Nardone A, Griffiths P. Associations between availability and coverage of HIV-prevention measures and subsequent incidence of diagnosed HIV infection among injection drug users. Am J Public Health. 2009;99:1049–52.</w:t>
      </w:r>
    </w:p>
  </w:footnote>
  <w:footnote w:id="9">
    <w:p w14:paraId="0A5F9F2F" w14:textId="77777777" w:rsidR="00D52D15" w:rsidRPr="00085606" w:rsidRDefault="00D52D15" w:rsidP="00D52D15">
      <w:pPr>
        <w:pStyle w:val="a8"/>
        <w:rPr>
          <w:rFonts w:ascii="Times New Roman" w:hAnsi="Times New Roman"/>
          <w:sz w:val="16"/>
          <w:szCs w:val="16"/>
        </w:rPr>
      </w:pPr>
      <w:r>
        <w:rPr>
          <w:rStyle w:val="aa"/>
        </w:rPr>
        <w:footnoteRef/>
      </w:r>
      <w:r>
        <w:t xml:space="preserve"> </w:t>
      </w:r>
      <w:r w:rsidRPr="00586430">
        <w:rPr>
          <w:rFonts w:ascii="Times New Roman" w:hAnsi="Times New Roman"/>
          <w:color w:val="333333"/>
          <w:sz w:val="16"/>
          <w:szCs w:val="16"/>
          <w:shd w:val="clear" w:color="auto" w:fill="FFFFFF"/>
        </w:rPr>
        <w:t>Van den Berg C, Smit C, Van Brussel G, Coutinho RA, Prins M. Full participation in harm reduction programmes is associated with decreased risk for human immunodeficiency virus and hepatitis C virus: evidence from the Amsterdam cohort studies among drug users. Addiction. 2007;102:1454–62.</w:t>
      </w:r>
    </w:p>
  </w:footnote>
  <w:footnote w:id="10">
    <w:p w14:paraId="116A7A23" w14:textId="77777777" w:rsidR="00D52D15" w:rsidRPr="00E77693" w:rsidRDefault="00D52D15" w:rsidP="00D52D15">
      <w:pPr>
        <w:pStyle w:val="a8"/>
        <w:rPr>
          <w:sz w:val="16"/>
          <w:szCs w:val="16"/>
        </w:rPr>
      </w:pPr>
      <w:r w:rsidRPr="00E77693">
        <w:rPr>
          <w:rStyle w:val="aa"/>
          <w:sz w:val="16"/>
          <w:szCs w:val="16"/>
        </w:rPr>
        <w:footnoteRef/>
      </w:r>
      <w:r w:rsidRPr="00E77693">
        <w:rPr>
          <w:sz w:val="16"/>
          <w:szCs w:val="16"/>
        </w:rPr>
        <w:t xml:space="preserve"> </w:t>
      </w:r>
      <w:r w:rsidRPr="00E77693">
        <w:rPr>
          <w:color w:val="000000"/>
          <w:sz w:val="16"/>
          <w:szCs w:val="16"/>
          <w:shd w:val="clear" w:color="auto" w:fill="FFFFFF"/>
        </w:rPr>
        <w:t>Al-Dakkak I, Patel S, McCann E, Gadkari A, Prajapati G, Maiese EM. </w:t>
      </w:r>
      <w:r w:rsidRPr="00E77693">
        <w:rPr>
          <w:rStyle w:val="ref-title"/>
          <w:color w:val="000000"/>
          <w:sz w:val="16"/>
          <w:szCs w:val="16"/>
          <w:shd w:val="clear" w:color="auto" w:fill="FFFFFF"/>
        </w:rPr>
        <w:t>The impact of specific HIV treatment-related adverse events on adherence to antiretroviral therapy: a systematic review and meta-analysis</w:t>
      </w:r>
      <w:r w:rsidRPr="00E77693">
        <w:rPr>
          <w:color w:val="000000"/>
          <w:sz w:val="16"/>
          <w:szCs w:val="16"/>
          <w:shd w:val="clear" w:color="auto" w:fill="FFFFFF"/>
        </w:rPr>
        <w:t>. </w:t>
      </w:r>
      <w:r w:rsidRPr="00E77693">
        <w:rPr>
          <w:rStyle w:val="af8"/>
          <w:color w:val="000000"/>
          <w:sz w:val="16"/>
          <w:szCs w:val="16"/>
          <w:shd w:val="clear" w:color="auto" w:fill="FFFFFF"/>
        </w:rPr>
        <w:t>AIDS Care</w:t>
      </w:r>
      <w:r w:rsidRPr="00E77693">
        <w:rPr>
          <w:color w:val="000000"/>
          <w:sz w:val="16"/>
          <w:szCs w:val="16"/>
          <w:shd w:val="clear" w:color="auto" w:fill="FFFFFF"/>
        </w:rPr>
        <w:t>. 2013;</w:t>
      </w:r>
      <w:r w:rsidRPr="00E77693">
        <w:rPr>
          <w:rStyle w:val="ref-vol"/>
          <w:b/>
          <w:bCs/>
          <w:color w:val="000000"/>
          <w:sz w:val="16"/>
          <w:szCs w:val="16"/>
          <w:shd w:val="clear" w:color="auto" w:fill="FFFFFF"/>
        </w:rPr>
        <w:t>25</w:t>
      </w:r>
      <w:r w:rsidRPr="00E77693">
        <w:rPr>
          <w:color w:val="000000"/>
          <w:sz w:val="16"/>
          <w:szCs w:val="16"/>
          <w:shd w:val="clear" w:color="auto" w:fill="FFFFFF"/>
        </w:rPr>
        <w:t>(</w:t>
      </w:r>
      <w:r w:rsidRPr="00E77693">
        <w:rPr>
          <w:rStyle w:val="ref-iss"/>
          <w:rFonts w:eastAsia="Calibri"/>
          <w:color w:val="000000"/>
          <w:sz w:val="16"/>
          <w:szCs w:val="16"/>
          <w:shd w:val="clear" w:color="auto" w:fill="FFFFFF"/>
        </w:rPr>
        <w:t>4</w:t>
      </w:r>
      <w:r w:rsidRPr="00E77693">
        <w:rPr>
          <w:color w:val="000000"/>
          <w:sz w:val="16"/>
          <w:szCs w:val="16"/>
          <w:shd w:val="clear" w:color="auto" w:fill="FFFFFF"/>
        </w:rPr>
        <w:t>):400–414. doi:10.1080/09540121.2012.712667</w:t>
      </w:r>
    </w:p>
  </w:footnote>
  <w:footnote w:id="11">
    <w:p w14:paraId="3CDC3CB3" w14:textId="77777777" w:rsidR="00D52D15" w:rsidRPr="00B1212F" w:rsidRDefault="00D52D15" w:rsidP="00D52D15">
      <w:pPr>
        <w:pStyle w:val="a8"/>
        <w:rPr>
          <w:rFonts w:ascii="Times New Roman" w:hAnsi="Times New Roman"/>
          <w:sz w:val="16"/>
          <w:szCs w:val="16"/>
        </w:rPr>
      </w:pPr>
      <w:r w:rsidRPr="00B1212F">
        <w:rPr>
          <w:rStyle w:val="aa"/>
          <w:rFonts w:ascii="Times New Roman" w:hAnsi="Times New Roman"/>
          <w:sz w:val="16"/>
          <w:szCs w:val="16"/>
        </w:rPr>
        <w:footnoteRef/>
      </w:r>
      <w:r w:rsidRPr="00B1212F">
        <w:rPr>
          <w:rFonts w:ascii="Times New Roman" w:hAnsi="Times New Roman"/>
          <w:sz w:val="16"/>
          <w:szCs w:val="16"/>
        </w:rPr>
        <w:t xml:space="preserve"> </w:t>
      </w:r>
      <w:r w:rsidRPr="00B1212F">
        <w:rPr>
          <w:rFonts w:ascii="Times New Roman" w:hAnsi="Times New Roman"/>
          <w:color w:val="000000"/>
          <w:sz w:val="16"/>
          <w:szCs w:val="16"/>
          <w:shd w:val="clear" w:color="auto" w:fill="FFFFFF"/>
        </w:rPr>
        <w:t>Beer L, Heffelfinger J, Frazier E, et al. </w:t>
      </w:r>
      <w:r w:rsidRPr="00B1212F">
        <w:rPr>
          <w:rStyle w:val="ref-title"/>
          <w:rFonts w:ascii="Times New Roman" w:hAnsi="Times New Roman"/>
          <w:color w:val="000000"/>
          <w:sz w:val="16"/>
          <w:szCs w:val="16"/>
          <w:shd w:val="clear" w:color="auto" w:fill="FFFFFF"/>
        </w:rPr>
        <w:t>Use of and adherence to antiretroviral therapy in a large U.S. sample of HIV-infected adults in care, 2007–2008</w:t>
      </w:r>
      <w:r w:rsidRPr="00B1212F">
        <w:rPr>
          <w:rFonts w:ascii="Times New Roman" w:hAnsi="Times New Roman"/>
          <w:color w:val="000000"/>
          <w:sz w:val="16"/>
          <w:szCs w:val="16"/>
          <w:shd w:val="clear" w:color="auto" w:fill="FFFFFF"/>
        </w:rPr>
        <w:t>. </w:t>
      </w:r>
      <w:r w:rsidRPr="00B1212F">
        <w:rPr>
          <w:rStyle w:val="af8"/>
          <w:rFonts w:ascii="Times New Roman" w:hAnsi="Times New Roman"/>
          <w:color w:val="000000"/>
          <w:sz w:val="16"/>
          <w:szCs w:val="16"/>
          <w:shd w:val="clear" w:color="auto" w:fill="FFFFFF"/>
        </w:rPr>
        <w:t>Open AIDS J</w:t>
      </w:r>
      <w:r w:rsidRPr="00B1212F">
        <w:rPr>
          <w:rFonts w:ascii="Times New Roman" w:hAnsi="Times New Roman"/>
          <w:color w:val="000000"/>
          <w:sz w:val="16"/>
          <w:szCs w:val="16"/>
          <w:shd w:val="clear" w:color="auto" w:fill="FFFFFF"/>
        </w:rPr>
        <w:t>. 2012;</w:t>
      </w:r>
      <w:r w:rsidRPr="00B1212F">
        <w:rPr>
          <w:rStyle w:val="ref-vol"/>
          <w:rFonts w:ascii="Times New Roman" w:hAnsi="Times New Roman"/>
          <w:b/>
          <w:bCs/>
          <w:color w:val="000000"/>
          <w:sz w:val="16"/>
          <w:szCs w:val="16"/>
          <w:shd w:val="clear" w:color="auto" w:fill="FFFFFF"/>
        </w:rPr>
        <w:t>6</w:t>
      </w:r>
      <w:r w:rsidRPr="00B1212F">
        <w:rPr>
          <w:rFonts w:ascii="Times New Roman" w:hAnsi="Times New Roman"/>
          <w:color w:val="000000"/>
          <w:sz w:val="16"/>
          <w:szCs w:val="16"/>
          <w:shd w:val="clear" w:color="auto" w:fill="FFFFFF"/>
        </w:rPr>
        <w:t>:213–223. doi:10.2174/1874613601206010213</w:t>
      </w:r>
    </w:p>
  </w:footnote>
  <w:footnote w:id="12">
    <w:p w14:paraId="68116A67" w14:textId="77777777" w:rsidR="00D52D15" w:rsidRPr="00B1212F" w:rsidRDefault="00D52D15" w:rsidP="00D52D15">
      <w:pPr>
        <w:pStyle w:val="a8"/>
        <w:rPr>
          <w:rFonts w:ascii="Times New Roman" w:hAnsi="Times New Roman"/>
          <w:sz w:val="16"/>
          <w:szCs w:val="16"/>
        </w:rPr>
      </w:pPr>
      <w:r w:rsidRPr="00B1212F">
        <w:rPr>
          <w:rStyle w:val="aa"/>
          <w:rFonts w:ascii="Times New Roman" w:hAnsi="Times New Roman"/>
          <w:sz w:val="16"/>
          <w:szCs w:val="16"/>
        </w:rPr>
        <w:footnoteRef/>
      </w:r>
      <w:r w:rsidRPr="00B1212F">
        <w:rPr>
          <w:rFonts w:ascii="Times New Roman" w:hAnsi="Times New Roman"/>
          <w:sz w:val="16"/>
          <w:szCs w:val="16"/>
        </w:rPr>
        <w:t xml:space="preserve"> </w:t>
      </w:r>
      <w:r w:rsidRPr="00B1212F">
        <w:rPr>
          <w:rFonts w:ascii="Times New Roman" w:hAnsi="Times New Roman"/>
          <w:color w:val="333333"/>
          <w:sz w:val="16"/>
          <w:szCs w:val="16"/>
          <w:shd w:val="clear" w:color="auto" w:fill="FFFFFF"/>
        </w:rPr>
        <w:t>Ortego, C, Huedo-Medine, TB, Llorca, J, Sevilla, L, Santos, P </w:t>
      </w:r>
      <w:r w:rsidRPr="00B1212F">
        <w:rPr>
          <w:rStyle w:val="nlmarticle-title"/>
          <w:rFonts w:ascii="Times New Roman" w:hAnsi="Times New Roman"/>
          <w:color w:val="333333"/>
          <w:sz w:val="16"/>
          <w:szCs w:val="16"/>
          <w:shd w:val="clear" w:color="auto" w:fill="FFFFFF"/>
        </w:rPr>
        <w:t>Adherence to highly active antiretroviral therapy (HAART): A meta-analysis [published online ahead of print]. </w:t>
      </w:r>
      <w:r w:rsidRPr="00B1212F">
        <w:rPr>
          <w:rFonts w:ascii="Times New Roman" w:hAnsi="Times New Roman"/>
          <w:color w:val="333333"/>
          <w:sz w:val="16"/>
          <w:szCs w:val="16"/>
          <w:shd w:val="clear" w:color="auto" w:fill="FFFFFF"/>
        </w:rPr>
        <w:t>AIDS Behav. </w:t>
      </w:r>
      <w:r w:rsidRPr="00B1212F">
        <w:rPr>
          <w:rStyle w:val="nlmyear"/>
          <w:rFonts w:ascii="Times New Roman" w:hAnsi="Times New Roman"/>
          <w:color w:val="333333"/>
          <w:sz w:val="16"/>
          <w:szCs w:val="16"/>
          <w:shd w:val="clear" w:color="auto" w:fill="FFFFFF"/>
        </w:rPr>
        <w:t>2011</w:t>
      </w:r>
      <w:r w:rsidRPr="00B1212F">
        <w:rPr>
          <w:rFonts w:ascii="Times New Roman" w:hAnsi="Times New Roman"/>
          <w:color w:val="333333"/>
          <w:sz w:val="16"/>
          <w:szCs w:val="16"/>
          <w:shd w:val="clear" w:color="auto" w:fill="FFFFFF"/>
        </w:rPr>
        <w:t>.</w:t>
      </w:r>
    </w:p>
  </w:footnote>
  <w:footnote w:id="13">
    <w:p w14:paraId="7F2BE747" w14:textId="77777777" w:rsidR="00D52D15" w:rsidRPr="00C003C3" w:rsidRDefault="00D52D15" w:rsidP="00D52D15">
      <w:pPr>
        <w:shd w:val="clear" w:color="auto" w:fill="FFFFFF"/>
        <w:spacing w:after="0" w:line="240" w:lineRule="auto"/>
        <w:rPr>
          <w:rFonts w:ascii="Times New Roman" w:hAnsi="Times New Roman"/>
          <w:sz w:val="14"/>
          <w:szCs w:val="14"/>
        </w:rPr>
      </w:pPr>
      <w:r w:rsidRPr="00C003C3">
        <w:rPr>
          <w:rStyle w:val="aa"/>
          <w:sz w:val="14"/>
          <w:szCs w:val="14"/>
        </w:rPr>
        <w:footnoteRef/>
      </w:r>
      <w:r w:rsidRPr="00C003C3">
        <w:rPr>
          <w:sz w:val="14"/>
          <w:szCs w:val="14"/>
        </w:rPr>
        <w:t xml:space="preserve"> </w:t>
      </w:r>
      <w:hyperlink r:id="rId6" w:history="1">
        <w:r w:rsidRPr="0018690F">
          <w:rPr>
            <w:rFonts w:ascii="Times New Roman" w:hAnsi="Times New Roman"/>
            <w:sz w:val="14"/>
            <w:szCs w:val="14"/>
          </w:rPr>
          <w:t>Lucas Wiessing</w:t>
        </w:r>
      </w:hyperlink>
      <w:r w:rsidRPr="0018690F">
        <w:rPr>
          <w:rFonts w:ascii="Times New Roman" w:hAnsi="Times New Roman"/>
          <w:sz w:val="14"/>
          <w:szCs w:val="14"/>
          <w:vertAlign w:val="superscript"/>
        </w:rPr>
        <w:t> </w:t>
      </w:r>
      <w:hyperlink r:id="rId7" w:anchor="affiliation-1" w:history="1">
        <w:r w:rsidRPr="0018690F">
          <w:rPr>
            <w:rFonts w:ascii="Times New Roman" w:hAnsi="Times New Roman"/>
            <w:sz w:val="14"/>
            <w:szCs w:val="14"/>
            <w:shd w:val="clear" w:color="auto" w:fill="F1F1F1"/>
            <w:vertAlign w:val="superscript"/>
          </w:rPr>
          <w:t>1</w:t>
        </w:r>
      </w:hyperlink>
      <w:r w:rsidRPr="0018690F">
        <w:rPr>
          <w:rFonts w:ascii="Times New Roman" w:hAnsi="Times New Roman"/>
          <w:sz w:val="14"/>
          <w:szCs w:val="14"/>
        </w:rPr>
        <w:t>, </w:t>
      </w:r>
      <w:hyperlink r:id="rId8" w:history="1">
        <w:r w:rsidRPr="0018690F">
          <w:rPr>
            <w:rFonts w:ascii="Times New Roman" w:hAnsi="Times New Roman"/>
            <w:sz w:val="14"/>
            <w:szCs w:val="14"/>
          </w:rPr>
          <w:t>Marica Ferri</w:t>
        </w:r>
      </w:hyperlink>
      <w:r w:rsidRPr="0018690F">
        <w:rPr>
          <w:rFonts w:ascii="Times New Roman" w:hAnsi="Times New Roman"/>
          <w:sz w:val="14"/>
          <w:szCs w:val="14"/>
          <w:vertAlign w:val="superscript"/>
        </w:rPr>
        <w:t> </w:t>
      </w:r>
      <w:hyperlink r:id="rId9" w:anchor="affiliation-2" w:history="1">
        <w:r w:rsidRPr="0018690F">
          <w:rPr>
            <w:rFonts w:ascii="Times New Roman" w:hAnsi="Times New Roman"/>
            <w:sz w:val="14"/>
            <w:szCs w:val="14"/>
            <w:shd w:val="clear" w:color="auto" w:fill="F1F1F1"/>
            <w:vertAlign w:val="superscript"/>
          </w:rPr>
          <w:t>2</w:t>
        </w:r>
      </w:hyperlink>
      <w:r w:rsidRPr="0018690F">
        <w:rPr>
          <w:rFonts w:ascii="Times New Roman" w:hAnsi="Times New Roman"/>
          <w:sz w:val="14"/>
          <w:szCs w:val="14"/>
        </w:rPr>
        <w:t>, </w:t>
      </w:r>
      <w:hyperlink r:id="rId10" w:history="1">
        <w:r w:rsidRPr="0018690F">
          <w:rPr>
            <w:rFonts w:ascii="Times New Roman" w:hAnsi="Times New Roman"/>
            <w:sz w:val="14"/>
            <w:szCs w:val="14"/>
          </w:rPr>
          <w:t>Vendula Běláčková</w:t>
        </w:r>
      </w:hyperlink>
      <w:r w:rsidRPr="0018690F">
        <w:rPr>
          <w:rFonts w:ascii="Times New Roman" w:hAnsi="Times New Roman"/>
          <w:sz w:val="14"/>
          <w:szCs w:val="14"/>
          <w:vertAlign w:val="superscript"/>
        </w:rPr>
        <w:t> </w:t>
      </w:r>
      <w:hyperlink r:id="rId11" w:anchor="affiliation-3" w:history="1">
        <w:r w:rsidRPr="0018690F">
          <w:rPr>
            <w:rFonts w:ascii="Times New Roman" w:hAnsi="Times New Roman"/>
            <w:sz w:val="14"/>
            <w:szCs w:val="14"/>
            <w:shd w:val="clear" w:color="auto" w:fill="F1F1F1"/>
            <w:vertAlign w:val="superscript"/>
          </w:rPr>
          <w:t>3</w:t>
        </w:r>
      </w:hyperlink>
      <w:r w:rsidRPr="0018690F">
        <w:rPr>
          <w:rFonts w:ascii="Times New Roman" w:hAnsi="Times New Roman"/>
          <w:sz w:val="14"/>
          <w:szCs w:val="14"/>
          <w:vertAlign w:val="superscript"/>
        </w:rPr>
        <w:t> </w:t>
      </w:r>
      <w:hyperlink r:id="rId12" w:anchor="affiliation-4" w:history="1">
        <w:r w:rsidRPr="0018690F">
          <w:rPr>
            <w:rFonts w:ascii="Times New Roman" w:hAnsi="Times New Roman"/>
            <w:sz w:val="14"/>
            <w:szCs w:val="14"/>
            <w:shd w:val="clear" w:color="auto" w:fill="F1F1F1"/>
            <w:vertAlign w:val="superscript"/>
          </w:rPr>
          <w:t>4</w:t>
        </w:r>
      </w:hyperlink>
      <w:r w:rsidRPr="0018690F">
        <w:rPr>
          <w:rFonts w:ascii="Times New Roman" w:hAnsi="Times New Roman"/>
          <w:sz w:val="14"/>
          <w:szCs w:val="14"/>
          <w:vertAlign w:val="superscript"/>
        </w:rPr>
        <w:t> </w:t>
      </w:r>
      <w:hyperlink r:id="rId13" w:anchor="affiliation-5" w:history="1">
        <w:r w:rsidRPr="0018690F">
          <w:rPr>
            <w:rFonts w:ascii="Times New Roman" w:hAnsi="Times New Roman"/>
            <w:sz w:val="14"/>
            <w:szCs w:val="14"/>
            <w:shd w:val="clear" w:color="auto" w:fill="F1F1F1"/>
            <w:vertAlign w:val="superscript"/>
          </w:rPr>
          <w:t>5</w:t>
        </w:r>
      </w:hyperlink>
      <w:r w:rsidRPr="0018690F">
        <w:rPr>
          <w:rFonts w:ascii="Times New Roman" w:hAnsi="Times New Roman"/>
          <w:sz w:val="14"/>
          <w:szCs w:val="14"/>
        </w:rPr>
        <w:t>, </w:t>
      </w:r>
      <w:r w:rsidRPr="00C003C3">
        <w:rPr>
          <w:rFonts w:ascii="Times New Roman" w:hAnsi="Times New Roman"/>
          <w:sz w:val="14"/>
          <w:szCs w:val="14"/>
        </w:rPr>
        <w:t xml:space="preserve"> </w:t>
      </w:r>
      <w:r w:rsidRPr="0018690F">
        <w:rPr>
          <w:rFonts w:ascii="Times New Roman" w:hAnsi="Times New Roman"/>
          <w:bCs/>
          <w:kern w:val="36"/>
          <w:sz w:val="14"/>
          <w:szCs w:val="14"/>
        </w:rPr>
        <w:t>Monitoring quality and coverage of harm reduction services for people who use drugs: a consensus study</w:t>
      </w:r>
      <w:r w:rsidRPr="00C003C3">
        <w:rPr>
          <w:rFonts w:ascii="Times New Roman" w:hAnsi="Times New Roman"/>
          <w:bCs/>
          <w:kern w:val="36"/>
          <w:sz w:val="14"/>
          <w:szCs w:val="14"/>
          <w:lang w:val="en-US"/>
        </w:rPr>
        <w:t>:</w:t>
      </w:r>
      <w:r w:rsidRPr="00C003C3">
        <w:rPr>
          <w:rFonts w:ascii="Times New Roman" w:hAnsi="Times New Roman"/>
          <w:sz w:val="14"/>
          <w:szCs w:val="14"/>
        </w:rPr>
        <w:t xml:space="preserve"> </w:t>
      </w:r>
      <w:r w:rsidRPr="0018690F">
        <w:rPr>
          <w:rFonts w:ascii="Times New Roman" w:hAnsi="Times New Roman"/>
          <w:sz w:val="14"/>
          <w:szCs w:val="14"/>
        </w:rPr>
        <w:t>Harm Reduct J</w:t>
      </w:r>
      <w:r w:rsidRPr="00C003C3">
        <w:rPr>
          <w:rFonts w:ascii="Times New Roman" w:hAnsi="Times New Roman"/>
          <w:sz w:val="14"/>
          <w:szCs w:val="14"/>
        </w:rPr>
        <w:t xml:space="preserve">, 2017 Apr 22;14(1):19, </w:t>
      </w:r>
      <w:r w:rsidRPr="0018690F">
        <w:rPr>
          <w:rFonts w:ascii="Times New Roman" w:hAnsi="Times New Roman"/>
          <w:sz w:val="14"/>
          <w:szCs w:val="14"/>
        </w:rPr>
        <w:t>doi: 10.1186/s12954-017-0141-6.</w:t>
      </w:r>
    </w:p>
  </w:footnote>
  <w:footnote w:id="14">
    <w:p w14:paraId="52548448" w14:textId="77777777" w:rsidR="00D52D15" w:rsidRPr="00CB3A21" w:rsidRDefault="00D52D15" w:rsidP="00D52D15">
      <w:pPr>
        <w:spacing w:line="240" w:lineRule="auto"/>
        <w:rPr>
          <w:rFonts w:ascii="Times New Roman" w:hAnsi="Times New Roman"/>
          <w:color w:val="333333"/>
          <w:sz w:val="14"/>
          <w:szCs w:val="14"/>
          <w:shd w:val="clear" w:color="auto" w:fill="FFFFFF"/>
        </w:rPr>
      </w:pPr>
      <w:r>
        <w:rPr>
          <w:rStyle w:val="aa"/>
        </w:rPr>
        <w:footnoteRef/>
      </w:r>
      <w:r>
        <w:t xml:space="preserve"> </w:t>
      </w:r>
      <w:r w:rsidRPr="00C003C3">
        <w:rPr>
          <w:rFonts w:ascii="Times New Roman" w:hAnsi="Times New Roman"/>
          <w:color w:val="333333"/>
          <w:sz w:val="14"/>
          <w:szCs w:val="14"/>
          <w:shd w:val="clear" w:color="auto" w:fill="FFFFFF"/>
          <w:lang w:val="en-US"/>
        </w:rPr>
        <w:t>Strike C, Watson TM, Lavigne P, Hopkins S, Shore R, Young D, et al. Guidelines for better harm reduction: evaluating implementation of best practice recommendations for needle and syringe programs (NSPs). Int J Drug Policy. 2011;22:34–40.</w:t>
      </w:r>
    </w:p>
  </w:footnote>
  <w:footnote w:id="15">
    <w:p w14:paraId="0F6390CE" w14:textId="77777777" w:rsidR="00D52D15" w:rsidRPr="00CB3A21" w:rsidRDefault="00D52D15" w:rsidP="00D52D15">
      <w:pPr>
        <w:pStyle w:val="c-reading-companionreference-citation"/>
        <w:pBdr>
          <w:top w:val="single" w:sz="6" w:space="6" w:color="D5D5D5"/>
        </w:pBdr>
        <w:shd w:val="clear" w:color="auto" w:fill="FFFFFF"/>
        <w:spacing w:before="0" w:beforeAutospacing="0" w:after="0" w:afterAutospacing="0"/>
        <w:rPr>
          <w:color w:val="333333"/>
          <w:sz w:val="16"/>
          <w:szCs w:val="16"/>
        </w:rPr>
      </w:pPr>
      <w:r w:rsidRPr="00CB3A21">
        <w:rPr>
          <w:rStyle w:val="aa"/>
          <w:sz w:val="16"/>
          <w:szCs w:val="16"/>
        </w:rPr>
        <w:footnoteRef/>
      </w:r>
      <w:r w:rsidRPr="00CB3A21">
        <w:rPr>
          <w:sz w:val="16"/>
          <w:szCs w:val="16"/>
        </w:rPr>
        <w:t xml:space="preserve"> </w:t>
      </w:r>
      <w:r w:rsidRPr="00CB3A21">
        <w:rPr>
          <w:color w:val="333333"/>
          <w:sz w:val="16"/>
          <w:szCs w:val="16"/>
        </w:rPr>
        <w:t>EMCDDA. Best practice portal. Lisbon: EMCDDA; 2017. </w:t>
      </w:r>
      <w:hyperlink r:id="rId14" w:history="1">
        <w:r w:rsidRPr="00CB3A21">
          <w:rPr>
            <w:rStyle w:val="a7"/>
            <w:color w:val="8E2555"/>
            <w:sz w:val="16"/>
            <w:szCs w:val="16"/>
          </w:rPr>
          <w:t>http://www.emcdda.europa.eu/best-practice</w:t>
        </w:r>
      </w:hyperlink>
      <w:r w:rsidRPr="00CB3A21">
        <w:rPr>
          <w:color w:val="333333"/>
          <w:sz w:val="16"/>
          <w:szCs w:val="16"/>
        </w:rPr>
        <w:t xml:space="preserve">. Accessed 20 Mar 2017. </w:t>
      </w:r>
    </w:p>
  </w:footnote>
  <w:footnote w:id="16">
    <w:p w14:paraId="79B6EFB8" w14:textId="77777777" w:rsidR="00D52D15" w:rsidRPr="00CB3A21" w:rsidRDefault="00D52D15" w:rsidP="00D52D15">
      <w:pPr>
        <w:pStyle w:val="a8"/>
        <w:rPr>
          <w:sz w:val="16"/>
          <w:szCs w:val="16"/>
          <w:lang w:val="uk-UA"/>
        </w:rPr>
      </w:pPr>
      <w:r w:rsidRPr="00CB3A21">
        <w:rPr>
          <w:rStyle w:val="aa"/>
          <w:sz w:val="16"/>
          <w:szCs w:val="16"/>
        </w:rPr>
        <w:footnoteRef/>
      </w:r>
      <w:r w:rsidRPr="00CB3A21">
        <w:rPr>
          <w:sz w:val="16"/>
          <w:szCs w:val="16"/>
        </w:rPr>
        <w:t xml:space="preserve"> </w:t>
      </w:r>
      <w:r w:rsidRPr="00CB3A21">
        <w:rPr>
          <w:color w:val="333333"/>
          <w:sz w:val="16"/>
          <w:szCs w:val="16"/>
        </w:rPr>
        <w:t>Ferri M, Bo A. Best practice promotion in Europe: a web-based tool for the dissemination of evidence-based demand reduction interventions. Drugs Educ Prev Policy. 2013;20:331–7.</w:t>
      </w:r>
    </w:p>
  </w:footnote>
  <w:footnote w:id="17">
    <w:p w14:paraId="7A177195" w14:textId="77777777" w:rsidR="00D52D15" w:rsidRPr="002D28DE" w:rsidRDefault="00D52D15" w:rsidP="00D52D15">
      <w:pPr>
        <w:spacing w:line="240" w:lineRule="auto"/>
        <w:jc w:val="both"/>
        <w:rPr>
          <w:rFonts w:ascii="Times New Roman" w:hAnsi="Times New Roman"/>
          <w:bCs/>
          <w:kern w:val="36"/>
          <w:sz w:val="16"/>
          <w:szCs w:val="16"/>
        </w:rPr>
      </w:pPr>
      <w:r>
        <w:rPr>
          <w:rStyle w:val="aa"/>
        </w:rPr>
        <w:footnoteRef/>
      </w:r>
      <w:r>
        <w:t xml:space="preserve"> </w:t>
      </w:r>
      <w:r w:rsidRPr="004257ED">
        <w:rPr>
          <w:rFonts w:ascii="Times New Roman" w:hAnsi="Times New Roman"/>
          <w:sz w:val="16"/>
          <w:szCs w:val="16"/>
        </w:rPr>
        <w:t>Балакірєва О., канд. соціол. наук Бондар Т., канд. соціол. наук Шевченко С., канд. соціол. наук Галустян Ю., канд. соціол. наук Левцун О., канд. соціол. наук: Оцінка і покращення доступу до послуг профілактики, тестування та лікування серед молодих представників груп ризику щодо епідемії ВІЛ/СНІД».</w:t>
      </w:r>
    </w:p>
  </w:footnote>
  <w:footnote w:id="18">
    <w:p w14:paraId="706D5830" w14:textId="77777777" w:rsidR="00D52D15" w:rsidRPr="003E182C" w:rsidRDefault="00D52D15" w:rsidP="00D52D15">
      <w:pPr>
        <w:pStyle w:val="a8"/>
        <w:rPr>
          <w:lang w:val="ru-RU"/>
        </w:rPr>
      </w:pPr>
      <w:r>
        <w:rPr>
          <w:rStyle w:val="aa"/>
        </w:rPr>
        <w:footnoteRef/>
      </w:r>
      <w:r w:rsidRPr="007C6C95">
        <w:rPr>
          <w:lang w:val="ru-RU"/>
        </w:rPr>
        <w:t xml:space="preserve"> </w:t>
      </w:r>
      <w:r>
        <w:rPr>
          <w:lang w:val="ru-RU"/>
        </w:rPr>
        <w:t>П</w:t>
      </w:r>
      <w:r w:rsidRPr="007C6C95">
        <w:rPr>
          <w:lang w:val="ru-RU"/>
        </w:rPr>
        <w:t xml:space="preserve">ідконтрольна </w:t>
      </w:r>
      <w:r>
        <w:rPr>
          <w:lang w:val="ru-RU"/>
        </w:rPr>
        <w:t>У</w:t>
      </w:r>
      <w:r w:rsidRPr="007C6C95">
        <w:rPr>
          <w:lang w:val="ru-RU"/>
        </w:rPr>
        <w:t>країнському уряду територія</w:t>
      </w:r>
      <w:r>
        <w:rPr>
          <w:lang w:val="ru-RU"/>
        </w:rPr>
        <w:t>.</w:t>
      </w:r>
    </w:p>
  </w:footnote>
  <w:footnote w:id="19">
    <w:p w14:paraId="2DDD1B68" w14:textId="77777777" w:rsidR="00D52D15" w:rsidRPr="00C35078" w:rsidRDefault="00D52D15" w:rsidP="00D52D15">
      <w:pPr>
        <w:pStyle w:val="a8"/>
        <w:rPr>
          <w:lang w:val="ru-RU"/>
        </w:rPr>
      </w:pPr>
      <w:r>
        <w:rPr>
          <w:rStyle w:val="aa"/>
        </w:rPr>
        <w:footnoteRef/>
      </w:r>
      <w:r w:rsidRPr="00C35078">
        <w:rPr>
          <w:lang w:val="ru-RU"/>
        </w:rPr>
        <w:t xml:space="preserve"> Дані ДУ «Центр громадського здоров’я МОЗ України»</w:t>
      </w:r>
      <w:r>
        <w:rPr>
          <w:lang w:val="ru-RU"/>
        </w:rPr>
        <w:t xml:space="preserve"> (2021).</w:t>
      </w:r>
    </w:p>
  </w:footnote>
  <w:footnote w:id="20">
    <w:p w14:paraId="167122E6" w14:textId="77777777" w:rsidR="00D52D15" w:rsidRPr="00A5234C" w:rsidRDefault="00D52D15" w:rsidP="00D52D15">
      <w:pPr>
        <w:pStyle w:val="a8"/>
        <w:rPr>
          <w:lang w:val="uk-UA"/>
        </w:rPr>
      </w:pPr>
      <w:r>
        <w:rPr>
          <w:rStyle w:val="aa"/>
        </w:rPr>
        <w:footnoteRef/>
      </w:r>
      <w:r w:rsidRPr="00C35078">
        <w:rPr>
          <w:lang w:val="ru-RU"/>
        </w:rPr>
        <w:t xml:space="preserve"> Підконтрольна Українському уряду територія</w:t>
      </w:r>
      <w:r>
        <w:rPr>
          <w:lang w:val="uk-UA"/>
        </w:rPr>
        <w:t>.</w:t>
      </w:r>
    </w:p>
  </w:footnote>
  <w:footnote w:id="21">
    <w:p w14:paraId="49B52CB5" w14:textId="77777777" w:rsidR="00353307" w:rsidRPr="00DF0340" w:rsidRDefault="00353307"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D5602"/>
    <w:multiLevelType w:val="hybridMultilevel"/>
    <w:tmpl w:val="BE7AF15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3C051A"/>
    <w:multiLevelType w:val="hybridMultilevel"/>
    <w:tmpl w:val="DB96B09A"/>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0CFC524F"/>
    <w:multiLevelType w:val="hybridMultilevel"/>
    <w:tmpl w:val="B30A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4B12F0"/>
    <w:multiLevelType w:val="hybridMultilevel"/>
    <w:tmpl w:val="8D464B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F8E7972"/>
    <w:multiLevelType w:val="hybridMultilevel"/>
    <w:tmpl w:val="FCAC17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D51074"/>
    <w:multiLevelType w:val="hybridMultilevel"/>
    <w:tmpl w:val="E21ABA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FE6301B"/>
    <w:multiLevelType w:val="hybridMultilevel"/>
    <w:tmpl w:val="6AA8125A"/>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462A26"/>
    <w:multiLevelType w:val="hybridMultilevel"/>
    <w:tmpl w:val="73DAE21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46D560F"/>
    <w:multiLevelType w:val="hybridMultilevel"/>
    <w:tmpl w:val="B7D2A6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D9465C"/>
    <w:multiLevelType w:val="hybridMultilevel"/>
    <w:tmpl w:val="25EC31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9B30D46"/>
    <w:multiLevelType w:val="hybridMultilevel"/>
    <w:tmpl w:val="F73425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B1061D9"/>
    <w:multiLevelType w:val="hybridMultilevel"/>
    <w:tmpl w:val="A0D6A86C"/>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3" w15:restartNumberingAfterBreak="0">
    <w:nsid w:val="1B70559F"/>
    <w:multiLevelType w:val="hybridMultilevel"/>
    <w:tmpl w:val="0F6C18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FDB3ED3"/>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38121C"/>
    <w:multiLevelType w:val="hybridMultilevel"/>
    <w:tmpl w:val="3F58718E"/>
    <w:lvl w:ilvl="0" w:tplc="7B003818">
      <w:start w:val="1"/>
      <w:numFmt w:val="decimal"/>
      <w:lvlText w:val="%1)"/>
      <w:lvlJc w:val="left"/>
      <w:pPr>
        <w:ind w:left="397" w:hanging="360"/>
      </w:pPr>
      <w:rPr>
        <w:rFonts w:hint="default"/>
        <w:color w:val="auto"/>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32166A1"/>
    <w:multiLevelType w:val="hybridMultilevel"/>
    <w:tmpl w:val="A6D0176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3C32099"/>
    <w:multiLevelType w:val="hybridMultilevel"/>
    <w:tmpl w:val="A0D6A86C"/>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246E3C1D"/>
    <w:multiLevelType w:val="hybridMultilevel"/>
    <w:tmpl w:val="A4DE579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58F19DA"/>
    <w:multiLevelType w:val="hybridMultilevel"/>
    <w:tmpl w:val="10B6516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B440586"/>
    <w:multiLevelType w:val="hybridMultilevel"/>
    <w:tmpl w:val="17CA05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EC443BB"/>
    <w:multiLevelType w:val="hybridMultilevel"/>
    <w:tmpl w:val="45F063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066BFA"/>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42116C"/>
    <w:multiLevelType w:val="hybridMultilevel"/>
    <w:tmpl w:val="B212C8A2"/>
    <w:lvl w:ilvl="0" w:tplc="04220001">
      <w:start w:val="1"/>
      <w:numFmt w:val="bullet"/>
      <w:lvlText w:val=""/>
      <w:lvlJc w:val="left"/>
      <w:pPr>
        <w:ind w:left="1068" w:hanging="360"/>
      </w:pPr>
      <w:rPr>
        <w:rFonts w:ascii="Symbol" w:hAnsi="Symbol" w:hint="default"/>
      </w:rPr>
    </w:lvl>
    <w:lvl w:ilvl="1" w:tplc="90767EE2">
      <w:numFmt w:val="bullet"/>
      <w:lvlText w:val="•"/>
      <w:lvlJc w:val="left"/>
      <w:pPr>
        <w:ind w:left="2133" w:hanging="705"/>
      </w:pPr>
      <w:rPr>
        <w:rFonts w:ascii="Times New Roman" w:eastAsia="Times New Roman" w:hAnsi="Times New Roman" w:cs="Times New Roman"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62241FF"/>
    <w:multiLevelType w:val="hybridMultilevel"/>
    <w:tmpl w:val="1688C53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46502C5A"/>
    <w:multiLevelType w:val="hybridMultilevel"/>
    <w:tmpl w:val="65B66C20"/>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15:restartNumberingAfterBreak="0">
    <w:nsid w:val="4A1F39E9"/>
    <w:multiLevelType w:val="hybridMultilevel"/>
    <w:tmpl w:val="D3F28A5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4D0D3E70"/>
    <w:multiLevelType w:val="hybridMultilevel"/>
    <w:tmpl w:val="5A1EA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8D1A36"/>
    <w:multiLevelType w:val="hybridMultilevel"/>
    <w:tmpl w:val="ACBE8DD0"/>
    <w:lvl w:ilvl="0" w:tplc="55B67A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5D3895"/>
    <w:multiLevelType w:val="hybridMultilevel"/>
    <w:tmpl w:val="996E8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9958B2"/>
    <w:multiLevelType w:val="hybridMultilevel"/>
    <w:tmpl w:val="B6D6AE6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C5D2107"/>
    <w:multiLevelType w:val="hybridMultilevel"/>
    <w:tmpl w:val="5BD4438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EE64E66"/>
    <w:multiLevelType w:val="hybridMultilevel"/>
    <w:tmpl w:val="012A2296"/>
    <w:lvl w:ilvl="0" w:tplc="B6EE5FDC">
      <w:start w:val="1"/>
      <w:numFmt w:val="decimal"/>
      <w:lvlText w:val="%1."/>
      <w:lvlJc w:val="left"/>
      <w:pPr>
        <w:ind w:left="720" w:hanging="360"/>
      </w:pPr>
      <w:rPr>
        <w:rFonts w:eastAsia="Calibr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F3D558E"/>
    <w:multiLevelType w:val="hybridMultilevel"/>
    <w:tmpl w:val="E9589AC0"/>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9" w15:restartNumberingAfterBreak="0">
    <w:nsid w:val="754232A4"/>
    <w:multiLevelType w:val="multilevel"/>
    <w:tmpl w:val="87CAE2F4"/>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15:restartNumberingAfterBreak="0">
    <w:nsid w:val="768928DC"/>
    <w:multiLevelType w:val="hybridMultilevel"/>
    <w:tmpl w:val="F2322426"/>
    <w:lvl w:ilvl="0" w:tplc="04C8D18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CC5604B"/>
    <w:multiLevelType w:val="hybridMultilevel"/>
    <w:tmpl w:val="D83652E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2"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33"/>
  </w:num>
  <w:num w:numId="3">
    <w:abstractNumId w:val="0"/>
  </w:num>
  <w:num w:numId="4">
    <w:abstractNumId w:val="35"/>
  </w:num>
  <w:num w:numId="5">
    <w:abstractNumId w:val="29"/>
  </w:num>
  <w:num w:numId="6">
    <w:abstractNumId w:val="24"/>
  </w:num>
  <w:num w:numId="7">
    <w:abstractNumId w:val="42"/>
  </w:num>
  <w:num w:numId="8">
    <w:abstractNumId w:val="2"/>
  </w:num>
  <w:num w:numId="9">
    <w:abstractNumId w:val="23"/>
  </w:num>
  <w:num w:numId="10">
    <w:abstractNumId w:val="26"/>
  </w:num>
  <w:num w:numId="11">
    <w:abstractNumId w:val="37"/>
  </w:num>
  <w:num w:numId="12">
    <w:abstractNumId w:val="9"/>
  </w:num>
  <w:num w:numId="13">
    <w:abstractNumId w:val="41"/>
  </w:num>
  <w:num w:numId="14">
    <w:abstractNumId w:val="10"/>
  </w:num>
  <w:num w:numId="15">
    <w:abstractNumId w:val="30"/>
  </w:num>
  <w:num w:numId="16">
    <w:abstractNumId w:val="17"/>
  </w:num>
  <w:num w:numId="17">
    <w:abstractNumId w:val="12"/>
  </w:num>
  <w:num w:numId="18">
    <w:abstractNumId w:val="39"/>
  </w:num>
  <w:num w:numId="19">
    <w:abstractNumId w:val="19"/>
  </w:num>
  <w:num w:numId="20">
    <w:abstractNumId w:val="16"/>
  </w:num>
  <w:num w:numId="21">
    <w:abstractNumId w:val="18"/>
  </w:num>
  <w:num w:numId="22">
    <w:abstractNumId w:val="40"/>
  </w:num>
  <w:num w:numId="23">
    <w:abstractNumId w:val="14"/>
  </w:num>
  <w:num w:numId="24">
    <w:abstractNumId w:val="38"/>
  </w:num>
  <w:num w:numId="25">
    <w:abstractNumId w:val="22"/>
  </w:num>
  <w:num w:numId="26">
    <w:abstractNumId w:val="27"/>
  </w:num>
  <w:num w:numId="27">
    <w:abstractNumId w:val="6"/>
  </w:num>
  <w:num w:numId="28">
    <w:abstractNumId w:val="25"/>
  </w:num>
  <w:num w:numId="29">
    <w:abstractNumId w:val="8"/>
  </w:num>
  <w:num w:numId="30">
    <w:abstractNumId w:val="13"/>
  </w:num>
  <w:num w:numId="31">
    <w:abstractNumId w:val="4"/>
  </w:num>
  <w:num w:numId="32">
    <w:abstractNumId w:val="11"/>
  </w:num>
  <w:num w:numId="33">
    <w:abstractNumId w:val="21"/>
  </w:num>
  <w:num w:numId="34">
    <w:abstractNumId w:val="28"/>
  </w:num>
  <w:num w:numId="35">
    <w:abstractNumId w:val="7"/>
  </w:num>
  <w:num w:numId="36">
    <w:abstractNumId w:val="3"/>
  </w:num>
  <w:num w:numId="37">
    <w:abstractNumId w:val="20"/>
  </w:num>
  <w:num w:numId="38">
    <w:abstractNumId w:val="5"/>
  </w:num>
  <w:num w:numId="39">
    <w:abstractNumId w:val="36"/>
  </w:num>
  <w:num w:numId="40">
    <w:abstractNumId w:val="1"/>
  </w:num>
  <w:num w:numId="41">
    <w:abstractNumId w:val="15"/>
  </w:num>
  <w:num w:numId="42">
    <w:abstractNumId w:val="34"/>
  </w:num>
  <w:num w:numId="43">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640AD"/>
    <w:rsid w:val="000708F7"/>
    <w:rsid w:val="00080BE4"/>
    <w:rsid w:val="00081BC5"/>
    <w:rsid w:val="00084C0C"/>
    <w:rsid w:val="00085915"/>
    <w:rsid w:val="00086558"/>
    <w:rsid w:val="000866AF"/>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638B"/>
    <w:rsid w:val="000F2565"/>
    <w:rsid w:val="000F6A93"/>
    <w:rsid w:val="000F75A9"/>
    <w:rsid w:val="0010131A"/>
    <w:rsid w:val="00103037"/>
    <w:rsid w:val="001057B4"/>
    <w:rsid w:val="00113023"/>
    <w:rsid w:val="0011478C"/>
    <w:rsid w:val="00114FC4"/>
    <w:rsid w:val="0011622B"/>
    <w:rsid w:val="001170FA"/>
    <w:rsid w:val="00120299"/>
    <w:rsid w:val="001205EA"/>
    <w:rsid w:val="00123B69"/>
    <w:rsid w:val="00131AE9"/>
    <w:rsid w:val="00131F16"/>
    <w:rsid w:val="00132241"/>
    <w:rsid w:val="00133AE8"/>
    <w:rsid w:val="00136BBA"/>
    <w:rsid w:val="00144F41"/>
    <w:rsid w:val="001472E4"/>
    <w:rsid w:val="001534E0"/>
    <w:rsid w:val="00153F0E"/>
    <w:rsid w:val="00160F53"/>
    <w:rsid w:val="00164BA2"/>
    <w:rsid w:val="001735A9"/>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3056"/>
    <w:rsid w:val="001C44B5"/>
    <w:rsid w:val="001C6FE2"/>
    <w:rsid w:val="001D3287"/>
    <w:rsid w:val="001D467B"/>
    <w:rsid w:val="001E0433"/>
    <w:rsid w:val="001E0BE4"/>
    <w:rsid w:val="001E338A"/>
    <w:rsid w:val="001E4BC0"/>
    <w:rsid w:val="001E4D5E"/>
    <w:rsid w:val="001E69FF"/>
    <w:rsid w:val="001F27B3"/>
    <w:rsid w:val="002014E8"/>
    <w:rsid w:val="002023C3"/>
    <w:rsid w:val="00205ADF"/>
    <w:rsid w:val="00212C1F"/>
    <w:rsid w:val="002220FE"/>
    <w:rsid w:val="0022659E"/>
    <w:rsid w:val="002300F0"/>
    <w:rsid w:val="00235593"/>
    <w:rsid w:val="0024226D"/>
    <w:rsid w:val="00242F58"/>
    <w:rsid w:val="002438EB"/>
    <w:rsid w:val="00250BAE"/>
    <w:rsid w:val="00256067"/>
    <w:rsid w:val="002635DB"/>
    <w:rsid w:val="002658A0"/>
    <w:rsid w:val="00266060"/>
    <w:rsid w:val="00272A1F"/>
    <w:rsid w:val="002732F8"/>
    <w:rsid w:val="00275554"/>
    <w:rsid w:val="00276340"/>
    <w:rsid w:val="00277268"/>
    <w:rsid w:val="00283206"/>
    <w:rsid w:val="00295E76"/>
    <w:rsid w:val="0029692E"/>
    <w:rsid w:val="0029718D"/>
    <w:rsid w:val="002971E6"/>
    <w:rsid w:val="002A339B"/>
    <w:rsid w:val="002B0C0F"/>
    <w:rsid w:val="002C2CF1"/>
    <w:rsid w:val="002C4D8E"/>
    <w:rsid w:val="002D04E3"/>
    <w:rsid w:val="002D159A"/>
    <w:rsid w:val="002D60C0"/>
    <w:rsid w:val="002E355F"/>
    <w:rsid w:val="002E6A3D"/>
    <w:rsid w:val="002E7B30"/>
    <w:rsid w:val="002F4725"/>
    <w:rsid w:val="002F4C52"/>
    <w:rsid w:val="0031271E"/>
    <w:rsid w:val="00315127"/>
    <w:rsid w:val="003161E6"/>
    <w:rsid w:val="00317FD6"/>
    <w:rsid w:val="00320196"/>
    <w:rsid w:val="00320782"/>
    <w:rsid w:val="0032200D"/>
    <w:rsid w:val="0032231E"/>
    <w:rsid w:val="00322F7A"/>
    <w:rsid w:val="00323039"/>
    <w:rsid w:val="003240A3"/>
    <w:rsid w:val="00324CA0"/>
    <w:rsid w:val="00327D39"/>
    <w:rsid w:val="00330BF0"/>
    <w:rsid w:val="003337A3"/>
    <w:rsid w:val="00335093"/>
    <w:rsid w:val="003419FF"/>
    <w:rsid w:val="00346DEC"/>
    <w:rsid w:val="0035081D"/>
    <w:rsid w:val="00353307"/>
    <w:rsid w:val="00353CCC"/>
    <w:rsid w:val="003557C3"/>
    <w:rsid w:val="00362071"/>
    <w:rsid w:val="003713D9"/>
    <w:rsid w:val="003737E1"/>
    <w:rsid w:val="0037542B"/>
    <w:rsid w:val="00382517"/>
    <w:rsid w:val="003837FD"/>
    <w:rsid w:val="00383DED"/>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C0C00"/>
    <w:rsid w:val="003C1221"/>
    <w:rsid w:val="003C5A40"/>
    <w:rsid w:val="003D1428"/>
    <w:rsid w:val="003D2BFF"/>
    <w:rsid w:val="003D3899"/>
    <w:rsid w:val="003D48BA"/>
    <w:rsid w:val="003E1E5B"/>
    <w:rsid w:val="003E21BB"/>
    <w:rsid w:val="003E42E7"/>
    <w:rsid w:val="003E52CB"/>
    <w:rsid w:val="003E5F3E"/>
    <w:rsid w:val="003E65CD"/>
    <w:rsid w:val="003E6B30"/>
    <w:rsid w:val="003F15EA"/>
    <w:rsid w:val="003F39B1"/>
    <w:rsid w:val="004020CE"/>
    <w:rsid w:val="00404D79"/>
    <w:rsid w:val="00406F24"/>
    <w:rsid w:val="00410EE4"/>
    <w:rsid w:val="0041482B"/>
    <w:rsid w:val="00417D36"/>
    <w:rsid w:val="00440B34"/>
    <w:rsid w:val="004419EC"/>
    <w:rsid w:val="00444276"/>
    <w:rsid w:val="00457359"/>
    <w:rsid w:val="004620B9"/>
    <w:rsid w:val="004635EC"/>
    <w:rsid w:val="00464E8B"/>
    <w:rsid w:val="00464FC7"/>
    <w:rsid w:val="00477748"/>
    <w:rsid w:val="00483B0A"/>
    <w:rsid w:val="004849BE"/>
    <w:rsid w:val="00486136"/>
    <w:rsid w:val="0048664A"/>
    <w:rsid w:val="00486DC7"/>
    <w:rsid w:val="004874CA"/>
    <w:rsid w:val="00487C2F"/>
    <w:rsid w:val="00492793"/>
    <w:rsid w:val="00493F05"/>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429E"/>
    <w:rsid w:val="005067B7"/>
    <w:rsid w:val="00515E27"/>
    <w:rsid w:val="00522953"/>
    <w:rsid w:val="00524DC3"/>
    <w:rsid w:val="0052568D"/>
    <w:rsid w:val="00525874"/>
    <w:rsid w:val="005378A4"/>
    <w:rsid w:val="00537934"/>
    <w:rsid w:val="00537AB7"/>
    <w:rsid w:val="00540F22"/>
    <w:rsid w:val="0055115C"/>
    <w:rsid w:val="00552FF4"/>
    <w:rsid w:val="00555850"/>
    <w:rsid w:val="00556018"/>
    <w:rsid w:val="005623E6"/>
    <w:rsid w:val="00563645"/>
    <w:rsid w:val="00565AFC"/>
    <w:rsid w:val="005679E5"/>
    <w:rsid w:val="00572D34"/>
    <w:rsid w:val="00574D58"/>
    <w:rsid w:val="005763E9"/>
    <w:rsid w:val="005828AE"/>
    <w:rsid w:val="005829F1"/>
    <w:rsid w:val="00586ADC"/>
    <w:rsid w:val="005905C2"/>
    <w:rsid w:val="00595914"/>
    <w:rsid w:val="00597521"/>
    <w:rsid w:val="005A24C6"/>
    <w:rsid w:val="005A275B"/>
    <w:rsid w:val="005A5D5B"/>
    <w:rsid w:val="005A6EDD"/>
    <w:rsid w:val="005B001C"/>
    <w:rsid w:val="005B0B60"/>
    <w:rsid w:val="005B4C64"/>
    <w:rsid w:val="005B4D81"/>
    <w:rsid w:val="005C1FC7"/>
    <w:rsid w:val="005C332B"/>
    <w:rsid w:val="005C4F06"/>
    <w:rsid w:val="005C5EA1"/>
    <w:rsid w:val="005C6EDB"/>
    <w:rsid w:val="005D29D6"/>
    <w:rsid w:val="005D2F2A"/>
    <w:rsid w:val="005E732A"/>
    <w:rsid w:val="00604064"/>
    <w:rsid w:val="00612759"/>
    <w:rsid w:val="00613EEB"/>
    <w:rsid w:val="0062117F"/>
    <w:rsid w:val="00622221"/>
    <w:rsid w:val="006255FF"/>
    <w:rsid w:val="00625D30"/>
    <w:rsid w:val="00635429"/>
    <w:rsid w:val="0064139A"/>
    <w:rsid w:val="00645015"/>
    <w:rsid w:val="00645E54"/>
    <w:rsid w:val="00647188"/>
    <w:rsid w:val="006504B1"/>
    <w:rsid w:val="00652253"/>
    <w:rsid w:val="006571C3"/>
    <w:rsid w:val="006603B9"/>
    <w:rsid w:val="00663260"/>
    <w:rsid w:val="00664328"/>
    <w:rsid w:val="00665006"/>
    <w:rsid w:val="00665E03"/>
    <w:rsid w:val="00670AE4"/>
    <w:rsid w:val="00676C62"/>
    <w:rsid w:val="0067784D"/>
    <w:rsid w:val="00682FF0"/>
    <w:rsid w:val="0068356E"/>
    <w:rsid w:val="0068677C"/>
    <w:rsid w:val="006A0194"/>
    <w:rsid w:val="006A04A5"/>
    <w:rsid w:val="006A1246"/>
    <w:rsid w:val="006A289E"/>
    <w:rsid w:val="006A2F99"/>
    <w:rsid w:val="006A40F0"/>
    <w:rsid w:val="006C035B"/>
    <w:rsid w:val="006C044A"/>
    <w:rsid w:val="006C109C"/>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23DD"/>
    <w:rsid w:val="00725A34"/>
    <w:rsid w:val="00731507"/>
    <w:rsid w:val="00732A63"/>
    <w:rsid w:val="00734944"/>
    <w:rsid w:val="00735473"/>
    <w:rsid w:val="0074296A"/>
    <w:rsid w:val="00743261"/>
    <w:rsid w:val="007432D4"/>
    <w:rsid w:val="00743FCA"/>
    <w:rsid w:val="007470E9"/>
    <w:rsid w:val="00756418"/>
    <w:rsid w:val="00760933"/>
    <w:rsid w:val="007622E1"/>
    <w:rsid w:val="007624A7"/>
    <w:rsid w:val="00764C0B"/>
    <w:rsid w:val="00765AA7"/>
    <w:rsid w:val="00767616"/>
    <w:rsid w:val="00771A83"/>
    <w:rsid w:val="00773CA5"/>
    <w:rsid w:val="00774B00"/>
    <w:rsid w:val="007751D1"/>
    <w:rsid w:val="00775CC3"/>
    <w:rsid w:val="0077659C"/>
    <w:rsid w:val="0078045D"/>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40EC"/>
    <w:rsid w:val="00804119"/>
    <w:rsid w:val="00806758"/>
    <w:rsid w:val="008146C8"/>
    <w:rsid w:val="00820379"/>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716CE"/>
    <w:rsid w:val="00875000"/>
    <w:rsid w:val="00875991"/>
    <w:rsid w:val="008762A5"/>
    <w:rsid w:val="008773A6"/>
    <w:rsid w:val="00880DD1"/>
    <w:rsid w:val="00881F4B"/>
    <w:rsid w:val="0088293B"/>
    <w:rsid w:val="00887462"/>
    <w:rsid w:val="008932CE"/>
    <w:rsid w:val="008941D5"/>
    <w:rsid w:val="008957FB"/>
    <w:rsid w:val="00897941"/>
    <w:rsid w:val="008A000C"/>
    <w:rsid w:val="008A0FD9"/>
    <w:rsid w:val="008A23B0"/>
    <w:rsid w:val="008A4F1A"/>
    <w:rsid w:val="008A62B5"/>
    <w:rsid w:val="008B21CB"/>
    <w:rsid w:val="008C5885"/>
    <w:rsid w:val="008C5900"/>
    <w:rsid w:val="008C5E4E"/>
    <w:rsid w:val="008C73AC"/>
    <w:rsid w:val="008D0DCE"/>
    <w:rsid w:val="008D148E"/>
    <w:rsid w:val="008D638D"/>
    <w:rsid w:val="008E01C1"/>
    <w:rsid w:val="008E257D"/>
    <w:rsid w:val="008E2C83"/>
    <w:rsid w:val="008E6B7D"/>
    <w:rsid w:val="008E7694"/>
    <w:rsid w:val="008F03FA"/>
    <w:rsid w:val="008F4C6D"/>
    <w:rsid w:val="00900848"/>
    <w:rsid w:val="00900E3B"/>
    <w:rsid w:val="00906BF8"/>
    <w:rsid w:val="00907408"/>
    <w:rsid w:val="0090787B"/>
    <w:rsid w:val="0093227F"/>
    <w:rsid w:val="00934CC1"/>
    <w:rsid w:val="00940202"/>
    <w:rsid w:val="00940F26"/>
    <w:rsid w:val="009414B4"/>
    <w:rsid w:val="009423A1"/>
    <w:rsid w:val="009454E7"/>
    <w:rsid w:val="0094585A"/>
    <w:rsid w:val="0094653A"/>
    <w:rsid w:val="00951C3A"/>
    <w:rsid w:val="009534AC"/>
    <w:rsid w:val="0095586D"/>
    <w:rsid w:val="00955AC3"/>
    <w:rsid w:val="00955E08"/>
    <w:rsid w:val="009565F2"/>
    <w:rsid w:val="00960AEF"/>
    <w:rsid w:val="00962C25"/>
    <w:rsid w:val="00964A59"/>
    <w:rsid w:val="00966380"/>
    <w:rsid w:val="00970230"/>
    <w:rsid w:val="00970663"/>
    <w:rsid w:val="00970B34"/>
    <w:rsid w:val="00972520"/>
    <w:rsid w:val="0098267A"/>
    <w:rsid w:val="009837F0"/>
    <w:rsid w:val="009865A6"/>
    <w:rsid w:val="00991D65"/>
    <w:rsid w:val="00994F94"/>
    <w:rsid w:val="009979A3"/>
    <w:rsid w:val="009A03BF"/>
    <w:rsid w:val="009A26A1"/>
    <w:rsid w:val="009A397F"/>
    <w:rsid w:val="009A63B1"/>
    <w:rsid w:val="009A73EB"/>
    <w:rsid w:val="009B072D"/>
    <w:rsid w:val="009B19B2"/>
    <w:rsid w:val="009B21D0"/>
    <w:rsid w:val="009C130F"/>
    <w:rsid w:val="009C4580"/>
    <w:rsid w:val="009D12C5"/>
    <w:rsid w:val="009D3539"/>
    <w:rsid w:val="009D4DC5"/>
    <w:rsid w:val="009D59C3"/>
    <w:rsid w:val="009E1BEC"/>
    <w:rsid w:val="009E1CF8"/>
    <w:rsid w:val="009F06F7"/>
    <w:rsid w:val="009F11F5"/>
    <w:rsid w:val="009F5299"/>
    <w:rsid w:val="009F7F6C"/>
    <w:rsid w:val="00A05883"/>
    <w:rsid w:val="00A06FA5"/>
    <w:rsid w:val="00A11A47"/>
    <w:rsid w:val="00A12217"/>
    <w:rsid w:val="00A1408A"/>
    <w:rsid w:val="00A142E3"/>
    <w:rsid w:val="00A168EF"/>
    <w:rsid w:val="00A27ABC"/>
    <w:rsid w:val="00A317E5"/>
    <w:rsid w:val="00A32936"/>
    <w:rsid w:val="00A33A53"/>
    <w:rsid w:val="00A3577E"/>
    <w:rsid w:val="00A37417"/>
    <w:rsid w:val="00A40BC5"/>
    <w:rsid w:val="00A44F94"/>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AD8"/>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38C5"/>
    <w:rsid w:val="00B345FB"/>
    <w:rsid w:val="00B34AE9"/>
    <w:rsid w:val="00B37D4A"/>
    <w:rsid w:val="00B41075"/>
    <w:rsid w:val="00B47601"/>
    <w:rsid w:val="00B47BE3"/>
    <w:rsid w:val="00B5567B"/>
    <w:rsid w:val="00B62186"/>
    <w:rsid w:val="00B65459"/>
    <w:rsid w:val="00B658DB"/>
    <w:rsid w:val="00B73CC7"/>
    <w:rsid w:val="00B754CA"/>
    <w:rsid w:val="00B76D26"/>
    <w:rsid w:val="00B80663"/>
    <w:rsid w:val="00B862F9"/>
    <w:rsid w:val="00B940A0"/>
    <w:rsid w:val="00B96CEF"/>
    <w:rsid w:val="00B9777C"/>
    <w:rsid w:val="00BA1980"/>
    <w:rsid w:val="00BA280C"/>
    <w:rsid w:val="00BA4C0C"/>
    <w:rsid w:val="00BA53DE"/>
    <w:rsid w:val="00BA6874"/>
    <w:rsid w:val="00BB0CD3"/>
    <w:rsid w:val="00BB6E1F"/>
    <w:rsid w:val="00BB757A"/>
    <w:rsid w:val="00BC3361"/>
    <w:rsid w:val="00BC3B30"/>
    <w:rsid w:val="00BC660C"/>
    <w:rsid w:val="00BC779E"/>
    <w:rsid w:val="00BD1202"/>
    <w:rsid w:val="00BD6B2D"/>
    <w:rsid w:val="00BE0E43"/>
    <w:rsid w:val="00BF0236"/>
    <w:rsid w:val="00BF0E1C"/>
    <w:rsid w:val="00BF13BF"/>
    <w:rsid w:val="00BF448E"/>
    <w:rsid w:val="00BF70C5"/>
    <w:rsid w:val="00C008EA"/>
    <w:rsid w:val="00C01CAE"/>
    <w:rsid w:val="00C064D6"/>
    <w:rsid w:val="00C0664E"/>
    <w:rsid w:val="00C11721"/>
    <w:rsid w:val="00C11CB8"/>
    <w:rsid w:val="00C1692F"/>
    <w:rsid w:val="00C16CDB"/>
    <w:rsid w:val="00C2223A"/>
    <w:rsid w:val="00C22439"/>
    <w:rsid w:val="00C34FA4"/>
    <w:rsid w:val="00C361F5"/>
    <w:rsid w:val="00C36E33"/>
    <w:rsid w:val="00C3705B"/>
    <w:rsid w:val="00C37C20"/>
    <w:rsid w:val="00C43033"/>
    <w:rsid w:val="00C43679"/>
    <w:rsid w:val="00C452E7"/>
    <w:rsid w:val="00C60740"/>
    <w:rsid w:val="00C64754"/>
    <w:rsid w:val="00C64996"/>
    <w:rsid w:val="00C64D24"/>
    <w:rsid w:val="00C65E6E"/>
    <w:rsid w:val="00C7689D"/>
    <w:rsid w:val="00C7788D"/>
    <w:rsid w:val="00C80BEC"/>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2918"/>
    <w:rsid w:val="00CD3E69"/>
    <w:rsid w:val="00CD577C"/>
    <w:rsid w:val="00CD7503"/>
    <w:rsid w:val="00CD7FCF"/>
    <w:rsid w:val="00CE130B"/>
    <w:rsid w:val="00CE16F1"/>
    <w:rsid w:val="00CE1F1A"/>
    <w:rsid w:val="00CE720B"/>
    <w:rsid w:val="00CF3955"/>
    <w:rsid w:val="00CF49C5"/>
    <w:rsid w:val="00CF58CC"/>
    <w:rsid w:val="00D0441A"/>
    <w:rsid w:val="00D05D6D"/>
    <w:rsid w:val="00D063B1"/>
    <w:rsid w:val="00D10972"/>
    <w:rsid w:val="00D111BF"/>
    <w:rsid w:val="00D129D5"/>
    <w:rsid w:val="00D1591D"/>
    <w:rsid w:val="00D170B0"/>
    <w:rsid w:val="00D175D7"/>
    <w:rsid w:val="00D20531"/>
    <w:rsid w:val="00D21679"/>
    <w:rsid w:val="00D25799"/>
    <w:rsid w:val="00D27897"/>
    <w:rsid w:val="00D30472"/>
    <w:rsid w:val="00D42ADD"/>
    <w:rsid w:val="00D44151"/>
    <w:rsid w:val="00D52D15"/>
    <w:rsid w:val="00D5318F"/>
    <w:rsid w:val="00D5382F"/>
    <w:rsid w:val="00D53B64"/>
    <w:rsid w:val="00D60507"/>
    <w:rsid w:val="00D61EBC"/>
    <w:rsid w:val="00D62441"/>
    <w:rsid w:val="00D638FA"/>
    <w:rsid w:val="00D743E4"/>
    <w:rsid w:val="00D8148F"/>
    <w:rsid w:val="00D819A7"/>
    <w:rsid w:val="00D853F0"/>
    <w:rsid w:val="00D87C64"/>
    <w:rsid w:val="00D900FD"/>
    <w:rsid w:val="00D91B01"/>
    <w:rsid w:val="00D92502"/>
    <w:rsid w:val="00D92881"/>
    <w:rsid w:val="00D93F90"/>
    <w:rsid w:val="00D941B6"/>
    <w:rsid w:val="00D959D7"/>
    <w:rsid w:val="00D96EF5"/>
    <w:rsid w:val="00DA356B"/>
    <w:rsid w:val="00DA432B"/>
    <w:rsid w:val="00DA508C"/>
    <w:rsid w:val="00DA6F4F"/>
    <w:rsid w:val="00DA7423"/>
    <w:rsid w:val="00DA7DA3"/>
    <w:rsid w:val="00DB2E4D"/>
    <w:rsid w:val="00DC06B2"/>
    <w:rsid w:val="00DC306F"/>
    <w:rsid w:val="00DC318A"/>
    <w:rsid w:val="00DD2659"/>
    <w:rsid w:val="00DE2F78"/>
    <w:rsid w:val="00DE3809"/>
    <w:rsid w:val="00DE3FB6"/>
    <w:rsid w:val="00DE7099"/>
    <w:rsid w:val="00DF5041"/>
    <w:rsid w:val="00E02416"/>
    <w:rsid w:val="00E03437"/>
    <w:rsid w:val="00E0634C"/>
    <w:rsid w:val="00E121B5"/>
    <w:rsid w:val="00E13E27"/>
    <w:rsid w:val="00E14DC3"/>
    <w:rsid w:val="00E156A1"/>
    <w:rsid w:val="00E1584A"/>
    <w:rsid w:val="00E15EC1"/>
    <w:rsid w:val="00E168E6"/>
    <w:rsid w:val="00E21F0E"/>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1C48"/>
    <w:rsid w:val="00E67197"/>
    <w:rsid w:val="00E70F8C"/>
    <w:rsid w:val="00E72F0B"/>
    <w:rsid w:val="00E770BF"/>
    <w:rsid w:val="00E8116A"/>
    <w:rsid w:val="00E9225A"/>
    <w:rsid w:val="00E97371"/>
    <w:rsid w:val="00E974FF"/>
    <w:rsid w:val="00E97D87"/>
    <w:rsid w:val="00EA311A"/>
    <w:rsid w:val="00EA3492"/>
    <w:rsid w:val="00EA485A"/>
    <w:rsid w:val="00EA5B16"/>
    <w:rsid w:val="00EA7862"/>
    <w:rsid w:val="00EB444F"/>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2160"/>
    <w:rsid w:val="00F14A93"/>
    <w:rsid w:val="00F25464"/>
    <w:rsid w:val="00F31A29"/>
    <w:rsid w:val="00F322C1"/>
    <w:rsid w:val="00F3520A"/>
    <w:rsid w:val="00F35B3D"/>
    <w:rsid w:val="00F46FE5"/>
    <w:rsid w:val="00F5048A"/>
    <w:rsid w:val="00F50D43"/>
    <w:rsid w:val="00F537DF"/>
    <w:rsid w:val="00F61143"/>
    <w:rsid w:val="00F71F42"/>
    <w:rsid w:val="00F75972"/>
    <w:rsid w:val="00F75E39"/>
    <w:rsid w:val="00F8111C"/>
    <w:rsid w:val="00F86617"/>
    <w:rsid w:val="00FA6F00"/>
    <w:rsid w:val="00FA7ACE"/>
    <w:rsid w:val="00FB1C5B"/>
    <w:rsid w:val="00FB5697"/>
    <w:rsid w:val="00FC1EDE"/>
    <w:rsid w:val="00FC264E"/>
    <w:rsid w:val="00FD1052"/>
    <w:rsid w:val="00FD45BB"/>
    <w:rsid w:val="00FD6AB0"/>
    <w:rsid w:val="00FD75F5"/>
    <w:rsid w:val="00FE0100"/>
    <w:rsid w:val="00FE1996"/>
    <w:rsid w:val="00FF04C8"/>
    <w:rsid w:val="00FF302C"/>
    <w:rsid w:val="00FF55C9"/>
    <w:rsid w:val="00FF663D"/>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Unresolved Mention"/>
    <w:basedOn w:val="a0"/>
    <w:uiPriority w:val="99"/>
    <w:semiHidden/>
    <w:unhideWhenUsed/>
    <w:rsid w:val="006255FF"/>
    <w:rPr>
      <w:color w:val="605E5C"/>
      <w:shd w:val="clear" w:color="auto" w:fill="E1DFDD"/>
    </w:rPr>
  </w:style>
  <w:style w:type="table" w:customStyle="1" w:styleId="14">
    <w:name w:val="Сітка таблиці1"/>
    <w:basedOn w:val="a1"/>
    <w:next w:val="ab"/>
    <w:uiPriority w:val="39"/>
    <w:rsid w:val="00D52D1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eading-companionreference-citation">
    <w:name w:val="c-reading-companion__reference-citation"/>
    <w:basedOn w:val="a"/>
    <w:rsid w:val="00D52D15"/>
    <w:pPr>
      <w:spacing w:before="100" w:beforeAutospacing="1" w:after="100" w:afterAutospacing="1" w:line="240" w:lineRule="auto"/>
    </w:pPr>
    <w:rPr>
      <w:rFonts w:ascii="Times New Roman" w:hAnsi="Times New Roman"/>
      <w:sz w:val="24"/>
      <w:szCs w:val="24"/>
    </w:rPr>
  </w:style>
  <w:style w:type="character" w:customStyle="1" w:styleId="nlmarticle-title">
    <w:name w:val="nlm_article-title"/>
    <w:basedOn w:val="a0"/>
    <w:rsid w:val="00D52D15"/>
  </w:style>
  <w:style w:type="character" w:customStyle="1" w:styleId="nlmyear">
    <w:name w:val="nlm_year"/>
    <w:basedOn w:val="a0"/>
    <w:rsid w:val="00D52D15"/>
  </w:style>
  <w:style w:type="character" w:customStyle="1" w:styleId="nlmfpage">
    <w:name w:val="nlm_fpage"/>
    <w:basedOn w:val="a0"/>
    <w:rsid w:val="00D52D15"/>
  </w:style>
  <w:style w:type="character" w:customStyle="1" w:styleId="nlmlpage">
    <w:name w:val="nlm_lpage"/>
    <w:basedOn w:val="a0"/>
    <w:rsid w:val="00D52D15"/>
  </w:style>
  <w:style w:type="character" w:customStyle="1" w:styleId="ref-title">
    <w:name w:val="ref-title"/>
    <w:basedOn w:val="a0"/>
    <w:rsid w:val="00D52D15"/>
  </w:style>
  <w:style w:type="character" w:customStyle="1" w:styleId="ref-vol">
    <w:name w:val="ref-vol"/>
    <w:basedOn w:val="a0"/>
    <w:rsid w:val="00D52D15"/>
  </w:style>
  <w:style w:type="character" w:customStyle="1" w:styleId="ref-iss">
    <w:name w:val="ref-iss"/>
    <w:basedOn w:val="a0"/>
    <w:rsid w:val="00D5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hc.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prozorro.gov.ua/plan/UA-P-2021-09-16-005194-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term=Ferri+M&amp;cauthor_id=28431584" TargetMode="External"/><Relationship Id="rId13" Type="http://schemas.openxmlformats.org/officeDocument/2006/relationships/hyperlink" Target="https://pubmed.ncbi.nlm.nih.gov/28431584/" TargetMode="External"/><Relationship Id="rId3" Type="http://schemas.openxmlformats.org/officeDocument/2006/relationships/hyperlink" Target="https://doi.org/10.1177%2F1545109712459041" TargetMode="External"/><Relationship Id="rId7" Type="http://schemas.openxmlformats.org/officeDocument/2006/relationships/hyperlink" Target="https://pubmed.ncbi.nlm.nih.gov/28431584/" TargetMode="External"/><Relationship Id="rId12" Type="http://schemas.openxmlformats.org/officeDocument/2006/relationships/hyperlink" Target="https://pubmed.ncbi.nlm.nih.gov/28431584/" TargetMode="External"/><Relationship Id="rId2" Type="http://schemas.openxmlformats.org/officeDocument/2006/relationships/hyperlink" Target="https://journals.sagepub.com/doi/10.1177/1545109712459041" TargetMode="External"/><Relationship Id="rId1" Type="http://schemas.openxmlformats.org/officeDocument/2006/relationships/hyperlink" Target="https://journals.sagepub.com/doi/10.1177/1545109712459041" TargetMode="External"/><Relationship Id="rId6" Type="http://schemas.openxmlformats.org/officeDocument/2006/relationships/hyperlink" Target="https://pubmed.ncbi.nlm.nih.gov/?term=Wiessing+L&amp;cauthor_id=28431584" TargetMode="External"/><Relationship Id="rId11" Type="http://schemas.openxmlformats.org/officeDocument/2006/relationships/hyperlink" Target="https://pubmed.ncbi.nlm.nih.gov/28431584/" TargetMode="External"/><Relationship Id="rId5" Type="http://schemas.openxmlformats.org/officeDocument/2006/relationships/hyperlink" Target="https://www.ncbi.nlm.nih.gov/pmc/articles/PMC3775865/" TargetMode="External"/><Relationship Id="rId10" Type="http://schemas.openxmlformats.org/officeDocument/2006/relationships/hyperlink" Target="https://pubmed.ncbi.nlm.nih.gov/?term=B%C4%9Bl%C3%A1%C4%8Dkov%C3%A1+V&amp;cauthor_id=28431584" TargetMode="External"/><Relationship Id="rId4" Type="http://schemas.openxmlformats.org/officeDocument/2006/relationships/hyperlink" Target="https://www.ncbi.nlm.nih.gov/pmc/articles/PMC4174506/" TargetMode="External"/><Relationship Id="rId9" Type="http://schemas.openxmlformats.org/officeDocument/2006/relationships/hyperlink" Target="https://pubmed.ncbi.nlm.nih.gov/28431584/" TargetMode="External"/><Relationship Id="rId14" Type="http://schemas.openxmlformats.org/officeDocument/2006/relationships/hyperlink" Target="http://www.emcdda.europa.eu/best-pract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FE26-8659-4419-8612-BB3EB246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39617</Words>
  <Characters>22583</Characters>
  <Application>Microsoft Office Word</Application>
  <DocSecurity>4</DocSecurity>
  <Lines>188</Lines>
  <Paragraphs>124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2</cp:revision>
  <cp:lastPrinted>2021-07-28T07:31:00Z</cp:lastPrinted>
  <dcterms:created xsi:type="dcterms:W3CDTF">2021-09-17T13:29:00Z</dcterms:created>
  <dcterms:modified xsi:type="dcterms:W3CDTF">2021-09-17T13:29:00Z</dcterms:modified>
</cp:coreProperties>
</file>