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4C2CF6F8"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7F659F">
              <w:rPr>
                <w:rFonts w:ascii="Times New Roman" w:hAnsi="Times New Roman"/>
                <w:iCs/>
                <w:sz w:val="24"/>
                <w:szCs w:val="24"/>
              </w:rPr>
              <w:t>03</w:t>
            </w:r>
            <w:r w:rsidRPr="001670A0">
              <w:rPr>
                <w:rFonts w:ascii="Times New Roman" w:hAnsi="Times New Roman"/>
                <w:iCs/>
                <w:sz w:val="24"/>
                <w:szCs w:val="24"/>
              </w:rPr>
              <w:t>"</w:t>
            </w:r>
            <w:r w:rsidR="00474F41">
              <w:rPr>
                <w:rFonts w:ascii="Times New Roman" w:hAnsi="Times New Roman"/>
                <w:iCs/>
                <w:sz w:val="24"/>
                <w:szCs w:val="24"/>
              </w:rPr>
              <w:t xml:space="preserve"> </w:t>
            </w:r>
            <w:r w:rsidR="007F659F">
              <w:rPr>
                <w:rFonts w:ascii="Times New Roman" w:hAnsi="Times New Roman"/>
                <w:iCs/>
                <w:sz w:val="24"/>
                <w:szCs w:val="24"/>
              </w:rPr>
              <w:t>жовт</w:t>
            </w:r>
            <w:r w:rsidR="00691971">
              <w:rPr>
                <w:rFonts w:ascii="Times New Roman" w:hAnsi="Times New Roman"/>
                <w:iCs/>
                <w:sz w:val="24"/>
                <w:szCs w:val="24"/>
              </w:rPr>
              <w:t>ня</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6A04DB">
              <w:rPr>
                <w:rFonts w:ascii="Times New Roman" w:hAnsi="Times New Roman"/>
                <w:iCs/>
                <w:sz w:val="24"/>
                <w:szCs w:val="24"/>
              </w:rPr>
              <w:t>2</w:t>
            </w:r>
            <w:r w:rsidRPr="001670A0">
              <w:rPr>
                <w:rFonts w:ascii="Times New Roman" w:hAnsi="Times New Roman"/>
                <w:iCs/>
                <w:sz w:val="24"/>
                <w:szCs w:val="24"/>
              </w:rPr>
              <w:t xml:space="preserve"> року № </w:t>
            </w:r>
            <w:r w:rsidR="00DF11E6">
              <w:rPr>
                <w:rFonts w:ascii="Times New Roman" w:hAnsi="Times New Roman"/>
                <w:iCs/>
                <w:sz w:val="24"/>
                <w:szCs w:val="24"/>
              </w:rPr>
              <w:t>1</w:t>
            </w:r>
            <w:r w:rsidR="007F659F">
              <w:rPr>
                <w:rFonts w:ascii="Times New Roman" w:hAnsi="Times New Roman"/>
                <w:iCs/>
                <w:sz w:val="24"/>
                <w:szCs w:val="24"/>
              </w:rPr>
              <w:t>1</w:t>
            </w:r>
            <w:r w:rsidR="00281C7C">
              <w:rPr>
                <w:rFonts w:ascii="Times New Roman" w:hAnsi="Times New Roman"/>
                <w:iCs/>
                <w:sz w:val="24"/>
                <w:szCs w:val="24"/>
              </w:rPr>
              <w:t>2</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1C23B0DB" w:rsidR="00C66CE3" w:rsidRDefault="00C66CE3" w:rsidP="002B4FB9">
      <w:pPr>
        <w:spacing w:after="0" w:line="240" w:lineRule="auto"/>
        <w:jc w:val="center"/>
        <w:rPr>
          <w:rFonts w:ascii="Times New Roman" w:hAnsi="Times New Roman"/>
          <w:b/>
          <w:sz w:val="24"/>
          <w:szCs w:val="24"/>
        </w:rPr>
      </w:pPr>
    </w:p>
    <w:p w14:paraId="20446FDE" w14:textId="5A135202" w:rsidR="00382BA2" w:rsidRDefault="00382BA2" w:rsidP="002B4FB9">
      <w:pPr>
        <w:spacing w:after="0" w:line="240" w:lineRule="auto"/>
        <w:jc w:val="center"/>
        <w:rPr>
          <w:rFonts w:ascii="Times New Roman" w:hAnsi="Times New Roman"/>
          <w:b/>
          <w:sz w:val="24"/>
          <w:szCs w:val="24"/>
        </w:rPr>
      </w:pPr>
    </w:p>
    <w:p w14:paraId="323E0266" w14:textId="77777777" w:rsidR="00C670AE" w:rsidRPr="001670A0" w:rsidRDefault="00C670AE" w:rsidP="002B4FB9">
      <w:pPr>
        <w:spacing w:after="0" w:line="240" w:lineRule="auto"/>
        <w:jc w:val="center"/>
        <w:rPr>
          <w:rFonts w:ascii="Times New Roman" w:hAnsi="Times New Roman"/>
          <w:b/>
          <w:sz w:val="24"/>
          <w:szCs w:val="24"/>
        </w:rPr>
      </w:pPr>
    </w:p>
    <w:p w14:paraId="691C1AB0" w14:textId="7681BF6C"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DF11E6">
        <w:rPr>
          <w:rFonts w:ascii="Times New Roman" w:hAnsi="Times New Roman"/>
          <w:b/>
          <w:sz w:val="24"/>
          <w:szCs w:val="24"/>
        </w:rPr>
        <w:t>1</w:t>
      </w:r>
      <w:r w:rsidR="007F659F">
        <w:rPr>
          <w:rFonts w:ascii="Times New Roman" w:hAnsi="Times New Roman"/>
          <w:b/>
          <w:sz w:val="24"/>
          <w:szCs w:val="24"/>
        </w:rPr>
        <w:t>1</w:t>
      </w:r>
      <w:r w:rsidR="00281C7C">
        <w:rPr>
          <w:rFonts w:ascii="Times New Roman" w:hAnsi="Times New Roman"/>
          <w:b/>
          <w:sz w:val="24"/>
          <w:szCs w:val="24"/>
        </w:rPr>
        <w:t>2</w:t>
      </w:r>
    </w:p>
    <w:p w14:paraId="7638CF4A" w14:textId="02792469"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7C7678CA" w14:textId="77777777" w:rsidR="00C73FCA" w:rsidRDefault="00C73FCA" w:rsidP="002B4FB9">
      <w:pPr>
        <w:spacing w:after="0" w:line="240" w:lineRule="auto"/>
        <w:jc w:val="center"/>
        <w:rPr>
          <w:rFonts w:ascii="Times New Roman" w:hAnsi="Times New Roman"/>
          <w:b/>
          <w:sz w:val="24"/>
          <w:szCs w:val="24"/>
        </w:rPr>
      </w:pPr>
    </w:p>
    <w:p w14:paraId="7BB88B7B" w14:textId="77777777" w:rsidR="00382BA2" w:rsidRDefault="00382BA2" w:rsidP="002B4FB9">
      <w:pPr>
        <w:spacing w:after="0" w:line="240" w:lineRule="auto"/>
        <w:jc w:val="center"/>
        <w:rPr>
          <w:rFonts w:ascii="Times New Roman" w:hAnsi="Times New Roman"/>
          <w:b/>
          <w:sz w:val="24"/>
          <w:szCs w:val="24"/>
        </w:rPr>
      </w:pPr>
    </w:p>
    <w:p w14:paraId="2BCFE36E" w14:textId="77777777" w:rsidR="001338F7" w:rsidRDefault="001338F7" w:rsidP="002B4FB9">
      <w:pPr>
        <w:spacing w:after="0" w:line="240" w:lineRule="auto"/>
        <w:jc w:val="center"/>
        <w:rPr>
          <w:rFonts w:ascii="Times New Roman" w:hAnsi="Times New Roman"/>
          <w:b/>
          <w:sz w:val="24"/>
          <w:szCs w:val="24"/>
        </w:rPr>
      </w:pPr>
    </w:p>
    <w:p w14:paraId="2C797BF8" w14:textId="00BE3BDB"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End w:id="1"/>
      <w:r w:rsidR="00281C7C" w:rsidRPr="00281C7C">
        <w:rPr>
          <w:rFonts w:ascii="Times New Roman" w:hAnsi="Times New Roman"/>
          <w:b/>
          <w:sz w:val="24"/>
          <w:szCs w:val="24"/>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Ukraine</w:t>
      </w:r>
      <w:proofErr w:type="spellEnd"/>
      <w:r w:rsidRPr="00355E31">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6C3AE15E"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73536246"/>
      <w:bookmarkStart w:id="5" w:name="_Hlk532227539"/>
      <w:r w:rsidR="00B96D72" w:rsidRPr="00B96D72">
        <w:rPr>
          <w:rFonts w:ascii="Times New Roman" w:hAnsi="Times New Roman"/>
          <w:b/>
          <w:iCs/>
          <w:sz w:val="24"/>
          <w:szCs w:val="24"/>
          <w:lang w:val="uk-UA"/>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bookmarkEnd w:id="4"/>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7FB32CDC"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7F659F">
        <w:rPr>
          <w:rFonts w:ascii="Times New Roman" w:hAnsi="Times New Roman"/>
          <w:b/>
          <w:sz w:val="24"/>
          <w:szCs w:val="24"/>
          <w:lang w:val="uk-UA" w:eastAsia="ru-RU"/>
        </w:rPr>
        <w:t>1</w:t>
      </w:r>
      <w:r w:rsidR="0088518C">
        <w:rPr>
          <w:rFonts w:ascii="Times New Roman" w:hAnsi="Times New Roman"/>
          <w:b/>
          <w:sz w:val="24"/>
          <w:szCs w:val="24"/>
          <w:lang w:val="uk-UA" w:eastAsia="ru-RU"/>
        </w:rPr>
        <w:t>3</w:t>
      </w:r>
      <w:bookmarkStart w:id="7" w:name="_GoBack"/>
      <w:bookmarkEnd w:id="7"/>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3127F7">
        <w:rPr>
          <w:rFonts w:ascii="Times New Roman" w:hAnsi="Times New Roman"/>
          <w:b/>
          <w:sz w:val="24"/>
          <w:szCs w:val="24"/>
          <w:lang w:val="uk-UA" w:eastAsia="ru-RU"/>
        </w:rPr>
        <w:t>жовт</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E350D1">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44EB1A46"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B96D72">
        <w:rPr>
          <w:rFonts w:ascii="Times New Roman" w:hAnsi="Times New Roman"/>
          <w:bCs/>
          <w:iCs/>
          <w:sz w:val="24"/>
          <w:szCs w:val="24"/>
          <w:u w:val="single"/>
          <w:lang w:val="uk-UA"/>
        </w:rPr>
        <w:t>397 800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485937F7"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bookmarkStart w:id="8" w:name="_Hlk115609945"/>
      <w:r w:rsidR="001338F7" w:rsidRPr="006A04DB">
        <w:rPr>
          <w:rFonts w:ascii="Times New Roman" w:eastAsia="Tahoma" w:hAnsi="Times New Roman"/>
          <w:b/>
          <w:sz w:val="24"/>
          <w:szCs w:val="24"/>
          <w:lang w:val="uk-UA" w:eastAsia="ru-RU"/>
        </w:rPr>
        <w:t xml:space="preserve">з </w:t>
      </w:r>
      <w:r w:rsidR="00B42431" w:rsidRPr="006A04DB">
        <w:rPr>
          <w:rFonts w:ascii="Times New Roman" w:eastAsia="Tahoma" w:hAnsi="Times New Roman"/>
          <w:sz w:val="24"/>
          <w:szCs w:val="24"/>
          <w:lang w:val="uk-UA" w:eastAsia="ru-RU"/>
        </w:rPr>
        <w:t>дати підписання договору</w:t>
      </w:r>
      <w:r w:rsidR="001338F7" w:rsidRPr="006A04DB">
        <w:rPr>
          <w:rFonts w:ascii="Times New Roman" w:eastAsia="Tahoma" w:hAnsi="Times New Roman"/>
          <w:sz w:val="24"/>
          <w:szCs w:val="24"/>
          <w:lang w:val="uk-UA" w:eastAsia="ru-RU"/>
        </w:rPr>
        <w:t xml:space="preserve"> – до </w:t>
      </w:r>
      <w:r w:rsidR="00C670AE">
        <w:rPr>
          <w:rFonts w:ascii="Times New Roman" w:eastAsia="Tahoma" w:hAnsi="Times New Roman"/>
          <w:sz w:val="24"/>
          <w:szCs w:val="24"/>
          <w:lang w:val="uk-UA" w:eastAsia="ru-RU"/>
        </w:rPr>
        <w:t>1</w:t>
      </w:r>
      <w:r w:rsidR="007F659F">
        <w:rPr>
          <w:rFonts w:ascii="Times New Roman" w:eastAsia="Tahoma" w:hAnsi="Times New Roman"/>
          <w:sz w:val="24"/>
          <w:szCs w:val="24"/>
          <w:lang w:val="uk-UA" w:eastAsia="ru-RU"/>
        </w:rPr>
        <w:t>5</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w:t>
      </w:r>
      <w:r w:rsidR="007F659F">
        <w:rPr>
          <w:rFonts w:ascii="Times New Roman" w:eastAsia="Tahoma" w:hAnsi="Times New Roman"/>
          <w:sz w:val="24"/>
          <w:szCs w:val="24"/>
          <w:lang w:val="uk-UA" w:eastAsia="ru-RU"/>
        </w:rPr>
        <w:t>1</w:t>
      </w:r>
      <w:r w:rsidR="001338F7" w:rsidRPr="006A04DB">
        <w:rPr>
          <w:rFonts w:ascii="Times New Roman" w:eastAsia="Tahoma" w:hAnsi="Times New Roman"/>
          <w:sz w:val="24"/>
          <w:szCs w:val="24"/>
          <w:lang w:val="uk-UA" w:eastAsia="ru-RU"/>
        </w:rPr>
        <w:t>.202</w:t>
      </w:r>
      <w:r w:rsidR="006A04DB">
        <w:rPr>
          <w:rFonts w:ascii="Times New Roman" w:eastAsia="Tahoma" w:hAnsi="Times New Roman"/>
          <w:sz w:val="24"/>
          <w:szCs w:val="24"/>
          <w:lang w:val="uk-UA" w:eastAsia="ru-RU"/>
        </w:rPr>
        <w:t>2</w:t>
      </w:r>
      <w:r w:rsidR="001338F7" w:rsidRPr="006A04DB">
        <w:rPr>
          <w:rFonts w:ascii="Times New Roman" w:eastAsia="Tahoma" w:hAnsi="Times New Roman"/>
          <w:sz w:val="24"/>
          <w:szCs w:val="24"/>
          <w:lang w:val="uk-UA" w:eastAsia="ru-RU"/>
        </w:rPr>
        <w:t xml:space="preserve"> року</w:t>
      </w:r>
      <w:bookmarkEnd w:id="8"/>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1C070326"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C73FCA" w:rsidRPr="00C73FCA">
        <w:rPr>
          <w:rFonts w:ascii="Times New Roman" w:hAnsi="Times New Roman"/>
          <w:b/>
          <w:iCs/>
          <w:sz w:val="24"/>
          <w:szCs w:val="24"/>
          <w:lang w:val="uk-UA"/>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r w:rsidR="007F659F">
        <w:rPr>
          <w:rFonts w:ascii="Times New Roman" w:hAnsi="Times New Roman"/>
          <w:b/>
          <w:iCs/>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9" w:name="_Hlk73454151"/>
      <w:bookmarkStart w:id="10"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6FF4B70B"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11" w:name="_Hlk73541535"/>
      <w:r w:rsidR="009B1ABB" w:rsidRPr="009B1ABB">
        <w:rPr>
          <w:rFonts w:ascii="Times New Roman" w:hAnsi="Times New Roman"/>
          <w:sz w:val="24"/>
          <w:szCs w:val="24"/>
          <w:lang w:val="uk-UA"/>
        </w:rPr>
        <w:t xml:space="preserve">за фактом надання послуг (післяплата) </w:t>
      </w:r>
      <w:r w:rsidR="00C03568">
        <w:rPr>
          <w:rFonts w:ascii="Times New Roman" w:hAnsi="Times New Roman"/>
          <w:sz w:val="24"/>
          <w:szCs w:val="24"/>
          <w:lang w:val="uk-UA"/>
        </w:rPr>
        <w:t xml:space="preserve">- </w:t>
      </w:r>
      <w:r w:rsidR="009B1ABB" w:rsidRPr="009B1ABB">
        <w:rPr>
          <w:rFonts w:ascii="Times New Roman" w:hAnsi="Times New Roman"/>
          <w:sz w:val="24"/>
          <w:szCs w:val="24"/>
          <w:lang w:val="uk-UA"/>
        </w:rPr>
        <w:t>протягом 5 (п’ять) робочих днів на підставі акт</w:t>
      </w:r>
      <w:r w:rsidR="00FE7AFE">
        <w:rPr>
          <w:rFonts w:ascii="Times New Roman" w:hAnsi="Times New Roman"/>
          <w:sz w:val="24"/>
          <w:szCs w:val="24"/>
          <w:lang w:val="uk-UA"/>
        </w:rPr>
        <w:t>у</w:t>
      </w:r>
      <w:r w:rsidR="009B1ABB" w:rsidRPr="009B1ABB">
        <w:rPr>
          <w:rFonts w:ascii="Times New Roman" w:hAnsi="Times New Roman"/>
          <w:sz w:val="24"/>
          <w:szCs w:val="24"/>
          <w:lang w:val="uk-UA"/>
        </w:rPr>
        <w:t xml:space="preserve"> надання послуг. </w:t>
      </w:r>
      <w:bookmarkEnd w:id="9"/>
      <w:bookmarkEnd w:id="10"/>
    </w:p>
    <w:bookmarkEnd w:id="11"/>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5BF4FB2A"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322A0A2"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C73FCA" w:rsidRPr="00C73FCA">
        <w:rPr>
          <w:rFonts w:ascii="Times New Roman" w:hAnsi="Times New Roman"/>
          <w:b/>
          <w:iCs/>
          <w:sz w:val="24"/>
          <w:szCs w:val="24"/>
          <w:lang w:val="uk-UA" w:eastAsia="ru-RU"/>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77777777" w:rsidR="005A5DF3" w:rsidRPr="00700FA4" w:rsidRDefault="005A5DF3"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44F2CC2" w14:textId="77777777" w:rsidR="00901678" w:rsidRDefault="00901678" w:rsidP="00F54A4C">
      <w:pPr>
        <w:tabs>
          <w:tab w:val="left" w:pos="993"/>
        </w:tabs>
        <w:spacing w:after="0" w:line="240" w:lineRule="auto"/>
        <w:ind w:left="7655"/>
        <w:rPr>
          <w:rFonts w:ascii="Times New Roman" w:hAnsi="Times New Roman"/>
          <w:sz w:val="24"/>
          <w:szCs w:val="24"/>
        </w:rPr>
      </w:pPr>
    </w:p>
    <w:p w14:paraId="3C23BB8C" w14:textId="77777777" w:rsidR="00901678" w:rsidRDefault="00901678" w:rsidP="00F54A4C">
      <w:pPr>
        <w:tabs>
          <w:tab w:val="left" w:pos="993"/>
        </w:tabs>
        <w:spacing w:after="0" w:line="240" w:lineRule="auto"/>
        <w:ind w:left="7655"/>
        <w:rPr>
          <w:rFonts w:ascii="Times New Roman" w:hAnsi="Times New Roman"/>
          <w:sz w:val="24"/>
          <w:szCs w:val="24"/>
        </w:rPr>
      </w:pPr>
    </w:p>
    <w:p w14:paraId="184BCF9E" w14:textId="77777777" w:rsidR="00901678" w:rsidRDefault="00901678" w:rsidP="00F54A4C">
      <w:pPr>
        <w:tabs>
          <w:tab w:val="left" w:pos="993"/>
        </w:tabs>
        <w:spacing w:after="0" w:line="240" w:lineRule="auto"/>
        <w:ind w:left="7655"/>
        <w:rPr>
          <w:rFonts w:ascii="Times New Roman" w:hAnsi="Times New Roman"/>
          <w:sz w:val="24"/>
          <w:szCs w:val="24"/>
        </w:rPr>
      </w:pPr>
    </w:p>
    <w:p w14:paraId="5D0BA6DE" w14:textId="77777777" w:rsidR="00901678" w:rsidRDefault="00901678" w:rsidP="00F54A4C">
      <w:pPr>
        <w:tabs>
          <w:tab w:val="left" w:pos="993"/>
        </w:tabs>
        <w:spacing w:after="0" w:line="240" w:lineRule="auto"/>
        <w:ind w:left="7655"/>
        <w:rPr>
          <w:rFonts w:ascii="Times New Roman" w:hAnsi="Times New Roman"/>
          <w:sz w:val="24"/>
          <w:szCs w:val="24"/>
        </w:rPr>
      </w:pPr>
    </w:p>
    <w:p w14:paraId="59745620" w14:textId="77777777" w:rsidR="00901678" w:rsidRDefault="00901678" w:rsidP="00F54A4C">
      <w:pPr>
        <w:tabs>
          <w:tab w:val="left" w:pos="993"/>
        </w:tabs>
        <w:spacing w:after="0" w:line="240" w:lineRule="auto"/>
        <w:ind w:left="7655"/>
        <w:rPr>
          <w:rFonts w:ascii="Times New Roman" w:hAnsi="Times New Roman"/>
          <w:sz w:val="24"/>
          <w:szCs w:val="24"/>
        </w:rPr>
      </w:pPr>
    </w:p>
    <w:p w14:paraId="5CAC71EE" w14:textId="77777777" w:rsidR="00901678" w:rsidRDefault="00901678" w:rsidP="00F54A4C">
      <w:pPr>
        <w:tabs>
          <w:tab w:val="left" w:pos="993"/>
        </w:tabs>
        <w:spacing w:after="0" w:line="240" w:lineRule="auto"/>
        <w:ind w:left="7655"/>
        <w:rPr>
          <w:rFonts w:ascii="Times New Roman" w:hAnsi="Times New Roman"/>
          <w:sz w:val="24"/>
          <w:szCs w:val="24"/>
        </w:rPr>
      </w:pPr>
    </w:p>
    <w:p w14:paraId="13CE29DE" w14:textId="77777777" w:rsidR="00901678" w:rsidRDefault="00901678" w:rsidP="00F54A4C">
      <w:pPr>
        <w:tabs>
          <w:tab w:val="left" w:pos="993"/>
        </w:tabs>
        <w:spacing w:after="0" w:line="240" w:lineRule="auto"/>
        <w:ind w:left="7655"/>
        <w:rPr>
          <w:rFonts w:ascii="Times New Roman" w:hAnsi="Times New Roman"/>
          <w:sz w:val="24"/>
          <w:szCs w:val="24"/>
        </w:rPr>
      </w:pPr>
    </w:p>
    <w:p w14:paraId="2824CA5D" w14:textId="77777777" w:rsidR="00901678" w:rsidRDefault="00901678" w:rsidP="00F54A4C">
      <w:pPr>
        <w:tabs>
          <w:tab w:val="left" w:pos="993"/>
        </w:tabs>
        <w:spacing w:after="0" w:line="240" w:lineRule="auto"/>
        <w:ind w:left="7655"/>
        <w:rPr>
          <w:rFonts w:ascii="Times New Roman" w:hAnsi="Times New Roman"/>
          <w:sz w:val="24"/>
          <w:szCs w:val="24"/>
        </w:rPr>
      </w:pPr>
    </w:p>
    <w:p w14:paraId="507E3906" w14:textId="77777777" w:rsidR="00901678" w:rsidRDefault="00901678" w:rsidP="00F54A4C">
      <w:pPr>
        <w:tabs>
          <w:tab w:val="left" w:pos="993"/>
        </w:tabs>
        <w:spacing w:after="0" w:line="240" w:lineRule="auto"/>
        <w:ind w:left="7655"/>
        <w:rPr>
          <w:rFonts w:ascii="Times New Roman" w:hAnsi="Times New Roman"/>
          <w:sz w:val="24"/>
          <w:szCs w:val="24"/>
        </w:rPr>
      </w:pPr>
    </w:p>
    <w:p w14:paraId="629C9F6B" w14:textId="77777777" w:rsidR="00901678" w:rsidRDefault="00901678" w:rsidP="00F54A4C">
      <w:pPr>
        <w:tabs>
          <w:tab w:val="left" w:pos="993"/>
        </w:tabs>
        <w:spacing w:after="0" w:line="240" w:lineRule="auto"/>
        <w:ind w:left="7655"/>
        <w:rPr>
          <w:rFonts w:ascii="Times New Roman" w:hAnsi="Times New Roman"/>
          <w:sz w:val="24"/>
          <w:szCs w:val="24"/>
        </w:rPr>
      </w:pPr>
    </w:p>
    <w:p w14:paraId="71C1186B" w14:textId="77777777" w:rsidR="00901678" w:rsidRDefault="00901678" w:rsidP="00F54A4C">
      <w:pPr>
        <w:tabs>
          <w:tab w:val="left" w:pos="993"/>
        </w:tabs>
        <w:spacing w:after="0" w:line="240" w:lineRule="auto"/>
        <w:ind w:left="7655"/>
        <w:rPr>
          <w:rFonts w:ascii="Times New Roman" w:hAnsi="Times New Roman"/>
          <w:sz w:val="24"/>
          <w:szCs w:val="24"/>
        </w:rPr>
      </w:pPr>
    </w:p>
    <w:p w14:paraId="0A31D411" w14:textId="77777777" w:rsidR="00901678" w:rsidRDefault="00901678" w:rsidP="00F54A4C">
      <w:pPr>
        <w:tabs>
          <w:tab w:val="left" w:pos="993"/>
        </w:tabs>
        <w:spacing w:after="0" w:line="240" w:lineRule="auto"/>
        <w:ind w:left="7655"/>
        <w:rPr>
          <w:rFonts w:ascii="Times New Roman" w:hAnsi="Times New Roman"/>
          <w:sz w:val="24"/>
          <w:szCs w:val="24"/>
        </w:rPr>
      </w:pPr>
    </w:p>
    <w:p w14:paraId="2C732F66" w14:textId="77777777" w:rsidR="00901678" w:rsidRDefault="00901678" w:rsidP="00F54A4C">
      <w:pPr>
        <w:tabs>
          <w:tab w:val="left" w:pos="993"/>
        </w:tabs>
        <w:spacing w:after="0" w:line="240" w:lineRule="auto"/>
        <w:ind w:left="7655"/>
        <w:rPr>
          <w:rFonts w:ascii="Times New Roman" w:hAnsi="Times New Roman"/>
          <w:sz w:val="24"/>
          <w:szCs w:val="24"/>
        </w:rPr>
      </w:pPr>
    </w:p>
    <w:p w14:paraId="1F7467F3" w14:textId="77777777" w:rsidR="00901678" w:rsidRDefault="00901678" w:rsidP="00F54A4C">
      <w:pPr>
        <w:tabs>
          <w:tab w:val="left" w:pos="993"/>
        </w:tabs>
        <w:spacing w:after="0" w:line="240" w:lineRule="auto"/>
        <w:ind w:left="7655"/>
        <w:rPr>
          <w:rFonts w:ascii="Times New Roman" w:hAnsi="Times New Roman"/>
          <w:sz w:val="24"/>
          <w:szCs w:val="24"/>
        </w:rPr>
      </w:pPr>
    </w:p>
    <w:p w14:paraId="4182C880" w14:textId="77777777" w:rsidR="00901678" w:rsidRDefault="00901678" w:rsidP="00F54A4C">
      <w:pPr>
        <w:tabs>
          <w:tab w:val="left" w:pos="993"/>
        </w:tabs>
        <w:spacing w:after="0" w:line="240" w:lineRule="auto"/>
        <w:ind w:left="7655"/>
        <w:rPr>
          <w:rFonts w:ascii="Times New Roman" w:hAnsi="Times New Roman"/>
          <w:sz w:val="24"/>
          <w:szCs w:val="24"/>
        </w:rPr>
      </w:pPr>
    </w:p>
    <w:p w14:paraId="6DAB1B1C" w14:textId="77777777" w:rsidR="00901678" w:rsidRDefault="00901678" w:rsidP="00F54A4C">
      <w:pPr>
        <w:tabs>
          <w:tab w:val="left" w:pos="993"/>
        </w:tabs>
        <w:spacing w:after="0" w:line="240" w:lineRule="auto"/>
        <w:ind w:left="7655"/>
        <w:rPr>
          <w:rFonts w:ascii="Times New Roman" w:hAnsi="Times New Roman"/>
          <w:sz w:val="24"/>
          <w:szCs w:val="24"/>
        </w:rPr>
      </w:pPr>
    </w:p>
    <w:p w14:paraId="0E86CECC" w14:textId="77777777" w:rsidR="00901678" w:rsidRDefault="00901678" w:rsidP="00F54A4C">
      <w:pPr>
        <w:tabs>
          <w:tab w:val="left" w:pos="993"/>
        </w:tabs>
        <w:spacing w:after="0" w:line="240" w:lineRule="auto"/>
        <w:ind w:left="7655"/>
        <w:rPr>
          <w:rFonts w:ascii="Times New Roman" w:hAnsi="Times New Roman"/>
          <w:sz w:val="24"/>
          <w:szCs w:val="24"/>
        </w:rPr>
      </w:pPr>
    </w:p>
    <w:p w14:paraId="090698A3" w14:textId="77777777" w:rsidR="00901678" w:rsidRDefault="00901678" w:rsidP="00F54A4C">
      <w:pPr>
        <w:tabs>
          <w:tab w:val="left" w:pos="993"/>
        </w:tabs>
        <w:spacing w:after="0" w:line="240" w:lineRule="auto"/>
        <w:ind w:left="7655"/>
        <w:rPr>
          <w:rFonts w:ascii="Times New Roman" w:hAnsi="Times New Roman"/>
          <w:sz w:val="24"/>
          <w:szCs w:val="24"/>
        </w:rPr>
      </w:pPr>
    </w:p>
    <w:p w14:paraId="0F3723DC" w14:textId="77777777" w:rsidR="00FE7AFE" w:rsidRDefault="00FE7AFE" w:rsidP="00F54A4C">
      <w:pPr>
        <w:tabs>
          <w:tab w:val="left" w:pos="993"/>
        </w:tabs>
        <w:spacing w:after="0" w:line="240" w:lineRule="auto"/>
        <w:ind w:left="7655"/>
        <w:rPr>
          <w:rFonts w:ascii="Times New Roman" w:hAnsi="Times New Roman"/>
          <w:sz w:val="24"/>
          <w:szCs w:val="24"/>
        </w:rPr>
      </w:pPr>
    </w:p>
    <w:p w14:paraId="0522C125" w14:textId="77777777" w:rsidR="00FE7AFE" w:rsidRDefault="00FE7AFE" w:rsidP="00F54A4C">
      <w:pPr>
        <w:tabs>
          <w:tab w:val="left" w:pos="993"/>
        </w:tabs>
        <w:spacing w:after="0" w:line="240" w:lineRule="auto"/>
        <w:ind w:left="7655"/>
        <w:rPr>
          <w:rFonts w:ascii="Times New Roman" w:hAnsi="Times New Roman"/>
          <w:sz w:val="24"/>
          <w:szCs w:val="24"/>
        </w:rPr>
      </w:pPr>
    </w:p>
    <w:p w14:paraId="5785C420" w14:textId="77777777" w:rsidR="00FE7AFE" w:rsidRDefault="00FE7AFE" w:rsidP="00F54A4C">
      <w:pPr>
        <w:tabs>
          <w:tab w:val="left" w:pos="993"/>
        </w:tabs>
        <w:spacing w:after="0" w:line="240" w:lineRule="auto"/>
        <w:ind w:left="7655"/>
        <w:rPr>
          <w:rFonts w:ascii="Times New Roman" w:hAnsi="Times New Roman"/>
          <w:sz w:val="24"/>
          <w:szCs w:val="24"/>
        </w:rPr>
      </w:pPr>
    </w:p>
    <w:p w14:paraId="474FDE6A" w14:textId="77777777" w:rsidR="00FE7AFE" w:rsidRDefault="00FE7AFE" w:rsidP="00F54A4C">
      <w:pPr>
        <w:tabs>
          <w:tab w:val="left" w:pos="993"/>
        </w:tabs>
        <w:spacing w:after="0" w:line="240" w:lineRule="auto"/>
        <w:ind w:left="7655"/>
        <w:rPr>
          <w:rFonts w:ascii="Times New Roman" w:hAnsi="Times New Roman"/>
          <w:sz w:val="24"/>
          <w:szCs w:val="24"/>
        </w:rPr>
      </w:pPr>
    </w:p>
    <w:p w14:paraId="51E7E128" w14:textId="77777777" w:rsidR="00FE7AFE" w:rsidRDefault="00FE7AFE" w:rsidP="00F54A4C">
      <w:pPr>
        <w:tabs>
          <w:tab w:val="left" w:pos="993"/>
        </w:tabs>
        <w:spacing w:after="0" w:line="240" w:lineRule="auto"/>
        <w:ind w:left="7655"/>
        <w:rPr>
          <w:rFonts w:ascii="Times New Roman" w:hAnsi="Times New Roman"/>
          <w:sz w:val="24"/>
          <w:szCs w:val="24"/>
        </w:rPr>
      </w:pPr>
    </w:p>
    <w:p w14:paraId="5D00F0EA" w14:textId="5E147561"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698B2D" w14:textId="3C9A7329" w:rsidR="00382BA2" w:rsidRPr="00CF79B8" w:rsidRDefault="002B4FB9" w:rsidP="00382BA2">
      <w:pPr>
        <w:spacing w:after="0" w:line="240" w:lineRule="auto"/>
        <w:ind w:left="320"/>
        <w:jc w:val="center"/>
        <w:rPr>
          <w:rFonts w:ascii="Times New Roman" w:hAnsi="Times New Roman"/>
          <w:b/>
          <w:sz w:val="24"/>
          <w:szCs w:val="24"/>
        </w:rPr>
      </w:pPr>
      <w:r w:rsidRPr="00725DDC">
        <w:rPr>
          <w:rFonts w:ascii="Times New Roman" w:hAnsi="Times New Roman"/>
          <w:sz w:val="24"/>
          <w:szCs w:val="24"/>
          <w:highlight w:val="white"/>
        </w:rPr>
        <w:t xml:space="preserve"> </w:t>
      </w:r>
    </w:p>
    <w:p w14:paraId="620D251F" w14:textId="4F0AF964" w:rsidR="00382BA2" w:rsidRDefault="00C73FCA" w:rsidP="00382BA2">
      <w:pPr>
        <w:jc w:val="center"/>
        <w:rPr>
          <w:rFonts w:ascii="Times New Roman" w:eastAsia="Roboto" w:hAnsi="Times New Roman"/>
          <w:b/>
          <w:sz w:val="24"/>
          <w:szCs w:val="24"/>
        </w:rPr>
      </w:pPr>
      <w:r w:rsidRPr="00C73FCA">
        <w:rPr>
          <w:rFonts w:ascii="Times New Roman" w:eastAsia="Roboto" w:hAnsi="Times New Roman"/>
          <w:b/>
          <w:sz w:val="24"/>
          <w:szCs w:val="24"/>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p>
    <w:tbl>
      <w:tblPr>
        <w:tblW w:w="95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345"/>
        <w:gridCol w:w="915"/>
      </w:tblGrid>
      <w:tr w:rsidR="00C73FCA" w:rsidRPr="00B575BC" w14:paraId="2368B813" w14:textId="77777777" w:rsidTr="00981CD9">
        <w:trPr>
          <w:trHeight w:val="795"/>
        </w:trPr>
        <w:tc>
          <w:tcPr>
            <w:tcW w:w="570" w:type="dxa"/>
            <w:vAlign w:val="center"/>
          </w:tcPr>
          <w:p w14:paraId="7878C884" w14:textId="77777777" w:rsidR="00C73FCA" w:rsidRPr="00B575BC" w:rsidRDefault="00C73FCA" w:rsidP="00981CD9">
            <w:pPr>
              <w:spacing w:line="240" w:lineRule="auto"/>
              <w:rPr>
                <w:rFonts w:ascii="Times New Roman" w:hAnsi="Times New Roman"/>
                <w:b/>
              </w:rPr>
            </w:pPr>
            <w:r w:rsidRPr="00B575BC">
              <w:rPr>
                <w:rFonts w:ascii="Times New Roman" w:hAnsi="Times New Roman"/>
                <w:b/>
              </w:rPr>
              <w:t>№ п/п</w:t>
            </w:r>
          </w:p>
        </w:tc>
        <w:tc>
          <w:tcPr>
            <w:tcW w:w="1755" w:type="dxa"/>
            <w:vAlign w:val="center"/>
          </w:tcPr>
          <w:p w14:paraId="4CB17314" w14:textId="77777777" w:rsidR="00C73FCA" w:rsidRPr="00B575BC" w:rsidRDefault="00C73FCA" w:rsidP="00981CD9">
            <w:pPr>
              <w:spacing w:line="240" w:lineRule="auto"/>
              <w:rPr>
                <w:rFonts w:ascii="Times New Roman" w:hAnsi="Times New Roman"/>
                <w:b/>
              </w:rPr>
            </w:pPr>
            <w:r w:rsidRPr="00B575BC">
              <w:rPr>
                <w:rFonts w:ascii="Times New Roman" w:hAnsi="Times New Roman"/>
                <w:b/>
              </w:rPr>
              <w:t>Найменування послуги</w:t>
            </w:r>
          </w:p>
        </w:tc>
        <w:tc>
          <w:tcPr>
            <w:tcW w:w="6345" w:type="dxa"/>
            <w:vAlign w:val="center"/>
          </w:tcPr>
          <w:p w14:paraId="4E989B4F" w14:textId="77777777" w:rsidR="00C73FCA" w:rsidRPr="00B575BC" w:rsidRDefault="00C73FCA" w:rsidP="00981CD9">
            <w:pPr>
              <w:spacing w:line="240" w:lineRule="auto"/>
              <w:rPr>
                <w:rFonts w:ascii="Times New Roman" w:hAnsi="Times New Roman"/>
                <w:b/>
              </w:rPr>
            </w:pPr>
            <w:r w:rsidRPr="00B575BC">
              <w:rPr>
                <w:rFonts w:ascii="Times New Roman" w:hAnsi="Times New Roman"/>
                <w:b/>
              </w:rPr>
              <w:t>Характеристика послуг та вимоги</w:t>
            </w:r>
          </w:p>
        </w:tc>
        <w:tc>
          <w:tcPr>
            <w:tcW w:w="915" w:type="dxa"/>
            <w:vAlign w:val="center"/>
          </w:tcPr>
          <w:p w14:paraId="4F8B05C2" w14:textId="77777777" w:rsidR="00C73FCA" w:rsidRPr="00B575BC" w:rsidRDefault="00C73FCA" w:rsidP="00981CD9">
            <w:pPr>
              <w:spacing w:line="240" w:lineRule="auto"/>
              <w:rPr>
                <w:rFonts w:ascii="Times New Roman" w:hAnsi="Times New Roman"/>
                <w:b/>
              </w:rPr>
            </w:pPr>
            <w:r w:rsidRPr="00B575BC">
              <w:rPr>
                <w:rFonts w:ascii="Times New Roman" w:hAnsi="Times New Roman"/>
                <w:b/>
              </w:rPr>
              <w:t xml:space="preserve">К-сть, </w:t>
            </w:r>
            <w:proofErr w:type="spellStart"/>
            <w:r w:rsidRPr="00B575BC">
              <w:rPr>
                <w:rFonts w:ascii="Times New Roman" w:hAnsi="Times New Roman"/>
                <w:b/>
              </w:rPr>
              <w:t>шт</w:t>
            </w:r>
            <w:proofErr w:type="spellEnd"/>
          </w:p>
        </w:tc>
      </w:tr>
      <w:tr w:rsidR="00C73FCA" w:rsidRPr="00B575BC" w14:paraId="11BEBD2A" w14:textId="77777777" w:rsidTr="00981CD9">
        <w:trPr>
          <w:trHeight w:val="165"/>
        </w:trPr>
        <w:tc>
          <w:tcPr>
            <w:tcW w:w="570" w:type="dxa"/>
            <w:vAlign w:val="center"/>
          </w:tcPr>
          <w:p w14:paraId="036A6728" w14:textId="77777777" w:rsidR="00C73FCA" w:rsidRPr="00B575BC" w:rsidRDefault="00C73FCA" w:rsidP="00981CD9">
            <w:pPr>
              <w:spacing w:line="240" w:lineRule="auto"/>
              <w:rPr>
                <w:rFonts w:ascii="Times New Roman" w:hAnsi="Times New Roman"/>
              </w:rPr>
            </w:pPr>
            <w:r w:rsidRPr="00B575BC">
              <w:rPr>
                <w:rFonts w:ascii="Times New Roman" w:hAnsi="Times New Roman"/>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4040A21" w14:textId="77777777" w:rsidR="00C73FCA" w:rsidRPr="00B575BC" w:rsidRDefault="00C73FCA" w:rsidP="00981CD9">
            <w:pPr>
              <w:spacing w:line="240" w:lineRule="auto"/>
              <w:jc w:val="center"/>
              <w:rPr>
                <w:rFonts w:ascii="Times New Roman" w:hAnsi="Times New Roman"/>
              </w:rPr>
            </w:pPr>
            <w:r w:rsidRPr="00B575BC">
              <w:rPr>
                <w:rFonts w:ascii="Times New Roman" w:hAnsi="Times New Roman"/>
              </w:rPr>
              <w:t>Послуга з використання інформаційно- аналітичної системи електронного моніторингу засобів масової інформації</w:t>
            </w:r>
          </w:p>
        </w:tc>
        <w:tc>
          <w:tcPr>
            <w:tcW w:w="6345"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4A0547FD" w14:textId="77777777" w:rsidR="00C73FCA" w:rsidRPr="00B575BC" w:rsidRDefault="00C73FCA" w:rsidP="00981CD9">
            <w:pPr>
              <w:spacing w:line="240" w:lineRule="auto"/>
              <w:rPr>
                <w:rFonts w:ascii="Times New Roman" w:hAnsi="Times New Roman"/>
              </w:rPr>
            </w:pPr>
            <w:r w:rsidRPr="00B575BC">
              <w:rPr>
                <w:rFonts w:ascii="Times New Roman" w:hAnsi="Times New Roman"/>
              </w:rPr>
              <w:t xml:space="preserve">Проведення </w:t>
            </w:r>
            <w:proofErr w:type="spellStart"/>
            <w:r w:rsidRPr="00B575BC">
              <w:rPr>
                <w:rFonts w:ascii="Times New Roman" w:hAnsi="Times New Roman"/>
              </w:rPr>
              <w:t>медіамоніторингу</w:t>
            </w:r>
            <w:proofErr w:type="spellEnd"/>
            <w:r w:rsidRPr="00B575BC">
              <w:rPr>
                <w:rFonts w:ascii="Times New Roman" w:hAnsi="Times New Roman"/>
              </w:rPr>
              <w:t xml:space="preserve"> присутності </w:t>
            </w:r>
            <w:r w:rsidRPr="00280FD8">
              <w:rPr>
                <w:rFonts w:ascii="Times New Roman" w:hAnsi="Times New Roman"/>
              </w:rPr>
              <w:t xml:space="preserve">Державної установи «Центр громадського здоров’я Міністерства охорони здоров’я України» </w:t>
            </w:r>
            <w:r w:rsidRPr="00B575BC">
              <w:rPr>
                <w:rFonts w:ascii="Times New Roman" w:hAnsi="Times New Roman"/>
              </w:rPr>
              <w:t xml:space="preserve"> в інформаційному полі. Тривалість </w:t>
            </w:r>
            <w:proofErr w:type="spellStart"/>
            <w:r w:rsidRPr="00B575BC">
              <w:rPr>
                <w:rFonts w:ascii="Times New Roman" w:hAnsi="Times New Roman"/>
              </w:rPr>
              <w:t>медіамоніторингу</w:t>
            </w:r>
            <w:proofErr w:type="spellEnd"/>
            <w:r w:rsidRPr="00B575BC">
              <w:rPr>
                <w:rFonts w:ascii="Times New Roman" w:hAnsi="Times New Roman"/>
              </w:rPr>
              <w:t xml:space="preserve"> — один календарний рік. </w:t>
            </w:r>
          </w:p>
          <w:p w14:paraId="0272698C" w14:textId="77777777" w:rsidR="00C73FCA" w:rsidRPr="00B575BC" w:rsidRDefault="00C73FCA" w:rsidP="00981CD9">
            <w:pPr>
              <w:spacing w:line="240" w:lineRule="auto"/>
              <w:rPr>
                <w:rFonts w:ascii="Times New Roman" w:hAnsi="Times New Roman"/>
              </w:rPr>
            </w:pPr>
            <w:r w:rsidRPr="00B575BC">
              <w:rPr>
                <w:rFonts w:ascii="Times New Roman" w:hAnsi="Times New Roman"/>
                <w:highlight w:val="white"/>
              </w:rPr>
              <w:t xml:space="preserve">Персональний онлайн доступ до кабінету </w:t>
            </w:r>
            <w:r w:rsidRPr="00B575BC">
              <w:rPr>
                <w:rFonts w:ascii="Times New Roman" w:hAnsi="Times New Roman"/>
              </w:rPr>
              <w:t>через індивідуальний логін та пароль з кількістю 10  робочих місць.</w:t>
            </w:r>
          </w:p>
          <w:p w14:paraId="2F2A6B70" w14:textId="77777777" w:rsidR="00C73FCA" w:rsidRPr="00B575BC" w:rsidRDefault="00C73FCA" w:rsidP="00981CD9">
            <w:pPr>
              <w:spacing w:line="240" w:lineRule="auto"/>
              <w:rPr>
                <w:rFonts w:ascii="Times New Roman" w:hAnsi="Times New Roman"/>
              </w:rPr>
            </w:pPr>
            <w:r w:rsidRPr="00B575BC">
              <w:rPr>
                <w:rFonts w:ascii="Times New Roman" w:hAnsi="Times New Roman"/>
              </w:rPr>
              <w:t xml:space="preserve">Пошук та аналіз контенту за ключовими словами, які будуть надані Замовником, в усіх типах ЗМІ включно із соцмережами. </w:t>
            </w:r>
          </w:p>
          <w:p w14:paraId="06414C1F" w14:textId="77777777" w:rsidR="00C73FCA" w:rsidRPr="00B575BC" w:rsidRDefault="00C73FCA" w:rsidP="00981CD9">
            <w:pPr>
              <w:spacing w:line="240" w:lineRule="auto"/>
              <w:rPr>
                <w:rFonts w:ascii="Times New Roman" w:hAnsi="Times New Roman"/>
              </w:rPr>
            </w:pPr>
            <w:r w:rsidRPr="00B575BC">
              <w:rPr>
                <w:rFonts w:ascii="Times New Roman" w:hAnsi="Times New Roman"/>
              </w:rPr>
              <w:t xml:space="preserve">Передача </w:t>
            </w:r>
            <w:proofErr w:type="spellStart"/>
            <w:r w:rsidRPr="00B575BC">
              <w:rPr>
                <w:rFonts w:ascii="Times New Roman" w:hAnsi="Times New Roman"/>
              </w:rPr>
              <w:t>медіамоніторингу</w:t>
            </w:r>
            <w:proofErr w:type="spellEnd"/>
            <w:r w:rsidRPr="00B575BC">
              <w:rPr>
                <w:rFonts w:ascii="Times New Roman" w:hAnsi="Times New Roman"/>
              </w:rPr>
              <w:t xml:space="preserve"> Замовнику з заданою регулярністю:</w:t>
            </w:r>
          </w:p>
          <w:p w14:paraId="1211E3F5" w14:textId="77777777" w:rsidR="00C73FCA" w:rsidRPr="00B575BC" w:rsidRDefault="00C73FCA" w:rsidP="00C73FCA">
            <w:pPr>
              <w:numPr>
                <w:ilvl w:val="0"/>
                <w:numId w:val="33"/>
              </w:numPr>
              <w:spacing w:after="0" w:line="240" w:lineRule="auto"/>
              <w:rPr>
                <w:rFonts w:ascii="Times New Roman" w:hAnsi="Times New Roman"/>
              </w:rPr>
            </w:pPr>
            <w:r w:rsidRPr="00B575BC">
              <w:rPr>
                <w:rFonts w:ascii="Times New Roman" w:hAnsi="Times New Roman"/>
              </w:rPr>
              <w:t>один раз на день;</w:t>
            </w:r>
          </w:p>
          <w:p w14:paraId="5362E54D" w14:textId="77777777" w:rsidR="00C73FCA" w:rsidRPr="00B575BC" w:rsidRDefault="00C73FCA" w:rsidP="00C73FCA">
            <w:pPr>
              <w:numPr>
                <w:ilvl w:val="0"/>
                <w:numId w:val="33"/>
              </w:numPr>
              <w:spacing w:after="0" w:line="240" w:lineRule="auto"/>
              <w:rPr>
                <w:rFonts w:ascii="Times New Roman" w:hAnsi="Times New Roman"/>
              </w:rPr>
            </w:pPr>
            <w:r w:rsidRPr="00B575BC">
              <w:rPr>
                <w:rFonts w:ascii="Times New Roman" w:hAnsi="Times New Roman"/>
              </w:rPr>
              <w:t>один раз на місяць;</w:t>
            </w:r>
          </w:p>
          <w:p w14:paraId="140396C3" w14:textId="77777777" w:rsidR="00C73FCA" w:rsidRPr="00B575BC" w:rsidRDefault="00C73FCA" w:rsidP="00C73FCA">
            <w:pPr>
              <w:numPr>
                <w:ilvl w:val="0"/>
                <w:numId w:val="33"/>
              </w:numPr>
              <w:spacing w:after="0" w:line="240" w:lineRule="auto"/>
              <w:rPr>
                <w:rFonts w:ascii="Times New Roman" w:hAnsi="Times New Roman"/>
              </w:rPr>
            </w:pPr>
            <w:r w:rsidRPr="00B575BC">
              <w:rPr>
                <w:rFonts w:ascii="Times New Roman" w:hAnsi="Times New Roman"/>
              </w:rPr>
              <w:t>один раз на квартал;</w:t>
            </w:r>
          </w:p>
          <w:p w14:paraId="68BB7DDF" w14:textId="77777777" w:rsidR="00C73FCA" w:rsidRPr="00B575BC" w:rsidRDefault="00C73FCA" w:rsidP="00C73FCA">
            <w:pPr>
              <w:numPr>
                <w:ilvl w:val="0"/>
                <w:numId w:val="33"/>
              </w:numPr>
              <w:spacing w:after="0" w:line="240" w:lineRule="auto"/>
              <w:rPr>
                <w:rFonts w:ascii="Times New Roman" w:hAnsi="Times New Roman"/>
              </w:rPr>
            </w:pPr>
            <w:r w:rsidRPr="00B575BC">
              <w:rPr>
                <w:rFonts w:ascii="Times New Roman" w:hAnsi="Times New Roman"/>
              </w:rPr>
              <w:t>річний ретроспективний звіт.</w:t>
            </w:r>
          </w:p>
          <w:p w14:paraId="7BD8B557" w14:textId="77777777" w:rsidR="00C73FCA" w:rsidRPr="00B575BC" w:rsidRDefault="00C73FCA" w:rsidP="00981CD9">
            <w:pPr>
              <w:spacing w:line="240" w:lineRule="auto"/>
              <w:rPr>
                <w:rFonts w:ascii="Times New Roman" w:hAnsi="Times New Roman"/>
              </w:rPr>
            </w:pPr>
            <w:r w:rsidRPr="00B575BC">
              <w:rPr>
                <w:rFonts w:ascii="Times New Roman" w:hAnsi="Times New Roman"/>
              </w:rPr>
              <w:t xml:space="preserve">Завантаження даних в </w:t>
            </w:r>
            <w:proofErr w:type="spellStart"/>
            <w:r w:rsidRPr="00B575BC">
              <w:rPr>
                <w:rFonts w:ascii="Times New Roman" w:hAnsi="Times New Roman"/>
              </w:rPr>
              <w:t>xls</w:t>
            </w:r>
            <w:proofErr w:type="spellEnd"/>
            <w:r w:rsidRPr="00B575BC">
              <w:rPr>
                <w:rFonts w:ascii="Times New Roman" w:hAnsi="Times New Roman"/>
              </w:rPr>
              <w:t xml:space="preserve">., </w:t>
            </w:r>
            <w:proofErr w:type="spellStart"/>
            <w:r w:rsidRPr="00B575BC">
              <w:rPr>
                <w:rFonts w:ascii="Times New Roman" w:hAnsi="Times New Roman"/>
              </w:rPr>
              <w:t>pdf</w:t>
            </w:r>
            <w:proofErr w:type="spellEnd"/>
            <w:r w:rsidRPr="00B575BC">
              <w:rPr>
                <w:rFonts w:ascii="Times New Roman" w:hAnsi="Times New Roman"/>
              </w:rPr>
              <w:t xml:space="preserve">., </w:t>
            </w:r>
            <w:proofErr w:type="spellStart"/>
            <w:r w:rsidRPr="00B575BC">
              <w:rPr>
                <w:rFonts w:ascii="Times New Roman" w:hAnsi="Times New Roman"/>
              </w:rPr>
              <w:t>docx</w:t>
            </w:r>
            <w:proofErr w:type="spellEnd"/>
            <w:r w:rsidRPr="00B575BC">
              <w:rPr>
                <w:rFonts w:ascii="Times New Roman" w:hAnsi="Times New Roman"/>
              </w:rPr>
              <w:t>.</w:t>
            </w:r>
          </w:p>
          <w:p w14:paraId="16765C42" w14:textId="77777777" w:rsidR="00C73FCA" w:rsidRPr="00B575BC" w:rsidRDefault="00C73FCA" w:rsidP="00981CD9">
            <w:pPr>
              <w:spacing w:line="240" w:lineRule="auto"/>
              <w:rPr>
                <w:rFonts w:ascii="Times New Roman" w:hAnsi="Times New Roman"/>
              </w:rPr>
            </w:pPr>
            <w:r w:rsidRPr="00B575BC">
              <w:rPr>
                <w:rFonts w:ascii="Times New Roman" w:hAnsi="Times New Roman"/>
              </w:rPr>
              <w:t>Орієнтовні вимоги до інформаційних та аналітичних продуктів (до погодження Замовником):</w:t>
            </w:r>
          </w:p>
          <w:p w14:paraId="55BE04E0" w14:textId="77777777" w:rsidR="00C73FCA" w:rsidRPr="00B575BC" w:rsidRDefault="00C73FCA" w:rsidP="00C73FCA">
            <w:pPr>
              <w:numPr>
                <w:ilvl w:val="0"/>
                <w:numId w:val="32"/>
              </w:numPr>
              <w:spacing w:after="0" w:line="240" w:lineRule="auto"/>
              <w:rPr>
                <w:rFonts w:ascii="Times New Roman" w:hAnsi="Times New Roman"/>
              </w:rPr>
            </w:pPr>
            <w:r w:rsidRPr="00B575BC">
              <w:rPr>
                <w:rFonts w:ascii="Times New Roman" w:hAnsi="Times New Roman"/>
              </w:rPr>
              <w:t xml:space="preserve">Щоденний звіт (плановий + терміновий в разі кризових комунікацій) з поділом повідомлень за ключовими темами у форматі </w:t>
            </w:r>
            <w:proofErr w:type="spellStart"/>
            <w:r w:rsidRPr="00B575BC">
              <w:rPr>
                <w:rFonts w:ascii="Times New Roman" w:hAnsi="Times New Roman"/>
              </w:rPr>
              <w:t>docx</w:t>
            </w:r>
            <w:proofErr w:type="spellEnd"/>
            <w:r w:rsidRPr="00B575BC">
              <w:rPr>
                <w:rFonts w:ascii="Times New Roman" w:hAnsi="Times New Roman"/>
              </w:rPr>
              <w:t xml:space="preserve"> та/або </w:t>
            </w:r>
            <w:proofErr w:type="spellStart"/>
            <w:r w:rsidRPr="00B575BC">
              <w:rPr>
                <w:rFonts w:ascii="Times New Roman" w:hAnsi="Times New Roman"/>
              </w:rPr>
              <w:t>pdf</w:t>
            </w:r>
            <w:proofErr w:type="spellEnd"/>
          </w:p>
          <w:p w14:paraId="75CDE85A" w14:textId="77777777" w:rsidR="00C73FCA" w:rsidRPr="00B575BC" w:rsidRDefault="00C73FCA" w:rsidP="00C73FCA">
            <w:pPr>
              <w:numPr>
                <w:ilvl w:val="0"/>
                <w:numId w:val="32"/>
              </w:numPr>
              <w:spacing w:after="0" w:line="240" w:lineRule="auto"/>
              <w:rPr>
                <w:rFonts w:ascii="Times New Roman" w:hAnsi="Times New Roman"/>
              </w:rPr>
            </w:pPr>
            <w:r w:rsidRPr="00B575BC">
              <w:rPr>
                <w:rFonts w:ascii="Times New Roman" w:hAnsi="Times New Roman"/>
              </w:rPr>
              <w:t>Джерела моніторингу - усі типи ЗМІ: національна друкована преса, регіональна друкована преса, глянцеві видання, інтернет, ТБ, радіо, інформагенції.</w:t>
            </w:r>
          </w:p>
          <w:p w14:paraId="7757C2DF" w14:textId="77777777" w:rsidR="00C73FCA" w:rsidRPr="00B575BC" w:rsidRDefault="00C73FCA" w:rsidP="00C73FCA">
            <w:pPr>
              <w:numPr>
                <w:ilvl w:val="0"/>
                <w:numId w:val="32"/>
              </w:numPr>
              <w:spacing w:after="0" w:line="240" w:lineRule="auto"/>
              <w:rPr>
                <w:rFonts w:ascii="Times New Roman" w:hAnsi="Times New Roman"/>
              </w:rPr>
            </w:pPr>
            <w:r w:rsidRPr="00B575BC">
              <w:rPr>
                <w:rFonts w:ascii="Times New Roman" w:hAnsi="Times New Roman"/>
              </w:rPr>
              <w:t>Оперативне інформування у разі різко негативних згадувань Центру протягом дня (</w:t>
            </w:r>
            <w:proofErr w:type="spellStart"/>
            <w:r w:rsidRPr="00B575BC">
              <w:rPr>
                <w:rFonts w:ascii="Times New Roman" w:hAnsi="Times New Roman"/>
              </w:rPr>
              <w:t>alerts</w:t>
            </w:r>
            <w:proofErr w:type="spellEnd"/>
            <w:r w:rsidRPr="00B575BC">
              <w:rPr>
                <w:rFonts w:ascii="Times New Roman" w:hAnsi="Times New Roman"/>
              </w:rPr>
              <w:t>)</w:t>
            </w:r>
          </w:p>
          <w:p w14:paraId="7CDBE0B7" w14:textId="77777777" w:rsidR="00C73FCA" w:rsidRPr="00B575BC" w:rsidRDefault="00C73FCA" w:rsidP="00C73FCA">
            <w:pPr>
              <w:numPr>
                <w:ilvl w:val="0"/>
                <w:numId w:val="32"/>
              </w:numPr>
              <w:spacing w:after="0" w:line="240" w:lineRule="auto"/>
              <w:rPr>
                <w:rFonts w:ascii="Times New Roman" w:hAnsi="Times New Roman"/>
              </w:rPr>
            </w:pPr>
            <w:r w:rsidRPr="00B575BC">
              <w:rPr>
                <w:rFonts w:ascii="Times New Roman" w:hAnsi="Times New Roman"/>
              </w:rPr>
              <w:t xml:space="preserve">Графічна візуалізація даних щомісячного, щоквартального, річного звіту </w:t>
            </w:r>
          </w:p>
          <w:p w14:paraId="1A48C87D" w14:textId="77777777" w:rsidR="00C73FCA" w:rsidRPr="00B575BC" w:rsidRDefault="00C73FCA" w:rsidP="00C73FCA">
            <w:pPr>
              <w:numPr>
                <w:ilvl w:val="0"/>
                <w:numId w:val="32"/>
              </w:numPr>
              <w:spacing w:after="0" w:line="240" w:lineRule="auto"/>
              <w:rPr>
                <w:rFonts w:ascii="Times New Roman" w:hAnsi="Times New Roman"/>
              </w:rPr>
            </w:pPr>
            <w:r w:rsidRPr="00B575BC">
              <w:rPr>
                <w:rFonts w:ascii="Times New Roman" w:hAnsi="Times New Roman"/>
              </w:rPr>
              <w:t>Наявність аналітики якісного показника медіа-резонансу та надання рекомендацій щодо покращення ситуації</w:t>
            </w:r>
          </w:p>
          <w:p w14:paraId="75402E8F" w14:textId="77777777" w:rsidR="00C73FCA" w:rsidRPr="00B575BC" w:rsidRDefault="00C73FCA" w:rsidP="00981CD9">
            <w:pPr>
              <w:spacing w:line="240" w:lineRule="auto"/>
              <w:rPr>
                <w:rFonts w:ascii="Times New Roman" w:hAnsi="Times New Roman"/>
              </w:rPr>
            </w:pPr>
          </w:p>
          <w:p w14:paraId="3A472B45" w14:textId="77777777" w:rsidR="00C73FCA" w:rsidRPr="00B575BC" w:rsidRDefault="00C73FCA" w:rsidP="00981CD9">
            <w:pPr>
              <w:spacing w:line="240" w:lineRule="auto"/>
              <w:rPr>
                <w:rFonts w:ascii="Times New Roman" w:hAnsi="Times New Roman"/>
              </w:rPr>
            </w:pPr>
            <w:r w:rsidRPr="00B575BC">
              <w:rPr>
                <w:rFonts w:ascii="Times New Roman" w:hAnsi="Times New Roman"/>
              </w:rPr>
              <w:t>Попередні кількісні параметри щоденного моніторингу (до погодження Замовником):</w:t>
            </w:r>
          </w:p>
          <w:p w14:paraId="5753D1B4" w14:textId="77777777" w:rsidR="00C73FCA" w:rsidRPr="00B575BC" w:rsidRDefault="00C73FCA" w:rsidP="00C73FCA">
            <w:pPr>
              <w:numPr>
                <w:ilvl w:val="0"/>
                <w:numId w:val="35"/>
              </w:numPr>
              <w:spacing w:after="0" w:line="240" w:lineRule="auto"/>
              <w:rPr>
                <w:rFonts w:ascii="Times New Roman" w:hAnsi="Times New Roman"/>
              </w:rPr>
            </w:pPr>
            <w:r w:rsidRPr="00B575BC">
              <w:rPr>
                <w:rFonts w:ascii="Times New Roman" w:hAnsi="Times New Roman"/>
              </w:rPr>
              <w:t>Загальна кількість згадувань</w:t>
            </w:r>
          </w:p>
          <w:p w14:paraId="45A0C5D9" w14:textId="77777777" w:rsidR="00C73FCA" w:rsidRPr="00B575BC" w:rsidRDefault="00C73FCA" w:rsidP="00C73FCA">
            <w:pPr>
              <w:numPr>
                <w:ilvl w:val="0"/>
                <w:numId w:val="35"/>
              </w:numPr>
              <w:spacing w:after="0" w:line="240" w:lineRule="auto"/>
              <w:rPr>
                <w:rFonts w:ascii="Times New Roman" w:hAnsi="Times New Roman"/>
              </w:rPr>
            </w:pPr>
            <w:r w:rsidRPr="00B575BC">
              <w:rPr>
                <w:rFonts w:ascii="Times New Roman" w:hAnsi="Times New Roman"/>
              </w:rPr>
              <w:t>Прогнозне охоплення аудиторії</w:t>
            </w:r>
          </w:p>
          <w:p w14:paraId="43D2FF68" w14:textId="77777777" w:rsidR="00C73FCA" w:rsidRPr="00B575BC" w:rsidRDefault="00C73FCA" w:rsidP="00C73FCA">
            <w:pPr>
              <w:numPr>
                <w:ilvl w:val="0"/>
                <w:numId w:val="35"/>
              </w:numPr>
              <w:spacing w:after="0" w:line="240" w:lineRule="auto"/>
              <w:rPr>
                <w:rFonts w:ascii="Times New Roman" w:hAnsi="Times New Roman"/>
              </w:rPr>
            </w:pPr>
            <w:r w:rsidRPr="00B575BC">
              <w:rPr>
                <w:rFonts w:ascii="Times New Roman" w:hAnsi="Times New Roman"/>
              </w:rPr>
              <w:t>ТОП-новини за основним об’єктом моніторингу.</w:t>
            </w:r>
          </w:p>
          <w:p w14:paraId="109D1000" w14:textId="77777777" w:rsidR="00C73FCA" w:rsidRPr="00B575BC" w:rsidRDefault="00C73FCA" w:rsidP="00C73FCA">
            <w:pPr>
              <w:numPr>
                <w:ilvl w:val="0"/>
                <w:numId w:val="35"/>
              </w:numPr>
              <w:spacing w:after="0" w:line="240" w:lineRule="auto"/>
              <w:rPr>
                <w:rFonts w:ascii="Times New Roman" w:hAnsi="Times New Roman"/>
              </w:rPr>
            </w:pPr>
            <w:r w:rsidRPr="00B575BC">
              <w:rPr>
                <w:rFonts w:ascii="Times New Roman" w:hAnsi="Times New Roman"/>
              </w:rPr>
              <w:t>Розподіл згадувань за типами ЗМІ (інтернет, інформагентства, ТВ, радіо, преса, соцмережі).</w:t>
            </w:r>
          </w:p>
          <w:p w14:paraId="747B93F5" w14:textId="77777777" w:rsidR="00C73FCA" w:rsidRPr="00B575BC" w:rsidRDefault="00C73FCA" w:rsidP="00C73FCA">
            <w:pPr>
              <w:numPr>
                <w:ilvl w:val="0"/>
                <w:numId w:val="35"/>
              </w:numPr>
              <w:spacing w:after="0" w:line="240" w:lineRule="auto"/>
              <w:rPr>
                <w:rFonts w:ascii="Times New Roman" w:hAnsi="Times New Roman"/>
              </w:rPr>
            </w:pPr>
            <w:r w:rsidRPr="00B575BC">
              <w:rPr>
                <w:rFonts w:ascii="Times New Roman" w:hAnsi="Times New Roman"/>
              </w:rPr>
              <w:t>Розподіл згадувань за рівнем джерел</w:t>
            </w:r>
          </w:p>
          <w:p w14:paraId="43E8148A" w14:textId="4AF4DDD2" w:rsidR="00C73FCA" w:rsidRPr="00B575BC" w:rsidRDefault="00C73FCA" w:rsidP="00C73FCA">
            <w:pPr>
              <w:numPr>
                <w:ilvl w:val="0"/>
                <w:numId w:val="35"/>
              </w:numPr>
              <w:spacing w:after="0" w:line="240" w:lineRule="auto"/>
              <w:rPr>
                <w:rFonts w:ascii="Times New Roman" w:hAnsi="Times New Roman"/>
              </w:rPr>
            </w:pPr>
            <w:r w:rsidRPr="00B575BC">
              <w:rPr>
                <w:rFonts w:ascii="Times New Roman" w:hAnsi="Times New Roman"/>
              </w:rPr>
              <w:lastRenderedPageBreak/>
              <w:t xml:space="preserve">ТОП-джерел. ТОП спікерів </w:t>
            </w:r>
            <w:r w:rsidR="003A74EF" w:rsidRPr="003A74EF">
              <w:rPr>
                <w:rFonts w:ascii="Times New Roman" w:hAnsi="Times New Roman"/>
              </w:rPr>
              <w:t>Державної установи «Центр громадського здоров’я Міністерства охорони здоров’я України»</w:t>
            </w:r>
          </w:p>
          <w:p w14:paraId="3968D9C2" w14:textId="77777777" w:rsidR="00C73FCA" w:rsidRPr="00B575BC" w:rsidRDefault="00C73FCA" w:rsidP="00C73FCA">
            <w:pPr>
              <w:numPr>
                <w:ilvl w:val="0"/>
                <w:numId w:val="35"/>
              </w:numPr>
              <w:spacing w:after="0" w:line="240" w:lineRule="auto"/>
              <w:rPr>
                <w:rFonts w:ascii="Times New Roman" w:hAnsi="Times New Roman"/>
              </w:rPr>
            </w:pPr>
            <w:r w:rsidRPr="00B575BC">
              <w:rPr>
                <w:rFonts w:ascii="Times New Roman" w:hAnsi="Times New Roman"/>
              </w:rPr>
              <w:t>Розподіл згадувань всіх об’єктів за регіонами</w:t>
            </w:r>
          </w:p>
          <w:p w14:paraId="0676C956" w14:textId="77777777" w:rsidR="00C73FCA" w:rsidRPr="00B575BC" w:rsidRDefault="00C73FCA" w:rsidP="00981CD9">
            <w:pPr>
              <w:spacing w:line="240" w:lineRule="auto"/>
              <w:rPr>
                <w:rFonts w:ascii="Times New Roman" w:hAnsi="Times New Roman"/>
              </w:rPr>
            </w:pPr>
          </w:p>
          <w:p w14:paraId="1616A443" w14:textId="77777777" w:rsidR="00C73FCA" w:rsidRPr="00B575BC" w:rsidRDefault="00C73FCA" w:rsidP="00981CD9">
            <w:pPr>
              <w:spacing w:line="240" w:lineRule="auto"/>
              <w:rPr>
                <w:rFonts w:ascii="Times New Roman" w:hAnsi="Times New Roman"/>
              </w:rPr>
            </w:pPr>
            <w:r w:rsidRPr="00B575BC">
              <w:rPr>
                <w:rFonts w:ascii="Times New Roman" w:hAnsi="Times New Roman"/>
              </w:rPr>
              <w:t>Попередні якісні параметри щоденного моніторингу (до погодження Замовником):</w:t>
            </w:r>
          </w:p>
          <w:p w14:paraId="7DA864C5" w14:textId="77777777" w:rsidR="00C73FCA" w:rsidRPr="00B575BC" w:rsidRDefault="00C73FCA" w:rsidP="00C73FCA">
            <w:pPr>
              <w:numPr>
                <w:ilvl w:val="0"/>
                <w:numId w:val="34"/>
              </w:numPr>
              <w:spacing w:after="0" w:line="240" w:lineRule="auto"/>
              <w:rPr>
                <w:rFonts w:ascii="Times New Roman" w:hAnsi="Times New Roman"/>
              </w:rPr>
            </w:pPr>
            <w:r w:rsidRPr="00B575BC">
              <w:rPr>
                <w:rFonts w:ascii="Times New Roman" w:hAnsi="Times New Roman"/>
              </w:rPr>
              <w:t>Розподіл згадок за тональністю та категоріями</w:t>
            </w:r>
          </w:p>
          <w:p w14:paraId="402ECFE1" w14:textId="77777777" w:rsidR="00C73FCA" w:rsidRPr="00B575BC" w:rsidRDefault="00C73FCA" w:rsidP="00C73FCA">
            <w:pPr>
              <w:numPr>
                <w:ilvl w:val="0"/>
                <w:numId w:val="34"/>
              </w:numPr>
              <w:spacing w:after="0" w:line="240" w:lineRule="auto"/>
              <w:rPr>
                <w:rFonts w:ascii="Times New Roman" w:hAnsi="Times New Roman"/>
              </w:rPr>
            </w:pPr>
            <w:r w:rsidRPr="00B575BC">
              <w:rPr>
                <w:rFonts w:ascii="Times New Roman" w:hAnsi="Times New Roman"/>
              </w:rPr>
              <w:t>ТОП-джерел за позитивом і негативом</w:t>
            </w:r>
          </w:p>
          <w:p w14:paraId="5EE9BD62" w14:textId="77777777" w:rsidR="00C73FCA" w:rsidRPr="00B575BC" w:rsidRDefault="00C73FCA" w:rsidP="00C73FCA">
            <w:pPr>
              <w:numPr>
                <w:ilvl w:val="0"/>
                <w:numId w:val="34"/>
              </w:numPr>
              <w:spacing w:after="0" w:line="240" w:lineRule="auto"/>
              <w:rPr>
                <w:rFonts w:ascii="Times New Roman" w:hAnsi="Times New Roman"/>
              </w:rPr>
            </w:pPr>
            <w:r w:rsidRPr="00B575BC">
              <w:rPr>
                <w:rFonts w:ascii="Times New Roman" w:hAnsi="Times New Roman"/>
              </w:rPr>
              <w:t>Індекс прихильності медіа для всіх об’єктів</w:t>
            </w:r>
          </w:p>
          <w:p w14:paraId="48133FDA" w14:textId="77777777" w:rsidR="00C73FCA" w:rsidRPr="00B575BC" w:rsidRDefault="00C73FCA" w:rsidP="00981CD9">
            <w:pPr>
              <w:spacing w:line="240" w:lineRule="auto"/>
              <w:rPr>
                <w:rFonts w:ascii="Times New Roman" w:hAnsi="Times New Roman"/>
              </w:rPr>
            </w:pPr>
          </w:p>
          <w:p w14:paraId="25857393" w14:textId="77777777" w:rsidR="00C73FCA" w:rsidRPr="00B575BC" w:rsidRDefault="00C73FCA" w:rsidP="00981CD9">
            <w:pPr>
              <w:spacing w:line="240" w:lineRule="auto"/>
              <w:rPr>
                <w:rFonts w:ascii="Times New Roman" w:hAnsi="Times New Roman"/>
              </w:rPr>
            </w:pPr>
            <w:r w:rsidRPr="00B575BC">
              <w:rPr>
                <w:rFonts w:ascii="Times New Roman" w:hAnsi="Times New Roman"/>
              </w:rPr>
              <w:t>Попередні показники щомісячного, щоквартального та річного звіту (до погодження Замовником):</w:t>
            </w:r>
          </w:p>
          <w:p w14:paraId="0BAF9F07" w14:textId="77777777"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Загальна кількість згадувань, динаміка</w:t>
            </w:r>
          </w:p>
          <w:p w14:paraId="6B74941A" w14:textId="77777777"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Прогнозне охоплення аудиторії</w:t>
            </w:r>
          </w:p>
          <w:p w14:paraId="72628B00" w14:textId="77777777"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Тональність згадування</w:t>
            </w:r>
          </w:p>
          <w:p w14:paraId="497B6C05" w14:textId="77777777"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Розподіл згадувань за типами ЗМІ</w:t>
            </w:r>
          </w:p>
          <w:p w14:paraId="1EEBE0BF" w14:textId="77777777"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 xml:space="preserve">Топ-5 </w:t>
            </w:r>
            <w:proofErr w:type="spellStart"/>
            <w:r w:rsidRPr="00B575BC">
              <w:rPr>
                <w:rFonts w:ascii="Times New Roman" w:hAnsi="Times New Roman"/>
              </w:rPr>
              <w:t>інфопривідів</w:t>
            </w:r>
            <w:proofErr w:type="spellEnd"/>
            <w:r w:rsidRPr="00B575BC">
              <w:rPr>
                <w:rFonts w:ascii="Times New Roman" w:hAnsi="Times New Roman"/>
              </w:rPr>
              <w:t xml:space="preserve"> місяця за попередній період</w:t>
            </w:r>
          </w:p>
          <w:p w14:paraId="5A19CC90" w14:textId="77777777" w:rsidR="00C73FCA" w:rsidRPr="00B575BC" w:rsidRDefault="00C73FCA" w:rsidP="00C73FCA">
            <w:pPr>
              <w:numPr>
                <w:ilvl w:val="0"/>
                <w:numId w:val="31"/>
              </w:numPr>
              <w:spacing w:after="0" w:line="240" w:lineRule="auto"/>
              <w:rPr>
                <w:rFonts w:ascii="Times New Roman" w:hAnsi="Times New Roman"/>
              </w:rPr>
            </w:pPr>
            <w:proofErr w:type="spellStart"/>
            <w:r w:rsidRPr="00B575BC">
              <w:rPr>
                <w:rFonts w:ascii="Times New Roman" w:hAnsi="Times New Roman"/>
              </w:rPr>
              <w:t>Ключови</w:t>
            </w:r>
            <w:proofErr w:type="spellEnd"/>
            <w:r w:rsidRPr="00B575BC">
              <w:rPr>
                <w:rFonts w:ascii="Times New Roman" w:hAnsi="Times New Roman"/>
              </w:rPr>
              <w:t xml:space="preserve"> </w:t>
            </w:r>
            <w:proofErr w:type="spellStart"/>
            <w:r w:rsidRPr="00B575BC">
              <w:rPr>
                <w:rFonts w:ascii="Times New Roman" w:hAnsi="Times New Roman"/>
              </w:rPr>
              <w:t>повідомленя</w:t>
            </w:r>
            <w:proofErr w:type="spellEnd"/>
            <w:r w:rsidRPr="00B575BC">
              <w:rPr>
                <w:rFonts w:ascii="Times New Roman" w:hAnsi="Times New Roman"/>
              </w:rPr>
              <w:t xml:space="preserve"> (меседжі) новин галузі охорони здоров’я</w:t>
            </w:r>
          </w:p>
          <w:p w14:paraId="2AC98D9A" w14:textId="63A8D5FD"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 xml:space="preserve">Топ-5 найактивніших спікерів </w:t>
            </w:r>
            <w:r w:rsidR="003A74EF" w:rsidRPr="003A74EF">
              <w:rPr>
                <w:rFonts w:ascii="Times New Roman" w:hAnsi="Times New Roman"/>
              </w:rPr>
              <w:t xml:space="preserve">Державної установи «Центр громадського здоров’я Міністерства охорони здоров’я України» </w:t>
            </w:r>
            <w:r w:rsidRPr="00B575BC">
              <w:rPr>
                <w:rFonts w:ascii="Times New Roman" w:hAnsi="Times New Roman"/>
              </w:rPr>
              <w:t xml:space="preserve"> по кількості та динаміці </w:t>
            </w:r>
          </w:p>
          <w:p w14:paraId="114A05E5" w14:textId="77777777"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 xml:space="preserve">Топ-5 спікерів по </w:t>
            </w:r>
            <w:proofErr w:type="spellStart"/>
            <w:r w:rsidRPr="00B575BC">
              <w:rPr>
                <w:rFonts w:ascii="Times New Roman" w:hAnsi="Times New Roman"/>
              </w:rPr>
              <w:t>цитованості</w:t>
            </w:r>
            <w:proofErr w:type="spellEnd"/>
            <w:r w:rsidRPr="00B575BC">
              <w:rPr>
                <w:rFonts w:ascii="Times New Roman" w:hAnsi="Times New Roman"/>
              </w:rPr>
              <w:t xml:space="preserve"> </w:t>
            </w:r>
          </w:p>
          <w:p w14:paraId="5FD0D777" w14:textId="141B9C2A" w:rsidR="00C73FCA" w:rsidRPr="00B575BC" w:rsidRDefault="00C73FCA" w:rsidP="00C73FCA">
            <w:pPr>
              <w:numPr>
                <w:ilvl w:val="0"/>
                <w:numId w:val="31"/>
              </w:numPr>
              <w:spacing w:after="0" w:line="240" w:lineRule="auto"/>
              <w:rPr>
                <w:rFonts w:ascii="Times New Roman" w:hAnsi="Times New Roman"/>
              </w:rPr>
            </w:pPr>
            <w:r w:rsidRPr="00B575BC">
              <w:rPr>
                <w:rFonts w:ascii="Times New Roman" w:hAnsi="Times New Roman"/>
              </w:rPr>
              <w:t xml:space="preserve">Перелік медіа та журналістів, які найбільше писали про </w:t>
            </w:r>
            <w:r w:rsidR="003A74EF" w:rsidRPr="003A74EF">
              <w:rPr>
                <w:rFonts w:ascii="Times New Roman" w:hAnsi="Times New Roman"/>
              </w:rPr>
              <w:t>Державн</w:t>
            </w:r>
            <w:r w:rsidR="003A74EF">
              <w:rPr>
                <w:rFonts w:ascii="Times New Roman" w:hAnsi="Times New Roman"/>
              </w:rPr>
              <w:t>у</w:t>
            </w:r>
            <w:r w:rsidR="003A74EF" w:rsidRPr="003A74EF">
              <w:rPr>
                <w:rFonts w:ascii="Times New Roman" w:hAnsi="Times New Roman"/>
              </w:rPr>
              <w:t xml:space="preserve"> установ</w:t>
            </w:r>
            <w:r w:rsidR="003A74EF">
              <w:rPr>
                <w:rFonts w:ascii="Times New Roman" w:hAnsi="Times New Roman"/>
              </w:rPr>
              <w:t>у</w:t>
            </w:r>
            <w:r w:rsidR="003A74EF" w:rsidRPr="003A74EF">
              <w:rPr>
                <w:rFonts w:ascii="Times New Roman" w:hAnsi="Times New Roman"/>
              </w:rPr>
              <w:t xml:space="preserve"> «Центр громадського здоров’я Міністерства охорони здоров’я України»</w:t>
            </w:r>
            <w:r w:rsidRPr="00B575BC">
              <w:rPr>
                <w:rFonts w:ascii="Times New Roman" w:hAnsi="Times New Roman"/>
              </w:rPr>
              <w:t xml:space="preserve">, громадських діячів що згадуються з </w:t>
            </w:r>
            <w:r w:rsidR="003A74EF" w:rsidRPr="003A74EF">
              <w:rPr>
                <w:rFonts w:ascii="Times New Roman" w:hAnsi="Times New Roman"/>
              </w:rPr>
              <w:t>Державно</w:t>
            </w:r>
            <w:r w:rsidR="003A74EF">
              <w:rPr>
                <w:rFonts w:ascii="Times New Roman" w:hAnsi="Times New Roman"/>
              </w:rPr>
              <w:t xml:space="preserve">ю </w:t>
            </w:r>
            <w:r w:rsidR="003A74EF" w:rsidRPr="003A74EF">
              <w:rPr>
                <w:rFonts w:ascii="Times New Roman" w:hAnsi="Times New Roman"/>
              </w:rPr>
              <w:t>установ</w:t>
            </w:r>
            <w:r w:rsidR="003A74EF">
              <w:rPr>
                <w:rFonts w:ascii="Times New Roman" w:hAnsi="Times New Roman"/>
              </w:rPr>
              <w:t>ою</w:t>
            </w:r>
            <w:r w:rsidR="003A74EF" w:rsidRPr="003A74EF">
              <w:rPr>
                <w:rFonts w:ascii="Times New Roman" w:hAnsi="Times New Roman"/>
              </w:rPr>
              <w:t xml:space="preserve"> «Центр громадського здоров’я Міністерства охорони здоров’я України»</w:t>
            </w:r>
          </w:p>
          <w:p w14:paraId="69E6CFB0" w14:textId="77777777" w:rsidR="00C73FCA" w:rsidRPr="00B575BC" w:rsidRDefault="00C73FCA" w:rsidP="00981CD9">
            <w:pPr>
              <w:spacing w:line="240" w:lineRule="auto"/>
              <w:rPr>
                <w:rFonts w:ascii="Times New Roman" w:hAnsi="Times New Roman"/>
              </w:rPr>
            </w:pPr>
          </w:p>
          <w:p w14:paraId="56BA7C83" w14:textId="77777777" w:rsidR="00C73FCA" w:rsidRPr="00B575BC" w:rsidRDefault="00C73FCA" w:rsidP="00981CD9">
            <w:pPr>
              <w:spacing w:line="240" w:lineRule="auto"/>
              <w:rPr>
                <w:rFonts w:ascii="Times New Roman" w:hAnsi="Times New Roman"/>
              </w:rPr>
            </w:pPr>
            <w:r w:rsidRPr="00B575BC">
              <w:rPr>
                <w:rFonts w:ascii="Times New Roman" w:hAnsi="Times New Roman"/>
              </w:rPr>
              <w:t>Технічна підтримка протягом усього періоду надання послуги.</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4B4784CE" w14:textId="77777777" w:rsidR="00C73FCA" w:rsidRPr="00B575BC" w:rsidRDefault="00C73FCA" w:rsidP="00981CD9">
            <w:pPr>
              <w:spacing w:line="240" w:lineRule="auto"/>
              <w:jc w:val="center"/>
              <w:rPr>
                <w:rFonts w:ascii="Times New Roman" w:hAnsi="Times New Roman"/>
              </w:rPr>
            </w:pPr>
            <w:r w:rsidRPr="00B575BC">
              <w:rPr>
                <w:rFonts w:ascii="Times New Roman" w:hAnsi="Times New Roman"/>
              </w:rPr>
              <w:lastRenderedPageBreak/>
              <w:t>1</w:t>
            </w:r>
          </w:p>
        </w:tc>
      </w:tr>
    </w:tbl>
    <w:p w14:paraId="01B0DCBA" w14:textId="3B9E6FA1" w:rsidR="00D46AC6" w:rsidRDefault="00D46AC6" w:rsidP="00D46AC6">
      <w:pPr>
        <w:rPr>
          <w:rFonts w:ascii="Times New Roman" w:hAnsi="Times New Roman"/>
        </w:rPr>
      </w:pPr>
    </w:p>
    <w:p w14:paraId="482D4B3B" w14:textId="77777777" w:rsidR="003A74EF" w:rsidRPr="00283797" w:rsidRDefault="003A74EF" w:rsidP="00D46AC6">
      <w:pPr>
        <w:rPr>
          <w:rFonts w:ascii="Times New Roman" w:hAnsi="Times New Roman"/>
        </w:rPr>
      </w:pPr>
    </w:p>
    <w:p w14:paraId="79107E72" w14:textId="77777777" w:rsidR="00D46AC6" w:rsidRPr="00DD1249" w:rsidRDefault="00D46AC6" w:rsidP="00D46AC6">
      <w:pPr>
        <w:rPr>
          <w:rFonts w:ascii="Times New Roman" w:hAnsi="Times New Roman"/>
        </w:rPr>
      </w:pPr>
      <w:r>
        <w:rPr>
          <w:rFonts w:ascii="Times New Roman" w:hAnsi="Times New Roman"/>
        </w:rPr>
        <w:t xml:space="preserve">Строк надання послуг - </w:t>
      </w:r>
      <w:r w:rsidRPr="000F1AC5">
        <w:rPr>
          <w:rFonts w:ascii="Times New Roman" w:hAnsi="Times New Roman"/>
        </w:rPr>
        <w:t>з дати підписання договору – до 15.11.2022 року</w:t>
      </w:r>
      <w:r>
        <w:rPr>
          <w:rFonts w:ascii="Times New Roman" w:hAnsi="Times New Roman"/>
        </w:rPr>
        <w:t>.</w:t>
      </w:r>
    </w:p>
    <w:p w14:paraId="7ED84AEE" w14:textId="77777777" w:rsidR="008F72AB" w:rsidRPr="00CF79B8" w:rsidRDefault="008F72AB" w:rsidP="00382BA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8F72AB" w14:paraId="6CFD1480" w14:textId="77777777" w:rsidTr="007E7571">
        <w:tc>
          <w:tcPr>
            <w:tcW w:w="4859" w:type="dxa"/>
          </w:tcPr>
          <w:p w14:paraId="6C5DB9EA" w14:textId="77777777" w:rsidR="007F0144" w:rsidRPr="008F72AB"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8F72AB">
              <w:rPr>
                <w:rFonts w:ascii="Times New Roman" w:hAnsi="Times New Roman"/>
                <w:color w:val="000000"/>
                <w:sz w:val="24"/>
                <w:szCs w:val="24"/>
              </w:rPr>
              <w:t xml:space="preserve">Керівник Учасника процедури закупівлі </w:t>
            </w:r>
          </w:p>
          <w:p w14:paraId="62B22F35" w14:textId="77777777" w:rsidR="007F0144" w:rsidRPr="008F72AB"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8F72AB">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8F72AB"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8F72AB">
              <w:rPr>
                <w:rFonts w:ascii="Times New Roman" w:hAnsi="Times New Roman"/>
                <w:color w:val="000000"/>
                <w:sz w:val="24"/>
                <w:szCs w:val="24"/>
              </w:rPr>
              <w:t>підпис</w:t>
            </w:r>
          </w:p>
        </w:tc>
        <w:tc>
          <w:tcPr>
            <w:tcW w:w="2121" w:type="dxa"/>
          </w:tcPr>
          <w:p w14:paraId="237C8ED7" w14:textId="77777777" w:rsidR="007F0144" w:rsidRPr="008F72AB"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8F72AB">
              <w:rPr>
                <w:rFonts w:ascii="Times New Roman" w:hAnsi="Times New Roman"/>
                <w:color w:val="000000"/>
                <w:sz w:val="24"/>
                <w:szCs w:val="24"/>
              </w:rPr>
              <w:t>Прізвище,</w:t>
            </w:r>
          </w:p>
          <w:p w14:paraId="7C809C67" w14:textId="77777777" w:rsidR="007F0144" w:rsidRPr="008F72AB"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8F72AB">
              <w:rPr>
                <w:rFonts w:ascii="Times New Roman" w:hAnsi="Times New Roman"/>
                <w:color w:val="000000"/>
                <w:sz w:val="24"/>
                <w:szCs w:val="24"/>
              </w:rPr>
              <w:t>ініціали</w:t>
            </w:r>
          </w:p>
        </w:tc>
      </w:tr>
    </w:tbl>
    <w:p w14:paraId="440860B8" w14:textId="77777777" w:rsidR="007F0144" w:rsidRPr="008F72AB"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2B74971F" w14:textId="77777777" w:rsidR="00C73FCA" w:rsidRDefault="00C73FCA" w:rsidP="00C845EC">
      <w:pPr>
        <w:spacing w:after="0" w:line="240" w:lineRule="auto"/>
        <w:ind w:left="8222" w:right="-709"/>
        <w:rPr>
          <w:rFonts w:ascii="Times New Roman" w:hAnsi="Times New Roman"/>
          <w:sz w:val="24"/>
          <w:szCs w:val="24"/>
        </w:rPr>
      </w:pPr>
    </w:p>
    <w:p w14:paraId="63A1D0BF" w14:textId="77777777" w:rsidR="00C73FCA" w:rsidRDefault="00C73FCA" w:rsidP="00C845EC">
      <w:pPr>
        <w:spacing w:after="0" w:line="240" w:lineRule="auto"/>
        <w:ind w:left="8222" w:right="-709"/>
        <w:rPr>
          <w:rFonts w:ascii="Times New Roman" w:hAnsi="Times New Roman"/>
          <w:sz w:val="24"/>
          <w:szCs w:val="24"/>
        </w:rPr>
      </w:pPr>
    </w:p>
    <w:p w14:paraId="0398D226" w14:textId="77777777" w:rsidR="00C73FCA" w:rsidRDefault="00C73FCA" w:rsidP="00C845EC">
      <w:pPr>
        <w:spacing w:after="0" w:line="240" w:lineRule="auto"/>
        <w:ind w:left="8222" w:right="-709"/>
        <w:rPr>
          <w:rFonts w:ascii="Times New Roman" w:hAnsi="Times New Roman"/>
          <w:sz w:val="24"/>
          <w:szCs w:val="24"/>
        </w:rPr>
      </w:pPr>
    </w:p>
    <w:p w14:paraId="00130B99" w14:textId="77777777" w:rsidR="00C73FCA" w:rsidRDefault="00C73FCA" w:rsidP="00C845EC">
      <w:pPr>
        <w:spacing w:after="0" w:line="240" w:lineRule="auto"/>
        <w:ind w:left="8222" w:right="-709"/>
        <w:rPr>
          <w:rFonts w:ascii="Times New Roman" w:hAnsi="Times New Roman"/>
          <w:sz w:val="24"/>
          <w:szCs w:val="24"/>
        </w:rPr>
      </w:pPr>
    </w:p>
    <w:p w14:paraId="15B6BD14" w14:textId="77777777" w:rsidR="00C73FCA" w:rsidRDefault="00C73FCA" w:rsidP="00C845EC">
      <w:pPr>
        <w:spacing w:after="0" w:line="240" w:lineRule="auto"/>
        <w:ind w:left="8222" w:right="-709"/>
        <w:rPr>
          <w:rFonts w:ascii="Times New Roman" w:hAnsi="Times New Roman"/>
          <w:sz w:val="24"/>
          <w:szCs w:val="24"/>
        </w:rPr>
      </w:pPr>
    </w:p>
    <w:p w14:paraId="414BABA8" w14:textId="77777777" w:rsidR="00C73FCA" w:rsidRDefault="00C73FCA" w:rsidP="00C845EC">
      <w:pPr>
        <w:spacing w:after="0" w:line="240" w:lineRule="auto"/>
        <w:ind w:left="8222" w:right="-709"/>
        <w:rPr>
          <w:rFonts w:ascii="Times New Roman" w:hAnsi="Times New Roman"/>
          <w:sz w:val="24"/>
          <w:szCs w:val="24"/>
        </w:rPr>
      </w:pPr>
    </w:p>
    <w:p w14:paraId="5214FE7F" w14:textId="77777777" w:rsidR="00C73FCA" w:rsidRDefault="00C73FCA" w:rsidP="00C845EC">
      <w:pPr>
        <w:spacing w:after="0" w:line="240" w:lineRule="auto"/>
        <w:ind w:left="8222" w:right="-709"/>
        <w:rPr>
          <w:rFonts w:ascii="Times New Roman" w:hAnsi="Times New Roman"/>
          <w:sz w:val="24"/>
          <w:szCs w:val="24"/>
        </w:rPr>
      </w:pPr>
    </w:p>
    <w:p w14:paraId="24E97699" w14:textId="77777777" w:rsidR="00C73FCA" w:rsidRDefault="00C73FCA" w:rsidP="00C845EC">
      <w:pPr>
        <w:spacing w:after="0" w:line="240" w:lineRule="auto"/>
        <w:ind w:left="8222" w:right="-709"/>
        <w:rPr>
          <w:rFonts w:ascii="Times New Roman" w:hAnsi="Times New Roman"/>
          <w:sz w:val="24"/>
          <w:szCs w:val="24"/>
        </w:rPr>
      </w:pPr>
    </w:p>
    <w:p w14:paraId="2593CE9E" w14:textId="77777777" w:rsidR="00C73FCA" w:rsidRDefault="00C73FCA" w:rsidP="00C845EC">
      <w:pPr>
        <w:spacing w:after="0" w:line="240" w:lineRule="auto"/>
        <w:ind w:left="8222" w:right="-709"/>
        <w:rPr>
          <w:rFonts w:ascii="Times New Roman" w:hAnsi="Times New Roman"/>
          <w:sz w:val="24"/>
          <w:szCs w:val="24"/>
        </w:rPr>
      </w:pPr>
    </w:p>
    <w:p w14:paraId="349649B2" w14:textId="77777777" w:rsidR="00C73FCA" w:rsidRDefault="00C73FCA" w:rsidP="00C845EC">
      <w:pPr>
        <w:spacing w:after="0" w:line="240" w:lineRule="auto"/>
        <w:ind w:left="8222" w:right="-709"/>
        <w:rPr>
          <w:rFonts w:ascii="Times New Roman" w:hAnsi="Times New Roman"/>
          <w:sz w:val="24"/>
          <w:szCs w:val="24"/>
        </w:rPr>
      </w:pPr>
    </w:p>
    <w:p w14:paraId="3794D73C" w14:textId="305478C5" w:rsidR="00C845E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33A9FB87" w14:textId="77777777" w:rsidR="00C73FCA" w:rsidRPr="00725DDC" w:rsidRDefault="00C73FCA" w:rsidP="00C845EC">
      <w:pPr>
        <w:spacing w:after="0" w:line="240" w:lineRule="auto"/>
        <w:ind w:left="8222" w:right="-709"/>
        <w:rPr>
          <w:rFonts w:ascii="Times New Roman" w:hAnsi="Times New Roman"/>
          <w:sz w:val="24"/>
          <w:szCs w:val="24"/>
        </w:rPr>
      </w:pPr>
    </w:p>
    <w:p w14:paraId="2AD1F81E" w14:textId="1B233B58" w:rsidR="00C73FCA"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0BB8EC3B" w:rsidR="00474F41"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C73FCA" w:rsidRPr="00C73FCA">
        <w:rPr>
          <w:rFonts w:ascii="Times New Roman" w:hAnsi="Times New Roman"/>
          <w:b/>
          <w:sz w:val="24"/>
          <w:szCs w:val="24"/>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r w:rsidR="00C73FCA">
        <w:rPr>
          <w:rFonts w:ascii="Times New Roman" w:hAnsi="Times New Roman"/>
          <w:b/>
          <w:sz w:val="24"/>
          <w:szCs w:val="24"/>
        </w:rPr>
        <w:t xml:space="preserve"> </w:t>
      </w:r>
      <w:proofErr w:type="spellStart"/>
      <w:r w:rsidRPr="00725DDC">
        <w:rPr>
          <w:rFonts w:ascii="Times New Roman" w:hAnsi="Times New Roman"/>
          <w:sz w:val="24"/>
          <w:szCs w:val="24"/>
        </w:rPr>
        <w:t>в</w:t>
      </w:r>
      <w:proofErr w:type="spellEnd"/>
      <w:r w:rsidRPr="00725DDC">
        <w:rPr>
          <w:rFonts w:ascii="Times New Roman" w:hAnsi="Times New Roman"/>
          <w:sz w:val="24"/>
          <w:szCs w:val="24"/>
        </w:rPr>
        <w:t xml:space="preserve"> наступному обсязі:</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985"/>
        <w:gridCol w:w="1701"/>
        <w:gridCol w:w="6"/>
        <w:gridCol w:w="1128"/>
        <w:gridCol w:w="1417"/>
        <w:gridCol w:w="1418"/>
      </w:tblGrid>
      <w:tr w:rsidR="00C845EC" w:rsidRPr="00725DDC" w14:paraId="0A21CAF4" w14:textId="77777777" w:rsidTr="008F72AB">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253"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701"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4" w:type="dxa"/>
            <w:gridSpan w:val="2"/>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417"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418"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63203A72" w14:textId="77777777" w:rsidTr="008F72AB">
        <w:trPr>
          <w:trHeight w:val="365"/>
        </w:trPr>
        <w:tc>
          <w:tcPr>
            <w:tcW w:w="568" w:type="dxa"/>
            <w:shd w:val="clear" w:color="auto" w:fill="FFFFFF" w:themeFill="background1"/>
          </w:tcPr>
          <w:p w14:paraId="6D0E2568" w14:textId="4ABF9248" w:rsidR="004266D9" w:rsidRPr="00725DDC" w:rsidRDefault="00D51395" w:rsidP="008D7A8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253" w:type="dxa"/>
            <w:gridSpan w:val="2"/>
            <w:shd w:val="clear" w:color="auto" w:fill="auto"/>
            <w:vAlign w:val="center"/>
          </w:tcPr>
          <w:p w14:paraId="52BDEEA2" w14:textId="3BF0B744" w:rsidR="004266D9" w:rsidRPr="00BF2E75" w:rsidRDefault="00C73FCA" w:rsidP="008D7A8B">
            <w:pPr>
              <w:pStyle w:val="a8"/>
              <w:tabs>
                <w:tab w:val="left" w:pos="312"/>
              </w:tabs>
              <w:ind w:left="28"/>
              <w:rPr>
                <w:rFonts w:ascii="Times New Roman" w:eastAsia="Arial" w:hAnsi="Times New Roman"/>
                <w:sz w:val="24"/>
                <w:szCs w:val="24"/>
                <w:lang w:val="ru-RU" w:eastAsia="ru-RU"/>
              </w:rPr>
            </w:pPr>
            <w:r w:rsidRPr="00C73FCA">
              <w:rPr>
                <w:rFonts w:ascii="Times New Roman" w:eastAsia="Arial" w:hAnsi="Times New Roman"/>
                <w:sz w:val="24"/>
                <w:szCs w:val="24"/>
                <w:lang w:val="uk" w:eastAsia="ru-RU"/>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p>
        </w:tc>
        <w:tc>
          <w:tcPr>
            <w:tcW w:w="1701" w:type="dxa"/>
            <w:tcBorders>
              <w:right w:val="single" w:sz="4" w:space="0" w:color="auto"/>
            </w:tcBorders>
            <w:shd w:val="clear" w:color="auto" w:fill="auto"/>
          </w:tcPr>
          <w:p w14:paraId="3323B1FF" w14:textId="77777777" w:rsidR="00C443B8" w:rsidRDefault="00C443B8" w:rsidP="008F72AB">
            <w:pPr>
              <w:jc w:val="center"/>
              <w:rPr>
                <w:rFonts w:ascii="Times New Roman" w:hAnsi="Times New Roman"/>
              </w:rPr>
            </w:pPr>
          </w:p>
          <w:p w14:paraId="5B788D66" w14:textId="2D0EFD99" w:rsidR="004266D9" w:rsidRPr="008F72AB" w:rsidRDefault="008F72AB" w:rsidP="008F72AB">
            <w:pPr>
              <w:jc w:val="center"/>
              <w:rPr>
                <w:rFonts w:ascii="Times New Roman" w:hAnsi="Times New Roman"/>
              </w:rPr>
            </w:pPr>
            <w:r>
              <w:rPr>
                <w:rFonts w:ascii="Times New Roman" w:hAnsi="Times New Roman"/>
              </w:rPr>
              <w:t>З</w:t>
            </w:r>
            <w:r w:rsidRPr="008F72AB">
              <w:rPr>
                <w:rFonts w:ascii="Times New Roman" w:hAnsi="Times New Roman"/>
              </w:rPr>
              <w:t xml:space="preserve"> дати підписання договору – до </w:t>
            </w:r>
            <w:r w:rsidR="00DA071B">
              <w:rPr>
                <w:rFonts w:ascii="Times New Roman" w:hAnsi="Times New Roman"/>
              </w:rPr>
              <w:t>15.11</w:t>
            </w:r>
            <w:r w:rsidRPr="008F72AB">
              <w:rPr>
                <w:rFonts w:ascii="Times New Roman" w:hAnsi="Times New Roman"/>
              </w:rPr>
              <w:t>.2022 року.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773C703" w:rsidR="004266D9" w:rsidRPr="008C0D13" w:rsidRDefault="004266D9" w:rsidP="00BC4E41">
            <w:pPr>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4266D9" w:rsidRPr="00725DDC" w:rsidRDefault="004266D9" w:rsidP="00BC4E41">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8F72A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960" w:type="dxa"/>
            <w:gridSpan w:val="4"/>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963"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8F72AB">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960" w:type="dxa"/>
            <w:gridSpan w:val="4"/>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963"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8F72AB">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985"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701"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969" w:type="dxa"/>
            <w:gridSpan w:val="4"/>
            <w:shd w:val="clear" w:color="auto" w:fill="auto"/>
            <w:hideMark/>
          </w:tcPr>
          <w:p w14:paraId="26E73D73" w14:textId="604AC88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6A04DB">
              <w:rPr>
                <w:rFonts w:ascii="Times New Roman" w:hAnsi="Times New Roman"/>
                <w:sz w:val="24"/>
                <w:szCs w:val="24"/>
              </w:rPr>
              <w:t>2</w:t>
            </w:r>
          </w:p>
        </w:tc>
      </w:tr>
      <w:tr w:rsidR="00C845EC" w:rsidRPr="00725DDC" w14:paraId="4F97D91B" w14:textId="77777777" w:rsidTr="008F72AB">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692" w:type="dxa"/>
            <w:gridSpan w:val="3"/>
            <w:shd w:val="clear" w:color="auto" w:fill="auto"/>
            <w:hideMark/>
          </w:tcPr>
          <w:p w14:paraId="6B694434" w14:textId="13C043ED"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за фактом надання послуг (післяплата) </w:t>
            </w:r>
            <w:r w:rsidR="009B1ABB" w:rsidRPr="009B1ABB">
              <w:rPr>
                <w:rFonts w:ascii="Times New Roman" w:hAnsi="Times New Roman"/>
                <w:sz w:val="24"/>
                <w:szCs w:val="24"/>
              </w:rPr>
              <w:t>протягом 5 (п’ять) робочих днів на підставі акт</w:t>
            </w:r>
            <w:r w:rsidR="00FE7AFE">
              <w:rPr>
                <w:rFonts w:ascii="Times New Roman" w:hAnsi="Times New Roman"/>
                <w:sz w:val="24"/>
                <w:szCs w:val="24"/>
              </w:rPr>
              <w:t>у</w:t>
            </w:r>
            <w:r w:rsidR="009B1ABB" w:rsidRPr="009B1ABB">
              <w:rPr>
                <w:rFonts w:ascii="Times New Roman" w:hAnsi="Times New Roman"/>
                <w:sz w:val="24"/>
                <w:szCs w:val="24"/>
              </w:rPr>
              <w:t xml:space="preserve"> надання послуг.</w:t>
            </w:r>
            <w:r w:rsidR="00C845EC" w:rsidRPr="00725DDC">
              <w:rPr>
                <w:rFonts w:ascii="Times New Roman" w:hAnsi="Times New Roman"/>
                <w:sz w:val="24"/>
                <w:szCs w:val="24"/>
              </w:rPr>
              <w:t xml:space="preserve"> </w:t>
            </w:r>
          </w:p>
        </w:tc>
        <w:tc>
          <w:tcPr>
            <w:tcW w:w="3963"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8F72AB">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692" w:type="dxa"/>
            <w:gridSpan w:val="3"/>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963"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8F72AB">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692" w:type="dxa"/>
            <w:gridSpan w:val="3"/>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963"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8F72AB">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692" w:type="dxa"/>
            <w:gridSpan w:val="3"/>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63"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8F72AB">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692" w:type="dxa"/>
            <w:gridSpan w:val="3"/>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63"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8F72AB">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692" w:type="dxa"/>
            <w:gridSpan w:val="3"/>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6E4E50">
              <w:rPr>
                <w:rFonts w:ascii="Times New Roman" w:hAnsi="Times New Roman"/>
                <w:sz w:val="23"/>
                <w:szCs w:val="23"/>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3963"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8F72AB">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692" w:type="dxa"/>
            <w:gridSpan w:val="3"/>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963"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491" w:type="dxa"/>
        <w:tblInd w:w="-431" w:type="dxa"/>
        <w:tblLook w:val="04A0" w:firstRow="1" w:lastRow="0" w:firstColumn="1" w:lastColumn="0" w:noHBand="0" w:noVBand="1"/>
      </w:tblPr>
      <w:tblGrid>
        <w:gridCol w:w="852"/>
        <w:gridCol w:w="4536"/>
        <w:gridCol w:w="5103"/>
      </w:tblGrid>
      <w:tr w:rsidR="00C845EC" w:rsidRPr="00725DDC" w14:paraId="5D9DC34F" w14:textId="77777777" w:rsidTr="00E54036">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639"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E54036">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5103"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E54036">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5103"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E54036">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5103"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E54036">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5103"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E54036">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5103"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E54036">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5103"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E54036">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5103"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E54036">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5103"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E54036">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5103"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E54036">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103"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E54036">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5103"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0AB89413"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C443B8" w:rsidRPr="00C443B8">
        <w:rPr>
          <w:rFonts w:ascii="Times New Roman" w:hAnsi="Times New Roman"/>
          <w:sz w:val="24"/>
          <w:szCs w:val="24"/>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r w:rsidR="00DA071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4A1855F8" w:rsidR="00C845EC" w:rsidRDefault="00C845EC" w:rsidP="00C845EC">
      <w:pPr>
        <w:suppressAutoHyphens/>
        <w:spacing w:after="0" w:line="240" w:lineRule="auto"/>
        <w:ind w:left="-284" w:right="-142" w:firstLine="568"/>
        <w:jc w:val="both"/>
        <w:rPr>
          <w:rFonts w:ascii="Times New Roman" w:hAnsi="Times New Roman"/>
          <w:sz w:val="24"/>
          <w:szCs w:val="24"/>
        </w:rPr>
      </w:pPr>
    </w:p>
    <w:p w14:paraId="0C597D27" w14:textId="77777777" w:rsidR="00DA071B" w:rsidRPr="00725DDC" w:rsidRDefault="00DA071B" w:rsidP="00C845EC">
      <w:pPr>
        <w:suppressAutoHyphens/>
        <w:spacing w:after="0" w:line="240" w:lineRule="auto"/>
        <w:ind w:left="-284" w:right="-142" w:firstLine="568"/>
        <w:jc w:val="both"/>
        <w:rPr>
          <w:rFonts w:ascii="Times New Roman" w:hAnsi="Times New Roman"/>
          <w:sz w:val="24"/>
          <w:szCs w:val="24"/>
        </w:rPr>
      </w:pPr>
    </w:p>
    <w:p w14:paraId="67BEDBA3" w14:textId="26DA5BF3"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212E4">
        <w:rPr>
          <w:rFonts w:ascii="Times New Roman" w:hAnsi="Times New Roman"/>
          <w:sz w:val="24"/>
          <w:szCs w:val="24"/>
        </w:rPr>
        <w:t>2</w:t>
      </w:r>
      <w:r w:rsidRPr="00725DDC">
        <w:rPr>
          <w:rFonts w:ascii="Times New Roman" w:hAnsi="Times New Roman"/>
          <w:sz w:val="24"/>
          <w:szCs w:val="24"/>
        </w:rPr>
        <w:t xml:space="preserve"> р.</w:t>
      </w:r>
    </w:p>
    <w:p w14:paraId="220637D8" w14:textId="51FA9EC2" w:rsidR="004B1CD4" w:rsidRDefault="004B1CD4" w:rsidP="00C845EC">
      <w:pPr>
        <w:suppressAutoHyphens/>
        <w:spacing w:after="0" w:line="240" w:lineRule="auto"/>
        <w:ind w:left="-284" w:right="-142" w:firstLine="568"/>
        <w:jc w:val="both"/>
        <w:rPr>
          <w:rFonts w:ascii="Times New Roman" w:hAnsi="Times New Roman"/>
          <w:sz w:val="24"/>
          <w:szCs w:val="24"/>
        </w:rPr>
      </w:pPr>
    </w:p>
    <w:p w14:paraId="16A95325" w14:textId="77777777" w:rsidR="00FE7AFE" w:rsidRPr="00725DDC" w:rsidRDefault="00FE7AFE"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056C653B" w14:textId="77777777" w:rsidR="004B1CD4" w:rsidRDefault="004B1CD4"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639926A5"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8FD01E0" w14:textId="77777777" w:rsidR="004B1CD4" w:rsidRDefault="004B1CD4"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A744161"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3DF32831" w14:textId="13CAE590"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39FDE0C5"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5BA4C5EC" w14:textId="77777777" w:rsidR="00DA071B" w:rsidRPr="00725DDC" w:rsidRDefault="00DA071B" w:rsidP="000233F4">
      <w:pPr>
        <w:pStyle w:val="a3"/>
        <w:spacing w:before="0" w:beforeAutospacing="0" w:after="0" w:afterAutospacing="0"/>
        <w:jc w:val="center"/>
        <w:rPr>
          <w:rFonts w:ascii="Times New Roman" w:hAnsi="Times New Roman" w:cs="Times New Roman"/>
        </w:rPr>
      </w:pPr>
    </w:p>
    <w:p w14:paraId="6F16298C" w14:textId="5DC5B58A" w:rsidR="00B3019D" w:rsidRPr="00725DDC" w:rsidRDefault="00DA071B"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C443B8" w:rsidRPr="00C443B8">
        <w:rPr>
          <w:rFonts w:ascii="Times New Roman" w:hAnsi="Times New Roman" w:cs="Times New Roman"/>
          <w:color w:val="000000"/>
        </w:rPr>
        <w:t>ДК 021:2015 - 72410000-7 - Послуги провайдерів  (Послуги з використання інформаційно-аналітичної системи електронного моніторингу присутності Державної установи «Центр громадського здоров’я Міністерства охорони здоров’я України» в інформаційному полі)</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6CEDA7B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5A5DF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725DDC">
        <w:rPr>
          <w:rFonts w:ascii="Times New Roman" w:hAnsi="Times New Roman" w:cs="Times New Roman"/>
          <w:lang w:val="uk-UA"/>
        </w:rPr>
        <w:t>закупівлями</w:t>
      </w:r>
      <w:proofErr w:type="spellEnd"/>
      <w:r w:rsidRPr="00725DDC">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725DDC">
        <w:rPr>
          <w:rFonts w:ascii="Times New Roman" w:hAnsi="Times New Roman" w:cs="Times New Roman"/>
          <w:lang w:val="uk-UA"/>
        </w:rPr>
        <w:t>закупівлях</w:t>
      </w:r>
      <w:proofErr w:type="spellEnd"/>
      <w:r w:rsidRPr="00725DDC">
        <w:rPr>
          <w:rFonts w:ascii="Times New Roman" w:hAnsi="Times New Roman" w:cs="Times New Roman"/>
          <w:lang w:val="uk-UA"/>
        </w:rPr>
        <w:t xml:space="preserve">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25DDC">
        <w:rPr>
          <w:rFonts w:ascii="Times New Roman" w:hAnsi="Times New Roman" w:cs="Times New Roman"/>
          <w:lang w:val="uk-UA"/>
        </w:rPr>
        <w:t>зворотнього</w:t>
      </w:r>
      <w:proofErr w:type="spellEnd"/>
      <w:r w:rsidRPr="00725DDC">
        <w:rPr>
          <w:rFonts w:ascii="Times New Roman" w:hAnsi="Times New Roman" w:cs="Times New Roman"/>
          <w:lang w:val="uk-UA"/>
        </w:rPr>
        <w:t xml:space="preserve">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725DDC">
        <w:rPr>
          <w:rFonts w:ascii="Times New Roman" w:hAnsi="Times New Roman" w:cs="Times New Roman"/>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725DDC">
        <w:rPr>
          <w:rFonts w:ascii="Times New Roman" w:hAnsi="Times New Roman" w:cs="Times New Roman"/>
          <w:lang w:val="uk-UA"/>
        </w:rPr>
        <w:t>закупівлями</w:t>
      </w:r>
      <w:proofErr w:type="spellEnd"/>
      <w:r w:rsidRPr="00725DDC">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w:t>
      </w:r>
      <w:r w:rsidRPr="00725DDC">
        <w:rPr>
          <w:rFonts w:ascii="Times New Roman" w:hAnsi="Times New Roman" w:cs="Times New Roman"/>
          <w:lang w:val="uk-UA"/>
        </w:rPr>
        <w:lastRenderedPageBreak/>
        <w:t xml:space="preserve">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008E1" w14:textId="77777777" w:rsidR="0002123A" w:rsidRDefault="0002123A" w:rsidP="00495E36">
      <w:pPr>
        <w:spacing w:after="0" w:line="240" w:lineRule="auto"/>
      </w:pPr>
      <w:r>
        <w:separator/>
      </w:r>
    </w:p>
  </w:endnote>
  <w:endnote w:type="continuationSeparator" w:id="0">
    <w:p w14:paraId="4A4EF39C" w14:textId="77777777" w:rsidR="0002123A" w:rsidRDefault="0002123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0A93" w14:textId="77777777" w:rsidR="0002123A" w:rsidRDefault="0002123A" w:rsidP="00495E36">
      <w:pPr>
        <w:spacing w:after="0" w:line="240" w:lineRule="auto"/>
      </w:pPr>
      <w:r>
        <w:separator/>
      </w:r>
    </w:p>
  </w:footnote>
  <w:footnote w:type="continuationSeparator" w:id="0">
    <w:p w14:paraId="355917D6" w14:textId="77777777" w:rsidR="0002123A" w:rsidRDefault="0002123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2A7906"/>
    <w:multiLevelType w:val="multilevel"/>
    <w:tmpl w:val="7FCC3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7C4E3E"/>
    <w:multiLevelType w:val="multilevel"/>
    <w:tmpl w:val="EB549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FD171E"/>
    <w:multiLevelType w:val="multilevel"/>
    <w:tmpl w:val="43B29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A00A30"/>
    <w:multiLevelType w:val="multilevel"/>
    <w:tmpl w:val="FC76E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1838D7"/>
    <w:multiLevelType w:val="multilevel"/>
    <w:tmpl w:val="93AC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EA2FCE"/>
    <w:multiLevelType w:val="multilevel"/>
    <w:tmpl w:val="57445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BE7262"/>
    <w:multiLevelType w:val="multilevel"/>
    <w:tmpl w:val="FA066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9413A"/>
    <w:multiLevelType w:val="multilevel"/>
    <w:tmpl w:val="39AC0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E5108CD"/>
    <w:multiLevelType w:val="multilevel"/>
    <w:tmpl w:val="A4A60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C1403BA"/>
    <w:multiLevelType w:val="multilevel"/>
    <w:tmpl w:val="31668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4A3014"/>
    <w:multiLevelType w:val="multilevel"/>
    <w:tmpl w:val="557E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24"/>
  </w:num>
  <w:num w:numId="3">
    <w:abstractNumId w:val="22"/>
  </w:num>
  <w:num w:numId="4">
    <w:abstractNumId w:val="18"/>
  </w:num>
  <w:num w:numId="5">
    <w:abstractNumId w:val="29"/>
  </w:num>
  <w:num w:numId="6">
    <w:abstractNumId w:val="31"/>
  </w:num>
  <w:num w:numId="7">
    <w:abstractNumId w:val="7"/>
  </w:num>
  <w:num w:numId="8">
    <w:abstractNumId w:val="28"/>
  </w:num>
  <w:num w:numId="9">
    <w:abstractNumId w:val="11"/>
  </w:num>
  <w:num w:numId="10">
    <w:abstractNumId w:val="8"/>
  </w:num>
  <w:num w:numId="11">
    <w:abstractNumId w:val="21"/>
  </w:num>
  <w:num w:numId="12">
    <w:abstractNumId w:val="20"/>
  </w:num>
  <w:num w:numId="13">
    <w:abstractNumId w:val="27"/>
  </w:num>
  <w:num w:numId="14">
    <w:abstractNumId w:val="19"/>
  </w:num>
  <w:num w:numId="15">
    <w:abstractNumId w:val="15"/>
  </w:num>
  <w:num w:numId="16">
    <w:abstractNumId w:val="26"/>
  </w:num>
  <w:num w:numId="17">
    <w:abstractNumId w:val="34"/>
  </w:num>
  <w:num w:numId="18">
    <w:abstractNumId w:val="13"/>
  </w:num>
  <w:num w:numId="19">
    <w:abstractNumId w:val="32"/>
  </w:num>
  <w:num w:numId="20">
    <w:abstractNumId w:val="5"/>
  </w:num>
  <w:num w:numId="21">
    <w:abstractNumId w:val="1"/>
  </w:num>
  <w:num w:numId="22">
    <w:abstractNumId w:val="9"/>
  </w:num>
  <w:num w:numId="23">
    <w:abstractNumId w:val="16"/>
  </w:num>
  <w:num w:numId="24">
    <w:abstractNumId w:val="12"/>
  </w:num>
  <w:num w:numId="25">
    <w:abstractNumId w:val="4"/>
  </w:num>
  <w:num w:numId="26">
    <w:abstractNumId w:val="10"/>
  </w:num>
  <w:num w:numId="27">
    <w:abstractNumId w:val="25"/>
  </w:num>
  <w:num w:numId="28">
    <w:abstractNumId w:val="14"/>
  </w:num>
  <w:num w:numId="29">
    <w:abstractNumId w:val="33"/>
  </w:num>
  <w:num w:numId="30">
    <w:abstractNumId w:val="35"/>
  </w:num>
  <w:num w:numId="31">
    <w:abstractNumId w:val="3"/>
  </w:num>
  <w:num w:numId="32">
    <w:abstractNumId w:val="30"/>
  </w:num>
  <w:num w:numId="33">
    <w:abstractNumId w:val="2"/>
  </w:num>
  <w:num w:numId="34">
    <w:abstractNumId w:val="17"/>
  </w:num>
  <w:num w:numId="3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123A"/>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1C7C"/>
    <w:rsid w:val="00282038"/>
    <w:rsid w:val="00282DCC"/>
    <w:rsid w:val="00282F64"/>
    <w:rsid w:val="00285407"/>
    <w:rsid w:val="00291A78"/>
    <w:rsid w:val="002927ED"/>
    <w:rsid w:val="00296863"/>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802B9"/>
    <w:rsid w:val="00380388"/>
    <w:rsid w:val="00382BA2"/>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4EF"/>
    <w:rsid w:val="003A7BAA"/>
    <w:rsid w:val="003B00F6"/>
    <w:rsid w:val="003B1EB3"/>
    <w:rsid w:val="003B56EA"/>
    <w:rsid w:val="003B6329"/>
    <w:rsid w:val="003C0152"/>
    <w:rsid w:val="003C0FF7"/>
    <w:rsid w:val="003C18D0"/>
    <w:rsid w:val="003C732E"/>
    <w:rsid w:val="003D02CC"/>
    <w:rsid w:val="003D0AD2"/>
    <w:rsid w:val="003D1801"/>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1CD4"/>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02D"/>
    <w:rsid w:val="0057783F"/>
    <w:rsid w:val="00577DFB"/>
    <w:rsid w:val="005805D9"/>
    <w:rsid w:val="00582487"/>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4144"/>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11E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659F"/>
    <w:rsid w:val="007F7D7F"/>
    <w:rsid w:val="00802BFE"/>
    <w:rsid w:val="00805F6E"/>
    <w:rsid w:val="0080757D"/>
    <w:rsid w:val="00811C3C"/>
    <w:rsid w:val="00812801"/>
    <w:rsid w:val="0081658F"/>
    <w:rsid w:val="00821520"/>
    <w:rsid w:val="00821DF4"/>
    <w:rsid w:val="0082439A"/>
    <w:rsid w:val="00836926"/>
    <w:rsid w:val="00837E40"/>
    <w:rsid w:val="008416D8"/>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518C"/>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8F72AB"/>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5C7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6A43"/>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784D"/>
    <w:rsid w:val="00A92695"/>
    <w:rsid w:val="00A952BE"/>
    <w:rsid w:val="00A961AF"/>
    <w:rsid w:val="00A96832"/>
    <w:rsid w:val="00AA1389"/>
    <w:rsid w:val="00AA420C"/>
    <w:rsid w:val="00AA4A4E"/>
    <w:rsid w:val="00AA5348"/>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96D72"/>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2E75"/>
    <w:rsid w:val="00BF32F2"/>
    <w:rsid w:val="00BF3D4E"/>
    <w:rsid w:val="00BF4883"/>
    <w:rsid w:val="00BF5D8A"/>
    <w:rsid w:val="00BF6068"/>
    <w:rsid w:val="00BF7359"/>
    <w:rsid w:val="00BF75E2"/>
    <w:rsid w:val="00C0168C"/>
    <w:rsid w:val="00C03568"/>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3B8"/>
    <w:rsid w:val="00C4483E"/>
    <w:rsid w:val="00C4551C"/>
    <w:rsid w:val="00C609C0"/>
    <w:rsid w:val="00C6162E"/>
    <w:rsid w:val="00C62147"/>
    <w:rsid w:val="00C63E16"/>
    <w:rsid w:val="00C64A71"/>
    <w:rsid w:val="00C64BE6"/>
    <w:rsid w:val="00C66CE3"/>
    <w:rsid w:val="00C670AE"/>
    <w:rsid w:val="00C73FCA"/>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0D7D"/>
    <w:rsid w:val="00D02BB8"/>
    <w:rsid w:val="00D11367"/>
    <w:rsid w:val="00D116E1"/>
    <w:rsid w:val="00D11E0D"/>
    <w:rsid w:val="00D139C4"/>
    <w:rsid w:val="00D170D8"/>
    <w:rsid w:val="00D20E12"/>
    <w:rsid w:val="00D26749"/>
    <w:rsid w:val="00D30328"/>
    <w:rsid w:val="00D40FBD"/>
    <w:rsid w:val="00D4488F"/>
    <w:rsid w:val="00D460D7"/>
    <w:rsid w:val="00D46AC6"/>
    <w:rsid w:val="00D47F81"/>
    <w:rsid w:val="00D504F0"/>
    <w:rsid w:val="00D51395"/>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71B"/>
    <w:rsid w:val="00DA0A9B"/>
    <w:rsid w:val="00DA3ED8"/>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E97"/>
    <w:rsid w:val="00E54036"/>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6BEB"/>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10C3"/>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E7AFE"/>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7B622-D459-4FCF-9C57-4F42A1B83CAD}">
  <ds:schemaRefs>
    <ds:schemaRef ds:uri="http://schemas.openxmlformats.org/officeDocument/2006/bibliography"/>
  </ds:schemaRefs>
</ds:datastoreItem>
</file>

<file path=customXml/itemProps2.xml><?xml version="1.0" encoding="utf-8"?>
<ds:datastoreItem xmlns:ds="http://schemas.openxmlformats.org/officeDocument/2006/customXml" ds:itemID="{36D12346-AA9F-4EF8-B994-A54BA844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5059</Words>
  <Characters>28837</Characters>
  <Application>Microsoft Office Word</Application>
  <DocSecurity>0</DocSecurity>
  <Lines>240</Lines>
  <Paragraphs>67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33829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15</cp:revision>
  <cp:lastPrinted>2022-09-29T13:48:00Z</cp:lastPrinted>
  <dcterms:created xsi:type="dcterms:W3CDTF">2022-09-29T14:05:00Z</dcterms:created>
  <dcterms:modified xsi:type="dcterms:W3CDTF">2022-10-02T11:23:00Z</dcterms:modified>
</cp:coreProperties>
</file>