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26DD84A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візитів технічної допомоги з обласного рівня до закладів охорони здоров’я, що надають протитуберкульозну допомогу населенню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099E9DB" w14:textId="65DECCC2" w:rsidR="00A847AD" w:rsidRPr="00294277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AD2D59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ві</w:t>
      </w:r>
      <w:r w:rsidR="00B444F8" w:rsidRPr="00AD2D59">
        <w:rPr>
          <w:rFonts w:asciiTheme="minorHAnsi" w:eastAsiaTheme="minorHAnsi" w:hAnsiTheme="minorHAnsi" w:cstheme="minorHAnsi"/>
          <w:lang w:val="uk-UA" w:eastAsia="en-US"/>
        </w:rPr>
        <w:t>зит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ів</w:t>
      </w:r>
      <w:r w:rsidR="001245C8">
        <w:rPr>
          <w:rFonts w:asciiTheme="minorHAnsi" w:eastAsiaTheme="minorHAnsi" w:hAnsiTheme="minorHAnsi" w:cstheme="minorHAnsi"/>
          <w:lang w:val="uk-UA" w:eastAsia="en-US"/>
        </w:rPr>
        <w:t xml:space="preserve"> технічної допомоги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з обласного</w:t>
      </w:r>
      <w:r w:rsidR="00DD7A9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рівн</w:t>
      </w:r>
      <w:r w:rsidR="00DD7A9D">
        <w:rPr>
          <w:rFonts w:asciiTheme="minorHAnsi" w:eastAsiaTheme="minorHAnsi" w:hAnsiTheme="minorHAnsi" w:cstheme="minorHAnsi"/>
          <w:lang w:val="uk-UA" w:eastAsia="en-US"/>
        </w:rPr>
        <w:t>я</w:t>
      </w:r>
      <w:r w:rsidR="00754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D7A9D">
        <w:rPr>
          <w:rFonts w:asciiTheme="minorHAnsi" w:eastAsiaTheme="minorHAnsi" w:hAnsiTheme="minorHAnsi" w:cstheme="minorHAnsi"/>
          <w:lang w:val="uk-UA" w:eastAsia="en-US"/>
        </w:rPr>
        <w:t>до</w:t>
      </w:r>
      <w:r w:rsidR="0075413D" w:rsidRPr="0075413D">
        <w:rPr>
          <w:rFonts w:asciiTheme="minorHAnsi" w:eastAsiaTheme="minorHAnsi" w:hAnsiTheme="minorHAnsi" w:cstheme="minorHAnsi"/>
          <w:lang w:val="uk-UA" w:eastAsia="en-US"/>
        </w:rPr>
        <w:t xml:space="preserve"> закладів охорони здоров’я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 w:rsidRPr="00AD2D59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D948D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4BAD3739" w14:textId="0969638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5B938ABC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Регіон </w:t>
      </w:r>
      <w:r w:rsidRPr="009247FB">
        <w:rPr>
          <w:rFonts w:asciiTheme="minorHAnsi" w:eastAsiaTheme="minorHAnsi" w:hAnsiTheme="minorHAnsi" w:cstheme="minorHAnsi"/>
          <w:b/>
          <w:lang w:val="uk-UA" w:eastAsia="en-US"/>
        </w:rPr>
        <w:t>діяльності:</w:t>
      </w:r>
      <w:r w:rsidR="00D948DB" w:rsidRPr="009247F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Вінницька,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Волинська, 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>Дніпропетровська,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Житомирська,</w:t>
      </w:r>
      <w:r w:rsidR="004C64F9" w:rsidRPr="0075413D">
        <w:rPr>
          <w:rFonts w:asciiTheme="minorHAnsi" w:eastAsiaTheme="minorHAnsi" w:hAnsiTheme="minorHAnsi" w:cstheme="minorHAnsi"/>
          <w:lang w:val="uk-UA" w:eastAsia="en-US"/>
        </w:rPr>
        <w:t xml:space="preserve"> Закарпатська,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Запорізька, 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>Івано-Франківська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Київська,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Кіровоградська, Львівська,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Миколаївська, 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 xml:space="preserve">Одеська, 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Полтавська, Рівненська, Сумська, Тернопільська, 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>Харківська, Хмельницька,</w:t>
      </w:r>
      <w:r w:rsidR="00952C09">
        <w:rPr>
          <w:rFonts w:asciiTheme="minorHAnsi" w:eastAsiaTheme="minorHAnsi" w:hAnsiTheme="minorHAnsi" w:cstheme="minorHAnsi"/>
          <w:lang w:val="uk-UA" w:eastAsia="en-US"/>
        </w:rPr>
        <w:t xml:space="preserve"> Херсонська,</w:t>
      </w:r>
      <w:r w:rsidR="00EB10BD" w:rsidRPr="0075413D">
        <w:rPr>
          <w:rFonts w:asciiTheme="minorHAnsi" w:eastAsiaTheme="minorHAnsi" w:hAnsiTheme="minorHAnsi" w:cstheme="minorHAnsi"/>
          <w:lang w:val="uk-UA" w:eastAsia="en-US"/>
        </w:rPr>
        <w:t xml:space="preserve"> Черкаська, Чернівецька, Чернігівська</w:t>
      </w:r>
      <w:r w:rsidR="0037507B" w:rsidRPr="0075413D">
        <w:rPr>
          <w:rFonts w:asciiTheme="minorHAnsi" w:eastAsiaTheme="minorHAnsi" w:hAnsiTheme="minorHAnsi" w:cstheme="minorHAnsi"/>
          <w:lang w:val="uk-UA" w:eastAsia="en-US"/>
        </w:rPr>
        <w:t xml:space="preserve"> облас</w:t>
      </w:r>
      <w:r w:rsidR="001C68B8" w:rsidRPr="0075413D">
        <w:rPr>
          <w:rFonts w:asciiTheme="minorHAnsi" w:eastAsiaTheme="minorHAnsi" w:hAnsiTheme="minorHAnsi" w:cstheme="minorHAnsi"/>
          <w:lang w:val="uk-UA" w:eastAsia="en-US"/>
        </w:rPr>
        <w:t>ті</w:t>
      </w:r>
    </w:p>
    <w:p w14:paraId="72F2FFB2" w14:textId="77777777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C392260" w14:textId="77777777" w:rsidR="00BF6E95" w:rsidRDefault="00BF6E95" w:rsidP="00BF6E95">
      <w:pPr>
        <w:shd w:val="clear" w:color="auto" w:fill="FFFFFF"/>
        <w:jc w:val="both"/>
        <w:rPr>
          <w:rFonts w:ascii="Calibri" w:eastAsia="Calibri" w:hAnsi="Calibri" w:cs="Calibri"/>
          <w:b/>
          <w:lang w:eastAsia="uk-UA"/>
        </w:rPr>
      </w:pPr>
      <w:proofErr w:type="spellStart"/>
      <w:r>
        <w:rPr>
          <w:rFonts w:ascii="Calibri" w:eastAsia="Calibri" w:hAnsi="Calibri" w:cs="Calibri"/>
        </w:rPr>
        <w:t>Державна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установа</w:t>
      </w:r>
      <w:proofErr w:type="spellEnd"/>
      <w:r>
        <w:rPr>
          <w:rFonts w:ascii="Calibri" w:eastAsia="Calibri" w:hAnsi="Calibri" w:cs="Calibri"/>
        </w:rPr>
        <w:t xml:space="preserve"> «Центр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Міністерства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» (ЦГЗ) — </w:t>
      </w:r>
      <w:proofErr w:type="spellStart"/>
      <w:r>
        <w:rPr>
          <w:rFonts w:ascii="Calibri" w:eastAsia="Calibri" w:hAnsi="Calibri" w:cs="Calibri"/>
        </w:rPr>
        <w:t>санітарно-профілактичний</w:t>
      </w:r>
      <w:proofErr w:type="spellEnd"/>
      <w:r>
        <w:rPr>
          <w:rFonts w:ascii="Calibri" w:eastAsia="Calibri" w:hAnsi="Calibri" w:cs="Calibri"/>
        </w:rPr>
        <w:t xml:space="preserve"> заклад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головними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завданнями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якого</w:t>
      </w:r>
      <w:proofErr w:type="spellEnd"/>
      <w:r>
        <w:rPr>
          <w:rFonts w:ascii="Calibri" w:eastAsia="Calibri" w:hAnsi="Calibri" w:cs="Calibri"/>
        </w:rPr>
        <w:t xml:space="preserve"> є </w:t>
      </w:r>
      <w:proofErr w:type="spellStart"/>
      <w:r>
        <w:rPr>
          <w:rFonts w:ascii="Calibri" w:eastAsia="Calibri" w:hAnsi="Calibri" w:cs="Calibri"/>
        </w:rPr>
        <w:t>діяльність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галузі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забезпечення</w:t>
      </w:r>
      <w:proofErr w:type="spellEnd"/>
      <w:r>
        <w:rPr>
          <w:rFonts w:ascii="Calibri" w:eastAsia="Calibri" w:hAnsi="Calibri" w:cs="Calibri"/>
        </w:rPr>
        <w:t xml:space="preserve"> потреб </w:t>
      </w:r>
      <w:proofErr w:type="spellStart"/>
      <w:r>
        <w:rPr>
          <w:rFonts w:ascii="Calibri" w:eastAsia="Calibri" w:hAnsi="Calibri" w:cs="Calibri"/>
        </w:rPr>
        <w:t>населення</w:t>
      </w:r>
      <w:proofErr w:type="spellEnd"/>
      <w:r>
        <w:rPr>
          <w:rFonts w:ascii="Calibri" w:eastAsia="Calibri" w:hAnsi="Calibri" w:cs="Calibri"/>
        </w:rPr>
        <w:t xml:space="preserve"> шляхом </w:t>
      </w:r>
      <w:proofErr w:type="spellStart"/>
      <w:r>
        <w:rPr>
          <w:rFonts w:ascii="Calibri" w:eastAsia="Calibri" w:hAnsi="Calibri" w:cs="Calibri"/>
        </w:rPr>
        <w:t>здійснення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епідеміологічного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нагляду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виконання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повноважень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щодо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захисту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населення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інфекційних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неінфекційних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захворювань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лабораторної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діяльності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біологічної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безпеки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біологічного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захисту</w:t>
      </w:r>
      <w:proofErr w:type="spellEnd"/>
      <w:r>
        <w:rPr>
          <w:rFonts w:ascii="Calibri" w:eastAsia="Calibri" w:hAnsi="Calibri" w:cs="Calibri"/>
        </w:rPr>
        <w:t xml:space="preserve">. ЦГЗ </w:t>
      </w:r>
      <w:proofErr w:type="spellStart"/>
      <w:r>
        <w:rPr>
          <w:rFonts w:ascii="Calibri" w:eastAsia="Calibri" w:hAnsi="Calibri" w:cs="Calibri"/>
        </w:rPr>
        <w:t>виконує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функції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головної</w:t>
      </w:r>
      <w:proofErr w:type="spellEnd"/>
      <w:r>
        <w:rPr>
          <w:rFonts w:ascii="Calibri" w:eastAsia="Calibri" w:hAnsi="Calibri" w:cs="Calibri"/>
        </w:rPr>
        <w:t xml:space="preserve"> установи </w:t>
      </w:r>
      <w:proofErr w:type="spellStart"/>
      <w:r>
        <w:rPr>
          <w:rFonts w:ascii="Calibri" w:eastAsia="Calibri" w:hAnsi="Calibri" w:cs="Calibri"/>
        </w:rPr>
        <w:t>Міністерства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галузі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протидії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небезпечним</w:t>
      </w:r>
      <w:proofErr w:type="spellEnd"/>
      <w:r>
        <w:rPr>
          <w:rFonts w:ascii="Calibri" w:eastAsia="Calibri" w:hAnsi="Calibri" w:cs="Calibri"/>
        </w:rPr>
        <w:t xml:space="preserve">, особливо </w:t>
      </w:r>
      <w:proofErr w:type="spellStart"/>
      <w:r>
        <w:rPr>
          <w:rFonts w:ascii="Calibri" w:eastAsia="Calibri" w:hAnsi="Calibri" w:cs="Calibri"/>
        </w:rPr>
        <w:t>небезпечним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інфекційним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неінфекційним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захворюванням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біологічного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захисту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біологічної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безпеки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імунопрофілактики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лабораторної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діагностики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інфекційних</w:t>
      </w:r>
      <w:proofErr w:type="spellEnd"/>
      <w:r>
        <w:rPr>
          <w:rFonts w:ascii="Calibri" w:eastAsia="Calibri" w:hAnsi="Calibri" w:cs="Calibri"/>
        </w:rPr>
        <w:t xml:space="preserve"> недуг, </w:t>
      </w:r>
      <w:proofErr w:type="spellStart"/>
      <w:r>
        <w:rPr>
          <w:rFonts w:ascii="Calibri" w:eastAsia="Calibri" w:hAnsi="Calibri" w:cs="Calibri"/>
        </w:rPr>
        <w:t>гігієнічних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мікробіологічних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аспектів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людини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пов’язаних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довкіллям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національного</w:t>
      </w:r>
      <w:proofErr w:type="spellEnd"/>
      <w:r>
        <w:rPr>
          <w:rFonts w:ascii="Calibri" w:eastAsia="Calibri" w:hAnsi="Calibri" w:cs="Calibri"/>
        </w:rPr>
        <w:t xml:space="preserve"> координатора </w:t>
      </w:r>
      <w:proofErr w:type="spellStart"/>
      <w:r>
        <w:rPr>
          <w:rFonts w:ascii="Calibri" w:eastAsia="Calibri" w:hAnsi="Calibri" w:cs="Calibri"/>
        </w:rPr>
        <w:t>Міжнародних</w:t>
      </w:r>
      <w:proofErr w:type="spellEnd"/>
      <w:r>
        <w:rPr>
          <w:rFonts w:ascii="Calibri" w:eastAsia="Calibri" w:hAnsi="Calibri" w:cs="Calibri"/>
        </w:rPr>
        <w:t xml:space="preserve"> медико-</w:t>
      </w:r>
      <w:proofErr w:type="spellStart"/>
      <w:r>
        <w:rPr>
          <w:rFonts w:ascii="Calibri" w:eastAsia="Calibri" w:hAnsi="Calibri" w:cs="Calibri"/>
        </w:rPr>
        <w:t>санітарних</w:t>
      </w:r>
      <w:proofErr w:type="spellEnd"/>
      <w:r>
        <w:rPr>
          <w:rFonts w:ascii="Calibri" w:eastAsia="Calibri" w:hAnsi="Calibri" w:cs="Calibri"/>
        </w:rPr>
        <w:t xml:space="preserve"> правил, </w:t>
      </w:r>
      <w:proofErr w:type="spellStart"/>
      <w:r>
        <w:rPr>
          <w:rFonts w:ascii="Calibri" w:eastAsia="Calibri" w:hAnsi="Calibri" w:cs="Calibri"/>
        </w:rPr>
        <w:t>координації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реагування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надзвичайні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ситуації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секторі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</w:p>
    <w:p w14:paraId="21AF60E9" w14:textId="77777777" w:rsidR="00F95552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44C4C5D5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8350EB6" w14:textId="39831214" w:rsidR="00D948DB" w:rsidRDefault="0075413D" w:rsidP="00372B2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комплексна </w:t>
      </w:r>
      <w:r w:rsidR="00FA7004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DD7A9D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</w:t>
      </w:r>
      <w:r w:rsidR="00DD7A9D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 та </w:t>
      </w:r>
      <w:r w:rsidR="00D948DB" w:rsidRP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рекомендацій закладам, 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>щодо покращення заходів з подолання ТБ та досягнення індикаторів державних стратегій</w:t>
      </w:r>
      <w:r w:rsidR="00EE5C6E">
        <w:rPr>
          <w:rFonts w:asciiTheme="minorHAnsi" w:hAnsiTheme="minorHAnsi" w:cstheme="minorHAnsi"/>
          <w:bCs/>
          <w:sz w:val="24"/>
          <w:szCs w:val="24"/>
          <w:lang w:val="uk-UA"/>
        </w:rPr>
        <w:t>, Стандартів медичної допомоги «Туберкульоз»;</w:t>
      </w:r>
    </w:p>
    <w:p w14:paraId="61389797" w14:textId="3E9033A7" w:rsidR="00EE5C6E" w:rsidRPr="00DD7A9D" w:rsidRDefault="00EE5C6E" w:rsidP="00372B2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міжсекторального підходу до подолання туберкульозу;</w:t>
      </w:r>
    </w:p>
    <w:p w14:paraId="659B8783" w14:textId="6CBEB9BB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проведеного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245C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технічної допомоги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3C3984" w14:textId="471D6849" w:rsidR="00952C09" w:rsidRPr="00952C09" w:rsidRDefault="00952C09" w:rsidP="00952C09">
      <w:pPr>
        <w:pStyle w:val="a3"/>
        <w:numPr>
          <w:ilvl w:val="0"/>
          <w:numId w:val="9"/>
        </w:numPr>
        <w:rPr>
          <w:rFonts w:asciiTheme="minorHAnsi" w:hAnsiTheme="minorHAnsi" w:cstheme="minorHAnsi"/>
          <w:lang w:val="uk-UA"/>
        </w:rPr>
      </w:pPr>
      <w:r w:rsidRPr="00952C09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медицина, громадське здоров’я, лікувальна справа</w:t>
      </w:r>
      <w:r>
        <w:rPr>
          <w:rFonts w:asciiTheme="minorHAnsi" w:hAnsiTheme="minorHAnsi" w:cstheme="minorHAnsi"/>
          <w:lang w:val="uk-UA"/>
        </w:rPr>
        <w:t>;</w:t>
      </w:r>
    </w:p>
    <w:p w14:paraId="3F07B8B3" w14:textId="4E369ECC" w:rsidR="00F24B0B" w:rsidRDefault="00F24B0B" w:rsidP="00F24B0B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4B0B">
        <w:rPr>
          <w:rFonts w:asciiTheme="minorHAnsi" w:hAnsiTheme="minorHAnsi" w:cstheme="minorHAnsi"/>
          <w:sz w:val="24"/>
          <w:szCs w:val="24"/>
          <w:lang w:val="uk-UA"/>
        </w:rPr>
        <w:lastRenderedPageBreak/>
        <w:t>Вища освіта в галузі знань «Охорона здоров’я» /«Біологія»</w:t>
      </w:r>
      <w:r w:rsidR="00952C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DE5AB75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0EEF66AC" w14:textId="6DB7A9EC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DD7A9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1428CAF" w14:textId="31B14725" w:rsidR="00863007" w:rsidRPr="00190C85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складі моніторингової команди регіонального </w:t>
      </w:r>
      <w:r w:rsidR="00F93D25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="001951F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(буде перевагою)</w:t>
      </w:r>
      <w:r w:rsidR="007E7F31" w:rsidRPr="00190C8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1BD1E4" w14:textId="77777777" w:rsidR="009E794D" w:rsidRPr="00190C85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34FFA22" w14:textId="77777777" w:rsidR="007925FB" w:rsidRPr="00190C8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90C8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90C85">
        <w:rPr>
          <w:rFonts w:asciiTheme="minorHAnsi" w:hAnsiTheme="minorHAnsi" w:cstheme="minorHAnsi"/>
          <w:b/>
          <w:lang w:val="uk-UA"/>
        </w:rPr>
        <w:t>.</w:t>
      </w:r>
    </w:p>
    <w:p w14:paraId="0E3BD02F" w14:textId="63C7F2E6" w:rsidR="00CD3306" w:rsidRPr="00190C8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90C85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BF6E95">
        <w:rPr>
          <w:rFonts w:asciiTheme="minorHAnsi" w:hAnsiTheme="minorHAnsi" w:cstheme="minorHAnsi"/>
          <w:lang w:val="uk-UA"/>
        </w:rPr>
        <w:t xml:space="preserve">зазначте: </w:t>
      </w:r>
      <w:r w:rsidRPr="00BF6E95">
        <w:rPr>
          <w:rFonts w:asciiTheme="minorHAnsi" w:hAnsiTheme="minorHAnsi" w:cstheme="minorHAnsi"/>
          <w:b/>
          <w:lang w:val="uk-UA"/>
        </w:rPr>
        <w:t>«</w:t>
      </w:r>
      <w:r w:rsidR="00EE5C6E" w:rsidRPr="00BF6E95">
        <w:rPr>
          <w:rFonts w:asciiTheme="minorHAnsi" w:hAnsiTheme="minorHAnsi" w:cstheme="minorHAnsi"/>
          <w:b/>
          <w:lang w:val="uk-UA"/>
        </w:rPr>
        <w:t>1</w:t>
      </w:r>
      <w:r w:rsidR="00BF6E95" w:rsidRPr="00BF6E95">
        <w:rPr>
          <w:rFonts w:asciiTheme="minorHAnsi" w:hAnsiTheme="minorHAnsi" w:cstheme="minorHAnsi"/>
          <w:b/>
          <w:lang w:val="uk-UA"/>
        </w:rPr>
        <w:t>3</w:t>
      </w:r>
      <w:r w:rsidR="004B22AD">
        <w:rPr>
          <w:rFonts w:asciiTheme="minorHAnsi" w:hAnsiTheme="minorHAnsi" w:cstheme="minorHAnsi"/>
          <w:b/>
          <w:lang w:val="uk-UA"/>
        </w:rPr>
        <w:t>4</w:t>
      </w:r>
      <w:r w:rsidR="00F07760" w:rsidRPr="00BF6E95">
        <w:rPr>
          <w:rFonts w:asciiTheme="minorHAnsi" w:hAnsiTheme="minorHAnsi" w:cstheme="minorHAnsi"/>
          <w:b/>
          <w:lang w:val="uk-UA"/>
        </w:rPr>
        <w:t>-202</w:t>
      </w:r>
      <w:r w:rsidR="00EE5C6E" w:rsidRPr="00BF6E95">
        <w:rPr>
          <w:rFonts w:asciiTheme="minorHAnsi" w:hAnsiTheme="minorHAnsi" w:cstheme="minorHAnsi"/>
          <w:b/>
          <w:lang w:val="uk-UA"/>
        </w:rPr>
        <w:t>4</w:t>
      </w:r>
      <w:r w:rsidR="00F07760" w:rsidRPr="00BF6E95">
        <w:rPr>
          <w:rFonts w:asciiTheme="minorHAnsi" w:hAnsiTheme="minorHAnsi" w:cstheme="minorHAnsi"/>
          <w:b/>
          <w:lang w:val="uk-UA"/>
        </w:rPr>
        <w:t xml:space="preserve"> </w:t>
      </w:r>
      <w:r w:rsidR="00DD7A9D" w:rsidRPr="00BF6E9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DD7A9D" w:rsidRPr="00DD7A9D">
        <w:rPr>
          <w:rFonts w:asciiTheme="minorHAnsi" w:eastAsiaTheme="minorHAnsi" w:hAnsiTheme="minorHAnsi" w:cstheme="minorHAnsi"/>
          <w:b/>
          <w:lang w:val="uk-UA" w:eastAsia="en-US"/>
        </w:rPr>
        <w:t xml:space="preserve"> для проведення візитів технічної допомоги з обласного рівня до закладів охорони здоров’я, що надають протитуберкульозну допомогу населенню</w:t>
      </w:r>
      <w:r w:rsidR="000A60E7" w:rsidRPr="00190C85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58792541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90C8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до </w:t>
      </w:r>
      <w:r w:rsidR="00BF6E95">
        <w:rPr>
          <w:rFonts w:asciiTheme="minorHAnsi" w:hAnsiTheme="minorHAnsi" w:cstheme="minorHAnsi"/>
          <w:b/>
          <w:lang w:val="uk-UA"/>
        </w:rPr>
        <w:t>07</w:t>
      </w:r>
      <w:r w:rsidR="00D948DB" w:rsidRPr="00190C85">
        <w:rPr>
          <w:rFonts w:asciiTheme="minorHAnsi" w:hAnsiTheme="minorHAnsi" w:cstheme="minorHAnsi"/>
          <w:b/>
          <w:lang w:val="uk-UA"/>
        </w:rPr>
        <w:t xml:space="preserve"> </w:t>
      </w:r>
      <w:r w:rsidR="00EE5C6E">
        <w:rPr>
          <w:rFonts w:asciiTheme="minorHAnsi" w:hAnsiTheme="minorHAnsi" w:cstheme="minorHAnsi"/>
          <w:b/>
          <w:lang w:val="uk-UA"/>
        </w:rPr>
        <w:t>березня</w:t>
      </w:r>
      <w:r w:rsidR="00031C96" w:rsidRPr="00190C8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90C85">
        <w:rPr>
          <w:rFonts w:asciiTheme="minorHAnsi" w:hAnsiTheme="minorHAnsi" w:cstheme="minorHAnsi"/>
          <w:b/>
          <w:lang w:val="uk-UA"/>
        </w:rPr>
        <w:t>2</w:t>
      </w:r>
      <w:r w:rsidR="00EE5C6E">
        <w:rPr>
          <w:rFonts w:asciiTheme="minorHAnsi" w:hAnsiTheme="minorHAnsi" w:cstheme="minorHAnsi"/>
          <w:b/>
          <w:lang w:val="uk-UA"/>
        </w:rPr>
        <w:t>4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1C74"/>
    <w:rsid w:val="003F2E7C"/>
    <w:rsid w:val="00401AB7"/>
    <w:rsid w:val="00401BDF"/>
    <w:rsid w:val="0045499D"/>
    <w:rsid w:val="00466C0E"/>
    <w:rsid w:val="00490CAD"/>
    <w:rsid w:val="004A01B4"/>
    <w:rsid w:val="004B22AD"/>
    <w:rsid w:val="004C09DC"/>
    <w:rsid w:val="004C5EC1"/>
    <w:rsid w:val="004C64F9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50AF2"/>
    <w:rsid w:val="0075413D"/>
    <w:rsid w:val="00771E64"/>
    <w:rsid w:val="00772569"/>
    <w:rsid w:val="00776231"/>
    <w:rsid w:val="007925FB"/>
    <w:rsid w:val="007B5D77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BF6E95"/>
    <w:rsid w:val="00C04CC3"/>
    <w:rsid w:val="00C23A4F"/>
    <w:rsid w:val="00C27589"/>
    <w:rsid w:val="00C31750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E5C6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848E-F7AB-4D62-A50D-F61C541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30</cp:revision>
  <cp:lastPrinted>2023-05-30T13:43:00Z</cp:lastPrinted>
  <dcterms:created xsi:type="dcterms:W3CDTF">2023-01-17T14:30:00Z</dcterms:created>
  <dcterms:modified xsi:type="dcterms:W3CDTF">2024-02-22T08:54:00Z</dcterms:modified>
</cp:coreProperties>
</file>