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01E5" w14:textId="6AAB67EA" w:rsidR="00CD3306" w:rsidRPr="008265BA" w:rsidRDefault="00222BA1" w:rsidP="00AC55A6">
      <w:pPr>
        <w:spacing w:line="360" w:lineRule="auto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4CBE6C7A" wp14:editId="40545073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6C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</w:p>
    <w:p w14:paraId="0F0EB4D7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23C5F51" w14:textId="77777777" w:rsidR="000F3D8E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</w:p>
    <w:p w14:paraId="39499718" w14:textId="4D724E97" w:rsidR="00F90929" w:rsidRDefault="000F3D8E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0F3D8E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оголошує конкурс  </w:t>
      </w:r>
      <w:r w:rsidR="00894C42">
        <w:rPr>
          <w:rFonts w:ascii="Calibri" w:hAnsi="Calibri" w:cs="Calibri"/>
          <w:b/>
          <w:color w:val="000000"/>
          <w:lang w:val="uk-UA"/>
        </w:rPr>
        <w:t>щодо</w:t>
      </w:r>
      <w:r w:rsidR="00894C42" w:rsidRPr="00894C42">
        <w:rPr>
          <w:rFonts w:ascii="Calibri" w:hAnsi="Calibri" w:cs="Calibri"/>
          <w:b/>
          <w:color w:val="000000"/>
          <w:lang w:val="uk-UA"/>
        </w:rPr>
        <w:t xml:space="preserve"> </w:t>
      </w:r>
      <w:r w:rsidR="00894C42">
        <w:rPr>
          <w:rFonts w:ascii="Calibri" w:hAnsi="Calibri" w:cs="Calibri"/>
          <w:b/>
          <w:color w:val="000000"/>
          <w:lang w:val="uk-UA"/>
        </w:rPr>
        <w:t>членства</w:t>
      </w:r>
      <w:r w:rsidR="00894C42" w:rsidRPr="00894C42">
        <w:rPr>
          <w:rFonts w:ascii="Calibri" w:hAnsi="Calibri" w:cs="Calibri"/>
          <w:b/>
          <w:color w:val="000000"/>
          <w:lang w:val="uk-UA"/>
        </w:rPr>
        <w:t xml:space="preserve"> </w:t>
      </w:r>
      <w:r w:rsidR="00894C42">
        <w:rPr>
          <w:rFonts w:ascii="Calibri" w:hAnsi="Calibri" w:cs="Calibri"/>
          <w:b/>
          <w:color w:val="000000"/>
          <w:lang w:val="uk-UA"/>
        </w:rPr>
        <w:t>в</w:t>
      </w:r>
      <w:r w:rsidR="00894C42" w:rsidRPr="00894C42">
        <w:rPr>
          <w:rFonts w:ascii="Calibri" w:hAnsi="Calibri" w:cs="Calibri"/>
          <w:b/>
          <w:color w:val="000000"/>
          <w:lang w:val="uk-UA"/>
        </w:rPr>
        <w:t xml:space="preserve"> </w:t>
      </w:r>
      <w:r w:rsidR="00894C42">
        <w:rPr>
          <w:rFonts w:ascii="Calibri" w:hAnsi="Calibri" w:cs="Calibri"/>
          <w:b/>
          <w:color w:val="000000"/>
          <w:lang w:val="uk-UA"/>
        </w:rPr>
        <w:t xml:space="preserve">Національній технічній групі експертів з питань імунопрофілактики (далі – </w:t>
      </w:r>
      <w:r w:rsidR="00894C42" w:rsidRPr="00894C42">
        <w:rPr>
          <w:rFonts w:ascii="Calibri" w:hAnsi="Calibri" w:cs="Calibri"/>
          <w:b/>
          <w:color w:val="000000"/>
          <w:lang w:val="uk-UA"/>
        </w:rPr>
        <w:t>НТГЕІ</w:t>
      </w:r>
      <w:r w:rsidR="00894C42">
        <w:rPr>
          <w:rFonts w:ascii="Calibri" w:hAnsi="Calibri" w:cs="Calibri"/>
          <w:b/>
          <w:color w:val="000000"/>
          <w:lang w:val="uk-UA"/>
        </w:rPr>
        <w:t>)</w:t>
      </w:r>
      <w:r w:rsidR="00534DDD">
        <w:rPr>
          <w:rFonts w:ascii="Calibri" w:hAnsi="Calibri" w:cs="Calibri"/>
          <w:b/>
          <w:color w:val="000000"/>
          <w:lang w:val="uk-UA"/>
        </w:rPr>
        <w:t xml:space="preserve"> </w:t>
      </w:r>
    </w:p>
    <w:p w14:paraId="211FBB75" w14:textId="77777777" w:rsidR="00894C42" w:rsidRDefault="00894C42" w:rsidP="000F3D8E">
      <w:pPr>
        <w:tabs>
          <w:tab w:val="left" w:pos="4253"/>
        </w:tabs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1CDDE6E7" w14:textId="4CF2B067" w:rsidR="003451F2" w:rsidRDefault="00EF03AD" w:rsidP="002801E3">
      <w:pPr>
        <w:tabs>
          <w:tab w:val="left" w:pos="4253"/>
        </w:tabs>
        <w:spacing w:after="160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040D9">
        <w:rPr>
          <w:rFonts w:ascii="Calibri" w:hAnsi="Calibri" w:cs="Calibri"/>
          <w:color w:val="000000"/>
          <w:lang w:val="uk-UA"/>
        </w:rPr>
        <w:t>член НТГЕІ</w:t>
      </w:r>
    </w:p>
    <w:p w14:paraId="07EFFC18" w14:textId="2822DFBE" w:rsidR="000F3D8E" w:rsidRPr="000F3D8E" w:rsidRDefault="000F3D8E" w:rsidP="000F3D8E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0F3D8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0F3D8E">
        <w:rPr>
          <w:rFonts w:ascii="Calibri" w:eastAsia="Calibri" w:hAnsi="Calibri" w:cs="Calibri"/>
          <w:lang w:val="uk-UA" w:eastAsia="en-US"/>
        </w:rPr>
        <w:t xml:space="preserve"> </w:t>
      </w:r>
      <w:r w:rsidR="003040D9">
        <w:rPr>
          <w:rFonts w:ascii="Calibri" w:eastAsia="Calibri" w:hAnsi="Calibri" w:cs="Calibri"/>
          <w:lang w:val="uk-UA" w:eastAsia="en-US"/>
        </w:rPr>
        <w:t>часткова</w:t>
      </w:r>
    </w:p>
    <w:p w14:paraId="1CA6E5D5" w14:textId="3A570256" w:rsidR="000F3D8E" w:rsidRPr="00C14DFB" w:rsidRDefault="000F3D8E" w:rsidP="00C14DFB">
      <w:pPr>
        <w:spacing w:after="120"/>
        <w:jc w:val="both"/>
        <w:rPr>
          <w:rFonts w:ascii="Calibri" w:hAnsi="Calibri" w:cs="Calibri"/>
          <w:lang w:val="uk-UA" w:eastAsia="uk-UA"/>
        </w:rPr>
      </w:pPr>
      <w:r w:rsidRPr="00B12015">
        <w:rPr>
          <w:rFonts w:ascii="Calibri" w:hAnsi="Calibri" w:cs="Calibri"/>
          <w:b/>
          <w:lang w:val="uk-UA" w:eastAsia="uk-UA"/>
        </w:rPr>
        <w:t>Географія діяльності</w:t>
      </w:r>
      <w:r w:rsidRPr="000F3D8E">
        <w:rPr>
          <w:rFonts w:ascii="Calibri" w:hAnsi="Calibri" w:cs="Calibri"/>
          <w:lang w:val="uk-UA" w:eastAsia="uk-UA"/>
        </w:rPr>
        <w:t xml:space="preserve">: </w:t>
      </w:r>
      <w:r w:rsidR="003040D9">
        <w:rPr>
          <w:rFonts w:ascii="Calibri" w:hAnsi="Calibri" w:cs="Calibri"/>
          <w:lang w:val="uk-UA" w:eastAsia="uk-UA"/>
        </w:rPr>
        <w:t>Україна</w:t>
      </w:r>
    </w:p>
    <w:p w14:paraId="49CBF04C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2FCE7E3C" w14:textId="77777777" w:rsidR="00EF03AD" w:rsidRPr="00900076" w:rsidRDefault="00EF03AD" w:rsidP="0090007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900076">
        <w:rPr>
          <w:rFonts w:ascii="Calibri" w:eastAsia="Calibri" w:hAnsi="Calibri" w:cs="Calibri"/>
          <w:color w:val="000000"/>
          <w:lang w:val="uk-UA" w:eastAsia="en-US"/>
        </w:rPr>
        <w:t>льно небезпечним захворюванням.</w:t>
      </w:r>
    </w:p>
    <w:p w14:paraId="1FCD897C" w14:textId="77777777" w:rsidR="00B02CE0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E506E9E" w14:textId="77777777" w:rsidR="00113256" w:rsidRP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Національна технічна група експертів з питань імунопрофілактики (НТГЕІ) є постійним незалежним дорадчим органом, що надає на запит Міністерства охорони здоров’я України рекомендації з питань формування та реалізації політики у сфері імунопрофілактики на підставі наукових досліджень, сучасних підходів і доказової медицини.</w:t>
      </w:r>
    </w:p>
    <w:p w14:paraId="7EB07C7C" w14:textId="77777777" w:rsidR="00113256" w:rsidRP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p w14:paraId="695C2F2C" w14:textId="53A4A020" w:rsid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Відповідно до рекомендацій ВООЗ і світових сталих практик, НТГЕІ утворюється у складі 10–12 членів, обраних за результатами оцінювання заяв на членство у НТГЕІ на конкурсних засадах.</w:t>
      </w:r>
    </w:p>
    <w:p w14:paraId="3D1F3CB0" w14:textId="77777777" w:rsid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p w14:paraId="4D981167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Члени НТГЕІ репрезентують фахову спільноту з:</w:t>
      </w:r>
    </w:p>
    <w:p w14:paraId="5DE07761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</w:p>
    <w:p w14:paraId="0750B1B6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профілактичної медицини та громадського здоров’я — 1 особа;</w:t>
      </w:r>
    </w:p>
    <w:p w14:paraId="3DBE550E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епідеміології — 1 особа;</w:t>
      </w:r>
    </w:p>
    <w:p w14:paraId="49D1CDEE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організації охорони здоров’я, громадського здоров’я — 1 особа;</w:t>
      </w:r>
    </w:p>
    <w:p w14:paraId="10D6071E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педіатрії — 1 особа;</w:t>
      </w:r>
    </w:p>
    <w:p w14:paraId="7DDBD3B3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інфекційних захворювань — 1 особа;</w:t>
      </w:r>
    </w:p>
    <w:p w14:paraId="75557701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дитячих інфекційних захворювань — 1 особа;</w:t>
      </w:r>
    </w:p>
    <w:p w14:paraId="6AC360AA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імунології — 1 особа;</w:t>
      </w:r>
    </w:p>
    <w:p w14:paraId="64604AF9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сімейної медицини та/або терапії — 1 особа;</w:t>
      </w:r>
    </w:p>
    <w:p w14:paraId="5D291DE7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управління у сфері громадського здоров’я — 1 особа;</w:t>
      </w:r>
    </w:p>
    <w:p w14:paraId="0D6D12E5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комунікацій — 1 особа;</w:t>
      </w:r>
    </w:p>
    <w:p w14:paraId="2C7A84DA" w14:textId="77777777" w:rsidR="00113256" w:rsidRP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економіки у галузі охорони здоров’я — 1 особа;</w:t>
      </w:r>
    </w:p>
    <w:p w14:paraId="734778BB" w14:textId="77777777" w:rsidR="00113256" w:rsidRPr="003040D9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юриспруденції у галузі охорони здоров’я — 1 особа.</w:t>
      </w:r>
    </w:p>
    <w:p w14:paraId="1C143092" w14:textId="77777777" w:rsid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p w14:paraId="5EEB9287" w14:textId="77777777" w:rsidR="00113256" w:rsidRPr="00113256" w:rsidRDefault="00113256" w:rsidP="0011325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</w:p>
    <w:p w14:paraId="2FA2E6F8" w14:textId="77777777" w:rsidR="00113256" w:rsidRPr="008265BA" w:rsidRDefault="00113256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B200AAD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0746644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29A9443" w14:textId="31F2E3E5" w:rsidR="00E90C93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аналіз існуючої національної політики та надання пропозицій щодо визначення та формування оптимальної національної політики та стратегії у сфері імунопрофілактики;</w:t>
      </w:r>
    </w:p>
    <w:p w14:paraId="610EE7E3" w14:textId="11222ECF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аналіз виконання національних та регіональних програм з імунізації;</w:t>
      </w:r>
    </w:p>
    <w:p w14:paraId="78F0F6D8" w14:textId="1C9F56B2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визначення та обґрунтування потреби в додаткових епідеміологічних та імунологічних дослідженнях;</w:t>
      </w:r>
    </w:p>
    <w:p w14:paraId="15CE418A" w14:textId="6F315EA9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аналіз результатів іноземних та вітчизняних наукових досліджень та надання рекомендацій щодо їх впровадження у практику медичного обслуговування;</w:t>
      </w:r>
    </w:p>
    <w:p w14:paraId="0A0F19D2" w14:textId="2387A593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інформування МОЗ України про наукові досягнення у галузі імунопрофілактики та боротьби із захворюваннями, що можна попередити шляхом імунопрофілактики;</w:t>
      </w:r>
    </w:p>
    <w:p w14:paraId="45B391A6" w14:textId="49D26D36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внесення пропозицій щодо розробки проектів нормативно-правових актів з питань формування та реалізації політики у сфері імунопрофілактики;</w:t>
      </w:r>
    </w:p>
    <w:p w14:paraId="31C5F574" w14:textId="6788D365" w:rsidR="00113256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аналіз проектів та чинних нормативно-правових актів з питань формування та реалізації політики у сфері імунопрофілактики та, у разі необхідності, надання відповідних пропозиції щодо внесення змін та доповнень до них;</w:t>
      </w:r>
    </w:p>
    <w:p w14:paraId="59DAF817" w14:textId="28ABA5FB" w:rsidR="00113256" w:rsidRPr="00E90C93" w:rsidRDefault="00113256" w:rsidP="00E90C93">
      <w:pPr>
        <w:pStyle w:val="a3"/>
        <w:numPr>
          <w:ilvl w:val="0"/>
          <w:numId w:val="28"/>
        </w:numPr>
        <w:shd w:val="clear" w:color="auto" w:fill="FFFFFF"/>
        <w:rPr>
          <w:rFonts w:cs="Calibri"/>
          <w:color w:val="000000"/>
          <w:lang w:val="uk-UA"/>
        </w:rPr>
      </w:pPr>
      <w:r w:rsidRPr="00113256">
        <w:rPr>
          <w:rFonts w:cs="Calibri"/>
          <w:color w:val="000000"/>
          <w:lang w:val="uk-UA"/>
        </w:rPr>
        <w:t>надання рекомендацій щодо застосування імунобіологічних препаратів з певним антигенним складом при наявності нової інформації або при зміні ступеню ризику, що пов'язаний з конкретним захворюванням.</w:t>
      </w:r>
    </w:p>
    <w:p w14:paraId="1A8FCF8C" w14:textId="77777777" w:rsidR="00E90C93" w:rsidRDefault="00E90C93" w:rsidP="00E90C93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68683987" w14:textId="71AD7F71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173E4C9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3220408" w14:textId="38F89AF0" w:rsidR="00F90929" w:rsidRDefault="003040D9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lang w:val="uk-UA"/>
        </w:rPr>
      </w:pPr>
      <w:r w:rsidRPr="003040D9">
        <w:rPr>
          <w:rFonts w:ascii="Calibri" w:hAnsi="Calibri" w:cs="Calibri"/>
          <w:color w:val="000000"/>
          <w:lang w:val="uk-UA"/>
        </w:rPr>
        <w:t>вища освіта (медична, економічна, юридична) та науковий ступінь у відповідній галузі (епідеміологія, організація охорони здоров’я, громадське здоров’я, педіатрія, інфекційні захворювання, імунологія, сімейна медицина та/або терапія, зв’язки з громадськістю)</w:t>
      </w:r>
      <w:r w:rsidR="00F90929" w:rsidRPr="003040D9">
        <w:rPr>
          <w:rFonts w:ascii="Calibri" w:hAnsi="Calibri" w:cs="Calibri"/>
          <w:color w:val="000000"/>
          <w:lang w:val="uk-UA"/>
        </w:rPr>
        <w:t>;</w:t>
      </w:r>
    </w:p>
    <w:p w14:paraId="66F1C6DC" w14:textId="0938512D" w:rsidR="00113256" w:rsidRDefault="00113256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наявність стажу роботи за основною спеціальністю не менше семи років, кваліфікаційна категорія не нижче першої та/або науковий ступінь не нижче кандидата наук (крім спеціаліста з комунікацій)</w:t>
      </w:r>
      <w:r>
        <w:rPr>
          <w:rFonts w:ascii="Calibri" w:hAnsi="Calibri" w:cs="Calibri"/>
          <w:color w:val="000000"/>
          <w:lang w:val="uk-UA"/>
        </w:rPr>
        <w:t>;</w:t>
      </w:r>
    </w:p>
    <w:p w14:paraId="133AFF82" w14:textId="72BDAE99" w:rsidR="00113256" w:rsidRDefault="00113256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Членом НТГЕІ можуть бути громадяни як України, так і інших держав (крім громадян держави-агресора; фізичних осіб, до яких застосовують обмежувальні заходи (санкції) відповідно до рішення РНБО; представників юридичних осіб, до яких застосовують обмежувальні заходи (санкції) відповідно до рішення РНБО)</w:t>
      </w:r>
      <w:r>
        <w:rPr>
          <w:rFonts w:ascii="Calibri" w:hAnsi="Calibri" w:cs="Calibri"/>
          <w:color w:val="000000"/>
          <w:lang w:val="uk-UA"/>
        </w:rPr>
        <w:t>;</w:t>
      </w:r>
    </w:p>
    <w:p w14:paraId="3B6B4E91" w14:textId="0B170C13" w:rsidR="00113256" w:rsidRDefault="00113256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Членом НТГЕІ не може бути особа, яка у своїх публічних заявах та виступах агітує проти вакцинації та у будь-який інший спосіб підриває мету підвищення обізнаності громадян стосовно переваг вакцинації над ризиками, що ґрунтується на доказовій медицині</w:t>
      </w:r>
      <w:r>
        <w:rPr>
          <w:rFonts w:ascii="Calibri" w:hAnsi="Calibri" w:cs="Calibri"/>
          <w:color w:val="000000"/>
          <w:lang w:val="uk-UA"/>
        </w:rPr>
        <w:t>;</w:t>
      </w:r>
    </w:p>
    <w:p w14:paraId="6D3B2EDD" w14:textId="4CE731BA" w:rsidR="00113256" w:rsidRDefault="00113256" w:rsidP="00F90929">
      <w:pPr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Вільне володіння українською мовою. Володіння іноземною мовою, яка є однією з офіційних мов Ради Європи, буде перевагою.</w:t>
      </w:r>
    </w:p>
    <w:p w14:paraId="25BF686B" w14:textId="77777777" w:rsidR="00113256" w:rsidRDefault="00113256" w:rsidP="00113256">
      <w:pPr>
        <w:textAlignment w:val="baseline"/>
        <w:rPr>
          <w:rFonts w:ascii="Calibri" w:hAnsi="Calibri" w:cs="Calibri"/>
          <w:color w:val="000000"/>
          <w:lang w:val="uk-UA"/>
        </w:rPr>
      </w:pPr>
    </w:p>
    <w:p w14:paraId="560255A3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23DAE2ED" w14:textId="77777777" w:rsidR="00113256" w:rsidRDefault="00113256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0C635B31" w14:textId="166CB44E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 xml:space="preserve">1. Кандидат має заповнити анкету за посиланням: </w:t>
      </w:r>
      <w:hyperlink r:id="rId7" w:history="1">
        <w:r w:rsidRPr="001D2A5E">
          <w:rPr>
            <w:rStyle w:val="ad"/>
            <w:rFonts w:ascii="Calibri" w:hAnsi="Calibri" w:cs="Calibri"/>
            <w:lang w:val="uk-UA"/>
          </w:rPr>
          <w:t>https://forms.gle/qXHnvb9L3ASmwPvR6</w:t>
        </w:r>
      </w:hyperlink>
      <w:r>
        <w:rPr>
          <w:rFonts w:ascii="Calibri" w:hAnsi="Calibri" w:cs="Calibri"/>
          <w:color w:val="000000"/>
          <w:lang w:val="uk-UA"/>
        </w:rPr>
        <w:t xml:space="preserve"> </w:t>
      </w:r>
    </w:p>
    <w:p w14:paraId="5AAE20CB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</w:p>
    <w:p w14:paraId="01430D6E" w14:textId="0B0D9B02" w:rsid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 xml:space="preserve">2. Резюме слід надсилати до </w:t>
      </w:r>
      <w:r w:rsidR="00CD265A" w:rsidRPr="00CD265A">
        <w:rPr>
          <w:rFonts w:ascii="Calibri" w:hAnsi="Calibri" w:cs="Calibri"/>
          <w:color w:val="000000"/>
        </w:rPr>
        <w:t>10</w:t>
      </w:r>
      <w:r w:rsidRPr="00113256">
        <w:rPr>
          <w:rFonts w:ascii="Calibri" w:hAnsi="Calibri" w:cs="Calibri"/>
          <w:color w:val="000000"/>
          <w:lang w:val="uk-UA"/>
        </w:rPr>
        <w:t xml:space="preserve"> травня 2023 року включно на електронну адресу: </w:t>
      </w:r>
      <w:hyperlink r:id="rId8" w:history="1">
        <w:r w:rsidRPr="001D2A5E">
          <w:rPr>
            <w:rStyle w:val="ad"/>
            <w:rFonts w:ascii="Calibri" w:hAnsi="Calibri" w:cs="Calibri"/>
            <w:lang w:val="uk-UA"/>
          </w:rPr>
          <w:t>s.onyshchuk@phc.org.u</w:t>
        </w:r>
        <w:r w:rsidRPr="001D2A5E">
          <w:rPr>
            <w:rStyle w:val="ad"/>
            <w:rFonts w:ascii="Calibri" w:hAnsi="Calibri" w:cs="Calibri"/>
            <w:lang w:val="en-US"/>
          </w:rPr>
          <w:t>a</w:t>
        </w:r>
      </w:hyperlink>
      <w:r w:rsidRPr="0011325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113256">
        <w:rPr>
          <w:rFonts w:ascii="Calibri" w:hAnsi="Calibri" w:cs="Calibri"/>
          <w:color w:val="000000"/>
          <w:lang w:val="uk-UA"/>
        </w:rPr>
        <w:t xml:space="preserve"> </w:t>
      </w:r>
    </w:p>
    <w:p w14:paraId="652CFC36" w14:textId="2AB0D9CB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У темі листа, будь ласка, зазначте: «</w:t>
      </w:r>
      <w:bookmarkStart w:id="0" w:name="_GoBack"/>
      <w:r w:rsidR="00CD265A">
        <w:rPr>
          <w:rFonts w:ascii="Arial" w:hAnsi="Arial" w:cs="Arial"/>
          <w:color w:val="000000"/>
          <w:sz w:val="20"/>
          <w:szCs w:val="20"/>
          <w:shd w:val="clear" w:color="auto" w:fill="FFFFFF"/>
        </w:rPr>
        <w:t>163</w:t>
      </w:r>
      <w:r w:rsidR="00CD265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CD265A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D265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CD265A">
        <w:rPr>
          <w:rFonts w:ascii="Arial" w:hAnsi="Arial" w:cs="Arial"/>
          <w:color w:val="000000"/>
          <w:sz w:val="20"/>
          <w:szCs w:val="20"/>
          <w:shd w:val="clear" w:color="auto" w:fill="FFFFFF"/>
        </w:rPr>
        <w:t>2023</w:t>
      </w:r>
      <w:r w:rsidR="00CD265A" w:rsidRPr="00113256">
        <w:rPr>
          <w:rFonts w:ascii="Calibri" w:hAnsi="Calibri" w:cs="Calibri"/>
          <w:color w:val="000000"/>
          <w:lang w:val="uk-UA"/>
        </w:rPr>
        <w:t xml:space="preserve"> </w:t>
      </w:r>
      <w:r w:rsidRPr="00113256">
        <w:rPr>
          <w:rFonts w:ascii="Calibri" w:hAnsi="Calibri" w:cs="Calibri"/>
          <w:color w:val="000000"/>
          <w:lang w:val="uk-UA"/>
        </w:rPr>
        <w:t>Національна технічна група експертів з імунізації НТГЕІ</w:t>
      </w:r>
      <w:bookmarkEnd w:id="0"/>
      <w:r w:rsidRPr="00113256">
        <w:rPr>
          <w:rFonts w:ascii="Calibri" w:hAnsi="Calibri" w:cs="Calibri"/>
          <w:color w:val="000000"/>
          <w:lang w:val="uk-UA"/>
        </w:rPr>
        <w:t>».</w:t>
      </w:r>
    </w:p>
    <w:p w14:paraId="09D4961C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</w:p>
    <w:p w14:paraId="3B8F78A1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3. Разом з резюме слід надіслати перелік індивідуальних професійних досягнень, оскільки в НТГЕІ експерти мають презентувати свою «індивідуальну експертну думку», а не позицію установи/організації/органу, де працюють. До переліку індивідуальних досягнень віднесено наукові праці, публікації, дослідження із зазначенням теми і дати публікації (щонайменше п’ять друкованих робіт).</w:t>
      </w:r>
    </w:p>
    <w:p w14:paraId="0A1384C5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</w:p>
    <w:p w14:paraId="29D92999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lastRenderedPageBreak/>
        <w:t>4. Кандидат має обов’язково зазначити головну спеціалізацію, у рамках якої подається на членство в НТГЕІ: епідеміологія, педіатрія, інфекційні захворювання, імунологія, сімейна медицина та/або терапія, організація охорони здоров’я, громадське здоров’я, комунікації в галузі охорони здоров’я тощо.</w:t>
      </w:r>
    </w:p>
    <w:p w14:paraId="0B1D969F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</w:p>
    <w:p w14:paraId="0928028B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5. Кандидат має підготувати (обсягом не більше сторінки) мотиваційний лист щодо участі в НТГЕІ, охопивши такі питання:</w:t>
      </w:r>
    </w:p>
    <w:p w14:paraId="5EF64B7C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</w:p>
    <w:p w14:paraId="29BACEB5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Яка мотивація Вашої участі у НТГЕІ?</w:t>
      </w:r>
    </w:p>
    <w:p w14:paraId="7E98B67D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Які освіта і професійний досвід підготували чи спонукали Вас до участі в НТГЕІ?</w:t>
      </w:r>
    </w:p>
    <w:p w14:paraId="439DD737" w14:textId="77777777" w:rsidR="00113256" w:rsidRP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Чого б Ви хотіли, щоб НТГЕІ досягла протягом наступних двох-трьох років?</w:t>
      </w:r>
    </w:p>
    <w:p w14:paraId="05409B24" w14:textId="195631EC" w:rsidR="00113256" w:rsidRDefault="00113256" w:rsidP="00113256">
      <w:pPr>
        <w:jc w:val="both"/>
        <w:rPr>
          <w:rFonts w:ascii="Calibri" w:hAnsi="Calibri" w:cs="Calibri"/>
          <w:color w:val="000000"/>
          <w:lang w:val="uk-UA"/>
        </w:rPr>
      </w:pPr>
      <w:r w:rsidRPr="00113256">
        <w:rPr>
          <w:rFonts w:ascii="Calibri" w:hAnsi="Calibri" w:cs="Calibri"/>
          <w:color w:val="000000"/>
          <w:lang w:val="uk-UA"/>
        </w:rPr>
        <w:t>Які Ваші професійні цілі та стратегічне бачення розвитку програми імунопрофілактики?</w:t>
      </w:r>
    </w:p>
    <w:p w14:paraId="194AAECB" w14:textId="77777777" w:rsidR="00113256" w:rsidRDefault="00113256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31583309" w14:textId="77777777" w:rsidR="00113256" w:rsidRDefault="00113256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2F7F474E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40DF5121" w14:textId="72AAFA7B" w:rsidR="00DF3663" w:rsidRPr="00113256" w:rsidRDefault="00CD3306" w:rsidP="00E434CE">
      <w:pPr>
        <w:jc w:val="both"/>
        <w:rPr>
          <w:rFonts w:ascii="Calibri" w:hAnsi="Calibri" w:cs="Calibri"/>
          <w:color w:val="000000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113256" w:rsidRPr="00113256">
        <w:rPr>
          <w:rFonts w:ascii="Calibri" w:hAnsi="Calibri" w:cs="Calibri"/>
          <w:color w:val="000000"/>
        </w:rPr>
        <w:t>.</w:t>
      </w:r>
    </w:p>
    <w:p w14:paraId="52383801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51C9501C" w14:textId="77777777" w:rsidR="001449B9" w:rsidRPr="008265BA" w:rsidRDefault="001449B9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1449B9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A33"/>
    <w:multiLevelType w:val="hybridMultilevel"/>
    <w:tmpl w:val="9E62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87D0159"/>
    <w:multiLevelType w:val="hybridMultilevel"/>
    <w:tmpl w:val="DA1CE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F6377"/>
    <w:multiLevelType w:val="hybridMultilevel"/>
    <w:tmpl w:val="4482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13"/>
  </w:num>
  <w:num w:numId="5">
    <w:abstractNumId w:val="23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6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25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19"/>
  </w:num>
  <w:num w:numId="25">
    <w:abstractNumId w:val="22"/>
  </w:num>
  <w:num w:numId="26">
    <w:abstractNumId w:val="6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gUAs3LQVywAAAA="/>
  </w:docVars>
  <w:rsids>
    <w:rsidRoot w:val="00E45D44"/>
    <w:rsid w:val="000076D3"/>
    <w:rsid w:val="00022BB0"/>
    <w:rsid w:val="00026FA0"/>
    <w:rsid w:val="000348F4"/>
    <w:rsid w:val="00051F5D"/>
    <w:rsid w:val="00070A9A"/>
    <w:rsid w:val="00071B44"/>
    <w:rsid w:val="00074F54"/>
    <w:rsid w:val="00093C49"/>
    <w:rsid w:val="00096094"/>
    <w:rsid w:val="000B1F36"/>
    <w:rsid w:val="000C7CE9"/>
    <w:rsid w:val="000D42FC"/>
    <w:rsid w:val="000F116D"/>
    <w:rsid w:val="000F2CF3"/>
    <w:rsid w:val="000F3715"/>
    <w:rsid w:val="000F3D8E"/>
    <w:rsid w:val="00113256"/>
    <w:rsid w:val="00122708"/>
    <w:rsid w:val="00141133"/>
    <w:rsid w:val="0014234D"/>
    <w:rsid w:val="001449B9"/>
    <w:rsid w:val="00144FEF"/>
    <w:rsid w:val="00146B16"/>
    <w:rsid w:val="00151D28"/>
    <w:rsid w:val="001545C8"/>
    <w:rsid w:val="00156513"/>
    <w:rsid w:val="00163EA1"/>
    <w:rsid w:val="00165940"/>
    <w:rsid w:val="00181515"/>
    <w:rsid w:val="001B2BAB"/>
    <w:rsid w:val="001B69F6"/>
    <w:rsid w:val="001B744D"/>
    <w:rsid w:val="001C09EA"/>
    <w:rsid w:val="001C7B63"/>
    <w:rsid w:val="001D5072"/>
    <w:rsid w:val="00201820"/>
    <w:rsid w:val="00201EED"/>
    <w:rsid w:val="00222BA1"/>
    <w:rsid w:val="00225379"/>
    <w:rsid w:val="0023292F"/>
    <w:rsid w:val="00252AA1"/>
    <w:rsid w:val="00260827"/>
    <w:rsid w:val="00260F9E"/>
    <w:rsid w:val="002615E7"/>
    <w:rsid w:val="002618C5"/>
    <w:rsid w:val="002626B3"/>
    <w:rsid w:val="002643CE"/>
    <w:rsid w:val="002801E3"/>
    <w:rsid w:val="00282058"/>
    <w:rsid w:val="0029043A"/>
    <w:rsid w:val="002916AB"/>
    <w:rsid w:val="002B0A04"/>
    <w:rsid w:val="002C77E6"/>
    <w:rsid w:val="002D3AE2"/>
    <w:rsid w:val="002E702A"/>
    <w:rsid w:val="003040D9"/>
    <w:rsid w:val="00312073"/>
    <w:rsid w:val="0033608E"/>
    <w:rsid w:val="003451F2"/>
    <w:rsid w:val="0035135B"/>
    <w:rsid w:val="00372D82"/>
    <w:rsid w:val="0037760D"/>
    <w:rsid w:val="00381FBF"/>
    <w:rsid w:val="003B684D"/>
    <w:rsid w:val="003C1AB1"/>
    <w:rsid w:val="003E0074"/>
    <w:rsid w:val="003E0E1F"/>
    <w:rsid w:val="003F0C80"/>
    <w:rsid w:val="00401AB7"/>
    <w:rsid w:val="00401BDF"/>
    <w:rsid w:val="004043A0"/>
    <w:rsid w:val="00427745"/>
    <w:rsid w:val="0044241E"/>
    <w:rsid w:val="0045499D"/>
    <w:rsid w:val="0047613C"/>
    <w:rsid w:val="0049670C"/>
    <w:rsid w:val="004A01B4"/>
    <w:rsid w:val="004A3F35"/>
    <w:rsid w:val="004B5B10"/>
    <w:rsid w:val="004C5EC1"/>
    <w:rsid w:val="004D6214"/>
    <w:rsid w:val="004E5A2F"/>
    <w:rsid w:val="004F79D2"/>
    <w:rsid w:val="00504360"/>
    <w:rsid w:val="00505163"/>
    <w:rsid w:val="005057F6"/>
    <w:rsid w:val="0051502B"/>
    <w:rsid w:val="00516BDD"/>
    <w:rsid w:val="00534DDD"/>
    <w:rsid w:val="00546C9B"/>
    <w:rsid w:val="00551955"/>
    <w:rsid w:val="0055375E"/>
    <w:rsid w:val="00555CFA"/>
    <w:rsid w:val="00565075"/>
    <w:rsid w:val="005721FB"/>
    <w:rsid w:val="005734AB"/>
    <w:rsid w:val="00586FD9"/>
    <w:rsid w:val="005879A7"/>
    <w:rsid w:val="0059406F"/>
    <w:rsid w:val="00595521"/>
    <w:rsid w:val="00596803"/>
    <w:rsid w:val="005B6B25"/>
    <w:rsid w:val="005C3F55"/>
    <w:rsid w:val="005E1AEC"/>
    <w:rsid w:val="005E28CD"/>
    <w:rsid w:val="005F0FE8"/>
    <w:rsid w:val="005F5F62"/>
    <w:rsid w:val="005F636B"/>
    <w:rsid w:val="006A0C63"/>
    <w:rsid w:val="006A1712"/>
    <w:rsid w:val="006C464C"/>
    <w:rsid w:val="006E257D"/>
    <w:rsid w:val="00707EDE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D7750"/>
    <w:rsid w:val="007E1E23"/>
    <w:rsid w:val="007F7E9E"/>
    <w:rsid w:val="00803C7A"/>
    <w:rsid w:val="00820671"/>
    <w:rsid w:val="008265BA"/>
    <w:rsid w:val="008435DC"/>
    <w:rsid w:val="0085442B"/>
    <w:rsid w:val="00861BDD"/>
    <w:rsid w:val="00863F80"/>
    <w:rsid w:val="008650C4"/>
    <w:rsid w:val="008677B3"/>
    <w:rsid w:val="008748F3"/>
    <w:rsid w:val="00885AF1"/>
    <w:rsid w:val="00894923"/>
    <w:rsid w:val="00894C42"/>
    <w:rsid w:val="00896E6B"/>
    <w:rsid w:val="008C03A4"/>
    <w:rsid w:val="008C6DD9"/>
    <w:rsid w:val="008D54E7"/>
    <w:rsid w:val="008E5A3C"/>
    <w:rsid w:val="00900076"/>
    <w:rsid w:val="00903403"/>
    <w:rsid w:val="009238CA"/>
    <w:rsid w:val="00924994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C55A6"/>
    <w:rsid w:val="00AD59DE"/>
    <w:rsid w:val="00AE4D66"/>
    <w:rsid w:val="00B02CE0"/>
    <w:rsid w:val="00B0321E"/>
    <w:rsid w:val="00B12015"/>
    <w:rsid w:val="00B1257C"/>
    <w:rsid w:val="00B17E1D"/>
    <w:rsid w:val="00B20F74"/>
    <w:rsid w:val="00B23F6A"/>
    <w:rsid w:val="00B400FE"/>
    <w:rsid w:val="00B53CC6"/>
    <w:rsid w:val="00B57FDF"/>
    <w:rsid w:val="00B93A57"/>
    <w:rsid w:val="00BC7FE5"/>
    <w:rsid w:val="00BE2575"/>
    <w:rsid w:val="00BE5262"/>
    <w:rsid w:val="00BF0D10"/>
    <w:rsid w:val="00BF2830"/>
    <w:rsid w:val="00BF3DD0"/>
    <w:rsid w:val="00BF642E"/>
    <w:rsid w:val="00C04CC3"/>
    <w:rsid w:val="00C05FBF"/>
    <w:rsid w:val="00C14DFB"/>
    <w:rsid w:val="00C25750"/>
    <w:rsid w:val="00C2706C"/>
    <w:rsid w:val="00C430DB"/>
    <w:rsid w:val="00C4771B"/>
    <w:rsid w:val="00C52B49"/>
    <w:rsid w:val="00C554DD"/>
    <w:rsid w:val="00C578E2"/>
    <w:rsid w:val="00C64D1C"/>
    <w:rsid w:val="00C65FA7"/>
    <w:rsid w:val="00C75B85"/>
    <w:rsid w:val="00C83212"/>
    <w:rsid w:val="00CA0EAD"/>
    <w:rsid w:val="00CC40C3"/>
    <w:rsid w:val="00CD265A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0C93"/>
    <w:rsid w:val="00EB60E5"/>
    <w:rsid w:val="00EC49E6"/>
    <w:rsid w:val="00EE1D77"/>
    <w:rsid w:val="00EF03AD"/>
    <w:rsid w:val="00EF328F"/>
    <w:rsid w:val="00F256B4"/>
    <w:rsid w:val="00F30FFA"/>
    <w:rsid w:val="00F45645"/>
    <w:rsid w:val="00F75CF0"/>
    <w:rsid w:val="00F90929"/>
    <w:rsid w:val="00FA0517"/>
    <w:rsid w:val="00FB2079"/>
    <w:rsid w:val="00FB3E8D"/>
    <w:rsid w:val="00FB74E5"/>
    <w:rsid w:val="00FB751F"/>
    <w:rsid w:val="00FC4B09"/>
    <w:rsid w:val="00FE33CA"/>
    <w:rsid w:val="00FF529E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614E"/>
  <w15:docId w15:val="{3BA55925-AA69-434C-B320-EC128DE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BF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onyshchuk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qXHnvb9L3ASmwPvR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9264-048F-41FB-8E2A-162524B9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3985</Words>
  <Characters>2272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2018-06-21T06:49:00Z</cp:lastPrinted>
  <dcterms:created xsi:type="dcterms:W3CDTF">2023-04-18T13:11:00Z</dcterms:created>
  <dcterms:modified xsi:type="dcterms:W3CDTF">2023-04-19T06:11:00Z</dcterms:modified>
</cp:coreProperties>
</file>