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Pr="00681639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681639">
        <w:rPr>
          <w:rFonts w:asciiTheme="minorHAnsi" w:hAnsiTheme="minorHAnsi" w:cstheme="minorHAnsi"/>
          <w:b/>
          <w:lang w:val="uk-UA"/>
        </w:rPr>
        <w:t>Державна </w:t>
      </w:r>
      <w:r w:rsidR="005A0ECF" w:rsidRPr="00681639">
        <w:rPr>
          <w:rFonts w:asciiTheme="minorHAnsi" w:hAnsiTheme="minorHAnsi" w:cstheme="minorHAnsi"/>
          <w:b/>
          <w:lang w:val="uk-UA"/>
        </w:rPr>
        <w:t xml:space="preserve">установа </w:t>
      </w:r>
    </w:p>
    <w:p w:rsidR="005A0ECF" w:rsidRPr="00CF11D0" w:rsidRDefault="005A0ECF" w:rsidP="00681639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«Центр громадського</w:t>
      </w:r>
      <w:r w:rsidR="004F57BD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здоров’я Міністерства охорони здоров’я України» оголошує конкурс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59704E" w:rsidRPr="00CF11D0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питань</w:t>
      </w:r>
      <w:r w:rsidR="00144F9E" w:rsidRPr="00CF11D0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інформаційно-комунікативного забезпечення супроводу реформування системи протитуберкульозної допомоги населенню </w:t>
      </w:r>
      <w:r w:rsidR="00BA0D51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7E7F31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реалізації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D5269" w:rsidRPr="00CF11D0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5D5269" w:rsidRPr="00CF11D0">
        <w:rPr>
          <w:rFonts w:asciiTheme="minorHAnsi" w:eastAsia="Tahoma" w:hAnsiTheme="minorHAnsi" w:cstheme="minorHAnsi"/>
          <w:b/>
          <w:color w:val="000000" w:themeColor="text1"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.</w:t>
      </w:r>
    </w:p>
    <w:p w:rsidR="005A0ECF" w:rsidRPr="00CF11D0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A847AD" w:rsidRPr="00CF11D0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r w:rsidR="00144F9E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інформаційно-комуніка</w:t>
      </w:r>
      <w:r w:rsidR="00FF524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ційного</w:t>
      </w:r>
      <w:r w:rsidR="00144F9E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супроводу реформування системи протитуберкульозної допомоги населенню</w:t>
      </w:r>
    </w:p>
    <w:p w:rsidR="005A0ECF" w:rsidRPr="00CF11D0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Рівень зайнятості: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часткова</w:t>
      </w:r>
    </w:p>
    <w:p w:rsidR="00EF03AD" w:rsidRPr="00CF11D0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CF11D0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соціально 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67B25" w:rsidRPr="00CF11D0" w:rsidRDefault="000352AB" w:rsidP="00E76061">
      <w:pPr>
        <w:spacing w:after="12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</w:t>
      </w:r>
      <w:r w:rsidR="00967B25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пис особливих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967B25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умов</w:t>
      </w:r>
    </w:p>
    <w:p w:rsidR="004F4738" w:rsidRPr="00CF11D0" w:rsidRDefault="004F4738" w:rsidP="00E76061">
      <w:pPr>
        <w:spacing w:after="120"/>
        <w:jc w:val="both"/>
        <w:rPr>
          <w:rFonts w:asciiTheme="minorHAnsi" w:hAnsiTheme="minorHAnsi" w:cstheme="minorHAnsi"/>
          <w:color w:val="000000" w:themeColor="text1"/>
          <w:lang w:val="uk-UA" w:eastAsia="uk-UA"/>
        </w:rPr>
      </w:pP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В умовах швидких змін в підходах до фінансування надання послуг через Програму медичних гарантій 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очікувано виникли 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>проблем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>ами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із 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готовністю медичних закладів до 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>імплементаці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>ї змін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на місцях,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організації адм</w:t>
      </w:r>
      <w:r w:rsidR="00E76061" w:rsidRPr="00CF11D0">
        <w:rPr>
          <w:rFonts w:asciiTheme="minorHAnsi" w:hAnsiTheme="minorHAnsi" w:cstheme="minorHAnsi"/>
          <w:color w:val="000000" w:themeColor="text1"/>
          <w:lang w:val="uk-UA" w:eastAsia="uk-UA"/>
        </w:rPr>
        <w:t>і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>ністрати</w:t>
      </w:r>
      <w:r w:rsidR="00BE2EB5" w:rsidRPr="00CF11D0">
        <w:rPr>
          <w:rFonts w:asciiTheme="minorHAnsi" w:hAnsiTheme="minorHAnsi" w:cstheme="minorHAnsi"/>
          <w:color w:val="000000" w:themeColor="text1"/>
          <w:lang w:val="uk-UA" w:eastAsia="uk-UA"/>
        </w:rPr>
        <w:t>в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>но-управлінської структури закладів, оптимізації фінансово-економічної діяльності в нових умовах фінансування</w:t>
      </w:r>
      <w:r w:rsidR="009904F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. Не в останню чергу </w:t>
      </w:r>
      <w:r w:rsidR="004F57B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ситуація з несвоєчасним реагування на виклики в нових умовах при  постійних змінах в національному законодавстві та міжнародних підходах складається через </w:t>
      </w:r>
      <w:r w:rsidR="009904FE" w:rsidRPr="00CF11D0">
        <w:rPr>
          <w:rFonts w:asciiTheme="minorHAnsi" w:hAnsiTheme="minorHAnsi" w:cstheme="minorHAnsi"/>
          <w:color w:val="000000" w:themeColor="text1"/>
          <w:lang w:val="uk-UA" w:eastAsia="uk-UA"/>
        </w:rPr>
        <w:t>брак інформації та потенціал</w:t>
      </w:r>
      <w:r w:rsidR="004F57BD" w:rsidRPr="00CF11D0">
        <w:rPr>
          <w:rFonts w:asciiTheme="minorHAnsi" w:hAnsiTheme="minorHAnsi" w:cstheme="minorHAnsi"/>
          <w:color w:val="000000" w:themeColor="text1"/>
          <w:lang w:val="uk-UA" w:eastAsia="uk-UA"/>
        </w:rPr>
        <w:t>у</w:t>
      </w:r>
      <w:r w:rsidR="009904F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закладів охорони у використанні інформаційних ресурсів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. </w:t>
      </w:r>
      <w:r w:rsidR="004F57BD" w:rsidRPr="00CF11D0">
        <w:rPr>
          <w:rFonts w:asciiTheme="minorHAnsi" w:hAnsiTheme="minorHAnsi" w:cstheme="minorHAnsi"/>
          <w:color w:val="000000" w:themeColor="text1"/>
          <w:lang w:val="uk-UA" w:eastAsia="uk-UA"/>
        </w:rPr>
        <w:t>Зазначене врешті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познач</w:t>
      </w:r>
      <w:r w:rsidR="004F57BD" w:rsidRPr="00CF11D0">
        <w:rPr>
          <w:rFonts w:asciiTheme="minorHAnsi" w:hAnsiTheme="minorHAnsi" w:cstheme="minorHAnsi"/>
          <w:color w:val="000000" w:themeColor="text1"/>
          <w:lang w:val="uk-UA" w:eastAsia="uk-UA"/>
        </w:rPr>
        <w:t>ається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на 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доступності медичних послуг пацієнтам з туберкульозом. </w:t>
      </w:r>
    </w:p>
    <w:p w:rsidR="00BA531E" w:rsidRPr="00CF11D0" w:rsidRDefault="004F57BD" w:rsidP="00E76061">
      <w:pPr>
        <w:spacing w:after="120"/>
        <w:jc w:val="both"/>
        <w:rPr>
          <w:rFonts w:asciiTheme="minorHAnsi" w:hAnsiTheme="minorHAnsi" w:cstheme="minorHAnsi"/>
          <w:color w:val="000000" w:themeColor="text1"/>
          <w:lang w:val="uk-UA" w:eastAsia="uk-UA"/>
        </w:rPr>
      </w:pP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>Інший важливий аспект, що впливає на охоплення якісними та своєчасними посл</w:t>
      </w:r>
      <w:r w:rsidR="00D529E9">
        <w:rPr>
          <w:rFonts w:asciiTheme="minorHAnsi" w:hAnsiTheme="minorHAnsi" w:cstheme="minorHAnsi"/>
          <w:color w:val="000000" w:themeColor="text1"/>
          <w:lang w:val="uk-UA" w:eastAsia="uk-UA"/>
        </w:rPr>
        <w:t>уга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>ми в сфері протидії туберкульозу, стосується стигми і дискримінації. Так, н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>езважаючи на зусилля щодо залучення первинної медичної допомоги до забезпечення процесу амбулаторного лікування туберкульозу</w:t>
      </w:r>
      <w:r w:rsidR="00BE2EB5" w:rsidRPr="00CF11D0">
        <w:rPr>
          <w:rFonts w:asciiTheme="minorHAnsi" w:hAnsiTheme="minorHAnsi" w:cstheme="minorHAnsi"/>
          <w:color w:val="000000" w:themeColor="text1"/>
          <w:lang w:val="uk-UA" w:eastAsia="uk-UA"/>
        </w:rPr>
        <w:t>,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насьогодні склалася ситуація, </w:t>
      </w:r>
      <w:r w:rsidR="00BE2EB5" w:rsidRPr="00CF11D0">
        <w:rPr>
          <w:rFonts w:asciiTheme="minorHAnsi" w:hAnsiTheme="minorHAnsi" w:cstheme="minorHAnsi"/>
          <w:color w:val="000000" w:themeColor="text1"/>
          <w:lang w:val="uk-UA" w:eastAsia="uk-UA"/>
        </w:rPr>
        <w:t>що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не дозволяє запровадженню амбулаторного лікування туберкульозу </w:t>
      </w:r>
      <w:r w:rsidR="00BE2EB5" w:rsidRPr="00CF11D0">
        <w:rPr>
          <w:rFonts w:asciiTheme="minorHAnsi" w:hAnsiTheme="minorHAnsi" w:cstheme="minorHAnsi"/>
          <w:color w:val="000000" w:themeColor="text1"/>
          <w:lang w:val="uk-UA" w:eastAsia="uk-UA"/>
        </w:rPr>
        <w:t>на первинному рівні медичної допомоги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. </w:t>
      </w:r>
      <w:r w:rsidR="00F2357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Як свідчать 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>результати досліджень, що були проведені Центром та іншими організаціями, серед причин такого стану залишаються стигма та дискримінація</w:t>
      </w:r>
      <w:r w:rsidR="00A8722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щодо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пацієнтів з туберкульозом</w:t>
      </w:r>
      <w:r w:rsidR="00A8722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, низька поінформованість 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>та недоста</w:t>
      </w:r>
      <w:r w:rsidR="00E76061" w:rsidRPr="00CF11D0">
        <w:rPr>
          <w:rFonts w:asciiTheme="minorHAnsi" w:hAnsiTheme="minorHAnsi" w:cstheme="minorHAnsi"/>
          <w:color w:val="000000" w:themeColor="text1"/>
          <w:lang w:val="uk-UA" w:eastAsia="uk-UA"/>
        </w:rPr>
        <w:t>т</w:t>
      </w:r>
      <w:r w:rsidR="00804A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ній рівень знань </w:t>
      </w:r>
      <w:r w:rsidR="00A8722D" w:rsidRPr="00CF11D0">
        <w:rPr>
          <w:rFonts w:asciiTheme="minorHAnsi" w:hAnsiTheme="minorHAnsi" w:cstheme="minorHAnsi"/>
          <w:color w:val="000000" w:themeColor="text1"/>
          <w:lang w:val="uk-UA" w:eastAsia="uk-UA"/>
        </w:rPr>
        <w:t>з питань профілактики, діагностики, лікування туберкульозу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</w:t>
      </w:r>
      <w:r w:rsidR="00A8722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як 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>серед загального населення</w:t>
      </w:r>
      <w:r w:rsidR="00E76061" w:rsidRPr="00CF11D0">
        <w:rPr>
          <w:rFonts w:asciiTheme="minorHAnsi" w:hAnsiTheme="minorHAnsi" w:cstheme="minorHAnsi"/>
          <w:color w:val="000000" w:themeColor="text1"/>
          <w:lang w:val="uk-UA" w:eastAsia="uk-UA"/>
        </w:rPr>
        <w:t>,</w:t>
      </w:r>
      <w:r w:rsidR="00A8722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так і</w:t>
      </w:r>
      <w:r w:rsidR="00BA531E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медичних працівників</w:t>
      </w:r>
      <w:r w:rsidR="00F2357D" w:rsidRPr="00CF11D0">
        <w:rPr>
          <w:rFonts w:asciiTheme="minorHAnsi" w:hAnsiTheme="minorHAnsi" w:cstheme="minorHAnsi"/>
          <w:color w:val="000000" w:themeColor="text1"/>
          <w:lang w:val="uk-UA" w:eastAsia="uk-UA"/>
        </w:rPr>
        <w:t>.</w:t>
      </w:r>
    </w:p>
    <w:p w:rsidR="009B5D49" w:rsidRPr="00CF11D0" w:rsidRDefault="00681639" w:rsidP="00E76061">
      <w:pPr>
        <w:spacing w:after="12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lastRenderedPageBreak/>
        <w:t xml:space="preserve">Враховуючи вищезазначене, в нинішніх умовах виникала </w:t>
      </w:r>
      <w:r w:rsidR="004F57BD" w:rsidRPr="00CF11D0">
        <w:rPr>
          <w:rFonts w:asciiTheme="minorHAnsi" w:hAnsiTheme="minorHAnsi" w:cstheme="minorHAnsi"/>
          <w:color w:val="000000" w:themeColor="text1"/>
          <w:lang w:val="uk-UA" w:eastAsia="uk-UA"/>
        </w:rPr>
        <w:t>нагальна</w:t>
      </w:r>
      <w:r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потреба в </w:t>
      </w:r>
      <w:r w:rsidR="004F57BD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налагодженні якісної та системної комунікативно-інформаційної підтримки зусиль на центральному та регіональному рівнях, що, як очікується, дадуть змогу </w:t>
      </w:r>
      <w:r w:rsidR="00110254" w:rsidRPr="00CF11D0">
        <w:rPr>
          <w:rFonts w:asciiTheme="minorHAnsi" w:hAnsiTheme="minorHAnsi" w:cstheme="minorHAnsi"/>
          <w:color w:val="000000" w:themeColor="text1"/>
          <w:lang w:val="uk-UA" w:eastAsia="uk-UA"/>
        </w:rPr>
        <w:t>відновити довіру загального населення, медичної та пацієнтської спільноти до р</w:t>
      </w:r>
      <w:r w:rsidR="00323E3B" w:rsidRPr="00CF11D0">
        <w:rPr>
          <w:rFonts w:asciiTheme="minorHAnsi" w:hAnsiTheme="minorHAnsi" w:cstheme="minorHAnsi"/>
          <w:color w:val="000000" w:themeColor="text1"/>
          <w:lang w:val="uk-UA" w:eastAsia="uk-UA"/>
        </w:rPr>
        <w:t>е</w:t>
      </w:r>
      <w:r w:rsidR="00110254" w:rsidRPr="00CF11D0">
        <w:rPr>
          <w:rFonts w:asciiTheme="minorHAnsi" w:hAnsiTheme="minorHAnsi" w:cstheme="minorHAnsi"/>
          <w:color w:val="000000" w:themeColor="text1"/>
          <w:lang w:val="uk-UA" w:eastAsia="uk-UA"/>
        </w:rPr>
        <w:t>формування системи охорони здоров’я, акцентувати проблематику</w:t>
      </w:r>
      <w:r w:rsidR="00323E3B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комунікації</w:t>
      </w:r>
      <w:r w:rsidR="00110254" w:rsidRPr="00CF11D0">
        <w:rPr>
          <w:rFonts w:asciiTheme="minorHAnsi" w:hAnsiTheme="minorHAnsi" w:cstheme="minorHAnsi"/>
          <w:color w:val="000000" w:themeColor="text1"/>
          <w:lang w:val="uk-UA" w:eastAsia="uk-UA"/>
        </w:rPr>
        <w:t xml:space="preserve"> </w:t>
      </w:r>
      <w:r w:rsidR="00323E3B" w:rsidRPr="00CF11D0">
        <w:rPr>
          <w:rFonts w:asciiTheme="minorHAnsi" w:hAnsiTheme="minorHAnsi" w:cstheme="minorHAnsi"/>
          <w:color w:val="000000" w:themeColor="text1"/>
          <w:lang w:val="uk-UA" w:eastAsia="uk-UA"/>
        </w:rPr>
        <w:t>на центральних та регіональному рівнях, сприятиме пошуку ефективних та комплексних шляхів вирішення прогалин в інформаційній підтримці заходів протидії туберкульозу.</w:t>
      </w:r>
    </w:p>
    <w:p w:rsidR="004404C8" w:rsidRPr="00CF11D0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45D44" w:rsidRPr="00CF11D0" w:rsidRDefault="00E45D44" w:rsidP="00681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</w:t>
      </w:r>
      <w:r w:rsidR="008E3EF8" w:rsidRPr="00CF11D0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 </w:t>
      </w:r>
      <w:r w:rsidRPr="00CF11D0">
        <w:rPr>
          <w:rFonts w:asciiTheme="minorHAnsi" w:hAnsiTheme="minorHAnsi" w:cstheme="minorHAnsi"/>
          <w:b/>
          <w:bCs/>
          <w:color w:val="000000" w:themeColor="text1"/>
          <w:lang w:val="uk-UA"/>
        </w:rPr>
        <w:t>обов'язки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CD3306" w:rsidRPr="00CF11D0" w:rsidRDefault="00CD3306" w:rsidP="00681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27093" w:rsidRPr="00CF11D0" w:rsidRDefault="00323E3B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участь </w:t>
      </w:r>
      <w:r w:rsidR="00683AB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у розробці і </w:t>
      </w:r>
      <w:r w:rsidR="00882CD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реалізації</w:t>
      </w:r>
      <w:r w:rsidR="00683AB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інформаційної кампанії з </w:t>
      </w:r>
      <w:r w:rsidR="00DF73D4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підтримки </w:t>
      </w: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реформ </w:t>
      </w:r>
      <w:r w:rsidR="00683AB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в галузі</w:t>
      </w:r>
      <w:r w:rsidR="00DF73D4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протидії туберкульозу</w:t>
      </w:r>
      <w:r w:rsidR="00683AB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,</w:t>
      </w:r>
      <w:r w:rsidR="00DF73D4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стигми і дискримінації пацієнтів з туберкульозом та членів їх</w:t>
      </w:r>
      <w:r w:rsidR="008B728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ніх</w:t>
      </w:r>
      <w:r w:rsidR="00DF73D4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родин</w:t>
      </w:r>
      <w:r w:rsidR="00727093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:rsidR="00DA13F3" w:rsidRPr="00CF11D0" w:rsidRDefault="004E3E18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налагодження комунікації</w:t>
      </w:r>
      <w:r w:rsidR="00144F9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на регіональному та національному рівнях</w:t>
      </w: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, організація робочих нарад/семінар</w:t>
      </w:r>
      <w:r w:rsidR="008B728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ів</w:t>
      </w:r>
      <w:r w:rsidR="009A062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/тренінг</w:t>
      </w:r>
      <w:r w:rsidR="008B728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ів</w:t>
      </w:r>
      <w:r w:rsidR="009A062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/круглих стол</w:t>
      </w:r>
      <w:r w:rsidR="008B728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ів</w:t>
      </w: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із зацікавленими сторонами</w:t>
      </w:r>
      <w:r w:rsidR="00882CD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,</w:t>
      </w:r>
      <w:r w:rsidR="009A062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здійснення візитів на регіональний рівень </w:t>
      </w:r>
      <w:r w:rsidR="008B728B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з метою </w:t>
      </w:r>
      <w:r w:rsidR="00144F9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інфор</w:t>
      </w:r>
      <w:r w:rsidR="009904F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м</w:t>
      </w:r>
      <w:r w:rsidR="00144F9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аційного</w:t>
      </w:r>
      <w:r w:rsidR="00144F9E" w:rsidRPr="00CF11D0">
        <w:rPr>
          <w:rFonts w:asciiTheme="minorHAnsi" w:eastAsiaTheme="minorHAnsi" w:hAnsiTheme="minorHAnsi" w:cstheme="minorHAnsi"/>
          <w:color w:val="000000" w:themeColor="text1"/>
          <w:lang w:val="uk-UA"/>
        </w:rPr>
        <w:t xml:space="preserve"> супроводу реформування системи протитуберкульозної допомоги населенню</w:t>
      </w:r>
      <w:r w:rsidR="009A062E" w:rsidRPr="00CF11D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9A062E" w:rsidRPr="00CF11D0" w:rsidRDefault="009A062E" w:rsidP="009A062E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підготовка інформаційних матеріалів</w:t>
      </w:r>
      <w:r w:rsidR="00144F9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,</w:t>
      </w: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новин</w:t>
      </w:r>
      <w:r w:rsidR="00144F9E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, аналітичних матеріалів </w:t>
      </w:r>
      <w:r w:rsidR="00CC3C1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з метою інформаційного </w:t>
      </w:r>
      <w:r w:rsidR="00144F9E" w:rsidRPr="00CF11D0">
        <w:rPr>
          <w:rFonts w:asciiTheme="minorHAnsi" w:eastAsiaTheme="minorHAnsi" w:hAnsiTheme="minorHAnsi" w:cstheme="minorHAnsi"/>
          <w:color w:val="000000" w:themeColor="text1"/>
          <w:lang w:val="uk-UA"/>
        </w:rPr>
        <w:t>забезпечення супроводу реформування системи протитуберкульозної допомоги населенню</w:t>
      </w:r>
      <w:r w:rsidR="00882CD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DB1ED2" w:rsidRPr="00CF11D0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</w:p>
    <w:p w:rsidR="00B00F3C" w:rsidRPr="00B00F3C" w:rsidRDefault="00E77A4F" w:rsidP="00B00F3C">
      <w:pPr>
        <w:pStyle w:val="a3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  <w:t>Вимоги до професійної компетентності:</w:t>
      </w:r>
    </w:p>
    <w:p w:rsidR="000B5DDD" w:rsidRPr="00B00F3C" w:rsidRDefault="00DF73D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</w:t>
      </w:r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 реалізації </w:t>
      </w:r>
      <w:proofErr w:type="spellStart"/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інформкампаній</w:t>
      </w:r>
      <w:proofErr w:type="spellEnd"/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172C21" w:rsidRPr="001F4C69" w:rsidRDefault="0043397C" w:rsidP="001F4C6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у </w:t>
      </w:r>
      <w:r w:rsidR="002323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написанні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текстових інформаційних повідомлень </w:t>
      </w:r>
      <w:r w:rsidR="006B672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(статей, </w:t>
      </w:r>
      <w:r w:rsidR="000F373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пресрелізів, оглядових матеріалів</w:t>
      </w:r>
      <w:r w:rsidR="009F7DC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тощо</w:t>
      </w:r>
      <w:r w:rsidR="000F373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);</w:t>
      </w:r>
    </w:p>
    <w:p w:rsidR="000B5DDD" w:rsidRPr="00CF11D0" w:rsidRDefault="00DF73D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освіта 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вища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(з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в’язк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и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 громадськістю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філологія, журналістика, видавнича справа)</w:t>
      </w:r>
      <w:r w:rsidR="000B2AD8"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0B5DDD" w:rsidRPr="00CF11D0" w:rsidRDefault="00E0400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</w:t>
      </w:r>
      <w:r w:rsidR="000B5DD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нання національн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их</w:t>
      </w:r>
      <w:r w:rsidR="00E87466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та 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нормативно-регулюючих актів </w:t>
      </w:r>
      <w:r w:rsidR="00172C21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та міжнародних підходів, що стосуються реформуванн</w:t>
      </w:r>
      <w:r w:rsidR="00DE07D8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я</w:t>
      </w:r>
      <w:r w:rsidR="00172C21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системи охорони здоров</w:t>
      </w:r>
      <w:r w:rsidR="00172C21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’</w:t>
      </w:r>
      <w:r w:rsidR="00172C21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я</w:t>
      </w:r>
      <w:r w:rsidR="000A5E8F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:rsidR="000A5E8F" w:rsidRPr="00CF11D0" w:rsidRDefault="000A5E8F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володіння інформацією </w:t>
      </w:r>
      <w:r w:rsidR="00832229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щодо</w:t>
      </w: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сучасних підходів, рекомендацій, нормативних документів в сфері протидії стигми і дискримінації пацієнтів з туберкульозом.</w:t>
      </w:r>
    </w:p>
    <w:p w:rsidR="009E794D" w:rsidRPr="00CF11D0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925FB" w:rsidRPr="00CF11D0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F2357D" w:rsidRPr="00CF11D0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CF11D0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CF11D0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3B27F4" w:rsidRPr="00CF11D0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E07D8">
        <w:rPr>
          <w:rFonts w:asciiTheme="minorHAnsi" w:hAnsiTheme="minorHAnsi" w:cstheme="minorHAnsi"/>
          <w:color w:val="000000" w:themeColor="text1"/>
          <w:lang w:val="uk-UA"/>
        </w:rPr>
        <w:t>У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50331B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50331B" w:rsidRPr="0050331B">
        <w:rPr>
          <w:rFonts w:asciiTheme="minorHAnsi" w:hAnsiTheme="minorHAnsi" w:cstheme="minorHAnsi"/>
          <w:b/>
          <w:color w:val="000000" w:themeColor="text1"/>
          <w:lang w:val="uk-UA"/>
        </w:rPr>
        <w:t>171</w:t>
      </w:r>
      <w:r w:rsidR="00974BA0" w:rsidRPr="0050331B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0766A6" w:rsidRPr="0050331B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50331B" w:rsidRPr="0050331B">
        <w:rPr>
          <w:rFonts w:asciiTheme="minorHAnsi" w:hAnsiTheme="minorHAnsi" w:cstheme="minorHAnsi"/>
          <w:b/>
          <w:color w:val="000000" w:themeColor="text1"/>
          <w:lang w:val="uk-UA"/>
        </w:rPr>
        <w:t xml:space="preserve"> Консультант з </w:t>
      </w:r>
      <w:r w:rsidR="00974BA0" w:rsidRPr="0050331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D6865" w:rsidRPr="0050331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інформаційно-комунікаційного супроводу реформування системи протитуберкульозної допомоги населенню</w:t>
      </w:r>
      <w:r w:rsidR="00E04004" w:rsidRPr="0050331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»</w:t>
      </w:r>
      <w:r w:rsidRPr="0050331B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:rsidR="00091C7E" w:rsidRPr="00CF11D0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bookmarkStart w:id="0" w:name="_GoBack"/>
      <w:bookmarkEnd w:id="0"/>
    </w:p>
    <w:p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966E58">
        <w:rPr>
          <w:rFonts w:asciiTheme="minorHAnsi" w:hAnsiTheme="minorHAnsi" w:cstheme="minorHAnsi"/>
          <w:b/>
          <w:color w:val="000000" w:themeColor="text1"/>
          <w:lang w:val="uk-UA"/>
        </w:rPr>
        <w:t>29 вересня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CF11D0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CF11D0" w:rsidRDefault="00EF03AD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F11D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2567"/>
    <w:rsid w:val="000D7FB4"/>
    <w:rsid w:val="000F2CF3"/>
    <w:rsid w:val="000F3735"/>
    <w:rsid w:val="00110254"/>
    <w:rsid w:val="0014234D"/>
    <w:rsid w:val="00142475"/>
    <w:rsid w:val="00144F9E"/>
    <w:rsid w:val="00146B16"/>
    <w:rsid w:val="001471A0"/>
    <w:rsid w:val="00151D28"/>
    <w:rsid w:val="00154204"/>
    <w:rsid w:val="001545C8"/>
    <w:rsid w:val="00163EA1"/>
    <w:rsid w:val="00165940"/>
    <w:rsid w:val="00172C21"/>
    <w:rsid w:val="001B744D"/>
    <w:rsid w:val="001F4C69"/>
    <w:rsid w:val="00201820"/>
    <w:rsid w:val="00201EED"/>
    <w:rsid w:val="002273F3"/>
    <w:rsid w:val="0023234E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DEC"/>
    <w:rsid w:val="002C6003"/>
    <w:rsid w:val="002E26D4"/>
    <w:rsid w:val="002E702A"/>
    <w:rsid w:val="00301681"/>
    <w:rsid w:val="00323E3B"/>
    <w:rsid w:val="0033608E"/>
    <w:rsid w:val="00364EB1"/>
    <w:rsid w:val="0037760D"/>
    <w:rsid w:val="003837F3"/>
    <w:rsid w:val="00385ADF"/>
    <w:rsid w:val="00391DB5"/>
    <w:rsid w:val="003A6348"/>
    <w:rsid w:val="003B27F4"/>
    <w:rsid w:val="003E033B"/>
    <w:rsid w:val="003E0E1F"/>
    <w:rsid w:val="003F0C80"/>
    <w:rsid w:val="00401AB7"/>
    <w:rsid w:val="00401BDF"/>
    <w:rsid w:val="00405A5F"/>
    <w:rsid w:val="0043397C"/>
    <w:rsid w:val="004404C8"/>
    <w:rsid w:val="0045499D"/>
    <w:rsid w:val="00466C0E"/>
    <w:rsid w:val="0048009B"/>
    <w:rsid w:val="004A01B4"/>
    <w:rsid w:val="004C5EC1"/>
    <w:rsid w:val="004E3E18"/>
    <w:rsid w:val="004F4738"/>
    <w:rsid w:val="004F57BD"/>
    <w:rsid w:val="004F79D2"/>
    <w:rsid w:val="0050331B"/>
    <w:rsid w:val="005057F6"/>
    <w:rsid w:val="005107C5"/>
    <w:rsid w:val="00546C9B"/>
    <w:rsid w:val="00550A0E"/>
    <w:rsid w:val="00565075"/>
    <w:rsid w:val="005846B5"/>
    <w:rsid w:val="0059704E"/>
    <w:rsid w:val="005A0ECF"/>
    <w:rsid w:val="005C17A3"/>
    <w:rsid w:val="005D0560"/>
    <w:rsid w:val="005D5269"/>
    <w:rsid w:val="005E1AEC"/>
    <w:rsid w:val="00604ABA"/>
    <w:rsid w:val="006456BB"/>
    <w:rsid w:val="006540B5"/>
    <w:rsid w:val="00681639"/>
    <w:rsid w:val="00683AB4"/>
    <w:rsid w:val="006A1712"/>
    <w:rsid w:val="006B3279"/>
    <w:rsid w:val="006B4502"/>
    <w:rsid w:val="006B6728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32229"/>
    <w:rsid w:val="008435DC"/>
    <w:rsid w:val="0084373A"/>
    <w:rsid w:val="0085442B"/>
    <w:rsid w:val="00861BDD"/>
    <w:rsid w:val="00863007"/>
    <w:rsid w:val="00863F80"/>
    <w:rsid w:val="008677B3"/>
    <w:rsid w:val="00882CDB"/>
    <w:rsid w:val="00896E6B"/>
    <w:rsid w:val="008B728B"/>
    <w:rsid w:val="008C03A4"/>
    <w:rsid w:val="008C6DD9"/>
    <w:rsid w:val="008D6865"/>
    <w:rsid w:val="008E3EF8"/>
    <w:rsid w:val="008E552C"/>
    <w:rsid w:val="00926FDF"/>
    <w:rsid w:val="0094591F"/>
    <w:rsid w:val="00957B89"/>
    <w:rsid w:val="00961BDC"/>
    <w:rsid w:val="00966E58"/>
    <w:rsid w:val="00967B25"/>
    <w:rsid w:val="00974BA0"/>
    <w:rsid w:val="0097799C"/>
    <w:rsid w:val="00980A73"/>
    <w:rsid w:val="009904FE"/>
    <w:rsid w:val="00994FD5"/>
    <w:rsid w:val="009A062E"/>
    <w:rsid w:val="009B5D49"/>
    <w:rsid w:val="009C32DC"/>
    <w:rsid w:val="009D68F0"/>
    <w:rsid w:val="009E2061"/>
    <w:rsid w:val="009E794D"/>
    <w:rsid w:val="009F10C8"/>
    <w:rsid w:val="009F7DCC"/>
    <w:rsid w:val="00A227C2"/>
    <w:rsid w:val="00A3544B"/>
    <w:rsid w:val="00A476E5"/>
    <w:rsid w:val="00A51240"/>
    <w:rsid w:val="00A6057B"/>
    <w:rsid w:val="00A61280"/>
    <w:rsid w:val="00A65333"/>
    <w:rsid w:val="00A6782B"/>
    <w:rsid w:val="00A748B4"/>
    <w:rsid w:val="00A847AD"/>
    <w:rsid w:val="00A8722D"/>
    <w:rsid w:val="00AB72BA"/>
    <w:rsid w:val="00AF46B2"/>
    <w:rsid w:val="00B00F3C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93A57"/>
    <w:rsid w:val="00BA0D51"/>
    <w:rsid w:val="00BA531E"/>
    <w:rsid w:val="00BB45DF"/>
    <w:rsid w:val="00BD6AD5"/>
    <w:rsid w:val="00BE2EB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3C12"/>
    <w:rsid w:val="00CC4562"/>
    <w:rsid w:val="00CC5D78"/>
    <w:rsid w:val="00CD3306"/>
    <w:rsid w:val="00CD537E"/>
    <w:rsid w:val="00CE6094"/>
    <w:rsid w:val="00CF11D0"/>
    <w:rsid w:val="00CF203E"/>
    <w:rsid w:val="00D03B57"/>
    <w:rsid w:val="00D06754"/>
    <w:rsid w:val="00D2585E"/>
    <w:rsid w:val="00D25FB7"/>
    <w:rsid w:val="00D3384B"/>
    <w:rsid w:val="00D41514"/>
    <w:rsid w:val="00D42C92"/>
    <w:rsid w:val="00D529E9"/>
    <w:rsid w:val="00D67402"/>
    <w:rsid w:val="00D74386"/>
    <w:rsid w:val="00D83F1C"/>
    <w:rsid w:val="00D9532A"/>
    <w:rsid w:val="00DA13F3"/>
    <w:rsid w:val="00DB1ED2"/>
    <w:rsid w:val="00DB1F9C"/>
    <w:rsid w:val="00DE07D8"/>
    <w:rsid w:val="00DE3931"/>
    <w:rsid w:val="00DE6605"/>
    <w:rsid w:val="00DF3663"/>
    <w:rsid w:val="00DF73D4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357D"/>
    <w:rsid w:val="00F23BCA"/>
    <w:rsid w:val="00F256B4"/>
    <w:rsid w:val="00F31CCF"/>
    <w:rsid w:val="00F669D1"/>
    <w:rsid w:val="00F857FB"/>
    <w:rsid w:val="00F93D25"/>
    <w:rsid w:val="00FA54E0"/>
    <w:rsid w:val="00FA76E5"/>
    <w:rsid w:val="00FB5F1B"/>
    <w:rsid w:val="00FB751F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375B-1111-495F-A21B-64B87C3B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2018-03-01T14:33:00Z</cp:lastPrinted>
  <dcterms:created xsi:type="dcterms:W3CDTF">2020-09-07T11:47:00Z</dcterms:created>
  <dcterms:modified xsi:type="dcterms:W3CDTF">2020-09-21T05:25:00Z</dcterms:modified>
</cp:coreProperties>
</file>