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821"/>
      </w:tblGrid>
      <w:tr w:rsidR="00964538" w:rsidTr="00964538">
        <w:tc>
          <w:tcPr>
            <w:tcW w:w="5524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7462" cy="1283782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c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98" cy="129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7E5" w:rsidRPr="006F51AD" w:rsidRDefault="00A927E5" w:rsidP="006F51AD">
      <w:pPr>
        <w:spacing w:line="240" w:lineRule="auto"/>
        <w:rPr>
          <w:rFonts w:eastAsia="Calibri" w:cstheme="minorHAnsi"/>
          <w:sz w:val="24"/>
          <w:szCs w:val="24"/>
          <w:lang w:val="en-US"/>
        </w:rPr>
      </w:pPr>
    </w:p>
    <w:p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</w:t>
      </w:r>
      <w:r w:rsidR="00AA75D7" w:rsidRPr="00AA75D7">
        <w:rPr>
          <w:rFonts w:eastAsia="Calibri" w:cstheme="minorHAnsi"/>
          <w:b/>
          <w:sz w:val="24"/>
          <w:szCs w:val="24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Pr="00E63534">
        <w:rPr>
          <w:rFonts w:eastAsia="Calibri" w:cstheme="minorHAnsi"/>
          <w:b/>
          <w:sz w:val="24"/>
          <w:szCs w:val="24"/>
          <w:lang w:val="uk-UA"/>
        </w:rPr>
        <w:t>»</w:t>
      </w:r>
    </w:p>
    <w:p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964538" w:rsidRPr="00964538">
        <w:rPr>
          <w:rFonts w:cstheme="minorHAnsi"/>
          <w:sz w:val="24"/>
          <w:szCs w:val="24"/>
          <w:lang w:val="uk-UA"/>
        </w:rPr>
        <w:t xml:space="preserve">Головний фахівець з управління </w:t>
      </w:r>
      <w:proofErr w:type="spellStart"/>
      <w:r w:rsidR="00964538" w:rsidRPr="00964538">
        <w:rPr>
          <w:rFonts w:cstheme="minorHAnsi"/>
          <w:sz w:val="24"/>
          <w:szCs w:val="24"/>
          <w:lang w:val="uk-UA"/>
        </w:rPr>
        <w:t>проєктами</w:t>
      </w:r>
      <w:proofErr w:type="spellEnd"/>
      <w:r w:rsidR="00964538" w:rsidRPr="00964538">
        <w:rPr>
          <w:rFonts w:cstheme="minorHAnsi"/>
          <w:sz w:val="24"/>
          <w:szCs w:val="24"/>
          <w:lang w:val="uk-UA"/>
        </w:rPr>
        <w:t xml:space="preserve"> та міжнародної співпраці</w:t>
      </w:r>
    </w:p>
    <w:p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cоціально-небезпечні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E63534" w:rsidRDefault="00E63534" w:rsidP="00E63534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>відбір головного ф</w:t>
      </w:r>
      <w:r w:rsidR="00964538">
        <w:rPr>
          <w:sz w:val="24"/>
          <w:szCs w:val="24"/>
          <w:lang w:val="uk-UA"/>
        </w:rPr>
        <w:t xml:space="preserve">ахівця з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Pr="00E63534">
        <w:rPr>
          <w:sz w:val="24"/>
          <w:szCs w:val="24"/>
          <w:lang w:val="uk-UA"/>
        </w:rPr>
        <w:t>ктами</w:t>
      </w:r>
      <w:proofErr w:type="spellEnd"/>
      <w:r w:rsidRPr="00E63534">
        <w:rPr>
          <w:sz w:val="24"/>
          <w:szCs w:val="24"/>
          <w:lang w:val="uk-UA"/>
        </w:rPr>
        <w:t xml:space="preserve"> та міжнародної співпраці </w:t>
      </w:r>
      <w:r w:rsidR="00954D69">
        <w:rPr>
          <w:sz w:val="24"/>
          <w:szCs w:val="24"/>
          <w:lang w:val="uk-UA"/>
        </w:rPr>
        <w:t xml:space="preserve">(далі – ВУПМП) </w:t>
      </w:r>
      <w:r w:rsidRPr="00E63534">
        <w:rPr>
          <w:sz w:val="24"/>
          <w:szCs w:val="24"/>
          <w:lang w:val="uk-UA"/>
        </w:rPr>
        <w:t>для роботи в рамках проекту «</w:t>
      </w:r>
      <w:r w:rsidR="00AA75D7" w:rsidRPr="00AA75D7">
        <w:rPr>
          <w:sz w:val="24"/>
          <w:szCs w:val="24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Pr="00E63534">
        <w:rPr>
          <w:sz w:val="24"/>
          <w:szCs w:val="24"/>
          <w:lang w:val="uk-UA"/>
        </w:rPr>
        <w:t xml:space="preserve">» (далі – Проект). </w:t>
      </w:r>
      <w:r w:rsidR="00AA75D7">
        <w:rPr>
          <w:sz w:val="24"/>
          <w:szCs w:val="24"/>
          <w:lang w:val="uk-UA"/>
        </w:rPr>
        <w:t xml:space="preserve"> </w:t>
      </w:r>
    </w:p>
    <w:p w:rsidR="00E63534" w:rsidRPr="00E63534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954D69" w:rsidRPr="00954D69" w:rsidRDefault="00954D69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954D69">
        <w:rPr>
          <w:sz w:val="24"/>
          <w:szCs w:val="24"/>
          <w:lang w:val="uk-UA"/>
        </w:rPr>
        <w:t>Здійснення організації роботи та функціональної взаємодії всіх підрозділів Проекту.</w:t>
      </w:r>
    </w:p>
    <w:p w:rsidR="00E63534" w:rsidRPr="00E63534" w:rsidRDefault="00BD6E49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п</w:t>
      </w:r>
      <w:r w:rsidR="00E63534" w:rsidRPr="00E63534">
        <w:rPr>
          <w:sz w:val="24"/>
          <w:szCs w:val="24"/>
          <w:lang w:val="uk-UA"/>
        </w:rPr>
        <w:t>ідготов</w:t>
      </w:r>
      <w:r>
        <w:rPr>
          <w:sz w:val="24"/>
          <w:szCs w:val="24"/>
          <w:lang w:val="uk-UA"/>
        </w:rPr>
        <w:t>ці</w:t>
      </w:r>
      <w:r w:rsidR="00E63534" w:rsidRPr="00E63534">
        <w:rPr>
          <w:sz w:val="24"/>
          <w:szCs w:val="24"/>
          <w:lang w:val="uk-UA"/>
        </w:rPr>
        <w:t xml:space="preserve"> проектів листів, протоколів зустрічей, презентацій та інших матеріалів.</w:t>
      </w:r>
    </w:p>
    <w:p w:rsidR="00E63534" w:rsidRPr="00E63534" w:rsidRDefault="001F2A9E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 керівництву Центру</w:t>
      </w:r>
      <w:r w:rsidR="00E63534" w:rsidRPr="00E63534">
        <w:rPr>
          <w:sz w:val="24"/>
          <w:szCs w:val="24"/>
          <w:lang w:val="uk-UA"/>
        </w:rPr>
        <w:t xml:space="preserve"> та Проекту інформації щодо реалізації програмної діяльності Проекту.</w:t>
      </w:r>
    </w:p>
    <w:p w:rsidR="00E63534" w:rsidRDefault="00E63534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Моніторинг реалізації Проекту у співпраці із керівниками структурних підрозділів ЦГЗ та </w:t>
      </w:r>
      <w:r w:rsidR="00954D69">
        <w:rPr>
          <w:sz w:val="24"/>
          <w:szCs w:val="24"/>
          <w:lang w:val="uk-UA"/>
        </w:rPr>
        <w:t>Директором</w:t>
      </w:r>
      <w:r w:rsidRPr="00E63534">
        <w:rPr>
          <w:sz w:val="24"/>
          <w:szCs w:val="24"/>
          <w:lang w:val="uk-UA"/>
        </w:rPr>
        <w:t xml:space="preserve">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Здійснення комунікації з Донором та ключовими </w:t>
      </w:r>
      <w:proofErr w:type="spellStart"/>
      <w:r w:rsidRPr="001F2A9E">
        <w:rPr>
          <w:sz w:val="24"/>
          <w:szCs w:val="24"/>
          <w:lang w:val="uk-UA"/>
        </w:rPr>
        <w:t>стейкхолдерами</w:t>
      </w:r>
      <w:proofErr w:type="spellEnd"/>
      <w:r w:rsidRPr="001F2A9E">
        <w:rPr>
          <w:sz w:val="24"/>
          <w:szCs w:val="24"/>
          <w:lang w:val="uk-UA"/>
        </w:rPr>
        <w:t>, залученими до реалізації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Забезпечення ефективної комунікації в рамках виконання завдань Проекту між ключовими виконавцями та розпорядниками коштів.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lastRenderedPageBreak/>
        <w:t>Розробка робочого плану реалізації Проекту та контроль за його виконанням.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звітів про реалізацію Проекту для Донора та керівництва Центру.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щомісячного аналізу реалізації Проекту із зазначенням основних досягнень, планів на наступний місяць та інформації про поточні виклики/ризики.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Проведення регулярних нарад з ключовими виконавцями Проекту, постановка завдань та моніторинг їх виконання.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Участь в стратегічному плануванні діяльності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Підготовка аналізу ризиків Проекту та надання пропозицій щодо їх мінімізації.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оперативного виконання аналізу діяльності Проекту на вимогу Донору.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виявлення недоліків в діяльності Проекту та прийняття необхідних управлінських рішень для їх усунення.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впровадження</w:t>
      </w:r>
      <w:r w:rsidR="00964538">
        <w:rPr>
          <w:sz w:val="24"/>
          <w:szCs w:val="24"/>
          <w:lang w:val="uk-UA"/>
        </w:rPr>
        <w:t xml:space="preserve"> регуляторних процедур</w:t>
      </w:r>
      <w:r w:rsidRPr="001F2A9E">
        <w:rPr>
          <w:sz w:val="24"/>
          <w:szCs w:val="24"/>
          <w:lang w:val="uk-UA"/>
        </w:rPr>
        <w:t xml:space="preserve"> CDC.</w:t>
      </w:r>
    </w:p>
    <w:p w:rsidR="00357983" w:rsidRDefault="00E63534" w:rsidP="00053E9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Виконання інших професійних обов'язків, пов’язаних з реалізацією проектів ЦГЗ на вимогу керівника </w:t>
      </w:r>
      <w:r w:rsidR="00964538">
        <w:rPr>
          <w:sz w:val="24"/>
          <w:szCs w:val="24"/>
          <w:lang w:val="uk-UA"/>
        </w:rPr>
        <w:t xml:space="preserve">відділу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="001F2A9E">
        <w:rPr>
          <w:sz w:val="24"/>
          <w:szCs w:val="24"/>
          <w:lang w:val="uk-UA"/>
        </w:rPr>
        <w:t>ктами</w:t>
      </w:r>
      <w:proofErr w:type="spellEnd"/>
      <w:r w:rsidR="001F2A9E">
        <w:rPr>
          <w:sz w:val="24"/>
          <w:szCs w:val="24"/>
          <w:lang w:val="uk-UA"/>
        </w:rPr>
        <w:t xml:space="preserve"> та міжнародної співпраці. </w:t>
      </w:r>
    </w:p>
    <w:p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E63534">
        <w:rPr>
          <w:sz w:val="24"/>
          <w:szCs w:val="24"/>
          <w:lang w:val="uk-UA"/>
        </w:rPr>
        <w:t xml:space="preserve">Вища освіта. 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Досвід роботи на аналогічній посаді та/або у сфері громадського здоров’я буде перевагою.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EE092D" w:rsidRDefault="00E63534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Pr="00E63534">
        <w:rPr>
          <w:sz w:val="24"/>
          <w:szCs w:val="24"/>
          <w:lang w:val="en-US"/>
        </w:rPr>
        <w:t>upper</w:t>
      </w:r>
      <w:r w:rsidRPr="00E63534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en-US"/>
        </w:rPr>
        <w:t>intermediate</w:t>
      </w:r>
      <w:r w:rsidRPr="00E63534">
        <w:rPr>
          <w:sz w:val="24"/>
          <w:szCs w:val="24"/>
          <w:lang w:val="uk-UA"/>
        </w:rPr>
        <w:t xml:space="preserve">. </w:t>
      </w:r>
    </w:p>
    <w:p w:rsidR="001F2A9E" w:rsidRPr="00EE092D" w:rsidRDefault="001F2A9E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:rsidR="00EE092D" w:rsidRDefault="00EE092D" w:rsidP="00EE092D">
      <w:pPr>
        <w:jc w:val="both"/>
        <w:rPr>
          <w:b/>
          <w:lang w:val="uk-UA"/>
        </w:rPr>
      </w:pPr>
    </w:p>
    <w:p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E63534">
        <w:rPr>
          <w:rFonts w:eastAsia="Calibri" w:cstheme="minorHAnsi"/>
          <w:sz w:val="24"/>
          <w:szCs w:val="24"/>
        </w:rPr>
        <w:t>В</w:t>
      </w:r>
      <w:proofErr w:type="gramEnd"/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sz w:val="24"/>
          <w:szCs w:val="24"/>
        </w:rPr>
        <w:t>темі</w:t>
      </w:r>
      <w:proofErr w:type="spellEnd"/>
      <w:r w:rsidRPr="00E63534">
        <w:rPr>
          <w:rFonts w:eastAsia="Calibri" w:cstheme="minorHAnsi"/>
          <w:sz w:val="24"/>
          <w:szCs w:val="24"/>
        </w:rPr>
        <w:t xml:space="preserve"> листа, </w:t>
      </w:r>
      <w:r w:rsidRPr="00E63534">
        <w:rPr>
          <w:rFonts w:eastAsia="Calibri" w:cstheme="minorHAnsi"/>
          <w:sz w:val="24"/>
          <w:szCs w:val="24"/>
          <w:lang w:val="uk-UA"/>
        </w:rPr>
        <w:t>будь ласка, зазначте</w:t>
      </w:r>
      <w:r w:rsidRPr="008955BA">
        <w:rPr>
          <w:rFonts w:eastAsia="Calibri" w:cstheme="minorHAnsi"/>
          <w:sz w:val="24"/>
          <w:szCs w:val="24"/>
          <w:lang w:val="uk-UA"/>
        </w:rPr>
        <w:t xml:space="preserve">: </w:t>
      </w:r>
      <w:r w:rsidRPr="008955BA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4B2439" w:rsidRPr="004B2439">
        <w:rPr>
          <w:rFonts w:eastAsia="Calibri" w:cstheme="minorHAnsi"/>
          <w:b/>
          <w:bCs/>
          <w:sz w:val="24"/>
          <w:szCs w:val="24"/>
        </w:rPr>
        <w:t>234</w:t>
      </w:r>
      <w:r w:rsidR="003735CF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– </w:t>
      </w:r>
      <w:r w:rsidR="00CB1D91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2020 </w:t>
      </w:r>
      <w:r w:rsidR="00B24741" w:rsidRPr="008955BA">
        <w:rPr>
          <w:rFonts w:eastAsia="Calibri" w:cstheme="minorHAnsi"/>
          <w:b/>
          <w:bCs/>
          <w:sz w:val="24"/>
          <w:szCs w:val="24"/>
          <w:lang w:val="uk-UA"/>
        </w:rPr>
        <w:t>Головний</w:t>
      </w:r>
      <w:r w:rsidR="00B24741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4A7EEF">
        <w:rPr>
          <w:rFonts w:cstheme="minorHAnsi"/>
          <w:b/>
          <w:sz w:val="24"/>
          <w:szCs w:val="24"/>
          <w:lang w:val="uk-UA"/>
        </w:rPr>
        <w:t>ф</w:t>
      </w:r>
      <w:r w:rsidR="00964538">
        <w:rPr>
          <w:rFonts w:cstheme="minorHAnsi"/>
          <w:b/>
          <w:sz w:val="24"/>
          <w:szCs w:val="24"/>
          <w:lang w:val="uk-UA"/>
        </w:rPr>
        <w:t xml:space="preserve">ахівець з управління </w:t>
      </w:r>
      <w:proofErr w:type="spellStart"/>
      <w:r w:rsidR="00964538">
        <w:rPr>
          <w:rFonts w:cstheme="minorHAnsi"/>
          <w:b/>
          <w:sz w:val="24"/>
          <w:szCs w:val="24"/>
          <w:lang w:val="uk-UA"/>
        </w:rPr>
        <w:t>проє</w:t>
      </w:r>
      <w:r w:rsidR="00EE092D" w:rsidRPr="00EE092D">
        <w:rPr>
          <w:rFonts w:cstheme="minorHAnsi"/>
          <w:b/>
          <w:sz w:val="24"/>
          <w:szCs w:val="24"/>
          <w:lang w:val="uk-UA"/>
        </w:rPr>
        <w:t>ктами</w:t>
      </w:r>
      <w:proofErr w:type="spellEnd"/>
      <w:r w:rsidR="00EE092D" w:rsidRPr="00EE092D">
        <w:rPr>
          <w:rFonts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6F51AD" w:rsidRPr="006F51AD">
        <w:rPr>
          <w:rFonts w:eastAsia="Times New Roman" w:cstheme="minorHAnsi"/>
          <w:b/>
          <w:sz w:val="24"/>
          <w:szCs w:val="24"/>
          <w:lang w:eastAsia="ru-RU"/>
        </w:rPr>
        <w:t>30</w:t>
      </w:r>
      <w:r w:rsidR="003735CF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964538">
        <w:rPr>
          <w:rFonts w:eastAsia="Times New Roman" w:cstheme="minorHAnsi"/>
          <w:b/>
          <w:sz w:val="24"/>
          <w:szCs w:val="24"/>
          <w:lang w:val="uk-UA" w:eastAsia="ru-RU"/>
        </w:rPr>
        <w:t>листопада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4B2439" w:rsidRDefault="00A927E5" w:rsidP="00A927E5">
      <w:pPr>
        <w:jc w:val="both"/>
        <w:rPr>
          <w:rFonts w:eastAsia="Calibri" w:cstheme="minorHAnsi"/>
          <w:sz w:val="24"/>
          <w:szCs w:val="24"/>
          <w:lang w:val="en-US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</w:t>
      </w:r>
    </w:p>
    <w:p w:rsidR="00A927E5" w:rsidRPr="00E63534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  <w:r w:rsidR="00357983" w:rsidRPr="00E63534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27E5" w:rsidRPr="00E63534" w:rsidRDefault="00A927E5" w:rsidP="00A927E5">
      <w:pPr>
        <w:rPr>
          <w:rFonts w:cstheme="minorHAnsi"/>
          <w:sz w:val="24"/>
          <w:szCs w:val="24"/>
          <w:lang w:val="uk-UA"/>
        </w:rPr>
      </w:pPr>
    </w:p>
    <w:p w:rsidR="00A927E5" w:rsidRPr="00E63534" w:rsidRDefault="00A927E5">
      <w:pPr>
        <w:rPr>
          <w:rFonts w:cstheme="minorHAnsi"/>
          <w:sz w:val="24"/>
          <w:szCs w:val="24"/>
          <w:lang w:val="uk-UA"/>
        </w:rPr>
      </w:pPr>
    </w:p>
    <w:sectPr w:rsidR="00A927E5" w:rsidRPr="00E63534" w:rsidSect="006F51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7E5"/>
    <w:rsid w:val="00053E91"/>
    <w:rsid w:val="000B466A"/>
    <w:rsid w:val="001F2A9E"/>
    <w:rsid w:val="00357983"/>
    <w:rsid w:val="003735CF"/>
    <w:rsid w:val="004A7EEF"/>
    <w:rsid w:val="004B2439"/>
    <w:rsid w:val="004C1C8B"/>
    <w:rsid w:val="006D442B"/>
    <w:rsid w:val="006F51AD"/>
    <w:rsid w:val="008516AA"/>
    <w:rsid w:val="008955BA"/>
    <w:rsid w:val="008A57C4"/>
    <w:rsid w:val="00954D69"/>
    <w:rsid w:val="00964538"/>
    <w:rsid w:val="009C6CFE"/>
    <w:rsid w:val="009F2105"/>
    <w:rsid w:val="00A927E5"/>
    <w:rsid w:val="00AA75D7"/>
    <w:rsid w:val="00B10CEF"/>
    <w:rsid w:val="00B24741"/>
    <w:rsid w:val="00BD6E49"/>
    <w:rsid w:val="00C454C2"/>
    <w:rsid w:val="00CB1D91"/>
    <w:rsid w:val="00E63534"/>
    <w:rsid w:val="00EA3CB0"/>
    <w:rsid w:val="00EE092D"/>
    <w:rsid w:val="00F2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3</cp:revision>
  <dcterms:created xsi:type="dcterms:W3CDTF">2020-11-12T13:35:00Z</dcterms:created>
  <dcterms:modified xsi:type="dcterms:W3CDTF">2020-11-16T10:53:00Z</dcterms:modified>
</cp:coreProperties>
</file>