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D6ABA91" wp14:editId="32844AE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:rsidR="005A0ECF" w:rsidRPr="007E7F31" w:rsidRDefault="005A0ECF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E64" w:rsidRPr="00360E64">
        <w:rPr>
          <w:rFonts w:asciiTheme="minorHAnsi" w:eastAsiaTheme="minorHAnsi" w:hAnsiTheme="minorHAnsi" w:cstheme="minorHAnsi"/>
          <w:b/>
          <w:lang w:val="uk-UA" w:eastAsia="en-US"/>
        </w:rPr>
        <w:t>з ведення побічних реакцій на протитуберкульозні препарати</w:t>
      </w:r>
      <w:r w:rsidR="00BA0D51">
        <w:rPr>
          <w:rFonts w:asciiTheme="minorHAnsi" w:hAnsiTheme="minorHAnsi" w:cstheme="minorHAnsi"/>
          <w:b/>
          <w:lang w:val="uk-UA"/>
        </w:rPr>
        <w:t xml:space="preserve">,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360E64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r w:rsidR="00765F0C">
        <w:rPr>
          <w:rFonts w:asciiTheme="minorHAnsi" w:eastAsiaTheme="minorHAnsi" w:hAnsiTheme="minorHAnsi" w:cstheme="minorHAnsi"/>
          <w:lang w:val="uk-UA" w:eastAsia="en-US"/>
        </w:rPr>
        <w:t>ведення побічних реакцій на протитуберкульозні препарати</w:t>
      </w:r>
    </w:p>
    <w:p w:rsidR="00765F0C" w:rsidRPr="00F669D1" w:rsidRDefault="00765F0C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65F0C">
        <w:rPr>
          <w:rFonts w:asciiTheme="minorHAnsi" w:eastAsiaTheme="minorHAnsi" w:hAnsiTheme="minorHAnsi" w:cstheme="minorHAnsi"/>
          <w:b/>
          <w:lang w:val="uk-UA" w:eastAsia="en-US"/>
        </w:rPr>
        <w:t>Кількість позицій:</w:t>
      </w:r>
      <w:r w:rsidRPr="00703C48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703C48" w:rsidRPr="00703C48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2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:rsidR="00CD3306" w:rsidRDefault="00863007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  <w:r w:rsidRPr="00863007">
        <w:rPr>
          <w:rFonts w:asciiTheme="minorHAnsi" w:hAnsiTheme="minorHAnsi" w:cstheme="minorHAnsi"/>
          <w:b/>
          <w:lang w:val="uk-UA" w:eastAsia="uk-UA"/>
        </w:rPr>
        <w:t>Гео</w:t>
      </w:r>
      <w:r>
        <w:rPr>
          <w:rFonts w:asciiTheme="minorHAnsi" w:hAnsiTheme="minorHAnsi" w:cstheme="minorHAnsi"/>
          <w:b/>
          <w:lang w:val="uk-UA" w:eastAsia="uk-UA"/>
        </w:rPr>
        <w:t>гр</w:t>
      </w:r>
      <w:r w:rsidRPr="00863007">
        <w:rPr>
          <w:rFonts w:asciiTheme="minorHAnsi" w:hAnsiTheme="minorHAnsi" w:cstheme="minorHAnsi"/>
          <w:b/>
          <w:lang w:val="uk-UA" w:eastAsia="uk-UA"/>
        </w:rPr>
        <w:t>афія діяльності</w:t>
      </w:r>
      <w:r w:rsidR="00F93D25">
        <w:rPr>
          <w:rFonts w:asciiTheme="minorHAnsi" w:hAnsiTheme="minorHAnsi" w:cstheme="minorHAnsi"/>
          <w:b/>
          <w:lang w:val="uk-UA" w:eastAsia="uk-UA"/>
        </w:rPr>
        <w:t xml:space="preserve"> здійснення моніторингових візитів</w:t>
      </w:r>
      <w:r w:rsidRPr="00863007">
        <w:rPr>
          <w:rFonts w:asciiTheme="minorHAnsi" w:hAnsiTheme="minorHAnsi" w:cstheme="minorHAnsi"/>
          <w:lang w:val="uk-UA" w:eastAsia="uk-UA"/>
        </w:rPr>
        <w:t xml:space="preserve">: Вінницька, Волинська, </w:t>
      </w:r>
      <w:r w:rsidR="00091C7E">
        <w:rPr>
          <w:rFonts w:asciiTheme="minorHAnsi" w:hAnsiTheme="minorHAnsi" w:cstheme="minorHAnsi"/>
          <w:lang w:val="uk-UA" w:eastAsia="uk-UA"/>
        </w:rPr>
        <w:t>Донецька, Житомирська,</w:t>
      </w:r>
      <w:r w:rsidRPr="00863007">
        <w:rPr>
          <w:rFonts w:asciiTheme="minorHAnsi" w:hAnsiTheme="minorHAnsi" w:cstheme="minorHAnsi"/>
          <w:lang w:val="uk-UA" w:eastAsia="uk-UA"/>
        </w:rPr>
        <w:t xml:space="preserve"> Закарпатська, Запорізька, Івано-Франківська, </w:t>
      </w:r>
      <w:r w:rsidR="00091C7E">
        <w:rPr>
          <w:rFonts w:asciiTheme="minorHAnsi" w:hAnsiTheme="minorHAnsi" w:cstheme="minorHAnsi"/>
          <w:lang w:val="uk-UA" w:eastAsia="uk-UA"/>
        </w:rPr>
        <w:t xml:space="preserve">Кіровоградська, Луганська, Рівненська, </w:t>
      </w:r>
      <w:r w:rsidRPr="00863007">
        <w:rPr>
          <w:rFonts w:asciiTheme="minorHAnsi" w:hAnsiTheme="minorHAnsi" w:cstheme="minorHAnsi"/>
          <w:lang w:val="uk-UA" w:eastAsia="uk-UA"/>
        </w:rPr>
        <w:t>Сумська, Тернопільська, Хмельницька,</w:t>
      </w:r>
      <w:r w:rsidR="00091C7E">
        <w:rPr>
          <w:rFonts w:asciiTheme="minorHAnsi" w:hAnsiTheme="minorHAnsi" w:cstheme="minorHAnsi"/>
          <w:lang w:val="uk-UA" w:eastAsia="uk-UA"/>
        </w:rPr>
        <w:t xml:space="preserve"> Херсонська, </w:t>
      </w:r>
      <w:r w:rsidRPr="00863007">
        <w:rPr>
          <w:rFonts w:asciiTheme="minorHAnsi" w:hAnsiTheme="minorHAnsi" w:cstheme="minorHAnsi"/>
          <w:lang w:val="uk-UA" w:eastAsia="uk-UA"/>
        </w:rPr>
        <w:t>Черкаська, Чернівецька, Чернігівська</w:t>
      </w:r>
      <w:r w:rsidR="00F93D25">
        <w:rPr>
          <w:rFonts w:asciiTheme="minorHAnsi" w:hAnsiTheme="minorHAnsi" w:cstheme="minorHAnsi"/>
          <w:lang w:val="uk-UA" w:eastAsia="uk-UA"/>
        </w:rPr>
        <w:t xml:space="preserve"> області</w:t>
      </w:r>
      <w:r w:rsidR="00926FDF">
        <w:rPr>
          <w:rFonts w:asciiTheme="minorHAnsi" w:hAnsiTheme="minorHAnsi" w:cstheme="minorHAnsi"/>
          <w:lang w:val="uk-UA" w:eastAsia="uk-UA"/>
        </w:rPr>
        <w:t xml:space="preserve"> та м. Київ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6C6678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дійснення </w:t>
      </w:r>
      <w:r w:rsidR="005145CC">
        <w:rPr>
          <w:rFonts w:asciiTheme="minorHAnsi" w:hAnsiTheme="minorHAnsi" w:cstheme="minorHAnsi"/>
          <w:bCs/>
          <w:sz w:val="24"/>
          <w:szCs w:val="24"/>
          <w:lang w:val="uk-UA"/>
        </w:rPr>
        <w:t>дв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оденних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візит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 кінця 2019 року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в заклад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и охорони здоров</w:t>
      </w:r>
      <w:r w:rsidR="00A748B4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що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надають протитуберкульозну допомогу населенню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метою аналізу та оцінки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фармаконагляду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. активного моніторингу безпеки протитуберкульозних препаратів</w:t>
      </w:r>
      <w:r w:rsidR="00CC5D7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5D5269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моніторинг та оцінка організації ведення побічних реакцій в закладі, що надає протитуберкульозну допомогу населенню</w:t>
      </w:r>
      <w:r w:rsidR="00CC5D7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360E64" w:rsidRDefault="00360E6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навчання на робочому місті персоналу закладу, що надає протитуберкульозну допомогу населенню, веденню побічних реакцій на протитуберкульозні препарати та активному моніторингу безпеки протитуберкульозних препаратів</w:t>
      </w:r>
      <w:r w:rsidR="00513F4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994FD5" w:rsidRDefault="00513F4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926FD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аналітичного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візиту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в</w:t>
      </w:r>
      <w:r w:rsidR="005145CC">
        <w:rPr>
          <w:rFonts w:asciiTheme="minorHAnsi" w:hAnsiTheme="minorHAnsi" w:cstheme="minorHAnsi"/>
          <w:sz w:val="24"/>
          <w:szCs w:val="24"/>
          <w:lang w:val="uk-UA"/>
        </w:rPr>
        <w:t>ища медична або фармацевтична освіта</w:t>
      </w:r>
      <w:r w:rsidR="00C239B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B5DDD" w:rsidRP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фахом не менше 3-х років в сфері надання послуг з протидії 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20154">
        <w:rPr>
          <w:rFonts w:asciiTheme="minorHAnsi" w:hAnsiTheme="minorHAnsi" w:cstheme="minorHAnsi"/>
          <w:sz w:val="24"/>
          <w:szCs w:val="24"/>
          <w:lang w:val="uk-UA"/>
        </w:rPr>
        <w:t xml:space="preserve">і/або </w:t>
      </w:r>
      <w:proofErr w:type="spellStart"/>
      <w:r w:rsidR="00320154">
        <w:rPr>
          <w:rFonts w:asciiTheme="minorHAnsi" w:hAnsiTheme="minorHAnsi" w:cstheme="minorHAnsi"/>
          <w:sz w:val="24"/>
          <w:szCs w:val="24"/>
          <w:lang w:val="uk-UA"/>
        </w:rPr>
        <w:t>фармаконагляду</w:t>
      </w:r>
      <w:proofErr w:type="spellEnd"/>
      <w:r w:rsidR="004B636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B5DDD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ведення побічних реакцій на протитуберкульозні препарати</w:t>
      </w:r>
      <w:r w:rsidR="004B636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</w:t>
      </w:r>
      <w:proofErr w:type="spellStart"/>
      <w:r w:rsidR="004B6365">
        <w:rPr>
          <w:rFonts w:asciiTheme="minorHAnsi" w:hAnsiTheme="minorHAnsi" w:cstheme="minorHAnsi"/>
          <w:bCs/>
          <w:sz w:val="24"/>
          <w:szCs w:val="24"/>
          <w:lang w:val="uk-UA"/>
        </w:rPr>
        <w:t>фармаконагляду</w:t>
      </w:r>
      <w:proofErr w:type="spellEnd"/>
      <w:r w:rsidR="00C239B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765F0C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030912">
        <w:rPr>
          <w:rFonts w:asciiTheme="minorHAnsi" w:hAnsiTheme="minorHAnsi" w:cstheme="minorHAnsi"/>
          <w:bCs/>
          <w:sz w:val="24"/>
          <w:szCs w:val="24"/>
          <w:lang w:val="uk-UA"/>
        </w:rPr>
        <w:t>осконале володіння ре</w:t>
      </w:r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єстрацією побічних реакцій, в </w:t>
      </w:r>
      <w:proofErr w:type="spellStart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765F0C">
        <w:rPr>
          <w:rFonts w:asciiTheme="minorHAnsi" w:hAnsiTheme="minorHAnsi" w:cstheme="minorHAnsi"/>
          <w:bCs/>
          <w:sz w:val="24"/>
          <w:szCs w:val="24"/>
          <w:lang w:val="uk-UA"/>
        </w:rPr>
        <w:t>. в системі АІСФ</w:t>
      </w:r>
    </w:p>
    <w:p w:rsidR="00863007" w:rsidRDefault="00BC329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C239BF">
        <w:rPr>
          <w:rFonts w:asciiTheme="minorHAnsi" w:hAnsiTheme="minorHAnsi" w:cstheme="minorHAnsi"/>
          <w:bCs/>
          <w:sz w:val="24"/>
          <w:szCs w:val="24"/>
          <w:lang w:val="uk-UA"/>
        </w:rPr>
        <w:t>освід в підготовці аналітичних звітів за результатами моніторингу і оцінки</w:t>
      </w:r>
      <w:r w:rsidR="000309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3B27F4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703C48">
        <w:rPr>
          <w:rFonts w:asciiTheme="minorHAnsi" w:hAnsiTheme="minorHAnsi" w:cstheme="minorHAnsi"/>
          <w:b/>
          <w:lang w:val="uk-UA"/>
        </w:rPr>
        <w:t>243</w:t>
      </w:r>
      <w:r w:rsidR="00360E64">
        <w:rPr>
          <w:rFonts w:asciiTheme="minorHAnsi" w:hAnsiTheme="minorHAnsi" w:cstheme="minorHAnsi"/>
          <w:b/>
          <w:lang w:val="uk-UA"/>
        </w:rPr>
        <w:t xml:space="preserve">-2019 </w:t>
      </w:r>
      <w:r w:rsidR="00360E6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C239BF" w:rsidRPr="00C239BF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360E64" w:rsidRPr="00360E64">
        <w:rPr>
          <w:rFonts w:asciiTheme="minorHAnsi" w:eastAsiaTheme="minorHAnsi" w:hAnsiTheme="minorHAnsi" w:cstheme="minorHAnsi"/>
          <w:b/>
          <w:lang w:val="uk-UA" w:eastAsia="en-US"/>
        </w:rPr>
        <w:t>з ведення побічних реакцій на протитуберкульозні препарати</w:t>
      </w:r>
      <w:r w:rsidRPr="007E7F31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703C48">
        <w:rPr>
          <w:rFonts w:asciiTheme="minorHAnsi" w:hAnsiTheme="minorHAnsi" w:cstheme="minorHAnsi"/>
          <w:b/>
          <w:lang w:val="uk-UA"/>
        </w:rPr>
        <w:t>03</w:t>
      </w:r>
      <w:bookmarkStart w:id="0" w:name="_GoBack"/>
      <w:bookmarkEnd w:id="0"/>
      <w:r w:rsidR="00703C48">
        <w:rPr>
          <w:rFonts w:asciiTheme="minorHAnsi" w:hAnsiTheme="minorHAnsi" w:cstheme="minorHAnsi"/>
          <w:b/>
          <w:lang w:val="uk-UA"/>
        </w:rPr>
        <w:t xml:space="preserve"> жовтня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201</w:t>
      </w:r>
      <w:r w:rsidR="00863007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0912"/>
    <w:rsid w:val="00031C96"/>
    <w:rsid w:val="00032D8B"/>
    <w:rsid w:val="000339FB"/>
    <w:rsid w:val="0004661A"/>
    <w:rsid w:val="00070A9A"/>
    <w:rsid w:val="0007351A"/>
    <w:rsid w:val="00091C7E"/>
    <w:rsid w:val="000B5DDD"/>
    <w:rsid w:val="000C3685"/>
    <w:rsid w:val="000D7FB4"/>
    <w:rsid w:val="000F2CF3"/>
    <w:rsid w:val="00126F54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01681"/>
    <w:rsid w:val="00320154"/>
    <w:rsid w:val="0032182A"/>
    <w:rsid w:val="0033608E"/>
    <w:rsid w:val="00360E64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974C1"/>
    <w:rsid w:val="004A01B4"/>
    <w:rsid w:val="004B6365"/>
    <w:rsid w:val="004C5EC1"/>
    <w:rsid w:val="004F79D2"/>
    <w:rsid w:val="005057F6"/>
    <w:rsid w:val="005107C5"/>
    <w:rsid w:val="00513F44"/>
    <w:rsid w:val="005145CC"/>
    <w:rsid w:val="00546C9B"/>
    <w:rsid w:val="00550A0E"/>
    <w:rsid w:val="00565075"/>
    <w:rsid w:val="005846B5"/>
    <w:rsid w:val="005A00E8"/>
    <w:rsid w:val="005A0ECF"/>
    <w:rsid w:val="005C17A3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03C48"/>
    <w:rsid w:val="00714A87"/>
    <w:rsid w:val="007251E6"/>
    <w:rsid w:val="007316EA"/>
    <w:rsid w:val="00750AF2"/>
    <w:rsid w:val="0075631B"/>
    <w:rsid w:val="00765F0C"/>
    <w:rsid w:val="00771E64"/>
    <w:rsid w:val="00772569"/>
    <w:rsid w:val="00776231"/>
    <w:rsid w:val="007925FB"/>
    <w:rsid w:val="007E7F31"/>
    <w:rsid w:val="007F7E9E"/>
    <w:rsid w:val="0082197F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26FDF"/>
    <w:rsid w:val="0094591F"/>
    <w:rsid w:val="00957B89"/>
    <w:rsid w:val="009778F0"/>
    <w:rsid w:val="0097799C"/>
    <w:rsid w:val="00980A73"/>
    <w:rsid w:val="00994FD5"/>
    <w:rsid w:val="009C32DC"/>
    <w:rsid w:val="009D68F0"/>
    <w:rsid w:val="009E794D"/>
    <w:rsid w:val="009F10C8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444F8"/>
    <w:rsid w:val="00B50AA8"/>
    <w:rsid w:val="00B53CC6"/>
    <w:rsid w:val="00B93A57"/>
    <w:rsid w:val="00BA0D51"/>
    <w:rsid w:val="00BB45DF"/>
    <w:rsid w:val="00BC3293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B1ED2"/>
    <w:rsid w:val="00DB1F9C"/>
    <w:rsid w:val="00DE6605"/>
    <w:rsid w:val="00DF3663"/>
    <w:rsid w:val="00DF78B7"/>
    <w:rsid w:val="00E03289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3A4D"/>
  <w15:docId w15:val="{170319C9-8055-4187-AE40-F5A35091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FB4E-0134-4532-BD38-1A500FE2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2019-09-05T09:10:00Z</cp:lastPrinted>
  <dcterms:created xsi:type="dcterms:W3CDTF">2019-09-19T12:10:00Z</dcterms:created>
  <dcterms:modified xsi:type="dcterms:W3CDTF">2019-09-19T12:12:00Z</dcterms:modified>
</cp:coreProperties>
</file>