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Pr="007209AF" w:rsidRDefault="006518AD">
      <w:pPr>
        <w:spacing w:after="160"/>
        <w:jc w:val="right"/>
        <w:rPr>
          <w:rFonts w:asciiTheme="minorHAnsi" w:eastAsia="Calibri" w:hAnsiTheme="minorHAnsi" w:cstheme="minorHAnsi"/>
          <w:b/>
        </w:rPr>
      </w:pPr>
      <w:r w:rsidRPr="007209AF">
        <w:rPr>
          <w:rFonts w:asciiTheme="minorHAnsi" w:eastAsia="Calibri" w:hAnsiTheme="minorHAnsi" w:cstheme="minorHAnsi"/>
          <w:noProof/>
          <w:sz w:val="16"/>
          <w:szCs w:val="16"/>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3383EC4B" w14:textId="7188DBDE" w:rsidR="00300E02" w:rsidRPr="007209AF" w:rsidRDefault="006518AD" w:rsidP="006518AD">
      <w:pPr>
        <w:jc w:val="center"/>
        <w:rPr>
          <w:rFonts w:asciiTheme="minorHAnsi" w:eastAsia="Calibri" w:hAnsiTheme="minorHAnsi" w:cstheme="minorHAnsi"/>
          <w:b/>
        </w:rPr>
      </w:pPr>
      <w:r w:rsidRPr="007209AF">
        <w:rPr>
          <w:rFonts w:asciiTheme="minorHAnsi" w:eastAsia="Calibri" w:hAnsiTheme="minorHAnsi" w:cstheme="minorHAnsi"/>
          <w:b/>
        </w:rPr>
        <w:t xml:space="preserve">Державна установа </w:t>
      </w:r>
      <w:r w:rsidRPr="007209AF">
        <w:rPr>
          <w:rFonts w:asciiTheme="minorHAnsi" w:eastAsia="Calibri" w:hAnsiTheme="minorHAnsi" w:cstheme="minorHAnsi"/>
          <w:b/>
        </w:rPr>
        <w:br/>
        <w:t xml:space="preserve">«Центр громадського здоров’я Міністерства охорони здоров’я України» оголошує конкурс для відбору </w:t>
      </w:r>
      <w:r w:rsidR="00895985" w:rsidRPr="007209AF">
        <w:rPr>
          <w:rFonts w:asciiTheme="minorHAnsi" w:eastAsia="Calibri" w:hAnsiTheme="minorHAnsi" w:cstheme="minorHAnsi"/>
          <w:b/>
        </w:rPr>
        <w:t>консультанта-екзаменатора для проведення іспитів з сертифікації персоналу для оцінки компетентності у сфері дії стандарту ДСТУ ISO 22000:2019  (ISO 22000:2018, IDT)</w:t>
      </w:r>
      <w:r w:rsidR="002A4BDD" w:rsidRPr="007209AF">
        <w:rPr>
          <w:rFonts w:asciiTheme="minorHAnsi" w:eastAsia="Calibri" w:hAnsiTheme="minorHAnsi" w:cstheme="minorHAnsi"/>
          <w:b/>
        </w:rPr>
        <w:t xml:space="preserve"> </w:t>
      </w:r>
    </w:p>
    <w:p w14:paraId="54FC5E08" w14:textId="520F6433" w:rsidR="006518AD" w:rsidRPr="007209AF" w:rsidRDefault="006518AD" w:rsidP="006518AD">
      <w:pPr>
        <w:jc w:val="center"/>
        <w:rPr>
          <w:rFonts w:asciiTheme="minorHAnsi" w:eastAsia="Calibri" w:hAnsiTheme="minorHAnsi" w:cstheme="minorHAnsi"/>
          <w:b/>
        </w:rPr>
      </w:pPr>
      <w:r w:rsidRPr="007209AF">
        <w:rPr>
          <w:rFonts w:asciiTheme="minorHAnsi" w:eastAsia="Calibri" w:hAnsiTheme="minorHAnsi" w:cstheme="minorHAnsi"/>
          <w:b/>
        </w:rPr>
        <w:t>в рамках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5F1F9CE0" w14:textId="738874F9" w:rsidR="007A506A" w:rsidRPr="007209AF" w:rsidRDefault="007A506A" w:rsidP="006518AD">
      <w:pPr>
        <w:jc w:val="center"/>
        <w:rPr>
          <w:rFonts w:asciiTheme="minorHAnsi" w:eastAsia="Calibri" w:hAnsiTheme="minorHAnsi" w:cstheme="minorHAnsi"/>
          <w:b/>
          <w:color w:val="000000"/>
        </w:rPr>
      </w:pPr>
    </w:p>
    <w:p w14:paraId="5AD23183" w14:textId="077F7B3C" w:rsidR="007A506A" w:rsidRPr="007209AF" w:rsidRDefault="006518AD">
      <w:pPr>
        <w:rPr>
          <w:rFonts w:asciiTheme="minorHAnsi" w:eastAsia="Calibri" w:hAnsiTheme="minorHAnsi" w:cstheme="minorHAnsi"/>
          <w:b/>
          <w:bCs/>
        </w:rPr>
      </w:pPr>
      <w:bookmarkStart w:id="0" w:name="_heading=h.gjdgxs" w:colFirst="0" w:colLast="0"/>
      <w:bookmarkEnd w:id="0"/>
      <w:r w:rsidRPr="007209AF">
        <w:rPr>
          <w:rFonts w:asciiTheme="minorHAnsi" w:eastAsia="Calibri" w:hAnsiTheme="minorHAnsi" w:cstheme="minorHAnsi"/>
          <w:b/>
        </w:rPr>
        <w:t xml:space="preserve">Назва позиції: </w:t>
      </w:r>
      <w:r w:rsidRPr="00057EFB">
        <w:rPr>
          <w:rFonts w:asciiTheme="minorHAnsi" w:eastAsia="Calibri" w:hAnsiTheme="minorHAnsi" w:cstheme="minorHAnsi"/>
          <w:bCs/>
        </w:rPr>
        <w:t>Консультант</w:t>
      </w:r>
      <w:r w:rsidR="00410AAF" w:rsidRPr="00057EFB">
        <w:rPr>
          <w:rFonts w:asciiTheme="minorHAnsi" w:eastAsia="Calibri" w:hAnsiTheme="minorHAnsi" w:cstheme="minorHAnsi"/>
          <w:bCs/>
        </w:rPr>
        <w:t>-екзаменатор для проведення іспитів з сертифікації персоналу для оцінки компетентності у сфері дії стандарту ДСТУ ISO 22000:2019  (ISO 22000:2018, IDT)</w:t>
      </w:r>
    </w:p>
    <w:p w14:paraId="4CC25D42" w14:textId="77777777" w:rsidR="007A506A" w:rsidRPr="007209AF" w:rsidRDefault="007A506A">
      <w:pPr>
        <w:jc w:val="both"/>
        <w:rPr>
          <w:rFonts w:asciiTheme="minorHAnsi" w:eastAsia="Calibri" w:hAnsiTheme="minorHAnsi" w:cstheme="minorHAnsi"/>
          <w:b/>
        </w:rPr>
      </w:pPr>
    </w:p>
    <w:p w14:paraId="5230D82C" w14:textId="6AFC933A" w:rsidR="006F56FD" w:rsidRPr="007209AF" w:rsidRDefault="006F56FD" w:rsidP="006F56FD">
      <w:pPr>
        <w:shd w:val="clear" w:color="auto" w:fill="FFFFFF"/>
        <w:rPr>
          <w:rFonts w:asciiTheme="minorHAnsi" w:hAnsiTheme="minorHAnsi" w:cstheme="minorHAnsi"/>
          <w:color w:val="000000"/>
        </w:rPr>
      </w:pPr>
      <w:bookmarkStart w:id="1" w:name="_Hlk150265318"/>
      <w:r w:rsidRPr="007209AF">
        <w:rPr>
          <w:rFonts w:asciiTheme="minorHAnsi" w:hAnsiTheme="minorHAnsi" w:cstheme="minorHAnsi"/>
          <w:b/>
          <w:bCs/>
          <w:color w:val="000000"/>
        </w:rPr>
        <w:t xml:space="preserve">Термін надання послуг:  </w:t>
      </w:r>
      <w:r w:rsidR="00900FC5" w:rsidRPr="006B768F">
        <w:rPr>
          <w:rFonts w:asciiTheme="minorHAnsi" w:eastAsiaTheme="minorHAnsi" w:hAnsiTheme="minorHAnsi" w:cstheme="minorHAnsi"/>
        </w:rPr>
        <w:t xml:space="preserve">лютий 2024 – </w:t>
      </w:r>
      <w:proofErr w:type="spellStart"/>
      <w:r w:rsidR="002A648D">
        <w:rPr>
          <w:rFonts w:asciiTheme="minorHAnsi" w:eastAsiaTheme="minorHAnsi" w:hAnsiTheme="minorHAnsi" w:cstheme="minorHAnsi"/>
          <w:lang w:val="ru-RU"/>
        </w:rPr>
        <w:t>серпень</w:t>
      </w:r>
      <w:proofErr w:type="spellEnd"/>
      <w:r w:rsidR="00900FC5" w:rsidRPr="006B768F">
        <w:rPr>
          <w:rFonts w:asciiTheme="minorHAnsi" w:eastAsiaTheme="minorHAnsi" w:hAnsiTheme="minorHAnsi" w:cstheme="minorHAnsi"/>
        </w:rPr>
        <w:t xml:space="preserve"> 2024 року</w:t>
      </w:r>
    </w:p>
    <w:bookmarkEnd w:id="1"/>
    <w:p w14:paraId="36E1F8A9" w14:textId="77777777" w:rsidR="006F56FD" w:rsidRPr="007209AF" w:rsidRDefault="006F56FD" w:rsidP="006F56FD">
      <w:pPr>
        <w:jc w:val="both"/>
        <w:rPr>
          <w:rFonts w:asciiTheme="minorHAnsi" w:hAnsiTheme="minorHAnsi" w:cstheme="minorHAnsi"/>
          <w:b/>
          <w:lang w:eastAsia="en-US"/>
        </w:rPr>
      </w:pPr>
      <w:r w:rsidRPr="007209AF">
        <w:rPr>
          <w:rFonts w:asciiTheme="minorHAnsi" w:hAnsiTheme="minorHAnsi" w:cstheme="minorHAnsi"/>
          <w:b/>
          <w:bCs/>
          <w:color w:val="000000"/>
        </w:rPr>
        <w:br/>
      </w:r>
      <w:r w:rsidRPr="007209AF">
        <w:rPr>
          <w:rFonts w:asciiTheme="minorHAnsi" w:hAnsiTheme="minorHAnsi" w:cstheme="minorHAnsi"/>
          <w:b/>
          <w:lang w:eastAsia="en-US"/>
        </w:rPr>
        <w:t>Інформація щодо установи:</w:t>
      </w:r>
    </w:p>
    <w:p w14:paraId="160D3BB8" w14:textId="22F07C5B" w:rsidR="006F56FD" w:rsidRPr="007209AF" w:rsidRDefault="006F56FD" w:rsidP="00B64A46">
      <w:pPr>
        <w:ind w:firstLine="720"/>
        <w:jc w:val="both"/>
        <w:rPr>
          <w:rFonts w:asciiTheme="minorHAnsi" w:hAnsiTheme="minorHAnsi" w:cstheme="minorHAnsi"/>
          <w:lang w:eastAsia="en-US"/>
        </w:rPr>
      </w:pPr>
      <w:r w:rsidRPr="007209AF">
        <w:rPr>
          <w:rFonts w:asciiTheme="minorHAnsi" w:hAnsiTheme="minorHAnsi" w:cstheme="minorHAns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2403292" w14:textId="77777777" w:rsidR="007A506A" w:rsidRPr="007209AF" w:rsidRDefault="007A506A">
      <w:pPr>
        <w:shd w:val="clear" w:color="auto" w:fill="FFFFFF"/>
        <w:jc w:val="both"/>
        <w:rPr>
          <w:rFonts w:asciiTheme="minorHAnsi" w:eastAsia="Calibri" w:hAnsiTheme="minorHAnsi" w:cstheme="minorHAnsi"/>
          <w:b/>
        </w:rPr>
      </w:pPr>
    </w:p>
    <w:p w14:paraId="5440377D" w14:textId="77777777" w:rsidR="006F56FD" w:rsidRPr="007209AF" w:rsidRDefault="006F56FD" w:rsidP="006F56FD">
      <w:pPr>
        <w:shd w:val="clear" w:color="auto" w:fill="FFFFFF"/>
        <w:rPr>
          <w:rFonts w:asciiTheme="minorHAnsi" w:hAnsiTheme="minorHAnsi" w:cstheme="minorHAnsi"/>
          <w:color w:val="000000"/>
        </w:rPr>
      </w:pPr>
      <w:r w:rsidRPr="007209AF">
        <w:rPr>
          <w:rFonts w:asciiTheme="minorHAnsi" w:hAnsiTheme="minorHAnsi" w:cstheme="minorHAnsi"/>
          <w:b/>
          <w:bCs/>
          <w:color w:val="000000"/>
        </w:rPr>
        <w:t>Завдання</w:t>
      </w:r>
      <w:r w:rsidRPr="007209AF">
        <w:rPr>
          <w:rFonts w:asciiTheme="minorHAnsi" w:hAnsiTheme="minorHAnsi" w:cstheme="minorHAnsi"/>
          <w:color w:val="000000"/>
        </w:rPr>
        <w:t>:</w:t>
      </w:r>
    </w:p>
    <w:p w14:paraId="14B82D99" w14:textId="38E5AA7F" w:rsidR="00300E02" w:rsidRPr="007209AF" w:rsidRDefault="00300E02" w:rsidP="00300E02">
      <w:pPr>
        <w:pStyle w:val="a4"/>
        <w:shd w:val="clear" w:color="auto" w:fill="FFFFFF"/>
        <w:jc w:val="both"/>
        <w:rPr>
          <w:rFonts w:asciiTheme="minorHAnsi" w:hAnsiTheme="minorHAnsi" w:cstheme="minorHAnsi"/>
        </w:rPr>
      </w:pPr>
    </w:p>
    <w:p w14:paraId="0263E154" w14:textId="77777777" w:rsidR="00CB5972" w:rsidRPr="007209AF" w:rsidRDefault="00CB5972" w:rsidP="00CB5972">
      <w:pPr>
        <w:shd w:val="clear" w:color="auto" w:fill="FFFFFF"/>
        <w:ind w:left="1080"/>
        <w:jc w:val="both"/>
        <w:rPr>
          <w:rFonts w:asciiTheme="minorHAnsi" w:hAnsiTheme="minorHAnsi" w:cstheme="minorHAnsi"/>
        </w:rPr>
      </w:pPr>
      <w:r w:rsidRPr="007209AF">
        <w:rPr>
          <w:rFonts w:asciiTheme="minorHAnsi" w:hAnsiTheme="minorHAnsi" w:cstheme="minorHAnsi"/>
        </w:rPr>
        <w:t>•</w:t>
      </w:r>
      <w:r w:rsidRPr="007209AF">
        <w:rPr>
          <w:rFonts w:asciiTheme="minorHAnsi" w:hAnsiTheme="minorHAnsi" w:cstheme="minorHAnsi"/>
        </w:rPr>
        <w:tab/>
        <w:t xml:space="preserve">Послуги з підготовки до проведення іспитів щодо компетентності кандидатів на сертифікацію у сфері дії стандарту ДСТУ ISO 22000:2019  (ISO 22000:2018, IDT). </w:t>
      </w:r>
    </w:p>
    <w:p w14:paraId="4CC7FEE6" w14:textId="77777777" w:rsidR="00CB5972" w:rsidRPr="007209AF" w:rsidRDefault="00CB5972" w:rsidP="00CB5972">
      <w:pPr>
        <w:shd w:val="clear" w:color="auto" w:fill="FFFFFF"/>
        <w:ind w:left="1080"/>
        <w:jc w:val="both"/>
        <w:rPr>
          <w:rFonts w:asciiTheme="minorHAnsi" w:hAnsiTheme="minorHAnsi" w:cstheme="minorHAnsi"/>
        </w:rPr>
      </w:pPr>
      <w:r w:rsidRPr="007209AF">
        <w:rPr>
          <w:rFonts w:asciiTheme="minorHAnsi" w:hAnsiTheme="minorHAnsi" w:cstheme="minorHAnsi"/>
        </w:rPr>
        <w:t>•</w:t>
      </w:r>
      <w:r w:rsidRPr="007209AF">
        <w:rPr>
          <w:rFonts w:asciiTheme="minorHAnsi" w:hAnsiTheme="minorHAnsi" w:cstheme="minorHAnsi"/>
        </w:rPr>
        <w:tab/>
        <w:t xml:space="preserve">Проведення іспитів щодо компетентності кандидатів на сертифікацію у сфері дії стандарту ДСТУ ISO 22000:2019  (ISO 22000:2018, IDT). </w:t>
      </w:r>
    </w:p>
    <w:p w14:paraId="2F8A9DEB" w14:textId="77777777" w:rsidR="00CB5972" w:rsidRPr="007209AF" w:rsidRDefault="00CB5972" w:rsidP="00CB5972">
      <w:pPr>
        <w:shd w:val="clear" w:color="auto" w:fill="FFFFFF"/>
        <w:ind w:left="1080"/>
        <w:jc w:val="both"/>
        <w:rPr>
          <w:rFonts w:asciiTheme="minorHAnsi" w:hAnsiTheme="minorHAnsi" w:cstheme="minorHAnsi"/>
        </w:rPr>
      </w:pPr>
      <w:r w:rsidRPr="007209AF">
        <w:rPr>
          <w:rFonts w:asciiTheme="minorHAnsi" w:hAnsiTheme="minorHAnsi" w:cstheme="minorHAnsi"/>
        </w:rPr>
        <w:t>•</w:t>
      </w:r>
      <w:r w:rsidRPr="007209AF">
        <w:rPr>
          <w:rFonts w:asciiTheme="minorHAnsi" w:hAnsiTheme="minorHAnsi" w:cstheme="minorHAnsi"/>
        </w:rPr>
        <w:tab/>
        <w:t xml:space="preserve">Складання звітних документів після проведення іспитів щодо компетентності кандидатів на сертифікацію у сфері дії стандарту ДСТУ ISO 22000:2019  (ISO 22000:2018, IDT). </w:t>
      </w:r>
    </w:p>
    <w:p w14:paraId="73D8FB1D" w14:textId="77777777" w:rsidR="00CB5972" w:rsidRPr="007209AF" w:rsidRDefault="00CB5972" w:rsidP="00CB5972">
      <w:pPr>
        <w:shd w:val="clear" w:color="auto" w:fill="FFFFFF"/>
        <w:ind w:left="1080"/>
        <w:jc w:val="both"/>
        <w:rPr>
          <w:rFonts w:asciiTheme="minorHAnsi" w:hAnsiTheme="minorHAnsi" w:cstheme="minorHAnsi"/>
        </w:rPr>
      </w:pPr>
      <w:r w:rsidRPr="007209AF">
        <w:rPr>
          <w:rFonts w:asciiTheme="minorHAnsi" w:hAnsiTheme="minorHAnsi" w:cstheme="minorHAnsi"/>
        </w:rPr>
        <w:t>•</w:t>
      </w:r>
      <w:r w:rsidRPr="007209AF">
        <w:rPr>
          <w:rFonts w:asciiTheme="minorHAnsi" w:hAnsiTheme="minorHAnsi" w:cstheme="minorHAnsi"/>
        </w:rPr>
        <w:tab/>
        <w:t xml:space="preserve">Послуги з підготовки  та адаптації супровідних матеріалів для проведення іспитів щодо компетентності кандидатів на сертифікацію у сфері дії стандарту ДСТУ ISO 22000:2019  (ISO 22000:2018, IDT). </w:t>
      </w:r>
    </w:p>
    <w:p w14:paraId="5DCA9A3C" w14:textId="662670F5" w:rsidR="00300E02" w:rsidRPr="007209AF" w:rsidRDefault="00CB5972" w:rsidP="00CB5972">
      <w:pPr>
        <w:shd w:val="clear" w:color="auto" w:fill="FFFFFF"/>
        <w:ind w:left="1080"/>
        <w:jc w:val="both"/>
        <w:rPr>
          <w:rFonts w:asciiTheme="minorHAnsi" w:hAnsiTheme="minorHAnsi" w:cstheme="minorHAnsi"/>
        </w:rPr>
      </w:pPr>
      <w:r w:rsidRPr="007209AF">
        <w:rPr>
          <w:rFonts w:asciiTheme="minorHAnsi" w:hAnsiTheme="minorHAnsi" w:cstheme="minorHAnsi"/>
        </w:rPr>
        <w:t>•</w:t>
      </w:r>
      <w:r w:rsidRPr="007209AF">
        <w:rPr>
          <w:rFonts w:asciiTheme="minorHAnsi" w:hAnsiTheme="minorHAnsi" w:cstheme="minorHAnsi"/>
        </w:rPr>
        <w:tab/>
        <w:t>Послуги з підготовки тестів для проведення іспитів щодо компетентності кандидатів на сертифікацію у сфері дії стандарту ISO ДСТУ ISO 22000:2019  (ISO 22000:2018, IDT).</w:t>
      </w:r>
    </w:p>
    <w:p w14:paraId="78D87974" w14:textId="77777777" w:rsidR="007A506A" w:rsidRPr="007209AF" w:rsidRDefault="007A506A">
      <w:pPr>
        <w:jc w:val="both"/>
        <w:rPr>
          <w:rFonts w:asciiTheme="minorHAnsi" w:eastAsia="Calibri" w:hAnsiTheme="minorHAnsi" w:cstheme="minorHAnsi"/>
        </w:rPr>
      </w:pPr>
    </w:p>
    <w:p w14:paraId="6BE62756" w14:textId="77777777" w:rsidR="007A506A" w:rsidRPr="007209AF" w:rsidRDefault="006518AD">
      <w:pPr>
        <w:jc w:val="both"/>
        <w:rPr>
          <w:rFonts w:asciiTheme="minorHAnsi" w:eastAsia="Calibri" w:hAnsiTheme="minorHAnsi" w:cstheme="minorHAnsi"/>
          <w:b/>
        </w:rPr>
      </w:pPr>
      <w:r w:rsidRPr="007209AF">
        <w:rPr>
          <w:rFonts w:asciiTheme="minorHAnsi" w:eastAsia="Calibri" w:hAnsiTheme="minorHAnsi" w:cstheme="minorHAnsi"/>
          <w:b/>
        </w:rPr>
        <w:t>Вимоги до професійної компетентності:</w:t>
      </w:r>
    </w:p>
    <w:p w14:paraId="777FED2C" w14:textId="77777777" w:rsidR="007A506A" w:rsidRPr="007209AF" w:rsidRDefault="007A506A">
      <w:pPr>
        <w:pBdr>
          <w:top w:val="nil"/>
          <w:left w:val="nil"/>
          <w:bottom w:val="nil"/>
          <w:right w:val="nil"/>
          <w:between w:val="nil"/>
        </w:pBdr>
        <w:spacing w:line="276" w:lineRule="auto"/>
        <w:ind w:left="720"/>
        <w:jc w:val="both"/>
        <w:rPr>
          <w:rFonts w:asciiTheme="minorHAnsi" w:eastAsia="Calibri" w:hAnsiTheme="minorHAnsi" w:cstheme="minorHAnsi"/>
          <w:b/>
          <w:color w:val="000000"/>
          <w:sz w:val="22"/>
          <w:szCs w:val="22"/>
        </w:rPr>
      </w:pPr>
    </w:p>
    <w:p w14:paraId="624A0F13" w14:textId="779AC469" w:rsidR="007209AF" w:rsidRPr="007209AF" w:rsidRDefault="007209AF" w:rsidP="007209AF">
      <w:pPr>
        <w:pStyle w:val="a4"/>
        <w:numPr>
          <w:ilvl w:val="0"/>
          <w:numId w:val="5"/>
        </w:numPr>
        <w:jc w:val="both"/>
        <w:rPr>
          <w:rFonts w:asciiTheme="minorHAnsi" w:hAnsiTheme="minorHAnsi" w:cstheme="minorHAnsi"/>
          <w:bCs/>
        </w:rPr>
      </w:pPr>
      <w:r w:rsidRPr="007209AF">
        <w:rPr>
          <w:rFonts w:asciiTheme="minorHAnsi" w:hAnsiTheme="minorHAnsi" w:cstheme="minorHAnsi"/>
          <w:bCs/>
        </w:rPr>
        <w:t xml:space="preserve">Знання стандартів: ДСТУ EN ISO ДСТУ ISO 22000:2019 (ISO 22000:2018, IDT); ДСТУ ISO/TS 22003:2019 (ISO/TS 22003:2013, IDT); ДСТУ ISO 19011:2012 (ISO 19011:2011, IDT); ДСТУ EN ISO 9001:2018 (EN ISO 9001:2015, IDT; ISO 9001:2015, IDT); ISO/IEC 17025; ДСТУ ISO 9000:2015; ДСТУ ISO/IEC 17000:2007 (ISO/IEC 17000:2004, IDT); ДСТУ EN ISO/IEC 17021-1:2015; ДСТУ ISO </w:t>
      </w:r>
      <w:r w:rsidRPr="007209AF">
        <w:rPr>
          <w:rFonts w:asciiTheme="minorHAnsi" w:hAnsiTheme="minorHAnsi" w:cstheme="minorHAnsi"/>
          <w:bCs/>
        </w:rPr>
        <w:lastRenderedPageBreak/>
        <w:t>19011:2012 (ISO 19011:2011, IDT); CAC/RCP 1-1969; IAF MD 11-2013; IAF MD 15-2014; IAF MD 25-2022; IAF MD 16-2015; ДСТУ ISO/TS 22003:2019 (ISO/TS 22003:2013, IDT).</w:t>
      </w:r>
    </w:p>
    <w:p w14:paraId="4E313ACC" w14:textId="72FF2D04" w:rsidR="007209AF" w:rsidRPr="007209AF" w:rsidRDefault="007209AF" w:rsidP="007209AF">
      <w:pPr>
        <w:pStyle w:val="a4"/>
        <w:numPr>
          <w:ilvl w:val="0"/>
          <w:numId w:val="5"/>
        </w:numPr>
        <w:jc w:val="both"/>
        <w:rPr>
          <w:rFonts w:asciiTheme="minorHAnsi" w:hAnsiTheme="minorHAnsi" w:cstheme="minorHAnsi"/>
          <w:bCs/>
        </w:rPr>
      </w:pPr>
      <w:r w:rsidRPr="007209AF">
        <w:rPr>
          <w:rFonts w:asciiTheme="minorHAnsi" w:hAnsiTheme="minorHAnsi" w:cstheme="minorHAnsi"/>
          <w:bCs/>
        </w:rPr>
        <w:t>Знання основ законодавства України про охорону здоров'я, «Про основні принципи та вимоги до безпечності та якості харчових продуктів»; Про забезпечення санітарного та епідемічного благополуччя населення; Наказ Міністерства аграрної політики та продовольства України 01.10.2012 № 590  «Про затвердження Вимог щодо розробки, впровадження та застосування постійно діючих процедур, заснованих на принципах Системи управління безпечністю харчових продуктів (НАССР).</w:t>
      </w:r>
    </w:p>
    <w:p w14:paraId="51A9775B" w14:textId="31ED7068" w:rsidR="007209AF" w:rsidRPr="007209AF" w:rsidRDefault="007209AF" w:rsidP="007209AF">
      <w:pPr>
        <w:pStyle w:val="a4"/>
        <w:numPr>
          <w:ilvl w:val="0"/>
          <w:numId w:val="5"/>
        </w:numPr>
        <w:jc w:val="both"/>
        <w:rPr>
          <w:rFonts w:asciiTheme="minorHAnsi" w:hAnsiTheme="minorHAnsi" w:cstheme="minorHAnsi"/>
          <w:bCs/>
        </w:rPr>
      </w:pPr>
      <w:r w:rsidRPr="007209AF">
        <w:rPr>
          <w:rFonts w:asciiTheme="minorHAnsi" w:hAnsiTheme="minorHAnsi" w:cstheme="minorHAnsi"/>
          <w:bCs/>
        </w:rPr>
        <w:t>Досвід з проведення аудитів у сфері дії стандарту ДСТУ ISO 2200:2019 (EN ISO 22000:2018, IDT).</w:t>
      </w:r>
    </w:p>
    <w:p w14:paraId="3302226A" w14:textId="3BDF0AA2" w:rsidR="007A506A" w:rsidRPr="007209AF" w:rsidRDefault="007209AF" w:rsidP="007209AF">
      <w:pPr>
        <w:pStyle w:val="a4"/>
        <w:numPr>
          <w:ilvl w:val="0"/>
          <w:numId w:val="5"/>
        </w:numPr>
        <w:jc w:val="both"/>
        <w:rPr>
          <w:rFonts w:asciiTheme="minorHAnsi" w:hAnsiTheme="minorHAnsi" w:cstheme="minorHAnsi"/>
          <w:bCs/>
        </w:rPr>
      </w:pPr>
      <w:r w:rsidRPr="007209AF">
        <w:rPr>
          <w:rFonts w:asciiTheme="minorHAnsi" w:hAnsiTheme="minorHAnsi" w:cstheme="minorHAnsi"/>
          <w:bCs/>
        </w:rPr>
        <w:t>Вільне володіння українською мовою.</w:t>
      </w:r>
    </w:p>
    <w:p w14:paraId="700A3650" w14:textId="28E72EBC" w:rsidR="00300E02" w:rsidRPr="007209AF" w:rsidRDefault="006518AD">
      <w:pPr>
        <w:ind w:left="284"/>
        <w:jc w:val="both"/>
        <w:rPr>
          <w:rFonts w:asciiTheme="minorHAnsi" w:eastAsia="Calibri" w:hAnsiTheme="minorHAnsi" w:cstheme="minorHAnsi"/>
          <w:b/>
        </w:rPr>
      </w:pPr>
      <w:r w:rsidRPr="007209AF">
        <w:rPr>
          <w:rFonts w:asciiTheme="minorHAnsi" w:eastAsia="Calibri" w:hAnsiTheme="minorHAnsi" w:cstheme="minorHAnsi"/>
          <w:b/>
        </w:rPr>
        <w:t>Резюме мають бути надіслані електронною поштою на електронну адресу: vacancies@phc.org.ua.</w:t>
      </w:r>
      <w:r w:rsidRPr="007209AF">
        <w:rPr>
          <w:rFonts w:asciiTheme="minorHAnsi" w:eastAsia="Calibri" w:hAnsiTheme="minorHAnsi" w:cstheme="minorHAnsi"/>
        </w:rPr>
        <w:t xml:space="preserve"> В темі листа, будь ласка, </w:t>
      </w:r>
      <w:r w:rsidRPr="007209AF">
        <w:rPr>
          <w:rFonts w:asciiTheme="minorHAnsi" w:eastAsia="Calibri" w:hAnsiTheme="minorHAnsi" w:cstheme="minorHAnsi"/>
          <w:b/>
        </w:rPr>
        <w:t xml:space="preserve">зазначте: </w:t>
      </w:r>
      <w:r w:rsidRPr="00057EFB">
        <w:rPr>
          <w:rFonts w:asciiTheme="minorHAnsi" w:eastAsia="Calibri" w:hAnsiTheme="minorHAnsi" w:cstheme="minorHAnsi"/>
          <w:b/>
        </w:rPr>
        <w:t>«</w:t>
      </w:r>
      <w:r w:rsidR="00057EFB" w:rsidRPr="00057EFB">
        <w:rPr>
          <w:rFonts w:asciiTheme="minorHAnsi" w:eastAsia="Calibri" w:hAnsiTheme="minorHAnsi" w:cstheme="minorHAnsi"/>
          <w:b/>
        </w:rPr>
        <w:t>35</w:t>
      </w:r>
      <w:r w:rsidR="00300E02" w:rsidRPr="00057EFB">
        <w:rPr>
          <w:rFonts w:asciiTheme="minorHAnsi" w:eastAsia="Calibri" w:hAnsiTheme="minorHAnsi" w:cstheme="minorHAnsi"/>
          <w:b/>
        </w:rPr>
        <w:t>-</w:t>
      </w:r>
      <w:r w:rsidR="00057EFB" w:rsidRPr="00057EFB">
        <w:rPr>
          <w:rFonts w:asciiTheme="minorHAnsi" w:eastAsia="Calibri" w:hAnsiTheme="minorHAnsi" w:cstheme="minorHAnsi"/>
          <w:b/>
        </w:rPr>
        <w:t>2024</w:t>
      </w:r>
      <w:r w:rsidRPr="00057EFB">
        <w:rPr>
          <w:rFonts w:asciiTheme="minorHAnsi" w:eastAsia="Calibri" w:hAnsiTheme="minorHAnsi" w:cstheme="minorHAnsi"/>
          <w:b/>
        </w:rPr>
        <w:t xml:space="preserve"> Консультант</w:t>
      </w:r>
      <w:r w:rsidR="007209AF" w:rsidRPr="007209AF">
        <w:rPr>
          <w:rFonts w:asciiTheme="minorHAnsi" w:eastAsia="Calibri" w:hAnsiTheme="minorHAnsi" w:cstheme="minorHAnsi"/>
          <w:b/>
          <w:bCs/>
        </w:rPr>
        <w:t>-екзаменатор для проведення іспитів з сертифікації персоналу для оцінки компетентності у сфері дії стандарту ДСТУ ISO 22000:2019  (ISO 22000:2018, IDT)</w:t>
      </w:r>
      <w:r w:rsidR="00300E02" w:rsidRPr="007209AF">
        <w:rPr>
          <w:rFonts w:asciiTheme="minorHAnsi" w:eastAsia="Calibri" w:hAnsiTheme="minorHAnsi" w:cstheme="minorHAnsi"/>
          <w:b/>
        </w:rPr>
        <w:t>»</w:t>
      </w:r>
    </w:p>
    <w:p w14:paraId="7392DD58" w14:textId="77777777" w:rsidR="00300E02" w:rsidRPr="007209AF" w:rsidRDefault="00300E02">
      <w:pPr>
        <w:ind w:left="284"/>
        <w:jc w:val="both"/>
        <w:rPr>
          <w:rFonts w:asciiTheme="minorHAnsi" w:eastAsia="Calibri" w:hAnsiTheme="minorHAnsi" w:cstheme="minorHAnsi"/>
          <w:b/>
        </w:rPr>
      </w:pPr>
    </w:p>
    <w:p w14:paraId="33DD812A" w14:textId="215D1801" w:rsidR="007A506A" w:rsidRPr="007209AF" w:rsidRDefault="006518AD">
      <w:pPr>
        <w:ind w:left="284"/>
        <w:jc w:val="both"/>
        <w:rPr>
          <w:rFonts w:asciiTheme="minorHAnsi" w:eastAsia="Calibri" w:hAnsiTheme="minorHAnsi" w:cstheme="minorHAnsi"/>
        </w:rPr>
      </w:pPr>
      <w:r w:rsidRPr="007209AF">
        <w:rPr>
          <w:rFonts w:asciiTheme="minorHAnsi" w:eastAsia="Calibri" w:hAnsiTheme="minorHAnsi" w:cstheme="minorHAnsi"/>
          <w:b/>
        </w:rPr>
        <w:t xml:space="preserve">Термін подання документів – до </w:t>
      </w:r>
      <w:bookmarkStart w:id="2" w:name="_Hlk150265673"/>
      <w:r w:rsidR="00A17BE9">
        <w:rPr>
          <w:rFonts w:asciiTheme="minorHAnsi" w:eastAsia="Calibri" w:hAnsiTheme="minorHAnsi" w:cstheme="minorHAnsi"/>
          <w:b/>
        </w:rPr>
        <w:t>25</w:t>
      </w:r>
      <w:bookmarkStart w:id="3" w:name="_GoBack"/>
      <w:bookmarkEnd w:id="3"/>
      <w:r w:rsidRPr="007209AF">
        <w:rPr>
          <w:rFonts w:asciiTheme="minorHAnsi" w:eastAsia="Calibri" w:hAnsiTheme="minorHAnsi" w:cstheme="minorHAnsi"/>
          <w:b/>
        </w:rPr>
        <w:t xml:space="preserve"> </w:t>
      </w:r>
      <w:r w:rsidR="007209AF" w:rsidRPr="007209AF">
        <w:rPr>
          <w:rFonts w:asciiTheme="minorHAnsi" w:eastAsia="Calibri" w:hAnsiTheme="minorHAnsi" w:cstheme="minorHAnsi"/>
          <w:b/>
        </w:rPr>
        <w:t>січня</w:t>
      </w:r>
      <w:r w:rsidRPr="007209AF">
        <w:rPr>
          <w:rFonts w:asciiTheme="minorHAnsi" w:eastAsia="Calibri" w:hAnsiTheme="minorHAnsi" w:cstheme="minorHAnsi"/>
          <w:b/>
        </w:rPr>
        <w:t xml:space="preserve"> 202</w:t>
      </w:r>
      <w:r w:rsidR="007209AF" w:rsidRPr="007209AF">
        <w:rPr>
          <w:rFonts w:asciiTheme="minorHAnsi" w:eastAsia="Calibri" w:hAnsiTheme="minorHAnsi" w:cstheme="minorHAnsi"/>
          <w:b/>
        </w:rPr>
        <w:t>4</w:t>
      </w:r>
      <w:r w:rsidRPr="007209AF">
        <w:rPr>
          <w:rFonts w:asciiTheme="minorHAnsi" w:eastAsia="Calibri" w:hAnsiTheme="minorHAnsi" w:cstheme="minorHAnsi"/>
          <w:b/>
        </w:rPr>
        <w:t xml:space="preserve"> року</w:t>
      </w:r>
      <w:bookmarkEnd w:id="2"/>
      <w:r w:rsidRPr="007209AF">
        <w:rPr>
          <w:rFonts w:asciiTheme="minorHAnsi" w:eastAsia="Calibri" w:hAnsiTheme="minorHAnsi" w:cstheme="minorHAnsi"/>
          <w:b/>
        </w:rPr>
        <w:t>,</w:t>
      </w:r>
      <w:r w:rsidRPr="007209AF">
        <w:rPr>
          <w:rFonts w:asciiTheme="minorHAnsi" w:eastAsia="Calibri" w:hAnsiTheme="minorHAnsi" w:cstheme="minorHAnsi"/>
        </w:rPr>
        <w:t xml:space="preserve"> реєстрація документів </w:t>
      </w:r>
      <w:r w:rsidRPr="007209AF">
        <w:rPr>
          <w:rFonts w:asciiTheme="minorHAnsi" w:eastAsia="Calibri" w:hAnsiTheme="minorHAnsi" w:cstheme="minorHAnsi"/>
        </w:rPr>
        <w:br/>
        <w:t>завершується о 18:00.</w:t>
      </w:r>
    </w:p>
    <w:p w14:paraId="53B0F0B6" w14:textId="77777777" w:rsidR="007A506A" w:rsidRPr="007209AF" w:rsidRDefault="007A506A">
      <w:pPr>
        <w:ind w:left="284"/>
        <w:jc w:val="both"/>
        <w:rPr>
          <w:rFonts w:asciiTheme="minorHAnsi" w:eastAsia="Calibri" w:hAnsiTheme="minorHAnsi" w:cstheme="minorHAnsi"/>
        </w:rPr>
      </w:pPr>
    </w:p>
    <w:p w14:paraId="460F68C2" w14:textId="77777777" w:rsidR="007A506A" w:rsidRPr="007209AF" w:rsidRDefault="006518AD">
      <w:pPr>
        <w:jc w:val="both"/>
        <w:rPr>
          <w:rFonts w:asciiTheme="minorHAnsi" w:eastAsia="Calibri" w:hAnsiTheme="minorHAnsi" w:cstheme="minorHAnsi"/>
          <w:color w:val="000000"/>
        </w:rPr>
      </w:pPr>
      <w:r w:rsidRPr="007209AF">
        <w:rPr>
          <w:rFonts w:asciiTheme="minorHAnsi" w:eastAsia="Calibri" w:hAnsiTheme="minorHAnsi" w:cstheme="minorHAns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Pr="007209AF" w:rsidRDefault="007A506A">
      <w:pPr>
        <w:jc w:val="both"/>
        <w:rPr>
          <w:rFonts w:asciiTheme="minorHAnsi" w:eastAsia="Calibri" w:hAnsiTheme="minorHAnsi" w:cstheme="minorHAnsi"/>
          <w:color w:val="000000"/>
        </w:rPr>
      </w:pPr>
    </w:p>
    <w:p w14:paraId="2BB81F0C" w14:textId="77777777" w:rsidR="007A506A" w:rsidRPr="007209AF" w:rsidRDefault="006518AD">
      <w:pPr>
        <w:jc w:val="both"/>
        <w:rPr>
          <w:rFonts w:asciiTheme="minorHAnsi" w:eastAsia="Calibri" w:hAnsiTheme="minorHAnsi" w:cstheme="minorHAnsi"/>
          <w:color w:val="000000"/>
        </w:rPr>
      </w:pPr>
      <w:r w:rsidRPr="007209AF">
        <w:rPr>
          <w:rFonts w:asciiTheme="minorHAnsi" w:eastAsia="Calibri" w:hAnsiTheme="minorHAnsi" w:cstheme="minorHAns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18BE680" w14:textId="77777777" w:rsidR="007A506A" w:rsidRPr="007209AF" w:rsidRDefault="007A506A">
      <w:pPr>
        <w:ind w:left="284"/>
        <w:jc w:val="both"/>
        <w:rPr>
          <w:rFonts w:asciiTheme="minorHAnsi" w:eastAsia="Calibri" w:hAnsiTheme="minorHAnsi" w:cstheme="minorHAnsi"/>
        </w:rPr>
      </w:pPr>
    </w:p>
    <w:sectPr w:rsidR="007A506A" w:rsidRPr="007209AF">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8B4EC2"/>
    <w:multiLevelType w:val="hybridMultilevel"/>
    <w:tmpl w:val="58BEC4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7EEA1B1C"/>
    <w:multiLevelType w:val="hybridMultilevel"/>
    <w:tmpl w:val="7C960706"/>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57EFB"/>
    <w:rsid w:val="000E6328"/>
    <w:rsid w:val="00290F17"/>
    <w:rsid w:val="002A4BDD"/>
    <w:rsid w:val="002A648D"/>
    <w:rsid w:val="002C268A"/>
    <w:rsid w:val="00300E02"/>
    <w:rsid w:val="00410AAF"/>
    <w:rsid w:val="006518AD"/>
    <w:rsid w:val="006F56FD"/>
    <w:rsid w:val="007209AF"/>
    <w:rsid w:val="007A506A"/>
    <w:rsid w:val="00895985"/>
    <w:rsid w:val="00900FC5"/>
    <w:rsid w:val="00A17BE9"/>
    <w:rsid w:val="00AB2004"/>
    <w:rsid w:val="00B64A46"/>
    <w:rsid w:val="00CB5972"/>
    <w:rsid w:val="00CE32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basedOn w:val="a0"/>
    <w:link w:val="a5"/>
    <w:uiPriority w:val="99"/>
    <w:semiHidden/>
    <w:rsid w:val="00546C9B"/>
    <w:rPr>
      <w:rFonts w:ascii="Tahoma" w:eastAsia="Times New Roman" w:hAnsi="Tahoma" w:cs="Tahoma"/>
      <w:sz w:val="16"/>
      <w:szCs w:val="16"/>
      <w:lang w:eastAsia="ru-RU"/>
    </w:rPr>
  </w:style>
  <w:style w:type="character" w:styleId="a7">
    <w:name w:val="annotation reference"/>
    <w:basedOn w:val="a0"/>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ітки Знак"/>
    <w:basedOn w:val="a0"/>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basedOn w:val="a9"/>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basedOn w:val="a0"/>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rPr>
  </w:style>
  <w:style w:type="character" w:customStyle="1" w:styleId="af1">
    <w:name w:val="Нижній колонтитул Знак"/>
    <w:basedOn w:val="a0"/>
    <w:link w:val="af0"/>
    <w:rsid w:val="00CD3306"/>
    <w:rPr>
      <w:rFonts w:ascii="Times New Roman" w:eastAsia="Times New Roman" w:hAnsi="Times New Roman" w:cs="Times New Roman"/>
      <w:sz w:val="24"/>
      <w:szCs w:val="20"/>
      <w:lang w:val="uk-UA" w:eastAsia="ru-RU"/>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2977</Words>
  <Characters>1698</Characters>
  <Application>Microsoft Office Word</Application>
  <DocSecurity>0</DocSecurity>
  <Lines>14</Lines>
  <Paragraphs>9</Paragraphs>
  <ScaleCrop>false</ScaleCrop>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6</cp:revision>
  <dcterms:created xsi:type="dcterms:W3CDTF">2024-01-11T11:19:00Z</dcterms:created>
  <dcterms:modified xsi:type="dcterms:W3CDTF">2024-01-11T14:26:00Z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