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5A44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5DC5CA2" wp14:editId="31DA7E15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A40A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525CF2C3" w14:textId="0374B192"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публічних </w:t>
      </w:r>
      <w:proofErr w:type="spellStart"/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45467E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(уповноваженої особи)</w:t>
      </w:r>
    </w:p>
    <w:p w14:paraId="12E5A048" w14:textId="77777777" w:rsidR="00F653D3" w:rsidRDefault="00F653D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12A50F85" w14:textId="355FFEB6" w:rsidR="00E87BB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1F3143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Ф</w:t>
      </w:r>
      <w:r w:rsidR="00332F2E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ахіве</w:t>
      </w:r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  <w:r w:rsidR="0045467E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(уповноважена особа)</w:t>
      </w:r>
    </w:p>
    <w:p w14:paraId="61511F48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029EF51" w14:textId="77777777"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63CEA7F4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0E17F5" w14:textId="77777777"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59B9CB79" w14:textId="77777777" w:rsidR="00E63987" w:rsidRPr="00B61319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47BFC702" w14:textId="77777777"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36FE1145" w14:textId="09199A47" w:rsidR="0045467E" w:rsidRPr="0045467E" w:rsidRDefault="0045467E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Виконання функцій уповноваженої особи, визначеної відповідальною за організацію та проведення процедур закупівлі/спрощених </w:t>
      </w:r>
      <w:proofErr w:type="spellStart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закупівель</w:t>
      </w:r>
      <w:proofErr w:type="spellEnd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згідно з Законом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України «Про публічні закупівлі».</w:t>
      </w:r>
    </w:p>
    <w:p w14:paraId="234280B4" w14:textId="3EBB6AD4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269652A3" w14:textId="643BBF7B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Аналіз даних з Prozorro.gov.ua, аналіз ринку виробників/постачальників, цін на </w:t>
      </w:r>
      <w:r w:rsidR="004B6381">
        <w:rPr>
          <w:sz w:val="24"/>
          <w:szCs w:val="24"/>
          <w:lang w:val="uk-UA"/>
        </w:rPr>
        <w:t>товари, роботи і послуги</w:t>
      </w:r>
      <w:r w:rsidRPr="00B61319">
        <w:rPr>
          <w:sz w:val="24"/>
          <w:szCs w:val="24"/>
          <w:lang w:val="uk-UA"/>
        </w:rPr>
        <w:t>.</w:t>
      </w:r>
    </w:p>
    <w:p w14:paraId="72CE4D9C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недискримінаційних, але достатніх кваліфікаційних вимог </w:t>
      </w:r>
      <w:r w:rsidR="00D509A5">
        <w:rPr>
          <w:sz w:val="24"/>
          <w:szCs w:val="24"/>
          <w:lang w:val="uk-UA"/>
        </w:rPr>
        <w:t xml:space="preserve">до </w:t>
      </w:r>
      <w:r w:rsidRPr="00B61319">
        <w:rPr>
          <w:sz w:val="24"/>
          <w:szCs w:val="24"/>
          <w:lang w:val="uk-UA"/>
        </w:rPr>
        <w:t>виробників/постачальників/ продуктів.</w:t>
      </w:r>
    </w:p>
    <w:p w14:paraId="6F845F6B" w14:textId="42378AE8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тендерної документації для закупівлі </w:t>
      </w:r>
      <w:r w:rsidR="004B6381">
        <w:rPr>
          <w:sz w:val="24"/>
          <w:szCs w:val="24"/>
          <w:lang w:val="uk-UA"/>
        </w:rPr>
        <w:t>товарів, робіт і послуг</w:t>
      </w:r>
      <w:r w:rsidRPr="00B61319">
        <w:rPr>
          <w:sz w:val="24"/>
          <w:szCs w:val="24"/>
          <w:lang w:val="uk-UA"/>
        </w:rPr>
        <w:t>.</w:t>
      </w:r>
    </w:p>
    <w:p w14:paraId="444D6E8D" w14:textId="5D90F259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Проведення закупівельних процедур </w:t>
      </w:r>
      <w:r w:rsidR="004B6381">
        <w:rPr>
          <w:sz w:val="24"/>
          <w:szCs w:val="24"/>
          <w:lang w:val="uk-UA"/>
        </w:rPr>
        <w:t>товарів, робіт і послуг</w:t>
      </w:r>
      <w:r w:rsidR="004B6381" w:rsidRPr="00B61319">
        <w:rPr>
          <w:sz w:val="24"/>
          <w:szCs w:val="24"/>
          <w:lang w:val="uk-UA"/>
        </w:rPr>
        <w:t xml:space="preserve"> </w:t>
      </w:r>
      <w:r w:rsidRPr="00B61319">
        <w:rPr>
          <w:sz w:val="24"/>
          <w:szCs w:val="24"/>
          <w:lang w:val="uk-UA"/>
        </w:rPr>
        <w:t xml:space="preserve">в електронній системі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"Про публічні закупівлі".</w:t>
      </w:r>
    </w:p>
    <w:p w14:paraId="6996F99A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Оприлюднення інформації та звітів щодо результатів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«Про публічні закупівлі».</w:t>
      </w:r>
    </w:p>
    <w:p w14:paraId="5FF275BD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закупівельних контрактів та співпраця з іншими відділами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14:paraId="739BC9F8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3AA02807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14:paraId="2D2C74FA" w14:textId="77777777"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6AF6F4E6" w14:textId="77777777" w:rsidR="007454B4" w:rsidRDefault="007454B4" w:rsidP="007454B4">
      <w:pPr>
        <w:shd w:val="clear" w:color="auto" w:fill="FFFFFF"/>
        <w:ind w:left="567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887F833" w14:textId="77777777"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349855C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Вища освіта в галузі фінансів, економіки, менеджменту або іншої дотичної спеціальності.</w:t>
      </w:r>
    </w:p>
    <w:p w14:paraId="568DE32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</w:p>
    <w:p w14:paraId="1C511D8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14:paraId="6EE57D68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Розуміння та успішний досвід проведення публічних 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7508EAA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14:paraId="721FDE43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14:paraId="4B9EB47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14:paraId="227D0F85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32C92B32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6A8AFABF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70C26C91" w14:textId="77777777"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29780D5" w14:textId="5D57A14F" w:rsidR="00CD3306" w:rsidRPr="006505EC" w:rsidRDefault="007454B4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</w:t>
      </w:r>
      <w:r>
        <w:rPr>
          <w:rFonts w:ascii="Calibri" w:hAnsi="Calibri" w:cs="Calibri"/>
          <w:lang w:val="uk-UA"/>
        </w:rPr>
        <w:t xml:space="preserve"> 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bookmarkStart w:id="0" w:name="_GoBack"/>
      <w:r w:rsidR="006E2F47" w:rsidRPr="006E2F4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418</w:t>
      </w:r>
      <w:r w:rsidR="006E2F47" w:rsidRPr="006E2F4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– </w:t>
      </w:r>
      <w:r w:rsidR="006E2F47" w:rsidRPr="006E2F4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2021</w:t>
      </w:r>
      <w:r w:rsidR="006E2F47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F653D3">
        <w:rPr>
          <w:rFonts w:asciiTheme="minorHAnsi" w:hAnsiTheme="minorHAnsi" w:cstheme="minorHAnsi"/>
          <w:b/>
          <w:color w:val="000000" w:themeColor="text1"/>
          <w:lang w:val="uk-UA"/>
        </w:rPr>
        <w:t>Ф</w:t>
      </w:r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ахівець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bookmarkEnd w:id="0"/>
      <w:proofErr w:type="spellEnd"/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49364DE9" w14:textId="77777777"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2B02352" w14:textId="7DA40425" w:rsidR="007454B4" w:rsidRPr="00C554DD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6E2F47">
        <w:rPr>
          <w:rFonts w:ascii="Calibri" w:hAnsi="Calibri" w:cs="Calibri"/>
          <w:b/>
          <w:lang w:val="uk-UA"/>
        </w:rPr>
        <w:t xml:space="preserve">до </w:t>
      </w:r>
      <w:r w:rsidR="006E2F47" w:rsidRPr="006E2F47">
        <w:rPr>
          <w:rFonts w:ascii="Calibri" w:hAnsi="Calibri" w:cs="Calibri"/>
          <w:b/>
          <w:lang w:val="uk-UA"/>
        </w:rPr>
        <w:t>29 жовтня</w:t>
      </w:r>
      <w:r w:rsidRPr="006E2F47">
        <w:rPr>
          <w:rFonts w:ascii="Calibri" w:hAnsi="Calibri" w:cs="Calibri"/>
          <w:b/>
          <w:lang w:val="uk-UA"/>
        </w:rPr>
        <w:t xml:space="preserve"> 2021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14:paraId="2A47DF93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color w:val="FF0000"/>
          <w:lang w:val="uk-UA"/>
        </w:rPr>
      </w:pPr>
    </w:p>
    <w:p w14:paraId="2258DBA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EE5F11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</w:rPr>
      </w:pPr>
    </w:p>
    <w:p w14:paraId="64C1F62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1D57B00" w14:textId="157B3515" w:rsidR="00DF3663" w:rsidRPr="00037463" w:rsidRDefault="00DF3663" w:rsidP="007454B4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5"/>
  </w:num>
  <w:num w:numId="18">
    <w:abstractNumId w:val="24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3"/>
  </w:num>
  <w:num w:numId="26">
    <w:abstractNumId w:val="20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F3143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67E"/>
    <w:rsid w:val="0045499D"/>
    <w:rsid w:val="00470591"/>
    <w:rsid w:val="0047613C"/>
    <w:rsid w:val="00485CCD"/>
    <w:rsid w:val="004A01B4"/>
    <w:rsid w:val="004A5D74"/>
    <w:rsid w:val="004B6381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E257D"/>
    <w:rsid w:val="006E2F47"/>
    <w:rsid w:val="00714A87"/>
    <w:rsid w:val="007316EA"/>
    <w:rsid w:val="007454B4"/>
    <w:rsid w:val="00750AF2"/>
    <w:rsid w:val="0075683B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97284"/>
    <w:rsid w:val="00EB60E5"/>
    <w:rsid w:val="00EF03AD"/>
    <w:rsid w:val="00EF328F"/>
    <w:rsid w:val="00F0461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2AC3-8E45-4407-BF7D-BC591164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2477</Words>
  <Characters>1413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6</cp:revision>
  <cp:lastPrinted>2017-08-19T07:19:00Z</cp:lastPrinted>
  <dcterms:created xsi:type="dcterms:W3CDTF">2021-04-09T07:43:00Z</dcterms:created>
  <dcterms:modified xsi:type="dcterms:W3CDTF">2021-10-13T12:24:00Z</dcterms:modified>
</cp:coreProperties>
</file>