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7F" w:rsidRPr="00ED35A9" w:rsidRDefault="004B5B7F" w:rsidP="00850C2F">
      <w:pPr>
        <w:ind w:firstLine="0"/>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7E0471" w:rsidP="007E0471">
      <w:pPr>
        <w:ind w:firstLine="0"/>
        <w:jc w:val="center"/>
        <w:rPr>
          <w:rFonts w:cs="Times New Roman"/>
          <w:b/>
          <w:szCs w:val="28"/>
          <w:lang w:val="uk-UA"/>
        </w:rPr>
      </w:pPr>
      <w:bookmarkStart w:id="0" w:name="_GoBack"/>
      <w:r w:rsidRPr="00ED35A9">
        <w:rPr>
          <w:rFonts w:cs="Times New Roman"/>
          <w:b/>
          <w:szCs w:val="28"/>
          <w:lang w:val="uk-UA"/>
        </w:rPr>
        <w:t>Клінічний протокол</w:t>
      </w:r>
      <w:r w:rsidRPr="00ED35A9">
        <w:rPr>
          <w:rFonts w:cs="Times New Roman"/>
          <w:b/>
          <w:szCs w:val="28"/>
          <w:lang w:val="uk-UA"/>
        </w:rPr>
        <w:br/>
        <w:t xml:space="preserve">з лікування </w:t>
      </w:r>
      <w:r w:rsidR="004B5B7F" w:rsidRPr="00ED35A9">
        <w:rPr>
          <w:rFonts w:cs="Times New Roman"/>
          <w:b/>
          <w:szCs w:val="28"/>
          <w:lang w:val="uk-UA"/>
        </w:rPr>
        <w:t>лікарсько-стійкого туберкульозу</w:t>
      </w:r>
    </w:p>
    <w:bookmarkEnd w:id="0"/>
    <w:p w:rsidR="004B5B7F" w:rsidRPr="00ED35A9" w:rsidRDefault="004B5B7F" w:rsidP="000E0B10">
      <w:pPr>
        <w:rPr>
          <w:rFonts w:cs="Times New Roman"/>
          <w:b/>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pPr>
      <w:r w:rsidRPr="00ED35A9">
        <w:rPr>
          <w:rFonts w:cs="Times New Roman"/>
          <w:szCs w:val="28"/>
          <w:lang w:val="uk-UA"/>
        </w:rPr>
        <w:t>Цей документ є перекладом «Зведеної настанови з лікування лікарсько-стійкого туберкульозу» (2019 р.), розробленої Всесвітньою організацією охорони здоров’я.</w:t>
      </w:r>
    </w:p>
    <w:p w:rsidR="004B5B7F" w:rsidRPr="00ED35A9" w:rsidRDefault="004B5B7F" w:rsidP="000E0B10">
      <w:pPr>
        <w:rPr>
          <w:rFonts w:cs="Times New Roman"/>
          <w:szCs w:val="28"/>
          <w:lang w:val="uk-UA"/>
        </w:rPr>
      </w:pPr>
      <w:r w:rsidRPr="00ED35A9">
        <w:rPr>
          <w:rFonts w:cs="Times New Roman"/>
          <w:szCs w:val="28"/>
          <w:lang w:val="uk-UA"/>
        </w:rPr>
        <w:t>Цей переклад не є офіційним перекладом Всесвітньої організації охорони здоров’я.</w:t>
      </w:r>
    </w:p>
    <w:p w:rsidR="004B5B7F" w:rsidRPr="00ED35A9" w:rsidRDefault="004B5B7F" w:rsidP="000E0B10">
      <w:pPr>
        <w:rPr>
          <w:rFonts w:cs="Times New Roman"/>
          <w:szCs w:val="28"/>
          <w:lang w:val="uk-UA"/>
        </w:rPr>
      </w:pPr>
      <w:r w:rsidRPr="00ED35A9">
        <w:rPr>
          <w:rFonts w:cs="Times New Roman"/>
          <w:szCs w:val="28"/>
          <w:lang w:val="uk-UA"/>
        </w:rPr>
        <w:t xml:space="preserve">Всесвітня організація охорони здоров’я не несе відповідальності за зміст і точність цього перекладу. </w:t>
      </w:r>
    </w:p>
    <w:p w:rsidR="004B5B7F" w:rsidRPr="00ED35A9" w:rsidRDefault="004B5B7F" w:rsidP="000E0B10">
      <w:pPr>
        <w:rPr>
          <w:rFonts w:cs="Times New Roman"/>
          <w:szCs w:val="28"/>
          <w:lang w:val="uk-UA"/>
        </w:rPr>
      </w:pPr>
      <w:r w:rsidRPr="00ED35A9">
        <w:rPr>
          <w:rFonts w:cs="Times New Roman"/>
          <w:szCs w:val="28"/>
          <w:lang w:val="uk-UA"/>
        </w:rPr>
        <w:t>Оригінальне видання англійською мовою є автентичним виданням.</w:t>
      </w:r>
    </w:p>
    <w:p w:rsidR="004B5B7F" w:rsidRPr="00ED35A9" w:rsidRDefault="004B5B7F" w:rsidP="000E0B10">
      <w:pPr>
        <w:rPr>
          <w:rFonts w:cs="Times New Roman"/>
          <w:szCs w:val="28"/>
          <w:lang w:val="uk-UA"/>
        </w:rPr>
      </w:pPr>
      <w:r w:rsidRPr="00ED35A9">
        <w:rPr>
          <w:rFonts w:cs="Times New Roman"/>
          <w:szCs w:val="28"/>
          <w:lang w:val="uk-UA"/>
        </w:rPr>
        <w:br w:type="page"/>
      </w:r>
    </w:p>
    <w:bookmarkStart w:id="1" w:name="_Toc417570562" w:displacedByCustomXml="next"/>
    <w:bookmarkStart w:id="2" w:name="bookmark1" w:displacedByCustomXml="next"/>
    <w:sdt>
      <w:sdtPr>
        <w:rPr>
          <w:rFonts w:ascii="Times New Roman" w:eastAsiaTheme="minorHAnsi" w:hAnsi="Times New Roman" w:cstheme="minorBidi"/>
          <w:b w:val="0"/>
          <w:bCs w:val="0"/>
          <w:color w:val="auto"/>
          <w:szCs w:val="22"/>
          <w:lang w:val="ru-RU" w:eastAsia="en-US"/>
        </w:rPr>
        <w:id w:val="1106768136"/>
        <w:docPartObj>
          <w:docPartGallery w:val="Table of Contents"/>
          <w:docPartUnique/>
        </w:docPartObj>
      </w:sdtPr>
      <w:sdtEndPr/>
      <w:sdtContent>
        <w:p w:rsidR="001D0386" w:rsidRPr="00ED35A9" w:rsidRDefault="001D0386" w:rsidP="00ED35A9">
          <w:pPr>
            <w:pStyle w:val="af0"/>
            <w:jc w:val="center"/>
            <w:rPr>
              <w:rFonts w:ascii="Times New Roman" w:hAnsi="Times New Roman" w:cs="Times New Roman"/>
              <w:color w:val="auto"/>
            </w:rPr>
          </w:pPr>
          <w:r w:rsidRPr="00ED35A9">
            <w:rPr>
              <w:rFonts w:ascii="Times New Roman" w:hAnsi="Times New Roman" w:cs="Times New Roman"/>
              <w:color w:val="auto"/>
            </w:rPr>
            <w:t>ЗМІСТ</w:t>
          </w:r>
        </w:p>
        <w:p w:rsidR="001D0386" w:rsidRPr="00ED35A9" w:rsidRDefault="001D0386" w:rsidP="00CC0FB1">
          <w:pPr>
            <w:pStyle w:val="11"/>
          </w:pPr>
          <w:r w:rsidRPr="00ED35A9">
            <w:fldChar w:fldCharType="begin"/>
          </w:r>
          <w:r w:rsidRPr="00ED35A9">
            <w:instrText xml:space="preserve"> TOC \o "1-3" \h \z \u </w:instrText>
          </w:r>
          <w:r w:rsidRPr="00ED35A9">
            <w:fldChar w:fldCharType="separate"/>
          </w:r>
          <w:hyperlink w:anchor="_Toc18416315" w:history="1">
            <w:r w:rsidRPr="00ED35A9">
              <w:rPr>
                <w:rStyle w:val="a9"/>
                <w:b/>
                <w:color w:val="auto"/>
              </w:rPr>
              <w:t>ПЕРЕЛІК УМОВНИХ ПОЗНАЧЕНЬ ТА СКОРОЧЕНЬ</w:t>
            </w:r>
            <w:r w:rsidRPr="00ED35A9">
              <w:rPr>
                <w:b/>
                <w:webHidden/>
              </w:rPr>
              <w:tab/>
            </w:r>
            <w:r w:rsidRPr="00ED35A9">
              <w:rPr>
                <w:b/>
                <w:webHidden/>
              </w:rPr>
              <w:fldChar w:fldCharType="begin"/>
            </w:r>
            <w:r w:rsidRPr="00ED35A9">
              <w:rPr>
                <w:b/>
                <w:webHidden/>
              </w:rPr>
              <w:instrText xml:space="preserve"> PAGEREF _Toc18416315 \h </w:instrText>
            </w:r>
            <w:r w:rsidRPr="00ED35A9">
              <w:rPr>
                <w:b/>
                <w:webHidden/>
              </w:rPr>
            </w:r>
            <w:r w:rsidRPr="00ED35A9">
              <w:rPr>
                <w:b/>
                <w:webHidden/>
              </w:rPr>
              <w:fldChar w:fldCharType="separate"/>
            </w:r>
            <w:r w:rsidR="006E1486">
              <w:rPr>
                <w:b/>
                <w:webHidden/>
              </w:rPr>
              <w:t>4</w:t>
            </w:r>
            <w:r w:rsidRPr="00ED35A9">
              <w:rPr>
                <w:b/>
                <w:webHidden/>
              </w:rPr>
              <w:fldChar w:fldCharType="end"/>
            </w:r>
          </w:hyperlink>
        </w:p>
        <w:p w:rsidR="001D0386" w:rsidRPr="00ED35A9" w:rsidRDefault="001F75F0" w:rsidP="00CC0FB1">
          <w:pPr>
            <w:pStyle w:val="11"/>
          </w:pPr>
          <w:hyperlink w:anchor="_Toc18416316" w:history="1">
            <w:r w:rsidR="001D0386" w:rsidRPr="00ED35A9">
              <w:rPr>
                <w:rStyle w:val="a9"/>
                <w:b/>
                <w:color w:val="auto"/>
              </w:rPr>
              <w:t>ВИЗНАЧЕННЯ ОСНОВНИХ ТЕРМІНІВ</w:t>
            </w:r>
            <w:r w:rsidR="001D0386" w:rsidRPr="00ED35A9">
              <w:rPr>
                <w:b/>
                <w:webHidden/>
              </w:rPr>
              <w:tab/>
            </w:r>
            <w:r w:rsidR="001D0386" w:rsidRPr="00ED35A9">
              <w:rPr>
                <w:b/>
                <w:webHidden/>
              </w:rPr>
              <w:fldChar w:fldCharType="begin"/>
            </w:r>
            <w:r w:rsidR="001D0386" w:rsidRPr="00ED35A9">
              <w:rPr>
                <w:b/>
                <w:webHidden/>
              </w:rPr>
              <w:instrText xml:space="preserve"> PAGEREF _Toc18416316 \h </w:instrText>
            </w:r>
            <w:r w:rsidR="001D0386" w:rsidRPr="00ED35A9">
              <w:rPr>
                <w:b/>
                <w:webHidden/>
              </w:rPr>
            </w:r>
            <w:r w:rsidR="001D0386" w:rsidRPr="00ED35A9">
              <w:rPr>
                <w:b/>
                <w:webHidden/>
              </w:rPr>
              <w:fldChar w:fldCharType="separate"/>
            </w:r>
            <w:r w:rsidR="006E1486">
              <w:rPr>
                <w:b/>
                <w:webHidden/>
              </w:rPr>
              <w:t>7</w:t>
            </w:r>
            <w:r w:rsidR="001D0386" w:rsidRPr="00ED35A9">
              <w:rPr>
                <w:b/>
                <w:webHidden/>
              </w:rPr>
              <w:fldChar w:fldCharType="end"/>
            </w:r>
          </w:hyperlink>
        </w:p>
        <w:p w:rsidR="001D0386" w:rsidRPr="00ED35A9" w:rsidRDefault="001F75F0" w:rsidP="00CC0FB1">
          <w:pPr>
            <w:pStyle w:val="11"/>
          </w:pPr>
          <w:hyperlink w:anchor="_Toc18416317" w:history="1">
            <w:r w:rsidR="001D0386" w:rsidRPr="00ED35A9">
              <w:rPr>
                <w:rStyle w:val="a9"/>
                <w:b/>
                <w:color w:val="auto"/>
              </w:rPr>
              <w:t>КОРОТКИЙ ОГЛЯД</w:t>
            </w:r>
            <w:r w:rsidR="001D0386" w:rsidRPr="00ED35A9">
              <w:rPr>
                <w:b/>
                <w:webHidden/>
              </w:rPr>
              <w:tab/>
            </w:r>
            <w:r w:rsidR="001D0386" w:rsidRPr="00ED35A9">
              <w:rPr>
                <w:b/>
                <w:webHidden/>
              </w:rPr>
              <w:fldChar w:fldCharType="begin"/>
            </w:r>
            <w:r w:rsidR="001D0386" w:rsidRPr="00ED35A9">
              <w:rPr>
                <w:b/>
                <w:webHidden/>
              </w:rPr>
              <w:instrText xml:space="preserve"> PAGEREF _Toc18416317 \h </w:instrText>
            </w:r>
            <w:r w:rsidR="001D0386" w:rsidRPr="00ED35A9">
              <w:rPr>
                <w:b/>
                <w:webHidden/>
              </w:rPr>
            </w:r>
            <w:r w:rsidR="001D0386" w:rsidRPr="00ED35A9">
              <w:rPr>
                <w:b/>
                <w:webHidden/>
              </w:rPr>
              <w:fldChar w:fldCharType="separate"/>
            </w:r>
            <w:r w:rsidR="006E1486">
              <w:rPr>
                <w:b/>
                <w:webHidden/>
              </w:rPr>
              <w:t>10</w:t>
            </w:r>
            <w:r w:rsidR="001D0386" w:rsidRPr="00ED35A9">
              <w:rPr>
                <w:b/>
                <w:webHidden/>
              </w:rPr>
              <w:fldChar w:fldCharType="end"/>
            </w:r>
          </w:hyperlink>
        </w:p>
        <w:p w:rsidR="001D0386" w:rsidRPr="00ED35A9" w:rsidRDefault="001F75F0" w:rsidP="00CC0FB1">
          <w:pPr>
            <w:pStyle w:val="11"/>
          </w:pPr>
          <w:hyperlink w:anchor="_Toc18416318" w:history="1">
            <w:r w:rsidR="001D0386" w:rsidRPr="00ED35A9">
              <w:rPr>
                <w:rStyle w:val="a9"/>
                <w:b/>
                <w:color w:val="auto"/>
              </w:rPr>
              <w:t>РЕКОМЕНДАЦІЇ ТА КОМЕНТАРІ</w:t>
            </w:r>
            <w:r w:rsidR="001D0386" w:rsidRPr="00ED35A9">
              <w:rPr>
                <w:b/>
                <w:webHidden/>
              </w:rPr>
              <w:tab/>
            </w:r>
            <w:r w:rsidR="001D0386" w:rsidRPr="00ED35A9">
              <w:rPr>
                <w:b/>
                <w:webHidden/>
              </w:rPr>
              <w:fldChar w:fldCharType="begin"/>
            </w:r>
            <w:r w:rsidR="001D0386" w:rsidRPr="00ED35A9">
              <w:rPr>
                <w:b/>
                <w:webHidden/>
              </w:rPr>
              <w:instrText xml:space="preserve"> PAGEREF _Toc18416318 \h </w:instrText>
            </w:r>
            <w:r w:rsidR="001D0386" w:rsidRPr="00ED35A9">
              <w:rPr>
                <w:b/>
                <w:webHidden/>
              </w:rPr>
            </w:r>
            <w:r w:rsidR="001D0386" w:rsidRPr="00ED35A9">
              <w:rPr>
                <w:b/>
                <w:webHidden/>
              </w:rPr>
              <w:fldChar w:fldCharType="separate"/>
            </w:r>
            <w:r w:rsidR="006E1486">
              <w:rPr>
                <w:b/>
                <w:webHidden/>
              </w:rPr>
              <w:t>18</w:t>
            </w:r>
            <w:r w:rsidR="001D0386" w:rsidRPr="00ED35A9">
              <w:rPr>
                <w:b/>
                <w:webHidden/>
              </w:rPr>
              <w:fldChar w:fldCharType="end"/>
            </w:r>
          </w:hyperlink>
        </w:p>
        <w:p w:rsidR="001D0386" w:rsidRPr="00ED35A9" w:rsidRDefault="001F75F0" w:rsidP="00CC0FB1">
          <w:pPr>
            <w:pStyle w:val="23"/>
            <w:jc w:val="left"/>
            <w:rPr>
              <w:noProof/>
              <w:lang w:val="uk-UA"/>
            </w:rPr>
          </w:pPr>
          <w:hyperlink w:anchor="_Toc18416319" w:history="1">
            <w:r w:rsidR="001D0386" w:rsidRPr="00ED35A9">
              <w:rPr>
                <w:rStyle w:val="a9"/>
                <w:rFonts w:cs="Times New Roman"/>
                <w:noProof/>
                <w:color w:val="auto"/>
                <w:lang w:val="uk-UA"/>
              </w:rPr>
              <w:t>Розділ 1. Схеми для лікування ізоніазид-резистентного</w:t>
            </w:r>
            <w:r w:rsidR="00CC0FB1" w:rsidRPr="00ED35A9">
              <w:rPr>
                <w:rStyle w:val="a9"/>
                <w:rFonts w:cs="Times New Roman"/>
                <w:noProof/>
                <w:color w:val="auto"/>
                <w:lang w:val="uk-UA"/>
              </w:rPr>
              <w:br/>
            </w:r>
            <w:r w:rsidR="001D0386" w:rsidRPr="00ED35A9">
              <w:rPr>
                <w:rStyle w:val="a9"/>
                <w:rFonts w:cs="Times New Roman"/>
                <w:noProof/>
                <w:color w:val="auto"/>
                <w:lang w:val="uk-UA"/>
              </w:rPr>
              <w:t>туберкульозу</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_Toc18416319 \h </w:instrText>
            </w:r>
            <w:r w:rsidR="001D0386" w:rsidRPr="00ED35A9">
              <w:rPr>
                <w:noProof/>
                <w:webHidden/>
                <w:lang w:val="uk-UA"/>
              </w:rPr>
            </w:r>
            <w:r w:rsidR="001D0386" w:rsidRPr="00ED35A9">
              <w:rPr>
                <w:noProof/>
                <w:webHidden/>
                <w:lang w:val="uk-UA"/>
              </w:rPr>
              <w:fldChar w:fldCharType="separate"/>
            </w:r>
            <w:r w:rsidR="006E1486">
              <w:rPr>
                <w:noProof/>
                <w:webHidden/>
                <w:lang w:val="uk-UA"/>
              </w:rPr>
              <w:t>18</w:t>
            </w:r>
            <w:r w:rsidR="001D0386" w:rsidRPr="00ED35A9">
              <w:rPr>
                <w:noProof/>
                <w:webHidden/>
                <w:lang w:val="uk-UA"/>
              </w:rPr>
              <w:fldChar w:fldCharType="end"/>
            </w:r>
          </w:hyperlink>
        </w:p>
        <w:p w:rsidR="001D0386" w:rsidRPr="00ED35A9" w:rsidRDefault="001F75F0" w:rsidP="00CC0FB1">
          <w:pPr>
            <w:pStyle w:val="23"/>
            <w:jc w:val="left"/>
            <w:rPr>
              <w:noProof/>
              <w:lang w:val="uk-UA"/>
            </w:rPr>
          </w:pPr>
          <w:hyperlink w:anchor="_Toc18416320" w:history="1">
            <w:r w:rsidR="001D0386" w:rsidRPr="00ED35A9">
              <w:rPr>
                <w:rStyle w:val="a9"/>
                <w:rFonts w:cs="Times New Roman"/>
                <w:noProof/>
                <w:color w:val="auto"/>
                <w:lang w:val="uk-UA"/>
              </w:rPr>
              <w:t xml:space="preserve">Розділ 2. Склад довгострокових схем лікування </w:t>
            </w:r>
            <w:r w:rsidR="00CC0FB1" w:rsidRPr="00ED35A9">
              <w:rPr>
                <w:rStyle w:val="a9"/>
                <w:rFonts w:cs="Times New Roman"/>
                <w:noProof/>
                <w:color w:val="auto"/>
                <w:lang w:val="uk-UA"/>
              </w:rPr>
              <w:br/>
            </w:r>
            <w:r w:rsidR="001D0386" w:rsidRPr="00ED35A9">
              <w:rPr>
                <w:rStyle w:val="a9"/>
                <w:rFonts w:cs="Times New Roman"/>
                <w:noProof/>
                <w:color w:val="auto"/>
                <w:lang w:val="uk-UA"/>
              </w:rPr>
              <w:t>мультирезистентного туберкульозу</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_Toc18416320 \h </w:instrText>
            </w:r>
            <w:r w:rsidR="001D0386" w:rsidRPr="00ED35A9">
              <w:rPr>
                <w:noProof/>
                <w:webHidden/>
                <w:lang w:val="uk-UA"/>
              </w:rPr>
            </w:r>
            <w:r w:rsidR="001D0386" w:rsidRPr="00ED35A9">
              <w:rPr>
                <w:noProof/>
                <w:webHidden/>
                <w:lang w:val="uk-UA"/>
              </w:rPr>
              <w:fldChar w:fldCharType="separate"/>
            </w:r>
            <w:r w:rsidR="006E1486">
              <w:rPr>
                <w:noProof/>
                <w:webHidden/>
                <w:lang w:val="uk-UA"/>
              </w:rPr>
              <w:t>30</w:t>
            </w:r>
            <w:r w:rsidR="001D0386" w:rsidRPr="00ED35A9">
              <w:rPr>
                <w:noProof/>
                <w:webHidden/>
                <w:lang w:val="uk-UA"/>
              </w:rPr>
              <w:fldChar w:fldCharType="end"/>
            </w:r>
          </w:hyperlink>
        </w:p>
        <w:p w:rsidR="001D0386" w:rsidRPr="00ED35A9" w:rsidRDefault="001F75F0" w:rsidP="00CC0FB1">
          <w:pPr>
            <w:pStyle w:val="23"/>
            <w:jc w:val="left"/>
            <w:rPr>
              <w:noProof/>
              <w:lang w:val="uk-UA"/>
            </w:rPr>
          </w:pPr>
          <w:hyperlink w:anchor="_Toc18416321" w:history="1">
            <w:r w:rsidR="001D0386" w:rsidRPr="00ED35A9">
              <w:rPr>
                <w:rStyle w:val="a9"/>
                <w:rFonts w:cs="Times New Roman"/>
                <w:noProof/>
                <w:color w:val="auto"/>
                <w:lang w:val="uk-UA"/>
              </w:rPr>
              <w:t>Розділ 3. Тривалість довгострокових схем лікування</w:t>
            </w:r>
            <w:r w:rsidR="00CC0FB1" w:rsidRPr="00ED35A9">
              <w:rPr>
                <w:rStyle w:val="a9"/>
                <w:rFonts w:cs="Times New Roman"/>
                <w:noProof/>
                <w:color w:val="auto"/>
                <w:lang w:val="uk-UA"/>
              </w:rPr>
              <w:br/>
            </w:r>
            <w:r w:rsidR="001D0386" w:rsidRPr="00ED35A9">
              <w:rPr>
                <w:rStyle w:val="a9"/>
                <w:rFonts w:cs="Times New Roman"/>
                <w:noProof/>
                <w:color w:val="auto"/>
                <w:lang w:val="uk-UA"/>
              </w:rPr>
              <w:t>мультирезистентного туберкульозу</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_Toc18416321 \h </w:instrText>
            </w:r>
            <w:r w:rsidR="001D0386" w:rsidRPr="00ED35A9">
              <w:rPr>
                <w:noProof/>
                <w:webHidden/>
                <w:lang w:val="uk-UA"/>
              </w:rPr>
            </w:r>
            <w:r w:rsidR="001D0386" w:rsidRPr="00ED35A9">
              <w:rPr>
                <w:noProof/>
                <w:webHidden/>
                <w:lang w:val="uk-UA"/>
              </w:rPr>
              <w:fldChar w:fldCharType="separate"/>
            </w:r>
            <w:r w:rsidR="006E1486">
              <w:rPr>
                <w:noProof/>
                <w:webHidden/>
                <w:lang w:val="uk-UA"/>
              </w:rPr>
              <w:t>48</w:t>
            </w:r>
            <w:r w:rsidR="001D0386" w:rsidRPr="00ED35A9">
              <w:rPr>
                <w:noProof/>
                <w:webHidden/>
                <w:lang w:val="uk-UA"/>
              </w:rPr>
              <w:fldChar w:fldCharType="end"/>
            </w:r>
          </w:hyperlink>
        </w:p>
        <w:p w:rsidR="001D0386" w:rsidRPr="00ED35A9" w:rsidRDefault="001F75F0" w:rsidP="00CC0FB1">
          <w:pPr>
            <w:pStyle w:val="23"/>
            <w:jc w:val="left"/>
            <w:rPr>
              <w:noProof/>
              <w:lang w:val="uk-UA"/>
            </w:rPr>
          </w:pPr>
          <w:hyperlink w:anchor="_Toc18416322" w:history="1">
            <w:r w:rsidR="001D0386" w:rsidRPr="00ED35A9">
              <w:rPr>
                <w:rStyle w:val="a9"/>
                <w:rFonts w:cs="Times New Roman"/>
                <w:noProof/>
                <w:color w:val="auto"/>
                <w:lang w:val="uk-UA"/>
              </w:rPr>
              <w:t>Розділ 4. Застосування стандартизованої короткострокової схеми лікування мультирезистентного туберкульозу</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_Toc18416322 \h </w:instrText>
            </w:r>
            <w:r w:rsidR="001D0386" w:rsidRPr="00ED35A9">
              <w:rPr>
                <w:noProof/>
                <w:webHidden/>
                <w:lang w:val="uk-UA"/>
              </w:rPr>
            </w:r>
            <w:r w:rsidR="001D0386" w:rsidRPr="00ED35A9">
              <w:rPr>
                <w:noProof/>
                <w:webHidden/>
                <w:lang w:val="uk-UA"/>
              </w:rPr>
              <w:fldChar w:fldCharType="separate"/>
            </w:r>
            <w:r w:rsidR="006E1486">
              <w:rPr>
                <w:noProof/>
                <w:webHidden/>
                <w:lang w:val="uk-UA"/>
              </w:rPr>
              <w:t>54</w:t>
            </w:r>
            <w:r w:rsidR="001D0386" w:rsidRPr="00ED35A9">
              <w:rPr>
                <w:noProof/>
                <w:webHidden/>
                <w:lang w:val="uk-UA"/>
              </w:rPr>
              <w:fldChar w:fldCharType="end"/>
            </w:r>
          </w:hyperlink>
        </w:p>
        <w:p w:rsidR="001D0386" w:rsidRPr="00ED35A9" w:rsidRDefault="001F75F0" w:rsidP="00CC0FB1">
          <w:pPr>
            <w:pStyle w:val="23"/>
            <w:jc w:val="left"/>
            <w:rPr>
              <w:noProof/>
              <w:lang w:val="uk-UA"/>
            </w:rPr>
          </w:pPr>
          <w:hyperlink w:anchor="_Toc18416323" w:history="1">
            <w:r w:rsidR="001D0386" w:rsidRPr="00ED35A9">
              <w:rPr>
                <w:rStyle w:val="a9"/>
                <w:rFonts w:cs="Times New Roman"/>
                <w:noProof/>
                <w:color w:val="auto"/>
                <w:lang w:val="uk-UA"/>
              </w:rPr>
              <w:t>Розділ 5. Моніторин</w:t>
            </w:r>
            <w:r w:rsidR="00CC0FB1" w:rsidRPr="00ED35A9">
              <w:rPr>
                <w:rStyle w:val="a9"/>
                <w:rFonts w:cs="Times New Roman"/>
                <w:noProof/>
                <w:color w:val="auto"/>
                <w:lang w:val="uk-UA"/>
              </w:rPr>
              <w:t>г реакції пацієнта на лікування</w:t>
            </w:r>
            <w:r w:rsidR="00CC0FB1" w:rsidRPr="00ED35A9">
              <w:rPr>
                <w:rStyle w:val="a9"/>
                <w:rFonts w:cs="Times New Roman"/>
                <w:noProof/>
                <w:color w:val="auto"/>
                <w:lang w:val="uk-UA"/>
              </w:rPr>
              <w:br/>
            </w:r>
            <w:r w:rsidR="001D0386" w:rsidRPr="00ED35A9">
              <w:rPr>
                <w:rStyle w:val="a9"/>
                <w:rFonts w:cs="Times New Roman"/>
                <w:noProof/>
                <w:color w:val="auto"/>
                <w:lang w:val="uk-UA"/>
              </w:rPr>
              <w:t xml:space="preserve">мультирезистентного туберкульозу із застосуванням </w:t>
            </w:r>
            <w:r w:rsidR="00CC0FB1" w:rsidRPr="00ED35A9">
              <w:rPr>
                <w:rStyle w:val="a9"/>
                <w:rFonts w:cs="Times New Roman"/>
                <w:noProof/>
                <w:color w:val="auto"/>
                <w:lang w:val="uk-UA"/>
              </w:rPr>
              <w:br/>
            </w:r>
            <w:r w:rsidR="001D0386" w:rsidRPr="00ED35A9">
              <w:rPr>
                <w:rStyle w:val="a9"/>
                <w:rFonts w:cs="Times New Roman"/>
                <w:noProof/>
                <w:color w:val="auto"/>
                <w:lang w:val="uk-UA"/>
              </w:rPr>
              <w:t>культурального дослідження</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_Toc18416323 \h </w:instrText>
            </w:r>
            <w:r w:rsidR="001D0386" w:rsidRPr="00ED35A9">
              <w:rPr>
                <w:noProof/>
                <w:webHidden/>
                <w:lang w:val="uk-UA"/>
              </w:rPr>
            </w:r>
            <w:r w:rsidR="001D0386" w:rsidRPr="00ED35A9">
              <w:rPr>
                <w:noProof/>
                <w:webHidden/>
                <w:lang w:val="uk-UA"/>
              </w:rPr>
              <w:fldChar w:fldCharType="separate"/>
            </w:r>
            <w:r w:rsidR="006E1486">
              <w:rPr>
                <w:noProof/>
                <w:webHidden/>
                <w:lang w:val="uk-UA"/>
              </w:rPr>
              <w:t>65</w:t>
            </w:r>
            <w:r w:rsidR="001D0386" w:rsidRPr="00ED35A9">
              <w:rPr>
                <w:noProof/>
                <w:webHidden/>
                <w:lang w:val="uk-UA"/>
              </w:rPr>
              <w:fldChar w:fldCharType="end"/>
            </w:r>
          </w:hyperlink>
        </w:p>
        <w:p w:rsidR="001D0386" w:rsidRPr="00ED35A9" w:rsidRDefault="001F75F0" w:rsidP="00CC0FB1">
          <w:pPr>
            <w:pStyle w:val="23"/>
            <w:jc w:val="left"/>
            <w:rPr>
              <w:noProof/>
              <w:lang w:val="uk-UA"/>
            </w:rPr>
          </w:pPr>
          <w:hyperlink w:anchor="_Toc18416324" w:history="1">
            <w:r w:rsidR="001D0386" w:rsidRPr="00ED35A9">
              <w:rPr>
                <w:rStyle w:val="a9"/>
                <w:rFonts w:cs="Times New Roman"/>
                <w:noProof/>
                <w:color w:val="auto"/>
                <w:lang w:val="uk-UA"/>
              </w:rPr>
              <w:t>Розділ 6. Початок антиретровірусної терапії у пацієнтів на схемах протитуберкульозних препаратів другого ряду</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_Toc18416324 \h </w:instrText>
            </w:r>
            <w:r w:rsidR="001D0386" w:rsidRPr="00ED35A9">
              <w:rPr>
                <w:noProof/>
                <w:webHidden/>
                <w:lang w:val="uk-UA"/>
              </w:rPr>
            </w:r>
            <w:r w:rsidR="001D0386" w:rsidRPr="00ED35A9">
              <w:rPr>
                <w:noProof/>
                <w:webHidden/>
                <w:lang w:val="uk-UA"/>
              </w:rPr>
              <w:fldChar w:fldCharType="separate"/>
            </w:r>
            <w:r w:rsidR="006E1486">
              <w:rPr>
                <w:noProof/>
                <w:webHidden/>
                <w:lang w:val="uk-UA"/>
              </w:rPr>
              <w:t>71</w:t>
            </w:r>
            <w:r w:rsidR="001D0386" w:rsidRPr="00ED35A9">
              <w:rPr>
                <w:noProof/>
                <w:webHidden/>
                <w:lang w:val="uk-UA"/>
              </w:rPr>
              <w:fldChar w:fldCharType="end"/>
            </w:r>
          </w:hyperlink>
        </w:p>
        <w:p w:rsidR="001D0386" w:rsidRPr="00ED35A9" w:rsidRDefault="001F75F0" w:rsidP="00CC0FB1">
          <w:pPr>
            <w:pStyle w:val="23"/>
            <w:jc w:val="left"/>
            <w:rPr>
              <w:noProof/>
              <w:lang w:val="uk-UA"/>
            </w:rPr>
          </w:pPr>
          <w:hyperlink w:anchor="_Toc18416325" w:history="1">
            <w:r w:rsidR="001D0386" w:rsidRPr="00ED35A9">
              <w:rPr>
                <w:rStyle w:val="a9"/>
                <w:rFonts w:cs="Times New Roman"/>
                <w:noProof/>
                <w:color w:val="auto"/>
                <w:lang w:val="uk-UA"/>
              </w:rPr>
              <w:t>Розділ 7. Хірургічні втручання у пацієнтів з мультирезистентним туберкульозом</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_Toc18416325 \h </w:instrText>
            </w:r>
            <w:r w:rsidR="001D0386" w:rsidRPr="00ED35A9">
              <w:rPr>
                <w:noProof/>
                <w:webHidden/>
                <w:lang w:val="uk-UA"/>
              </w:rPr>
            </w:r>
            <w:r w:rsidR="001D0386" w:rsidRPr="00ED35A9">
              <w:rPr>
                <w:noProof/>
                <w:webHidden/>
                <w:lang w:val="uk-UA"/>
              </w:rPr>
              <w:fldChar w:fldCharType="separate"/>
            </w:r>
            <w:r w:rsidR="006E1486">
              <w:rPr>
                <w:noProof/>
                <w:webHidden/>
                <w:lang w:val="uk-UA"/>
              </w:rPr>
              <w:t>73</w:t>
            </w:r>
            <w:r w:rsidR="001D0386" w:rsidRPr="00ED35A9">
              <w:rPr>
                <w:noProof/>
                <w:webHidden/>
                <w:lang w:val="uk-UA"/>
              </w:rPr>
              <w:fldChar w:fldCharType="end"/>
            </w:r>
          </w:hyperlink>
        </w:p>
        <w:p w:rsidR="001D0386" w:rsidRPr="00ED35A9" w:rsidRDefault="001F75F0" w:rsidP="00CC0FB1">
          <w:pPr>
            <w:pStyle w:val="23"/>
            <w:jc w:val="left"/>
            <w:rPr>
              <w:noProof/>
              <w:lang w:val="uk-UA"/>
            </w:rPr>
          </w:pPr>
          <w:hyperlink w:anchor="_Toc18416326" w:history="1">
            <w:r w:rsidR="001D0386" w:rsidRPr="00ED35A9">
              <w:rPr>
                <w:rStyle w:val="a9"/>
                <w:rFonts w:cs="Times New Roman"/>
                <w:noProof/>
                <w:color w:val="auto"/>
                <w:lang w:val="uk-UA"/>
              </w:rPr>
              <w:t>Розділ 8. Надання допомоги та підтримки пацієнтам з мультирезистентним/рифампіцин-резистентним туберкульозом</w:t>
            </w:r>
            <w:r w:rsidR="001D0386" w:rsidRPr="00ED35A9">
              <w:rPr>
                <w:noProof/>
                <w:webHidden/>
                <w:lang w:val="uk-UA"/>
              </w:rPr>
              <w:tab/>
            </w:r>
            <w:r w:rsidR="001D0386" w:rsidRPr="00ED35A9">
              <w:rPr>
                <w:noProof/>
                <w:webHidden/>
                <w:lang w:val="uk-UA"/>
              </w:rPr>
              <w:fldChar w:fldCharType="begin"/>
            </w:r>
            <w:r w:rsidR="001D0386" w:rsidRPr="00ED35A9">
              <w:rPr>
                <w:noProof/>
                <w:webHidden/>
                <w:lang w:val="uk-UA"/>
              </w:rPr>
              <w:instrText xml:space="preserve"> PAGEREF _Toc18416326 \h </w:instrText>
            </w:r>
            <w:r w:rsidR="001D0386" w:rsidRPr="00ED35A9">
              <w:rPr>
                <w:noProof/>
                <w:webHidden/>
                <w:lang w:val="uk-UA"/>
              </w:rPr>
            </w:r>
            <w:r w:rsidR="001D0386" w:rsidRPr="00ED35A9">
              <w:rPr>
                <w:noProof/>
                <w:webHidden/>
                <w:lang w:val="uk-UA"/>
              </w:rPr>
              <w:fldChar w:fldCharType="separate"/>
            </w:r>
            <w:r w:rsidR="006E1486">
              <w:rPr>
                <w:noProof/>
                <w:webHidden/>
                <w:lang w:val="uk-UA"/>
              </w:rPr>
              <w:t>75</w:t>
            </w:r>
            <w:r w:rsidR="001D0386" w:rsidRPr="00ED35A9">
              <w:rPr>
                <w:noProof/>
                <w:webHidden/>
                <w:lang w:val="uk-UA"/>
              </w:rPr>
              <w:fldChar w:fldCharType="end"/>
            </w:r>
          </w:hyperlink>
        </w:p>
        <w:p w:rsidR="001D0386" w:rsidRPr="00ED35A9" w:rsidRDefault="001F75F0" w:rsidP="00CC0FB1">
          <w:pPr>
            <w:pStyle w:val="11"/>
          </w:pPr>
          <w:hyperlink w:anchor="_Toc18416327" w:history="1">
            <w:r w:rsidR="00CC0FB1" w:rsidRPr="00ED35A9">
              <w:rPr>
                <w:rStyle w:val="a9"/>
                <w:b/>
                <w:color w:val="auto"/>
              </w:rPr>
              <w:t>ПРІОРИТЕТИ ДОСЛІДЖЕННЯ</w:t>
            </w:r>
            <w:r w:rsidR="001D0386" w:rsidRPr="00ED35A9">
              <w:rPr>
                <w:b/>
                <w:webHidden/>
              </w:rPr>
              <w:tab/>
            </w:r>
            <w:r w:rsidR="001D0386" w:rsidRPr="00ED35A9">
              <w:rPr>
                <w:b/>
                <w:webHidden/>
              </w:rPr>
              <w:fldChar w:fldCharType="begin"/>
            </w:r>
            <w:r w:rsidR="001D0386" w:rsidRPr="00ED35A9">
              <w:rPr>
                <w:b/>
                <w:webHidden/>
              </w:rPr>
              <w:instrText xml:space="preserve"> PAGEREF _Toc18416327 \h </w:instrText>
            </w:r>
            <w:r w:rsidR="001D0386" w:rsidRPr="00ED35A9">
              <w:rPr>
                <w:b/>
                <w:webHidden/>
              </w:rPr>
            </w:r>
            <w:r w:rsidR="001D0386" w:rsidRPr="00ED35A9">
              <w:rPr>
                <w:b/>
                <w:webHidden/>
              </w:rPr>
              <w:fldChar w:fldCharType="separate"/>
            </w:r>
            <w:r w:rsidR="006E1486">
              <w:rPr>
                <w:b/>
                <w:webHidden/>
              </w:rPr>
              <w:t>91</w:t>
            </w:r>
            <w:r w:rsidR="001D0386" w:rsidRPr="00ED35A9">
              <w:rPr>
                <w:b/>
                <w:webHidden/>
              </w:rPr>
              <w:fldChar w:fldCharType="end"/>
            </w:r>
          </w:hyperlink>
        </w:p>
        <w:p w:rsidR="001D0386" w:rsidRPr="00ED35A9" w:rsidRDefault="001F75F0" w:rsidP="00CC0FB1">
          <w:pPr>
            <w:pStyle w:val="11"/>
          </w:pPr>
          <w:hyperlink w:anchor="_Toc18416328" w:history="1">
            <w:r w:rsidR="00CC0FB1" w:rsidRPr="00ED35A9">
              <w:rPr>
                <w:rStyle w:val="a9"/>
                <w:b/>
                <w:color w:val="auto"/>
              </w:rPr>
              <w:t>ПОДЯКА</w:t>
            </w:r>
            <w:r w:rsidR="00CC0FB1" w:rsidRPr="00ED35A9">
              <w:rPr>
                <w:b/>
                <w:webHidden/>
              </w:rPr>
              <w:tab/>
            </w:r>
            <w:r w:rsidR="001D0386" w:rsidRPr="00ED35A9">
              <w:rPr>
                <w:b/>
                <w:webHidden/>
              </w:rPr>
              <w:fldChar w:fldCharType="begin"/>
            </w:r>
            <w:r w:rsidR="001D0386" w:rsidRPr="00ED35A9">
              <w:rPr>
                <w:b/>
                <w:webHidden/>
              </w:rPr>
              <w:instrText xml:space="preserve"> PAGEREF _Toc18416328 \h </w:instrText>
            </w:r>
            <w:r w:rsidR="001D0386" w:rsidRPr="00ED35A9">
              <w:rPr>
                <w:b/>
                <w:webHidden/>
              </w:rPr>
            </w:r>
            <w:r w:rsidR="001D0386" w:rsidRPr="00ED35A9">
              <w:rPr>
                <w:b/>
                <w:webHidden/>
              </w:rPr>
              <w:fldChar w:fldCharType="separate"/>
            </w:r>
            <w:r w:rsidR="006E1486">
              <w:rPr>
                <w:b/>
                <w:webHidden/>
              </w:rPr>
              <w:t>96</w:t>
            </w:r>
            <w:r w:rsidR="001D0386" w:rsidRPr="00ED35A9">
              <w:rPr>
                <w:b/>
                <w:webHidden/>
              </w:rPr>
              <w:fldChar w:fldCharType="end"/>
            </w:r>
          </w:hyperlink>
        </w:p>
        <w:p w:rsidR="001D0386" w:rsidRPr="00ED35A9" w:rsidRDefault="001F75F0" w:rsidP="00CC0FB1">
          <w:pPr>
            <w:pStyle w:val="11"/>
          </w:pPr>
          <w:hyperlink w:anchor="_Toc18416329" w:history="1">
            <w:r w:rsidR="001D0386" w:rsidRPr="00ED35A9">
              <w:rPr>
                <w:rStyle w:val="a9"/>
                <w:b/>
                <w:color w:val="auto"/>
              </w:rPr>
              <w:t>ЛІТЕРАТУРА</w:t>
            </w:r>
            <w:r w:rsidR="001D0386" w:rsidRPr="00ED35A9">
              <w:rPr>
                <w:b/>
                <w:webHidden/>
              </w:rPr>
              <w:tab/>
            </w:r>
            <w:r w:rsidR="001D0386" w:rsidRPr="00ED35A9">
              <w:rPr>
                <w:b/>
                <w:webHidden/>
              </w:rPr>
              <w:fldChar w:fldCharType="begin"/>
            </w:r>
            <w:r w:rsidR="001D0386" w:rsidRPr="00ED35A9">
              <w:rPr>
                <w:b/>
                <w:webHidden/>
              </w:rPr>
              <w:instrText xml:space="preserve"> PAGEREF _Toc18416329 \h </w:instrText>
            </w:r>
            <w:r w:rsidR="001D0386" w:rsidRPr="00ED35A9">
              <w:rPr>
                <w:b/>
                <w:webHidden/>
              </w:rPr>
            </w:r>
            <w:r w:rsidR="001D0386" w:rsidRPr="00ED35A9">
              <w:rPr>
                <w:b/>
                <w:webHidden/>
              </w:rPr>
              <w:fldChar w:fldCharType="separate"/>
            </w:r>
            <w:r w:rsidR="006E1486">
              <w:rPr>
                <w:b/>
                <w:webHidden/>
              </w:rPr>
              <w:t>104</w:t>
            </w:r>
            <w:r w:rsidR="001D0386" w:rsidRPr="00ED35A9">
              <w:rPr>
                <w:b/>
                <w:webHidden/>
              </w:rPr>
              <w:fldChar w:fldCharType="end"/>
            </w:r>
          </w:hyperlink>
        </w:p>
        <w:p w:rsidR="001D0386" w:rsidRPr="00ED35A9" w:rsidRDefault="001F75F0" w:rsidP="00CC0FB1">
          <w:pPr>
            <w:pStyle w:val="11"/>
          </w:pPr>
          <w:hyperlink w:anchor="_Toc18416330" w:history="1">
            <w:r w:rsidR="001D0386" w:rsidRPr="00ED35A9">
              <w:rPr>
                <w:rStyle w:val="a9"/>
                <w:b/>
                <w:color w:val="auto"/>
              </w:rPr>
              <w:t>Додаток 1.</w:t>
            </w:r>
            <w:r w:rsidR="001D0386" w:rsidRPr="00726C94">
              <w:rPr>
                <w:rStyle w:val="a9"/>
                <w:b/>
                <w:color w:val="auto"/>
              </w:rPr>
              <w:t> </w:t>
            </w:r>
            <w:r w:rsidR="001D0386" w:rsidRPr="00444854">
              <w:rPr>
                <w:rStyle w:val="a9"/>
                <w:color w:val="auto"/>
              </w:rPr>
              <w:t>Запитання PICO</w:t>
            </w:r>
            <w:r w:rsidR="001D0386" w:rsidRPr="00ED35A9">
              <w:rPr>
                <w:b/>
                <w:webHidden/>
              </w:rPr>
              <w:tab/>
            </w:r>
            <w:r w:rsidR="001D0386" w:rsidRPr="00ED35A9">
              <w:rPr>
                <w:b/>
                <w:webHidden/>
              </w:rPr>
              <w:fldChar w:fldCharType="begin"/>
            </w:r>
            <w:r w:rsidR="001D0386" w:rsidRPr="00ED35A9">
              <w:rPr>
                <w:b/>
                <w:webHidden/>
              </w:rPr>
              <w:instrText xml:space="preserve"> PAGEREF _Toc18416330 \h </w:instrText>
            </w:r>
            <w:r w:rsidR="001D0386" w:rsidRPr="00ED35A9">
              <w:rPr>
                <w:b/>
                <w:webHidden/>
              </w:rPr>
            </w:r>
            <w:r w:rsidR="001D0386" w:rsidRPr="00ED35A9">
              <w:rPr>
                <w:b/>
                <w:webHidden/>
              </w:rPr>
              <w:fldChar w:fldCharType="separate"/>
            </w:r>
            <w:r w:rsidR="006E1486">
              <w:rPr>
                <w:b/>
                <w:webHidden/>
              </w:rPr>
              <w:t>119</w:t>
            </w:r>
            <w:r w:rsidR="001D0386" w:rsidRPr="00ED35A9">
              <w:rPr>
                <w:b/>
                <w:webHidden/>
              </w:rPr>
              <w:fldChar w:fldCharType="end"/>
            </w:r>
          </w:hyperlink>
        </w:p>
        <w:p w:rsidR="001D0386" w:rsidRPr="00ED35A9" w:rsidRDefault="001F75F0" w:rsidP="00CC0FB1">
          <w:pPr>
            <w:pStyle w:val="11"/>
          </w:pPr>
          <w:hyperlink w:anchor="_Toc18416331" w:history="1">
            <w:r w:rsidR="001D0386" w:rsidRPr="00ED35A9">
              <w:rPr>
                <w:rStyle w:val="a9"/>
                <w:b/>
                <w:color w:val="auto"/>
              </w:rPr>
              <w:t>Додаток 2.</w:t>
            </w:r>
            <w:r w:rsidR="00CC0FB1" w:rsidRPr="00ED35A9">
              <w:rPr>
                <w:rStyle w:val="a9"/>
                <w:color w:val="auto"/>
              </w:rPr>
              <w:t> </w:t>
            </w:r>
            <w:r w:rsidR="001D0386" w:rsidRPr="00444854">
              <w:rPr>
                <w:rStyle w:val="a9"/>
                <w:color w:val="auto"/>
              </w:rPr>
              <w:t>Дозування препараті</w:t>
            </w:r>
            <w:r w:rsidR="00CC0FB1" w:rsidRPr="00444854">
              <w:rPr>
                <w:rStyle w:val="a9"/>
                <w:color w:val="auto"/>
              </w:rPr>
              <w:t>в для лікування МРТБ у дорослих</w:t>
            </w:r>
            <w:r w:rsidR="00CC0FB1" w:rsidRPr="00444854">
              <w:rPr>
                <w:rStyle w:val="a9"/>
                <w:color w:val="auto"/>
              </w:rPr>
              <w:br/>
            </w:r>
            <w:r w:rsidR="001D0386" w:rsidRPr="00444854">
              <w:rPr>
                <w:rStyle w:val="a9"/>
                <w:color w:val="auto"/>
              </w:rPr>
              <w:t>та дітей із врахуванням діапазону маси тіла</w:t>
            </w:r>
            <w:r w:rsidR="001D0386" w:rsidRPr="00ED35A9">
              <w:rPr>
                <w:b/>
                <w:webHidden/>
              </w:rPr>
              <w:tab/>
            </w:r>
            <w:r w:rsidR="001D0386" w:rsidRPr="00ED35A9">
              <w:rPr>
                <w:b/>
                <w:webHidden/>
              </w:rPr>
              <w:fldChar w:fldCharType="begin"/>
            </w:r>
            <w:r w:rsidR="001D0386" w:rsidRPr="00ED35A9">
              <w:rPr>
                <w:b/>
                <w:webHidden/>
              </w:rPr>
              <w:instrText xml:space="preserve"> PAGEREF _Toc18416331 \h </w:instrText>
            </w:r>
            <w:r w:rsidR="001D0386" w:rsidRPr="00ED35A9">
              <w:rPr>
                <w:b/>
                <w:webHidden/>
              </w:rPr>
            </w:r>
            <w:r w:rsidR="001D0386" w:rsidRPr="00ED35A9">
              <w:rPr>
                <w:b/>
                <w:webHidden/>
              </w:rPr>
              <w:fldChar w:fldCharType="separate"/>
            </w:r>
            <w:r w:rsidR="006E1486">
              <w:rPr>
                <w:b/>
                <w:webHidden/>
              </w:rPr>
              <w:t>132</w:t>
            </w:r>
            <w:r w:rsidR="001D0386" w:rsidRPr="00ED35A9">
              <w:rPr>
                <w:b/>
                <w:webHidden/>
              </w:rPr>
              <w:fldChar w:fldCharType="end"/>
            </w:r>
          </w:hyperlink>
        </w:p>
        <w:p w:rsidR="001D0386" w:rsidRPr="00ED35A9" w:rsidRDefault="001D0386" w:rsidP="001D0386">
          <w:pPr>
            <w:ind w:firstLine="0"/>
            <w:rPr>
              <w:lang w:val="uk-UA"/>
            </w:rPr>
          </w:pPr>
          <w:r w:rsidRPr="00ED35A9">
            <w:rPr>
              <w:rFonts w:cs="Times New Roman"/>
              <w:b/>
              <w:bCs/>
              <w:lang w:val="uk-UA"/>
            </w:rPr>
            <w:fldChar w:fldCharType="end"/>
          </w:r>
        </w:p>
      </w:sdtContent>
    </w:sdt>
    <w:p w:rsidR="006B6D4D" w:rsidRPr="00ED35A9" w:rsidRDefault="006B6D4D">
      <w:pPr>
        <w:spacing w:after="160" w:line="259" w:lineRule="auto"/>
        <w:ind w:firstLine="0"/>
        <w:jc w:val="left"/>
        <w:rPr>
          <w:rFonts w:cs="Times New Roman"/>
          <w:szCs w:val="28"/>
          <w:highlight w:val="yellow"/>
          <w:lang w:val="uk-UA"/>
        </w:rPr>
      </w:pPr>
      <w:r w:rsidRPr="00ED35A9">
        <w:rPr>
          <w:rFonts w:cs="Times New Roman"/>
          <w:szCs w:val="28"/>
          <w:highlight w:val="yellow"/>
          <w:lang w:val="uk-UA"/>
        </w:rPr>
        <w:br w:type="page"/>
      </w:r>
    </w:p>
    <w:bookmarkEnd w:id="2"/>
    <w:bookmarkEnd w:id="1"/>
    <w:p w:rsidR="00246213" w:rsidRPr="00ED35A9" w:rsidRDefault="00246213" w:rsidP="00246213">
      <w:pPr>
        <w:ind w:firstLine="0"/>
        <w:rPr>
          <w:b/>
          <w:szCs w:val="28"/>
          <w:lang w:val="uk-UA"/>
        </w:rPr>
      </w:pPr>
      <w:r w:rsidRPr="00ED35A9">
        <w:rPr>
          <w:b/>
          <w:szCs w:val="28"/>
          <w:lang w:val="uk-UA"/>
        </w:rPr>
        <w:lastRenderedPageBreak/>
        <w:t>Онлайн-додатки:</w:t>
      </w:r>
    </w:p>
    <w:p w:rsidR="00246213" w:rsidRPr="00ED35A9" w:rsidRDefault="00246213" w:rsidP="00246213">
      <w:pPr>
        <w:ind w:firstLine="0"/>
        <w:rPr>
          <w:szCs w:val="28"/>
          <w:lang w:val="uk-UA"/>
        </w:rPr>
      </w:pPr>
      <w:r w:rsidRPr="00ED35A9">
        <w:rPr>
          <w:szCs w:val="28"/>
          <w:lang w:val="uk-UA"/>
        </w:rPr>
        <w:t>Додаток 3. Порядок денний засідань ГРН</w:t>
      </w:r>
    </w:p>
    <w:p w:rsidR="00246213" w:rsidRPr="00ED35A9" w:rsidRDefault="00246213" w:rsidP="00246213">
      <w:pPr>
        <w:ind w:firstLine="0"/>
        <w:rPr>
          <w:szCs w:val="28"/>
          <w:lang w:val="uk-UA"/>
        </w:rPr>
      </w:pPr>
      <w:r w:rsidRPr="00ED35A9">
        <w:rPr>
          <w:szCs w:val="28"/>
          <w:lang w:val="uk-UA"/>
        </w:rPr>
        <w:t>Додаток 4. Учасники засідань ГРН</w:t>
      </w:r>
    </w:p>
    <w:p w:rsidR="00246213" w:rsidRPr="00ED35A9" w:rsidRDefault="00246213" w:rsidP="00246213">
      <w:pPr>
        <w:ind w:firstLine="0"/>
        <w:rPr>
          <w:szCs w:val="28"/>
          <w:lang w:val="uk-UA"/>
        </w:rPr>
      </w:pPr>
      <w:r w:rsidRPr="00ED35A9">
        <w:rPr>
          <w:szCs w:val="28"/>
          <w:lang w:val="uk-UA"/>
        </w:rPr>
        <w:t>Додаток 5. Декларації інтересів</w:t>
      </w:r>
    </w:p>
    <w:p w:rsidR="00246213" w:rsidRPr="00ED35A9" w:rsidRDefault="00246213" w:rsidP="00246213">
      <w:pPr>
        <w:ind w:firstLine="0"/>
        <w:rPr>
          <w:szCs w:val="28"/>
          <w:lang w:val="uk-UA"/>
        </w:rPr>
      </w:pPr>
      <w:r w:rsidRPr="00ED35A9">
        <w:rPr>
          <w:szCs w:val="28"/>
          <w:lang w:val="uk-UA"/>
        </w:rPr>
        <w:t>Додаток 6. Основні методи</w:t>
      </w:r>
    </w:p>
    <w:p w:rsidR="00246213" w:rsidRPr="00ED35A9" w:rsidRDefault="00246213" w:rsidP="00246213">
      <w:pPr>
        <w:ind w:firstLine="0"/>
        <w:rPr>
          <w:szCs w:val="28"/>
          <w:lang w:val="uk-UA"/>
        </w:rPr>
      </w:pPr>
      <w:r w:rsidRPr="00ED35A9">
        <w:rPr>
          <w:szCs w:val="28"/>
          <w:lang w:val="uk-UA"/>
        </w:rPr>
        <w:t>Додаток 7. Підсумкові таблиці доказових даних за системою GRADE</w:t>
      </w:r>
    </w:p>
    <w:p w:rsidR="00246213" w:rsidRPr="00ED35A9" w:rsidRDefault="00246213" w:rsidP="00246213">
      <w:pPr>
        <w:ind w:firstLine="0"/>
        <w:rPr>
          <w:szCs w:val="28"/>
          <w:lang w:val="uk-UA"/>
        </w:rPr>
      </w:pPr>
      <w:r w:rsidRPr="00ED35A9">
        <w:rPr>
          <w:szCs w:val="28"/>
          <w:lang w:val="uk-UA"/>
        </w:rPr>
        <w:t>Додаток 8. Таблиці доказових даних за системою GRADE для визначення рекомендацій</w:t>
      </w:r>
    </w:p>
    <w:p w:rsidR="00246213" w:rsidRPr="00ED35A9" w:rsidRDefault="00246213" w:rsidP="00246213">
      <w:pPr>
        <w:ind w:firstLine="0"/>
        <w:rPr>
          <w:szCs w:val="28"/>
          <w:lang w:val="uk-UA"/>
        </w:rPr>
      </w:pPr>
      <w:r w:rsidRPr="00ED35A9">
        <w:rPr>
          <w:szCs w:val="28"/>
          <w:lang w:val="uk-UA"/>
        </w:rPr>
        <w:t>Додаток 9. Підсумки неопублікованих даних, планів аналізів та звітів щодо систематичних оглядів</w:t>
      </w:r>
    </w:p>
    <w:p w:rsidR="00246213" w:rsidRPr="00ED35A9" w:rsidRDefault="00246213" w:rsidP="00246213">
      <w:pPr>
        <w:ind w:firstLine="0"/>
        <w:rPr>
          <w:szCs w:val="28"/>
          <w:lang w:val="uk-UA"/>
        </w:rPr>
      </w:pPr>
    </w:p>
    <w:p w:rsidR="00246213" w:rsidRPr="00ED35A9" w:rsidRDefault="00246213" w:rsidP="00246213">
      <w:pPr>
        <w:ind w:firstLine="0"/>
        <w:rPr>
          <w:szCs w:val="28"/>
          <w:lang w:val="uk-UA"/>
        </w:rPr>
      </w:pPr>
    </w:p>
    <w:p w:rsidR="00A144B8" w:rsidRPr="00ED35A9" w:rsidRDefault="00A144B8" w:rsidP="00823898">
      <w:pPr>
        <w:rPr>
          <w:rFonts w:cs="Times New Roman"/>
          <w:szCs w:val="28"/>
          <w:lang w:val="uk-UA"/>
        </w:rPr>
      </w:pPr>
      <w:r w:rsidRPr="00ED35A9">
        <w:rPr>
          <w:szCs w:val="28"/>
          <w:lang w:val="uk-UA"/>
        </w:rPr>
        <w:t xml:space="preserve">Дана </w:t>
      </w:r>
      <w:r w:rsidR="001A165F" w:rsidRPr="00ED35A9">
        <w:rPr>
          <w:szCs w:val="28"/>
          <w:lang w:val="uk-UA"/>
        </w:rPr>
        <w:t xml:space="preserve">зведена </w:t>
      </w:r>
      <w:r w:rsidRPr="00ED35A9">
        <w:rPr>
          <w:rFonts w:cs="Times New Roman"/>
          <w:szCs w:val="28"/>
          <w:lang w:val="uk-UA"/>
        </w:rPr>
        <w:t>настанов</w:t>
      </w:r>
      <w:r w:rsidRPr="00ED35A9">
        <w:rPr>
          <w:szCs w:val="28"/>
          <w:lang w:val="uk-UA"/>
        </w:rPr>
        <w:t xml:space="preserve">а є результатом </w:t>
      </w:r>
      <w:r w:rsidRPr="00ED35A9">
        <w:rPr>
          <w:rFonts w:cs="Times New Roman"/>
          <w:szCs w:val="28"/>
          <w:lang w:val="uk-UA"/>
        </w:rPr>
        <w:t>перегля</w:t>
      </w:r>
      <w:r w:rsidRPr="00ED35A9">
        <w:rPr>
          <w:szCs w:val="28"/>
          <w:lang w:val="uk-UA"/>
        </w:rPr>
        <w:t xml:space="preserve">ду Групою з </w:t>
      </w:r>
      <w:r w:rsidRPr="00ED35A9">
        <w:rPr>
          <w:rFonts w:cs="Times New Roman"/>
          <w:szCs w:val="28"/>
          <w:lang w:val="uk-UA"/>
        </w:rPr>
        <w:t xml:space="preserve">розробки настанов </w:t>
      </w:r>
      <w:r w:rsidRPr="00ED35A9">
        <w:rPr>
          <w:szCs w:val="28"/>
          <w:lang w:val="uk-UA"/>
        </w:rPr>
        <w:t xml:space="preserve">рекомендацій </w:t>
      </w:r>
      <w:r w:rsidRPr="00ED35A9">
        <w:rPr>
          <w:rFonts w:cs="Times New Roman"/>
          <w:szCs w:val="28"/>
          <w:lang w:val="uk-UA"/>
        </w:rPr>
        <w:t>з 2011 по 2018</w:t>
      </w:r>
      <w:r w:rsidRPr="00ED35A9">
        <w:rPr>
          <w:szCs w:val="28"/>
          <w:lang w:val="uk-UA"/>
        </w:rPr>
        <w:t> </w:t>
      </w:r>
      <w:r w:rsidRPr="00ED35A9">
        <w:rPr>
          <w:rFonts w:cs="Times New Roman"/>
          <w:szCs w:val="28"/>
          <w:lang w:val="uk-UA"/>
        </w:rPr>
        <w:t>рр.</w:t>
      </w:r>
      <w:r w:rsidRPr="00ED35A9">
        <w:rPr>
          <w:szCs w:val="28"/>
          <w:lang w:val="uk-UA"/>
        </w:rPr>
        <w:t xml:space="preserve">, проведеного </w:t>
      </w:r>
      <w:r w:rsidRPr="00ED35A9">
        <w:rPr>
          <w:rFonts w:cs="Times New Roman"/>
          <w:szCs w:val="28"/>
          <w:lang w:val="uk-UA"/>
        </w:rPr>
        <w:t>відповідно до вимог ВООЗ (</w:t>
      </w:r>
      <w:r w:rsidRPr="00ED35A9">
        <w:rPr>
          <w:i/>
          <w:szCs w:val="28"/>
          <w:lang w:val="uk-UA"/>
        </w:rPr>
        <w:t>див.</w:t>
      </w:r>
      <w:r w:rsidRPr="00ED35A9">
        <w:rPr>
          <w:szCs w:val="28"/>
          <w:lang w:val="uk-UA"/>
        </w:rPr>
        <w:t xml:space="preserve"> </w:t>
      </w:r>
      <w:r w:rsidRPr="00ED35A9">
        <w:rPr>
          <w:rFonts w:cs="Times New Roman"/>
          <w:szCs w:val="28"/>
          <w:lang w:val="uk-UA"/>
        </w:rPr>
        <w:t>онлайн</w:t>
      </w:r>
      <w:r w:rsidRPr="00ED35A9">
        <w:rPr>
          <w:szCs w:val="28"/>
          <w:lang w:val="uk-UA"/>
        </w:rPr>
        <w:t>-</w:t>
      </w:r>
      <w:r w:rsidRPr="00ED35A9">
        <w:rPr>
          <w:rFonts w:cs="Times New Roman"/>
          <w:szCs w:val="28"/>
          <w:lang w:val="uk-UA"/>
        </w:rPr>
        <w:t>додатки 3</w:t>
      </w:r>
      <w:r w:rsidRPr="00ED35A9">
        <w:rPr>
          <w:szCs w:val="28"/>
          <w:lang w:val="uk-UA"/>
        </w:rPr>
        <w:t>–</w:t>
      </w:r>
      <w:r w:rsidRPr="00ED35A9">
        <w:rPr>
          <w:rFonts w:cs="Times New Roman"/>
          <w:szCs w:val="28"/>
          <w:lang w:val="uk-UA"/>
        </w:rPr>
        <w:t>5)</w:t>
      </w:r>
      <w:r w:rsidRPr="00ED35A9">
        <w:rPr>
          <w:szCs w:val="28"/>
          <w:lang w:val="uk-UA"/>
        </w:rPr>
        <w:t xml:space="preserve"> </w:t>
      </w:r>
      <w:r w:rsidRPr="00ED35A9">
        <w:rPr>
          <w:rFonts w:cs="Times New Roman"/>
          <w:i/>
          <w:szCs w:val="28"/>
          <w:lang w:val="uk-UA"/>
        </w:rPr>
        <w:t>(1)</w:t>
      </w:r>
      <w:r w:rsidRPr="00ED35A9">
        <w:rPr>
          <w:rFonts w:cs="Times New Roman"/>
          <w:szCs w:val="28"/>
          <w:lang w:val="uk-UA"/>
        </w:rPr>
        <w:t>.</w:t>
      </w:r>
      <w:r w:rsidRPr="00ED35A9">
        <w:rPr>
          <w:szCs w:val="28"/>
          <w:lang w:val="uk-UA"/>
        </w:rPr>
        <w:t xml:space="preserve"> </w:t>
      </w:r>
      <w:r w:rsidRPr="00ED35A9">
        <w:rPr>
          <w:rFonts w:cs="Times New Roman"/>
          <w:szCs w:val="28"/>
          <w:lang w:val="uk-UA"/>
        </w:rPr>
        <w:t>Цей документ замі</w:t>
      </w:r>
      <w:r w:rsidRPr="00ED35A9">
        <w:rPr>
          <w:szCs w:val="28"/>
          <w:lang w:val="uk-UA"/>
        </w:rPr>
        <w:t xml:space="preserve">щає </w:t>
      </w:r>
      <w:r w:rsidRPr="00ED35A9">
        <w:rPr>
          <w:rFonts w:cs="Times New Roman"/>
          <w:szCs w:val="28"/>
          <w:lang w:val="uk-UA"/>
        </w:rPr>
        <w:t>інші рекомендації В</w:t>
      </w:r>
      <w:r w:rsidRPr="00ED35A9">
        <w:rPr>
          <w:szCs w:val="28"/>
          <w:lang w:val="uk-UA"/>
        </w:rPr>
        <w:t>О</w:t>
      </w:r>
      <w:r w:rsidRPr="00ED35A9">
        <w:rPr>
          <w:rFonts w:cs="Times New Roman"/>
          <w:szCs w:val="28"/>
          <w:lang w:val="uk-UA"/>
        </w:rPr>
        <w:t xml:space="preserve">ОЗ щодо лікування </w:t>
      </w:r>
      <w:proofErr w:type="spellStart"/>
      <w:r w:rsidRPr="00ED35A9">
        <w:rPr>
          <w:szCs w:val="28"/>
          <w:lang w:val="uk-UA"/>
        </w:rPr>
        <w:t>мультирезистентного</w:t>
      </w:r>
      <w:proofErr w:type="spellEnd"/>
      <w:r w:rsidRPr="00ED35A9">
        <w:rPr>
          <w:szCs w:val="28"/>
          <w:lang w:val="uk-UA"/>
        </w:rPr>
        <w:t xml:space="preserve"> та </w:t>
      </w:r>
      <w:proofErr w:type="spellStart"/>
      <w:r w:rsidRPr="00ED35A9">
        <w:rPr>
          <w:szCs w:val="28"/>
          <w:lang w:val="uk-UA"/>
        </w:rPr>
        <w:t>рифампіцин</w:t>
      </w:r>
      <w:proofErr w:type="spellEnd"/>
      <w:r w:rsidRPr="00ED35A9">
        <w:rPr>
          <w:szCs w:val="28"/>
          <w:lang w:val="uk-UA"/>
        </w:rPr>
        <w:t>-резистентного туберкульозу</w:t>
      </w:r>
      <w:r w:rsidRPr="00ED35A9">
        <w:rPr>
          <w:rFonts w:cs="Times New Roman"/>
          <w:szCs w:val="28"/>
          <w:lang w:val="uk-UA"/>
        </w:rPr>
        <w:t>, видані після 2011</w:t>
      </w:r>
      <w:r w:rsidRPr="00ED35A9">
        <w:rPr>
          <w:szCs w:val="28"/>
          <w:lang w:val="uk-UA"/>
        </w:rPr>
        <w:t> </w:t>
      </w:r>
      <w:r w:rsidRPr="00ED35A9">
        <w:rPr>
          <w:rFonts w:cs="Times New Roman"/>
          <w:szCs w:val="28"/>
          <w:lang w:val="uk-UA"/>
        </w:rPr>
        <w:t xml:space="preserve">р. </w:t>
      </w:r>
      <w:r w:rsidRPr="00ED35A9">
        <w:rPr>
          <w:rFonts w:cs="Times New Roman"/>
          <w:i/>
          <w:szCs w:val="28"/>
          <w:lang w:val="uk-UA"/>
        </w:rPr>
        <w:t>(2</w:t>
      </w:r>
      <w:r w:rsidRPr="00ED35A9">
        <w:rPr>
          <w:i/>
          <w:szCs w:val="28"/>
          <w:lang w:val="uk-UA"/>
        </w:rPr>
        <w:t>–</w:t>
      </w:r>
      <w:r w:rsidRPr="00ED35A9">
        <w:rPr>
          <w:rFonts w:cs="Times New Roman"/>
          <w:i/>
          <w:szCs w:val="28"/>
          <w:lang w:val="uk-UA"/>
        </w:rPr>
        <w:t>6)</w:t>
      </w:r>
      <w:r w:rsidRPr="00ED35A9">
        <w:rPr>
          <w:rFonts w:cs="Times New Roman"/>
          <w:szCs w:val="28"/>
          <w:lang w:val="uk-UA"/>
        </w:rPr>
        <w:t xml:space="preserve"> (а також рекомендаці</w:t>
      </w:r>
      <w:r w:rsidRPr="00ED35A9">
        <w:rPr>
          <w:szCs w:val="28"/>
          <w:lang w:val="uk-UA"/>
        </w:rPr>
        <w:t xml:space="preserve">ї щодо лікування </w:t>
      </w:r>
      <w:r w:rsidRPr="00ED35A9">
        <w:rPr>
          <w:rFonts w:cs="Times New Roman"/>
          <w:szCs w:val="28"/>
          <w:lang w:val="uk-UA"/>
        </w:rPr>
        <w:t>лікарсько-стійк</w:t>
      </w:r>
      <w:r w:rsidRPr="00ED35A9">
        <w:rPr>
          <w:szCs w:val="28"/>
          <w:lang w:val="uk-UA"/>
        </w:rPr>
        <w:t>ого туберкульозу</w:t>
      </w:r>
      <w:r w:rsidRPr="00ED35A9">
        <w:rPr>
          <w:rFonts w:cs="Times New Roman"/>
          <w:szCs w:val="28"/>
          <w:lang w:val="uk-UA"/>
        </w:rPr>
        <w:t xml:space="preserve">; </w:t>
      </w:r>
      <w:r w:rsidRPr="00ED35A9">
        <w:rPr>
          <w:rFonts w:cs="Times New Roman"/>
          <w:i/>
          <w:szCs w:val="28"/>
          <w:lang w:val="uk-UA"/>
        </w:rPr>
        <w:t>див.</w:t>
      </w:r>
      <w:r w:rsidRPr="00ED35A9">
        <w:rPr>
          <w:rFonts w:cs="Times New Roman"/>
          <w:szCs w:val="28"/>
          <w:lang w:val="uk-UA"/>
        </w:rPr>
        <w:t xml:space="preserve"> Вставку). </w:t>
      </w:r>
      <w:r w:rsidRPr="00ED35A9">
        <w:rPr>
          <w:szCs w:val="28"/>
          <w:lang w:val="uk-UA"/>
        </w:rPr>
        <w:t xml:space="preserve">У даному </w:t>
      </w:r>
      <w:r w:rsidRPr="00ED35A9">
        <w:rPr>
          <w:rFonts w:cs="Times New Roman"/>
          <w:szCs w:val="28"/>
          <w:lang w:val="uk-UA"/>
        </w:rPr>
        <w:t xml:space="preserve">документі наведено </w:t>
      </w:r>
      <w:r w:rsidRPr="00ED35A9">
        <w:rPr>
          <w:szCs w:val="28"/>
          <w:lang w:val="uk-UA"/>
        </w:rPr>
        <w:t xml:space="preserve">запитання </w:t>
      </w:r>
      <w:r w:rsidRPr="00ED35A9">
        <w:rPr>
          <w:rFonts w:cs="Times New Roman"/>
          <w:szCs w:val="28"/>
          <w:lang w:val="uk-UA"/>
        </w:rPr>
        <w:t>PICO (</w:t>
      </w:r>
      <w:r w:rsidRPr="00ED35A9">
        <w:rPr>
          <w:szCs w:val="28"/>
          <w:lang w:val="uk-UA"/>
        </w:rPr>
        <w:t>населення</w:t>
      </w:r>
      <w:r w:rsidRPr="00ED35A9">
        <w:rPr>
          <w:rFonts w:cs="Times New Roman"/>
          <w:szCs w:val="28"/>
          <w:lang w:val="uk-UA"/>
        </w:rPr>
        <w:t xml:space="preserve">, </w:t>
      </w:r>
      <w:r w:rsidRPr="00ED35A9">
        <w:rPr>
          <w:szCs w:val="28"/>
          <w:lang w:val="uk-UA"/>
        </w:rPr>
        <w:t>втручання</w:t>
      </w:r>
      <w:r w:rsidRPr="00ED35A9">
        <w:rPr>
          <w:rFonts w:cs="Times New Roman"/>
          <w:szCs w:val="28"/>
          <w:lang w:val="uk-UA"/>
        </w:rPr>
        <w:t>, компаратор</w:t>
      </w:r>
      <w:r w:rsidRPr="00ED35A9">
        <w:rPr>
          <w:szCs w:val="28"/>
          <w:lang w:val="uk-UA"/>
        </w:rPr>
        <w:t xml:space="preserve">, </w:t>
      </w:r>
      <w:r w:rsidRPr="00ED35A9">
        <w:rPr>
          <w:rFonts w:cs="Times New Roman"/>
          <w:szCs w:val="28"/>
          <w:lang w:val="uk-UA"/>
        </w:rPr>
        <w:t>результат</w:t>
      </w:r>
      <w:r w:rsidRPr="00ED35A9">
        <w:rPr>
          <w:szCs w:val="28"/>
          <w:lang w:val="uk-UA"/>
        </w:rPr>
        <w:t>и</w:t>
      </w:r>
      <w:r w:rsidRPr="00ED35A9">
        <w:rPr>
          <w:rFonts w:cs="Times New Roman"/>
          <w:szCs w:val="28"/>
          <w:lang w:val="uk-UA"/>
        </w:rPr>
        <w:t>)</w:t>
      </w:r>
      <w:r w:rsidRPr="00ED35A9">
        <w:rPr>
          <w:szCs w:val="28"/>
          <w:lang w:val="uk-UA"/>
        </w:rPr>
        <w:t>,</w:t>
      </w:r>
      <w:r w:rsidRPr="00ED35A9">
        <w:rPr>
          <w:rFonts w:cs="Times New Roman"/>
          <w:szCs w:val="28"/>
          <w:lang w:val="uk-UA"/>
        </w:rPr>
        <w:t xml:space="preserve"> </w:t>
      </w:r>
      <w:r w:rsidRPr="00ED35A9">
        <w:rPr>
          <w:szCs w:val="28"/>
          <w:lang w:val="uk-UA"/>
        </w:rPr>
        <w:t xml:space="preserve">на </w:t>
      </w:r>
      <w:r w:rsidRPr="00ED35A9">
        <w:rPr>
          <w:rFonts w:cs="Times New Roman"/>
          <w:szCs w:val="28"/>
          <w:lang w:val="uk-UA"/>
        </w:rPr>
        <w:t xml:space="preserve">основі </w:t>
      </w:r>
      <w:r w:rsidRPr="00ED35A9">
        <w:rPr>
          <w:szCs w:val="28"/>
          <w:lang w:val="uk-UA"/>
        </w:rPr>
        <w:t xml:space="preserve">яких було визначено </w:t>
      </w:r>
      <w:r w:rsidRPr="00ED35A9">
        <w:rPr>
          <w:rFonts w:cs="Times New Roman"/>
          <w:szCs w:val="28"/>
          <w:lang w:val="uk-UA"/>
        </w:rPr>
        <w:t>рекомендаці</w:t>
      </w:r>
      <w:r w:rsidRPr="00ED35A9">
        <w:rPr>
          <w:szCs w:val="28"/>
          <w:lang w:val="uk-UA"/>
        </w:rPr>
        <w:t xml:space="preserve">ї </w:t>
      </w:r>
      <w:r w:rsidRPr="00ED35A9">
        <w:rPr>
          <w:rFonts w:cs="Times New Roman"/>
          <w:szCs w:val="28"/>
          <w:lang w:val="uk-UA"/>
        </w:rPr>
        <w:t xml:space="preserve">та </w:t>
      </w:r>
      <w:r w:rsidRPr="00ED35A9">
        <w:rPr>
          <w:szCs w:val="28"/>
          <w:lang w:val="uk-UA"/>
        </w:rPr>
        <w:t xml:space="preserve">проведено </w:t>
      </w:r>
      <w:r w:rsidRPr="00ED35A9">
        <w:rPr>
          <w:rFonts w:cs="Times New Roman"/>
          <w:szCs w:val="28"/>
          <w:lang w:val="uk-UA"/>
        </w:rPr>
        <w:t>перегля</w:t>
      </w:r>
      <w:r w:rsidRPr="00ED35A9">
        <w:rPr>
          <w:szCs w:val="28"/>
          <w:lang w:val="uk-UA"/>
        </w:rPr>
        <w:t xml:space="preserve">д </w:t>
      </w:r>
      <w:r w:rsidRPr="00ED35A9">
        <w:rPr>
          <w:rFonts w:cs="Times New Roman"/>
          <w:szCs w:val="28"/>
          <w:lang w:val="uk-UA"/>
        </w:rPr>
        <w:t>дозування препаратів у схемах другого ряду і</w:t>
      </w:r>
      <w:r w:rsidRPr="00ED35A9">
        <w:rPr>
          <w:szCs w:val="28"/>
          <w:lang w:val="uk-UA"/>
        </w:rPr>
        <w:t>з</w:t>
      </w:r>
      <w:r w:rsidRPr="00ED35A9">
        <w:rPr>
          <w:rFonts w:cs="Times New Roman"/>
          <w:szCs w:val="28"/>
          <w:lang w:val="uk-UA"/>
        </w:rPr>
        <w:t xml:space="preserve"> ключов</w:t>
      </w:r>
      <w:r w:rsidRPr="00ED35A9">
        <w:rPr>
          <w:szCs w:val="28"/>
          <w:lang w:val="uk-UA"/>
        </w:rPr>
        <w:t xml:space="preserve">ими </w:t>
      </w:r>
      <w:r w:rsidRPr="00ED35A9">
        <w:rPr>
          <w:rFonts w:cs="Times New Roman"/>
          <w:szCs w:val="28"/>
          <w:lang w:val="uk-UA"/>
        </w:rPr>
        <w:t>посилання</w:t>
      </w:r>
      <w:r w:rsidRPr="00ED35A9">
        <w:rPr>
          <w:szCs w:val="28"/>
          <w:lang w:val="uk-UA"/>
        </w:rPr>
        <w:t>ми</w:t>
      </w:r>
      <w:r w:rsidRPr="00ED35A9">
        <w:rPr>
          <w:rFonts w:cs="Times New Roman"/>
          <w:szCs w:val="28"/>
          <w:lang w:val="uk-UA"/>
        </w:rPr>
        <w:t xml:space="preserve"> (</w:t>
      </w:r>
      <w:r w:rsidRPr="00ED35A9">
        <w:rPr>
          <w:i/>
          <w:szCs w:val="28"/>
          <w:lang w:val="uk-UA"/>
        </w:rPr>
        <w:t>див.</w:t>
      </w:r>
      <w:r w:rsidRPr="00ED35A9">
        <w:rPr>
          <w:szCs w:val="28"/>
          <w:lang w:val="uk-UA"/>
        </w:rPr>
        <w:t xml:space="preserve"> Додаток </w:t>
      </w:r>
      <w:r w:rsidRPr="00ED35A9">
        <w:rPr>
          <w:rFonts w:cs="Times New Roman"/>
          <w:szCs w:val="28"/>
          <w:lang w:val="uk-UA"/>
        </w:rPr>
        <w:t xml:space="preserve">1 </w:t>
      </w:r>
      <w:r w:rsidRPr="00ED35A9">
        <w:rPr>
          <w:szCs w:val="28"/>
          <w:lang w:val="uk-UA"/>
        </w:rPr>
        <w:t xml:space="preserve">та </w:t>
      </w:r>
      <w:r w:rsidRPr="00ED35A9">
        <w:rPr>
          <w:rFonts w:cs="Times New Roman"/>
          <w:szCs w:val="28"/>
          <w:lang w:val="uk-UA"/>
        </w:rPr>
        <w:t>2).</w:t>
      </w:r>
      <w:r w:rsidRPr="00ED35A9">
        <w:rPr>
          <w:szCs w:val="28"/>
          <w:lang w:val="uk-UA"/>
        </w:rPr>
        <w:t xml:space="preserve"> В </w:t>
      </w:r>
      <w:r w:rsidRPr="00ED35A9">
        <w:rPr>
          <w:rFonts w:cs="Times New Roman"/>
          <w:szCs w:val="28"/>
          <w:lang w:val="uk-UA"/>
        </w:rPr>
        <w:t>онлайн</w:t>
      </w:r>
      <w:r w:rsidRPr="00ED35A9">
        <w:rPr>
          <w:szCs w:val="28"/>
          <w:lang w:val="uk-UA"/>
        </w:rPr>
        <w:t>-додатках</w:t>
      </w:r>
      <w:r w:rsidRPr="00ED35A9">
        <w:rPr>
          <w:rFonts w:cs="Times New Roman"/>
          <w:szCs w:val="28"/>
          <w:lang w:val="uk-UA"/>
        </w:rPr>
        <w:t xml:space="preserve"> </w:t>
      </w:r>
      <w:r w:rsidRPr="00ED35A9">
        <w:rPr>
          <w:szCs w:val="28"/>
          <w:lang w:val="uk-UA"/>
        </w:rPr>
        <w:t xml:space="preserve">наведено </w:t>
      </w:r>
      <w:r w:rsidRPr="00ED35A9">
        <w:rPr>
          <w:rFonts w:cs="Times New Roman"/>
          <w:szCs w:val="28"/>
          <w:lang w:val="uk-UA"/>
        </w:rPr>
        <w:t xml:space="preserve">дані </w:t>
      </w:r>
      <w:r w:rsidRPr="00ED35A9">
        <w:rPr>
          <w:szCs w:val="28"/>
          <w:lang w:val="uk-UA"/>
        </w:rPr>
        <w:t xml:space="preserve">про </w:t>
      </w:r>
      <w:r w:rsidRPr="00ED35A9">
        <w:rPr>
          <w:rFonts w:cs="Times New Roman"/>
          <w:szCs w:val="28"/>
          <w:lang w:val="uk-UA"/>
        </w:rPr>
        <w:t>учасників</w:t>
      </w:r>
      <w:r w:rsidRPr="00ED35A9">
        <w:rPr>
          <w:szCs w:val="28"/>
          <w:lang w:val="uk-UA"/>
        </w:rPr>
        <w:t xml:space="preserve"> </w:t>
      </w:r>
      <w:r w:rsidRPr="00ED35A9">
        <w:rPr>
          <w:rFonts w:cs="Times New Roman"/>
          <w:szCs w:val="28"/>
          <w:lang w:val="uk-UA"/>
        </w:rPr>
        <w:t>ГРН</w:t>
      </w:r>
      <w:r w:rsidRPr="00ED35A9">
        <w:rPr>
          <w:szCs w:val="28"/>
          <w:lang w:val="uk-UA"/>
        </w:rPr>
        <w:t xml:space="preserve"> та проведену ними роботу</w:t>
      </w:r>
      <w:r w:rsidRPr="00ED35A9">
        <w:rPr>
          <w:rFonts w:cs="Times New Roman"/>
          <w:szCs w:val="28"/>
          <w:lang w:val="uk-UA"/>
        </w:rPr>
        <w:t>, основн</w:t>
      </w:r>
      <w:r w:rsidRPr="00ED35A9">
        <w:rPr>
          <w:szCs w:val="28"/>
          <w:lang w:val="uk-UA"/>
        </w:rPr>
        <w:t xml:space="preserve">і </w:t>
      </w:r>
      <w:r w:rsidRPr="00ED35A9">
        <w:rPr>
          <w:rFonts w:cs="Times New Roman"/>
          <w:szCs w:val="28"/>
          <w:lang w:val="uk-UA"/>
        </w:rPr>
        <w:t>використ</w:t>
      </w:r>
      <w:r w:rsidRPr="00ED35A9">
        <w:rPr>
          <w:szCs w:val="28"/>
          <w:lang w:val="uk-UA"/>
        </w:rPr>
        <w:t xml:space="preserve">ані </w:t>
      </w:r>
      <w:r w:rsidRPr="00ED35A9">
        <w:rPr>
          <w:rFonts w:cs="Times New Roman"/>
          <w:szCs w:val="28"/>
          <w:lang w:val="uk-UA"/>
        </w:rPr>
        <w:t>метод</w:t>
      </w:r>
      <w:r w:rsidRPr="00ED35A9">
        <w:rPr>
          <w:szCs w:val="28"/>
          <w:lang w:val="uk-UA"/>
        </w:rPr>
        <w:t xml:space="preserve">и </w:t>
      </w:r>
      <w:r w:rsidRPr="00ED35A9">
        <w:rPr>
          <w:rFonts w:cs="Times New Roman"/>
          <w:szCs w:val="28"/>
          <w:lang w:val="uk-UA"/>
        </w:rPr>
        <w:t xml:space="preserve">розробки рекомендацій, </w:t>
      </w:r>
      <w:r w:rsidRPr="00ED35A9">
        <w:rPr>
          <w:szCs w:val="28"/>
          <w:lang w:val="uk-UA"/>
        </w:rPr>
        <w:t xml:space="preserve">перелік </w:t>
      </w:r>
      <w:r w:rsidRPr="00ED35A9">
        <w:rPr>
          <w:rFonts w:cs="Times New Roman"/>
          <w:szCs w:val="28"/>
          <w:lang w:val="uk-UA"/>
        </w:rPr>
        <w:t>доказов</w:t>
      </w:r>
      <w:r w:rsidRPr="00ED35A9">
        <w:rPr>
          <w:szCs w:val="28"/>
          <w:lang w:val="uk-UA"/>
        </w:rPr>
        <w:t xml:space="preserve">их </w:t>
      </w:r>
      <w:r w:rsidRPr="00ED35A9">
        <w:rPr>
          <w:rFonts w:cs="Times New Roman"/>
          <w:szCs w:val="28"/>
          <w:lang w:val="uk-UA"/>
        </w:rPr>
        <w:t>дан</w:t>
      </w:r>
      <w:r w:rsidRPr="00ED35A9">
        <w:rPr>
          <w:szCs w:val="28"/>
          <w:lang w:val="uk-UA"/>
        </w:rPr>
        <w:t xml:space="preserve">их та </w:t>
      </w:r>
      <w:r w:rsidRPr="00ED35A9">
        <w:rPr>
          <w:rFonts w:cs="Times New Roman"/>
          <w:szCs w:val="28"/>
          <w:lang w:val="uk-UA"/>
        </w:rPr>
        <w:t>заходів щодо реалізації</w:t>
      </w:r>
      <w:r w:rsidRPr="00ED35A9">
        <w:rPr>
          <w:szCs w:val="28"/>
          <w:lang w:val="uk-UA"/>
        </w:rPr>
        <w:t xml:space="preserve"> </w:t>
      </w:r>
      <w:r w:rsidRPr="00ED35A9">
        <w:rPr>
          <w:rFonts w:cs="Times New Roman"/>
          <w:szCs w:val="28"/>
          <w:lang w:val="uk-UA"/>
        </w:rPr>
        <w:t xml:space="preserve">за </w:t>
      </w:r>
      <w:r w:rsidRPr="00ED35A9">
        <w:rPr>
          <w:szCs w:val="28"/>
          <w:lang w:val="uk-UA"/>
        </w:rPr>
        <w:t xml:space="preserve">системою </w:t>
      </w:r>
      <w:r w:rsidRPr="00ED35A9">
        <w:rPr>
          <w:rFonts w:cs="Times New Roman"/>
          <w:szCs w:val="28"/>
          <w:lang w:val="uk-UA"/>
        </w:rPr>
        <w:t>GRADE (</w:t>
      </w:r>
      <w:r w:rsidRPr="00ED35A9">
        <w:rPr>
          <w:rFonts w:eastAsia="Calibri" w:cs="Times New Roman"/>
          <w:szCs w:val="28"/>
          <w:lang w:val="uk-UA"/>
        </w:rPr>
        <w:t>Система градації рекомендацій, експертиз, розвитку та оцінювання</w:t>
      </w:r>
      <w:r w:rsidRPr="00ED35A9">
        <w:rPr>
          <w:rFonts w:cs="Times New Roman"/>
          <w:szCs w:val="28"/>
          <w:lang w:val="uk-UA"/>
        </w:rPr>
        <w:t>) для кожної рекомендації</w:t>
      </w:r>
      <w:r w:rsidRPr="00ED35A9">
        <w:rPr>
          <w:szCs w:val="28"/>
          <w:lang w:val="uk-UA"/>
        </w:rPr>
        <w:t xml:space="preserve">, а також </w:t>
      </w:r>
      <w:r w:rsidRPr="00ED35A9">
        <w:rPr>
          <w:rFonts w:cs="Times New Roman"/>
          <w:szCs w:val="28"/>
          <w:lang w:val="uk-UA"/>
        </w:rPr>
        <w:t>для неопублікованих даних, план</w:t>
      </w:r>
      <w:r w:rsidRPr="00ED35A9">
        <w:rPr>
          <w:szCs w:val="28"/>
          <w:lang w:val="uk-UA"/>
        </w:rPr>
        <w:t xml:space="preserve">ів </w:t>
      </w:r>
      <w:r w:rsidRPr="00ED35A9">
        <w:rPr>
          <w:rFonts w:cs="Times New Roman"/>
          <w:szCs w:val="28"/>
          <w:lang w:val="uk-UA"/>
        </w:rPr>
        <w:t>аналізу даних та звіт</w:t>
      </w:r>
      <w:r w:rsidRPr="00ED35A9">
        <w:rPr>
          <w:szCs w:val="28"/>
          <w:lang w:val="uk-UA"/>
        </w:rPr>
        <w:t xml:space="preserve">ів </w:t>
      </w:r>
      <w:r w:rsidRPr="00ED35A9">
        <w:rPr>
          <w:rFonts w:cs="Times New Roman"/>
          <w:szCs w:val="28"/>
          <w:lang w:val="uk-UA"/>
        </w:rPr>
        <w:t xml:space="preserve">про </w:t>
      </w:r>
      <w:r w:rsidRPr="00ED35A9">
        <w:rPr>
          <w:szCs w:val="28"/>
          <w:lang w:val="uk-UA"/>
        </w:rPr>
        <w:t xml:space="preserve">проведення </w:t>
      </w:r>
      <w:r w:rsidRPr="00ED35A9">
        <w:rPr>
          <w:rFonts w:cs="Times New Roman"/>
          <w:szCs w:val="28"/>
          <w:lang w:val="uk-UA"/>
        </w:rPr>
        <w:t>систематичн</w:t>
      </w:r>
      <w:r w:rsidRPr="00ED35A9">
        <w:rPr>
          <w:szCs w:val="28"/>
          <w:lang w:val="uk-UA"/>
        </w:rPr>
        <w:t xml:space="preserve">их </w:t>
      </w:r>
      <w:r w:rsidRPr="00ED35A9">
        <w:rPr>
          <w:rFonts w:cs="Times New Roman"/>
          <w:szCs w:val="28"/>
          <w:lang w:val="uk-UA"/>
        </w:rPr>
        <w:t>огляд</w:t>
      </w:r>
      <w:r w:rsidRPr="00ED35A9">
        <w:rPr>
          <w:szCs w:val="28"/>
          <w:lang w:val="uk-UA"/>
        </w:rPr>
        <w:t xml:space="preserve">ів </w:t>
      </w:r>
      <w:r w:rsidRPr="00ED35A9">
        <w:rPr>
          <w:rFonts w:cs="Times New Roman"/>
          <w:szCs w:val="28"/>
          <w:lang w:val="uk-UA"/>
        </w:rPr>
        <w:t>(</w:t>
      </w:r>
      <w:r w:rsidRPr="00ED35A9">
        <w:rPr>
          <w:i/>
          <w:szCs w:val="28"/>
          <w:lang w:val="uk-UA"/>
        </w:rPr>
        <w:t>див.</w:t>
      </w:r>
      <w:r w:rsidRPr="00ED35A9">
        <w:rPr>
          <w:szCs w:val="28"/>
          <w:lang w:val="uk-UA"/>
        </w:rPr>
        <w:t xml:space="preserve"> </w:t>
      </w:r>
      <w:r w:rsidRPr="00ED35A9">
        <w:rPr>
          <w:rFonts w:cs="Times New Roman"/>
          <w:szCs w:val="28"/>
          <w:lang w:val="uk-UA"/>
        </w:rPr>
        <w:t>онлайн-додатки 3</w:t>
      </w:r>
      <w:r w:rsidRPr="00ED35A9">
        <w:rPr>
          <w:szCs w:val="28"/>
          <w:lang w:val="uk-UA"/>
        </w:rPr>
        <w:t>–</w:t>
      </w:r>
      <w:r w:rsidRPr="00ED35A9">
        <w:rPr>
          <w:rFonts w:cs="Times New Roman"/>
          <w:szCs w:val="28"/>
          <w:lang w:val="uk-UA"/>
        </w:rPr>
        <w:t xml:space="preserve">9). Рекомендації </w:t>
      </w:r>
      <w:r w:rsidRPr="00ED35A9">
        <w:rPr>
          <w:szCs w:val="28"/>
          <w:lang w:val="uk-UA"/>
        </w:rPr>
        <w:t xml:space="preserve">з впровадження </w:t>
      </w:r>
      <w:r w:rsidRPr="00ED35A9">
        <w:rPr>
          <w:rFonts w:cs="Times New Roman"/>
          <w:szCs w:val="28"/>
          <w:lang w:val="uk-UA"/>
        </w:rPr>
        <w:t>та інш</w:t>
      </w:r>
      <w:r w:rsidRPr="00ED35A9">
        <w:rPr>
          <w:szCs w:val="28"/>
          <w:lang w:val="uk-UA"/>
        </w:rPr>
        <w:t xml:space="preserve">у </w:t>
      </w:r>
      <w:r w:rsidRPr="00ED35A9">
        <w:rPr>
          <w:rFonts w:cs="Times New Roman"/>
          <w:szCs w:val="28"/>
          <w:lang w:val="uk-UA"/>
        </w:rPr>
        <w:t>практичн</w:t>
      </w:r>
      <w:r w:rsidRPr="00ED35A9">
        <w:rPr>
          <w:szCs w:val="28"/>
          <w:lang w:val="uk-UA"/>
        </w:rPr>
        <w:t xml:space="preserve">у </w:t>
      </w:r>
      <w:r w:rsidRPr="00ED35A9">
        <w:rPr>
          <w:rFonts w:cs="Times New Roman"/>
          <w:szCs w:val="28"/>
          <w:lang w:val="uk-UA"/>
        </w:rPr>
        <w:t>інформаці</w:t>
      </w:r>
      <w:r w:rsidRPr="00ED35A9">
        <w:rPr>
          <w:szCs w:val="28"/>
          <w:lang w:val="uk-UA"/>
        </w:rPr>
        <w:t xml:space="preserve">ю </w:t>
      </w:r>
      <w:r w:rsidRPr="00ED35A9">
        <w:rPr>
          <w:rFonts w:cs="Times New Roman"/>
          <w:szCs w:val="28"/>
          <w:lang w:val="uk-UA"/>
        </w:rPr>
        <w:t>буд</w:t>
      </w:r>
      <w:r w:rsidRPr="00ED35A9">
        <w:rPr>
          <w:szCs w:val="28"/>
          <w:lang w:val="uk-UA"/>
        </w:rPr>
        <w:t xml:space="preserve">е наведено </w:t>
      </w:r>
      <w:r w:rsidRPr="00ED35A9">
        <w:rPr>
          <w:rFonts w:cs="Times New Roman"/>
          <w:szCs w:val="28"/>
          <w:lang w:val="uk-UA"/>
        </w:rPr>
        <w:t xml:space="preserve">у наступному оновленні посібника ВООЗ з </w:t>
      </w:r>
      <w:r w:rsidRPr="00ED35A9">
        <w:rPr>
          <w:szCs w:val="28"/>
          <w:lang w:val="uk-UA"/>
        </w:rPr>
        <w:t xml:space="preserve">програмного менеджменту </w:t>
      </w:r>
      <w:r w:rsidRPr="00ED35A9">
        <w:rPr>
          <w:rFonts w:cs="Times New Roman"/>
          <w:szCs w:val="28"/>
          <w:lang w:val="uk-UA"/>
        </w:rPr>
        <w:t>туберкульоз</w:t>
      </w:r>
      <w:r w:rsidRPr="00ED35A9">
        <w:rPr>
          <w:szCs w:val="28"/>
          <w:lang w:val="uk-UA"/>
        </w:rPr>
        <w:t>у.</w:t>
      </w:r>
    </w:p>
    <w:p w:rsidR="004B5B7F" w:rsidRPr="00ED35A9" w:rsidRDefault="004B5B7F" w:rsidP="000E0B10">
      <w:pPr>
        <w:rPr>
          <w:rFonts w:cs="Times New Roman"/>
          <w:szCs w:val="28"/>
          <w:lang w:val="uk-UA"/>
        </w:rPr>
      </w:pPr>
      <w:r w:rsidRPr="00ED35A9">
        <w:rPr>
          <w:rFonts w:cs="Times New Roman"/>
          <w:szCs w:val="28"/>
          <w:lang w:val="uk-UA"/>
        </w:rPr>
        <w:br w:type="page"/>
      </w:r>
    </w:p>
    <w:p w:rsidR="00CD5C3F" w:rsidRPr="00ED35A9" w:rsidRDefault="00CD5C3F" w:rsidP="00823898">
      <w:pPr>
        <w:pStyle w:val="1"/>
        <w:rPr>
          <w:lang w:val="uk-UA"/>
        </w:rPr>
      </w:pPr>
      <w:bookmarkStart w:id="3" w:name="_Toc18416315"/>
      <w:bookmarkStart w:id="4" w:name="_Toc521589495"/>
      <w:r w:rsidRPr="00ED35A9">
        <w:rPr>
          <w:lang w:val="uk-UA"/>
        </w:rPr>
        <w:lastRenderedPageBreak/>
        <w:t>ПЕРЕЛІК УМОВНИХ ПОЗНАЧЕНЬ ТА СКОРОЧЕНЬ</w:t>
      </w:r>
      <w:bookmarkEnd w:id="3"/>
    </w:p>
    <w:p w:rsidR="00CD5C3F" w:rsidRPr="00ED35A9" w:rsidRDefault="00CD5C3F" w:rsidP="00823898">
      <w:pPr>
        <w:spacing w:after="120"/>
        <w:ind w:firstLine="0"/>
        <w:rPr>
          <w:rFonts w:eastAsia="Arial" w:cs="Times New Roman"/>
          <w:b/>
          <w:szCs w:val="28"/>
          <w:lang w:val="uk-UA"/>
        </w:rPr>
      </w:pPr>
      <w:r w:rsidRPr="00ED35A9">
        <w:rPr>
          <w:rFonts w:eastAsia="Arial" w:cs="Times New Roman"/>
          <w:b/>
          <w:szCs w:val="28"/>
          <w:lang w:val="uk-UA"/>
        </w:rPr>
        <w:t>Скорочення назв лікарських засобів</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Am</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амікацин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Amx-CIv</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амоксіцилін-клавуланова</w:t>
            </w:r>
            <w:proofErr w:type="spellEnd"/>
            <w:r w:rsidRPr="00ED35A9">
              <w:rPr>
                <w:szCs w:val="28"/>
                <w:lang w:val="uk-UA"/>
              </w:rPr>
              <w:t xml:space="preserve"> кислота</w:t>
            </w:r>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Bdq</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бедаквілін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Cfz</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клофазимін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Cm</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капреоміцин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Cs</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циклосерін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Dim</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деламанід</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E</w:t>
            </w:r>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етамбутол</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Eto</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етіонамід</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Gfx</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гатіфлоксацин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Hh</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ізоніазид</w:t>
            </w:r>
            <w:proofErr w:type="spellEnd"/>
            <w:r w:rsidRPr="00ED35A9">
              <w:rPr>
                <w:szCs w:val="28"/>
                <w:lang w:val="uk-UA"/>
              </w:rPr>
              <w:t xml:space="preserve"> у високих дозах</w:t>
            </w:r>
          </w:p>
        </w:tc>
      </w:tr>
      <w:tr w:rsidR="00C6628F" w:rsidRPr="00ED35A9" w:rsidTr="00C6628F">
        <w:tc>
          <w:tcPr>
            <w:tcW w:w="2376" w:type="dxa"/>
          </w:tcPr>
          <w:p w:rsidR="00CD5C3F" w:rsidRPr="00ED35A9" w:rsidRDefault="00CD5C3F" w:rsidP="00CD5C3F">
            <w:pPr>
              <w:spacing w:after="120"/>
              <w:ind w:firstLine="0"/>
              <w:rPr>
                <w:rFonts w:eastAsia="Arial"/>
                <w:b/>
                <w:szCs w:val="28"/>
                <w:lang w:val="uk-UA"/>
              </w:rPr>
            </w:pPr>
            <w:r w:rsidRPr="00ED35A9">
              <w:rPr>
                <w:rFonts w:eastAsia="Arial"/>
                <w:b/>
                <w:szCs w:val="28"/>
                <w:lang w:val="uk-UA"/>
              </w:rPr>
              <w:t>(H)REZ</w:t>
            </w:r>
          </w:p>
        </w:tc>
        <w:tc>
          <w:tcPr>
            <w:tcW w:w="7371" w:type="dxa"/>
          </w:tcPr>
          <w:p w:rsidR="00CD5C3F" w:rsidRPr="00ED35A9" w:rsidRDefault="00CD5C3F" w:rsidP="00823898">
            <w:pPr>
              <w:spacing w:after="120"/>
              <w:ind w:firstLine="0"/>
              <w:jc w:val="left"/>
              <w:rPr>
                <w:rFonts w:eastAsia="Arial"/>
                <w:szCs w:val="28"/>
                <w:lang w:val="uk-UA"/>
              </w:rPr>
            </w:pPr>
            <w:r w:rsidRPr="00ED35A9">
              <w:rPr>
                <w:rFonts w:eastAsia="Arial"/>
                <w:szCs w:val="28"/>
                <w:lang w:val="uk-UA"/>
              </w:rPr>
              <w:t>(</w:t>
            </w:r>
            <w:proofErr w:type="spellStart"/>
            <w:r w:rsidRPr="00ED35A9">
              <w:rPr>
                <w:rFonts w:eastAsia="Arial"/>
                <w:szCs w:val="28"/>
                <w:lang w:val="uk-UA"/>
              </w:rPr>
              <w:t>ізоніазид</w:t>
            </w:r>
            <w:proofErr w:type="spellEnd"/>
            <w:r w:rsidRPr="00ED35A9">
              <w:rPr>
                <w:rFonts w:eastAsia="Arial"/>
                <w:szCs w:val="28"/>
                <w:lang w:val="uk-UA"/>
              </w:rPr>
              <w:t>)-</w:t>
            </w:r>
            <w:proofErr w:type="spellStart"/>
            <w:r w:rsidRPr="00ED35A9">
              <w:rPr>
                <w:rFonts w:eastAsia="Arial"/>
                <w:szCs w:val="28"/>
                <w:lang w:val="uk-UA"/>
              </w:rPr>
              <w:t>рифампіцин-етамбутол-піразинамід</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Imp-CIn</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іміпенем-циластатин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Km</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канаміцин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Lfx</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левофлоксацин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Lzd</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лінезолід</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Mfx</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моксіфлоксацин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Mpm</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меропенем</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PAS</w:t>
            </w:r>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парааміносаліцилова</w:t>
            </w:r>
            <w:proofErr w:type="spellEnd"/>
            <w:r w:rsidRPr="00ED35A9">
              <w:rPr>
                <w:szCs w:val="28"/>
                <w:lang w:val="uk-UA"/>
              </w:rPr>
              <w:t xml:space="preserve"> кислота</w:t>
            </w:r>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Pto</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протіонамід</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R</w:t>
            </w:r>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рифампіцин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S</w:t>
            </w:r>
          </w:p>
        </w:tc>
        <w:tc>
          <w:tcPr>
            <w:tcW w:w="7371" w:type="dxa"/>
          </w:tcPr>
          <w:p w:rsidR="00CD5C3F" w:rsidRPr="00ED35A9" w:rsidRDefault="00CD5C3F" w:rsidP="00823898">
            <w:pPr>
              <w:spacing w:after="120"/>
              <w:ind w:firstLine="0"/>
              <w:jc w:val="left"/>
              <w:rPr>
                <w:szCs w:val="28"/>
                <w:lang w:val="uk-UA"/>
              </w:rPr>
            </w:pPr>
            <w:r w:rsidRPr="00ED35A9">
              <w:rPr>
                <w:szCs w:val="28"/>
                <w:lang w:val="uk-UA"/>
              </w:rPr>
              <w:t>стрептоміцин</w:t>
            </w:r>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T</w:t>
            </w:r>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тіоацетазон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proofErr w:type="spellStart"/>
            <w:r w:rsidRPr="00ED35A9">
              <w:rPr>
                <w:b/>
                <w:szCs w:val="28"/>
                <w:lang w:val="uk-UA"/>
              </w:rPr>
              <w:t>Trd</w:t>
            </w:r>
            <w:proofErr w:type="spellEnd"/>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теризидон</w:t>
            </w:r>
            <w:proofErr w:type="spellEnd"/>
          </w:p>
        </w:tc>
      </w:tr>
      <w:tr w:rsidR="00C6628F" w:rsidRPr="00ED35A9" w:rsidTr="00C6628F">
        <w:tc>
          <w:tcPr>
            <w:tcW w:w="2376" w:type="dxa"/>
          </w:tcPr>
          <w:p w:rsidR="00CD5C3F" w:rsidRPr="00ED35A9" w:rsidRDefault="00CD5C3F" w:rsidP="00CD5C3F">
            <w:pPr>
              <w:spacing w:after="120"/>
              <w:ind w:firstLine="0"/>
              <w:rPr>
                <w:b/>
                <w:szCs w:val="28"/>
                <w:lang w:val="uk-UA"/>
              </w:rPr>
            </w:pPr>
            <w:r w:rsidRPr="00ED35A9">
              <w:rPr>
                <w:b/>
                <w:szCs w:val="28"/>
                <w:lang w:val="uk-UA"/>
              </w:rPr>
              <w:t>Z</w:t>
            </w:r>
          </w:p>
        </w:tc>
        <w:tc>
          <w:tcPr>
            <w:tcW w:w="7371" w:type="dxa"/>
          </w:tcPr>
          <w:p w:rsidR="00CD5C3F" w:rsidRPr="00ED35A9" w:rsidRDefault="00CD5C3F" w:rsidP="00823898">
            <w:pPr>
              <w:spacing w:after="120"/>
              <w:ind w:firstLine="0"/>
              <w:jc w:val="left"/>
              <w:rPr>
                <w:szCs w:val="28"/>
                <w:lang w:val="uk-UA"/>
              </w:rPr>
            </w:pPr>
            <w:proofErr w:type="spellStart"/>
            <w:r w:rsidRPr="00ED35A9">
              <w:rPr>
                <w:szCs w:val="28"/>
                <w:lang w:val="uk-UA"/>
              </w:rPr>
              <w:t>піразинамід</w:t>
            </w:r>
            <w:proofErr w:type="spellEnd"/>
          </w:p>
        </w:tc>
      </w:tr>
    </w:tbl>
    <w:p w:rsidR="00C6628F" w:rsidRPr="00ED35A9" w:rsidRDefault="00C6628F" w:rsidP="00CD5C3F">
      <w:pPr>
        <w:ind w:firstLine="0"/>
        <w:rPr>
          <w:rFonts w:eastAsia="Arial" w:cs="Times New Roman"/>
          <w:b/>
          <w:szCs w:val="28"/>
          <w:lang w:val="uk-UA"/>
        </w:rPr>
      </w:pPr>
    </w:p>
    <w:p w:rsidR="00C6628F" w:rsidRPr="00ED35A9" w:rsidRDefault="00C6628F">
      <w:pPr>
        <w:spacing w:after="160" w:line="259" w:lineRule="auto"/>
        <w:ind w:firstLine="0"/>
        <w:jc w:val="left"/>
        <w:rPr>
          <w:rFonts w:eastAsia="Arial" w:cs="Times New Roman"/>
          <w:b/>
          <w:szCs w:val="28"/>
          <w:lang w:val="uk-UA"/>
        </w:rPr>
      </w:pPr>
      <w:r w:rsidRPr="00ED35A9">
        <w:rPr>
          <w:rFonts w:eastAsia="Arial" w:cs="Times New Roman"/>
          <w:b/>
          <w:szCs w:val="28"/>
          <w:lang w:val="uk-UA"/>
        </w:rPr>
        <w:br w:type="page"/>
      </w:r>
    </w:p>
    <w:p w:rsidR="00CD5C3F" w:rsidRPr="00ED35A9" w:rsidRDefault="00CD5C3F" w:rsidP="00823898">
      <w:pPr>
        <w:spacing w:after="120"/>
        <w:ind w:firstLine="0"/>
        <w:rPr>
          <w:rFonts w:eastAsia="Arial" w:cs="Times New Roman"/>
          <w:b/>
          <w:szCs w:val="28"/>
          <w:lang w:val="uk-UA"/>
        </w:rPr>
      </w:pPr>
      <w:r w:rsidRPr="00ED35A9">
        <w:rPr>
          <w:rFonts w:eastAsia="Arial" w:cs="Times New Roman"/>
          <w:b/>
          <w:szCs w:val="28"/>
          <w:lang w:val="uk-UA"/>
        </w:rPr>
        <w:lastRenderedPageBreak/>
        <w:t>Скорочення загальних термінів</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371"/>
      </w:tblGrid>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proofErr w:type="spellStart"/>
            <w:r w:rsidRPr="00A3119B">
              <w:rPr>
                <w:b/>
                <w:szCs w:val="28"/>
                <w:lang w:val="uk-UA"/>
              </w:rPr>
              <w:t>a</w:t>
            </w:r>
            <w:r w:rsidRPr="00A3119B">
              <w:rPr>
                <w:rFonts w:eastAsia="Arial"/>
                <w:b/>
                <w:szCs w:val="28"/>
                <w:lang w:val="uk-UA"/>
              </w:rPr>
              <w:t>DSM</w:t>
            </w:r>
            <w:proofErr w:type="spellEnd"/>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система активного моніторингу та управління безпекою застосування протитуберкульозних препаратів</w:t>
            </w:r>
            <w:r w:rsidRPr="00A3119B">
              <w:rPr>
                <w:rFonts w:eastAsia="Arial"/>
                <w:szCs w:val="28"/>
                <w:lang w:val="uk-UA"/>
              </w:rPr>
              <w:br/>
              <w:t>(</w:t>
            </w:r>
            <w:proofErr w:type="spellStart"/>
            <w:r w:rsidRPr="00A3119B">
              <w:rPr>
                <w:rFonts w:eastAsia="Arial"/>
                <w:szCs w:val="28"/>
                <w:lang w:val="uk-UA"/>
              </w:rPr>
              <w:t>active</w:t>
            </w:r>
            <w:proofErr w:type="spellEnd"/>
            <w:r w:rsidRPr="00A3119B">
              <w:rPr>
                <w:rFonts w:eastAsia="Arial"/>
                <w:szCs w:val="28"/>
                <w:lang w:val="uk-UA"/>
              </w:rPr>
              <w:t xml:space="preserve"> TB </w:t>
            </w:r>
            <w:proofErr w:type="spellStart"/>
            <w:r w:rsidRPr="00A3119B">
              <w:rPr>
                <w:rFonts w:eastAsia="Arial"/>
                <w:szCs w:val="28"/>
                <w:lang w:val="uk-UA"/>
              </w:rPr>
              <w:t>drug</w:t>
            </w:r>
            <w:proofErr w:type="spellEnd"/>
            <w:r w:rsidRPr="00A3119B">
              <w:rPr>
                <w:rFonts w:eastAsia="Arial"/>
                <w:szCs w:val="28"/>
                <w:lang w:val="uk-UA"/>
              </w:rPr>
              <w:t xml:space="preserve"> </w:t>
            </w:r>
            <w:proofErr w:type="spellStart"/>
            <w:r w:rsidRPr="00A3119B">
              <w:rPr>
                <w:rFonts w:eastAsia="Arial"/>
                <w:szCs w:val="28"/>
                <w:lang w:val="uk-UA"/>
              </w:rPr>
              <w:t>safety</w:t>
            </w:r>
            <w:proofErr w:type="spellEnd"/>
            <w:r w:rsidRPr="00A3119B">
              <w:rPr>
                <w:rFonts w:eastAsia="Arial"/>
                <w:szCs w:val="28"/>
                <w:lang w:val="uk-UA"/>
              </w:rPr>
              <w:t xml:space="preserve"> </w:t>
            </w:r>
            <w:proofErr w:type="spellStart"/>
            <w:r w:rsidRPr="00A3119B">
              <w:rPr>
                <w:rFonts w:eastAsia="Arial"/>
                <w:szCs w:val="28"/>
                <w:lang w:val="uk-UA"/>
              </w:rPr>
              <w:t>monitoring</w:t>
            </w:r>
            <w:proofErr w:type="spellEnd"/>
            <w:r w:rsidRPr="00A3119B">
              <w:rPr>
                <w:rFonts w:eastAsia="Arial"/>
                <w:szCs w:val="28"/>
                <w:lang w:val="uk-UA"/>
              </w:rPr>
              <w:t xml:space="preserve"> </w:t>
            </w:r>
            <w:proofErr w:type="spellStart"/>
            <w:r w:rsidRPr="00A3119B">
              <w:rPr>
                <w:rFonts w:eastAsia="Arial"/>
                <w:szCs w:val="28"/>
                <w:lang w:val="uk-UA"/>
              </w:rPr>
              <w:t>and</w:t>
            </w:r>
            <w:proofErr w:type="spellEnd"/>
            <w:r w:rsidRPr="00A3119B">
              <w:rPr>
                <w:rFonts w:eastAsia="Arial"/>
                <w:szCs w:val="28"/>
                <w:lang w:val="uk-UA"/>
              </w:rPr>
              <w:t xml:space="preserve"> </w:t>
            </w:r>
            <w:proofErr w:type="spellStart"/>
            <w:r w:rsidRPr="00A3119B">
              <w:rPr>
                <w:rFonts w:eastAsia="Arial"/>
                <w:szCs w:val="28"/>
                <w:lang w:val="uk-UA"/>
              </w:rPr>
              <w:t>management</w:t>
            </w:r>
            <w:proofErr w:type="spellEnd"/>
            <w:r w:rsidRPr="00A3119B">
              <w:rPr>
                <w:rFonts w:eastAsia="Arial"/>
                <w:szCs w:val="28"/>
                <w:lang w:val="uk-UA"/>
              </w:rPr>
              <w:t>)</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proofErr w:type="spellStart"/>
            <w:r w:rsidRPr="00A3119B">
              <w:rPr>
                <w:rFonts w:eastAsia="Arial"/>
                <w:b/>
                <w:szCs w:val="28"/>
                <w:lang w:val="uk-UA"/>
              </w:rPr>
              <w:t>aOR</w:t>
            </w:r>
            <w:proofErr w:type="spellEnd"/>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скориговане співвідношення шансів (</w:t>
            </w:r>
            <w:proofErr w:type="spellStart"/>
            <w:r w:rsidRPr="00A3119B">
              <w:rPr>
                <w:rFonts w:eastAsia="Arial"/>
                <w:szCs w:val="28"/>
                <w:lang w:val="uk-UA"/>
              </w:rPr>
              <w:t>adjusted</w:t>
            </w:r>
            <w:proofErr w:type="spellEnd"/>
            <w:r w:rsidRPr="00A3119B">
              <w:rPr>
                <w:rFonts w:eastAsia="Arial"/>
                <w:szCs w:val="28"/>
                <w:lang w:val="uk-UA"/>
              </w:rPr>
              <w:t xml:space="preserve"> </w:t>
            </w:r>
            <w:proofErr w:type="spellStart"/>
            <w:r w:rsidRPr="00A3119B">
              <w:rPr>
                <w:rFonts w:eastAsia="Arial"/>
                <w:szCs w:val="28"/>
                <w:lang w:val="uk-UA"/>
              </w:rPr>
              <w:t>odds</w:t>
            </w:r>
            <w:proofErr w:type="spellEnd"/>
            <w:r w:rsidRPr="00A3119B">
              <w:rPr>
                <w:rFonts w:eastAsia="Arial"/>
                <w:szCs w:val="28"/>
                <w:lang w:val="uk-UA"/>
              </w:rPr>
              <w:t xml:space="preserve"> </w:t>
            </w:r>
            <w:proofErr w:type="spellStart"/>
            <w:r w:rsidRPr="00A3119B">
              <w:rPr>
                <w:rFonts w:eastAsia="Arial"/>
                <w:szCs w:val="28"/>
                <w:lang w:val="uk-UA"/>
              </w:rPr>
              <w:t>ratio</w:t>
            </w:r>
            <w:proofErr w:type="spellEnd"/>
            <w:r w:rsidRPr="00A3119B">
              <w:rPr>
                <w:rFonts w:eastAsia="Arial"/>
                <w:szCs w:val="28"/>
                <w:lang w:val="uk-UA"/>
              </w:rPr>
              <w:t>)</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DALY</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рік життя з поправкою на інвалідність</w:t>
            </w:r>
            <w:r w:rsidRPr="00A3119B">
              <w:rPr>
                <w:rFonts w:eastAsia="Arial"/>
                <w:szCs w:val="28"/>
                <w:lang w:val="uk-UA"/>
              </w:rPr>
              <w:br/>
              <w:t>(</w:t>
            </w:r>
            <w:proofErr w:type="spellStart"/>
            <w:r w:rsidRPr="00A3119B">
              <w:rPr>
                <w:rFonts w:eastAsia="Arial"/>
                <w:szCs w:val="28"/>
                <w:lang w:val="uk-UA"/>
              </w:rPr>
              <w:t>disability-adjusted</w:t>
            </w:r>
            <w:proofErr w:type="spellEnd"/>
            <w:r w:rsidRPr="00A3119B">
              <w:rPr>
                <w:rFonts w:eastAsia="Arial"/>
                <w:szCs w:val="28"/>
                <w:lang w:val="uk-UA"/>
              </w:rPr>
              <w:t xml:space="preserve"> </w:t>
            </w:r>
            <w:proofErr w:type="spellStart"/>
            <w:r w:rsidRPr="00A3119B">
              <w:rPr>
                <w:rFonts w:eastAsia="Arial"/>
                <w:szCs w:val="28"/>
                <w:lang w:val="uk-UA"/>
              </w:rPr>
              <w:t>life</w:t>
            </w:r>
            <w:proofErr w:type="spellEnd"/>
            <w:r w:rsidRPr="00A3119B">
              <w:rPr>
                <w:rFonts w:eastAsia="Arial"/>
                <w:szCs w:val="28"/>
                <w:lang w:val="uk-UA"/>
              </w:rPr>
              <w:t xml:space="preserve"> </w:t>
            </w:r>
            <w:proofErr w:type="spellStart"/>
            <w:r w:rsidRPr="00A3119B">
              <w:rPr>
                <w:rFonts w:eastAsia="Arial"/>
                <w:szCs w:val="28"/>
                <w:lang w:val="uk-UA"/>
              </w:rPr>
              <w:t>year</w:t>
            </w:r>
            <w:proofErr w:type="spellEnd"/>
            <w:r w:rsidRPr="00A3119B">
              <w:rPr>
                <w:rFonts w:eastAsia="Arial"/>
                <w:szCs w:val="28"/>
                <w:lang w:val="uk-UA"/>
              </w:rPr>
              <w:t>)</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DOT</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лікування під безпосереднім наглядом</w:t>
            </w:r>
            <w:r w:rsidRPr="00A3119B">
              <w:rPr>
                <w:rFonts w:eastAsia="Arial"/>
                <w:szCs w:val="28"/>
                <w:lang w:val="uk-UA"/>
              </w:rPr>
              <w:br/>
              <w:t>(</w:t>
            </w:r>
            <w:proofErr w:type="spellStart"/>
            <w:r w:rsidRPr="00A3119B">
              <w:rPr>
                <w:rFonts w:eastAsia="Arial"/>
                <w:szCs w:val="28"/>
                <w:lang w:val="uk-UA"/>
              </w:rPr>
              <w:t>directly</w:t>
            </w:r>
            <w:proofErr w:type="spellEnd"/>
            <w:r w:rsidRPr="00A3119B">
              <w:rPr>
                <w:rFonts w:eastAsia="Arial"/>
                <w:szCs w:val="28"/>
                <w:lang w:val="uk-UA"/>
              </w:rPr>
              <w:t xml:space="preserve"> </w:t>
            </w:r>
            <w:proofErr w:type="spellStart"/>
            <w:r w:rsidRPr="00A3119B">
              <w:rPr>
                <w:rFonts w:eastAsia="Arial"/>
                <w:szCs w:val="28"/>
                <w:lang w:val="uk-UA"/>
              </w:rPr>
              <w:t>observed</w:t>
            </w:r>
            <w:proofErr w:type="spellEnd"/>
            <w:r w:rsidRPr="00A3119B">
              <w:rPr>
                <w:rFonts w:eastAsia="Arial"/>
                <w:szCs w:val="28"/>
                <w:lang w:val="uk-UA"/>
              </w:rPr>
              <w:t xml:space="preserve"> </w:t>
            </w:r>
            <w:proofErr w:type="spellStart"/>
            <w:r w:rsidRPr="00A3119B">
              <w:rPr>
                <w:rFonts w:eastAsia="Arial"/>
                <w:szCs w:val="28"/>
                <w:lang w:val="uk-UA"/>
              </w:rPr>
              <w:t>treatment</w:t>
            </w:r>
            <w:proofErr w:type="spellEnd"/>
            <w:r w:rsidRPr="00A3119B">
              <w:rPr>
                <w:rFonts w:eastAsia="Arial"/>
                <w:szCs w:val="28"/>
                <w:lang w:val="uk-UA"/>
              </w:rPr>
              <w:t>)</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GDF</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Глобальний механізм забезпечення лікарськими засобами</w:t>
            </w:r>
            <w:r w:rsidRPr="00A3119B">
              <w:rPr>
                <w:rFonts w:eastAsia="Arial"/>
                <w:szCs w:val="28"/>
                <w:lang w:val="uk-UA"/>
              </w:rPr>
              <w:br/>
              <w:t>(</w:t>
            </w:r>
            <w:proofErr w:type="spellStart"/>
            <w:r w:rsidRPr="00A3119B">
              <w:rPr>
                <w:rFonts w:eastAsia="Arial"/>
                <w:szCs w:val="28"/>
                <w:lang w:val="uk-UA"/>
              </w:rPr>
              <w:t>Global</w:t>
            </w:r>
            <w:proofErr w:type="spellEnd"/>
            <w:r w:rsidRPr="00A3119B">
              <w:rPr>
                <w:rFonts w:eastAsia="Arial"/>
                <w:szCs w:val="28"/>
                <w:lang w:val="uk-UA"/>
              </w:rPr>
              <w:t xml:space="preserve"> </w:t>
            </w:r>
            <w:proofErr w:type="spellStart"/>
            <w:r w:rsidRPr="00A3119B">
              <w:rPr>
                <w:rFonts w:eastAsia="Arial"/>
                <w:szCs w:val="28"/>
                <w:lang w:val="uk-UA"/>
              </w:rPr>
              <w:t>Drug</w:t>
            </w:r>
            <w:proofErr w:type="spellEnd"/>
            <w:r w:rsidRPr="00A3119B">
              <w:rPr>
                <w:rFonts w:eastAsia="Arial"/>
                <w:szCs w:val="28"/>
                <w:lang w:val="uk-UA"/>
              </w:rPr>
              <w:t xml:space="preserve"> </w:t>
            </w:r>
            <w:proofErr w:type="spellStart"/>
            <w:r w:rsidRPr="00A3119B">
              <w:rPr>
                <w:rFonts w:eastAsia="Arial"/>
                <w:szCs w:val="28"/>
                <w:lang w:val="uk-UA"/>
              </w:rPr>
              <w:t>Facility</w:t>
            </w:r>
            <w:proofErr w:type="spellEnd"/>
            <w:r w:rsidRPr="00A3119B">
              <w:rPr>
                <w:rFonts w:eastAsia="Arial"/>
                <w:szCs w:val="28"/>
                <w:lang w:val="uk-UA"/>
              </w:rPr>
              <w:t>)</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GRADE</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Система градації рекомендацій, експертиз, розвитку та оцінювання (</w:t>
            </w:r>
            <w:proofErr w:type="spellStart"/>
            <w:r w:rsidRPr="00A3119B">
              <w:rPr>
                <w:rFonts w:eastAsia="Arial"/>
                <w:szCs w:val="28"/>
                <w:lang w:val="uk-UA"/>
              </w:rPr>
              <w:t>Grading</w:t>
            </w:r>
            <w:proofErr w:type="spellEnd"/>
            <w:r w:rsidRPr="00A3119B">
              <w:rPr>
                <w:rFonts w:eastAsia="Arial"/>
                <w:szCs w:val="28"/>
                <w:lang w:val="uk-UA"/>
              </w:rPr>
              <w:t xml:space="preserve"> </w:t>
            </w:r>
            <w:proofErr w:type="spellStart"/>
            <w:r w:rsidRPr="00A3119B">
              <w:rPr>
                <w:rFonts w:eastAsia="Arial"/>
                <w:szCs w:val="28"/>
                <w:lang w:val="uk-UA"/>
              </w:rPr>
              <w:t>of</w:t>
            </w:r>
            <w:proofErr w:type="spellEnd"/>
            <w:r w:rsidRPr="00A3119B">
              <w:rPr>
                <w:rFonts w:eastAsia="Arial"/>
                <w:szCs w:val="28"/>
                <w:lang w:val="uk-UA"/>
              </w:rPr>
              <w:t xml:space="preserve"> </w:t>
            </w:r>
            <w:proofErr w:type="spellStart"/>
            <w:r w:rsidRPr="00A3119B">
              <w:rPr>
                <w:rFonts w:eastAsia="Arial"/>
                <w:szCs w:val="28"/>
                <w:lang w:val="uk-UA"/>
              </w:rPr>
              <w:t>Recommendations</w:t>
            </w:r>
            <w:proofErr w:type="spellEnd"/>
            <w:r w:rsidRPr="00A3119B">
              <w:rPr>
                <w:rFonts w:eastAsia="Arial"/>
                <w:szCs w:val="28"/>
                <w:lang w:val="uk-UA"/>
              </w:rPr>
              <w:t xml:space="preserve">, </w:t>
            </w:r>
            <w:proofErr w:type="spellStart"/>
            <w:r w:rsidRPr="00A3119B">
              <w:rPr>
                <w:rFonts w:eastAsia="Arial"/>
                <w:szCs w:val="28"/>
                <w:lang w:val="uk-UA"/>
              </w:rPr>
              <w:t>Assessment</w:t>
            </w:r>
            <w:proofErr w:type="spellEnd"/>
            <w:r w:rsidRPr="00A3119B">
              <w:rPr>
                <w:rFonts w:eastAsia="Arial"/>
                <w:szCs w:val="28"/>
                <w:lang w:val="uk-UA"/>
              </w:rPr>
              <w:t xml:space="preserve">, </w:t>
            </w:r>
            <w:proofErr w:type="spellStart"/>
            <w:r w:rsidRPr="00A3119B">
              <w:rPr>
                <w:rFonts w:eastAsia="Arial"/>
                <w:szCs w:val="28"/>
                <w:lang w:val="uk-UA"/>
              </w:rPr>
              <w:t>Development</w:t>
            </w:r>
            <w:proofErr w:type="spellEnd"/>
            <w:r w:rsidRPr="00A3119B">
              <w:rPr>
                <w:rFonts w:eastAsia="Arial"/>
                <w:szCs w:val="28"/>
                <w:lang w:val="uk-UA"/>
              </w:rPr>
              <w:t xml:space="preserve"> </w:t>
            </w:r>
            <w:proofErr w:type="spellStart"/>
            <w:r w:rsidRPr="00A3119B">
              <w:rPr>
                <w:rFonts w:eastAsia="Arial"/>
                <w:szCs w:val="28"/>
                <w:lang w:val="uk-UA"/>
              </w:rPr>
              <w:t>and</w:t>
            </w:r>
            <w:proofErr w:type="spellEnd"/>
            <w:r w:rsidRPr="00A3119B">
              <w:rPr>
                <w:rFonts w:eastAsia="Arial"/>
                <w:szCs w:val="28"/>
                <w:lang w:val="uk-UA"/>
              </w:rPr>
              <w:t xml:space="preserve"> </w:t>
            </w:r>
            <w:proofErr w:type="spellStart"/>
            <w:r w:rsidRPr="00A3119B">
              <w:rPr>
                <w:rFonts w:eastAsia="Arial"/>
                <w:szCs w:val="28"/>
                <w:lang w:val="uk-UA"/>
              </w:rPr>
              <w:t>Evaluation</w:t>
            </w:r>
            <w:proofErr w:type="spellEnd"/>
            <w:r w:rsidRPr="00A3119B">
              <w:rPr>
                <w:rFonts w:eastAsia="Arial"/>
                <w:szCs w:val="28"/>
                <w:lang w:val="uk-UA"/>
              </w:rPr>
              <w:t>)</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IQR</w:t>
            </w:r>
          </w:p>
        </w:tc>
        <w:tc>
          <w:tcPr>
            <w:tcW w:w="7371" w:type="dxa"/>
          </w:tcPr>
          <w:p w:rsidR="00CD5C3F" w:rsidRPr="00A3119B" w:rsidRDefault="00CD5C3F" w:rsidP="00A3119B">
            <w:pPr>
              <w:spacing w:after="120" w:line="233" w:lineRule="auto"/>
              <w:ind w:firstLine="0"/>
              <w:jc w:val="left"/>
              <w:rPr>
                <w:rFonts w:eastAsia="Arial"/>
                <w:szCs w:val="28"/>
                <w:lang w:val="uk-UA"/>
              </w:rPr>
            </w:pPr>
            <w:proofErr w:type="spellStart"/>
            <w:r w:rsidRPr="00A3119B">
              <w:rPr>
                <w:rFonts w:eastAsia="Arial"/>
                <w:szCs w:val="28"/>
                <w:lang w:val="uk-UA"/>
              </w:rPr>
              <w:t>інтерквартильний</w:t>
            </w:r>
            <w:proofErr w:type="spellEnd"/>
            <w:r w:rsidRPr="00A3119B">
              <w:rPr>
                <w:rFonts w:eastAsia="Arial"/>
                <w:szCs w:val="28"/>
                <w:lang w:val="uk-UA"/>
              </w:rPr>
              <w:t xml:space="preserve"> розмах (</w:t>
            </w:r>
            <w:proofErr w:type="spellStart"/>
            <w:r w:rsidRPr="00A3119B">
              <w:rPr>
                <w:rFonts w:eastAsia="Arial"/>
                <w:szCs w:val="28"/>
                <w:lang w:val="uk-UA"/>
              </w:rPr>
              <w:t>interquartile</w:t>
            </w:r>
            <w:proofErr w:type="spellEnd"/>
            <w:r w:rsidRPr="00A3119B">
              <w:rPr>
                <w:rFonts w:eastAsia="Arial"/>
                <w:szCs w:val="28"/>
                <w:lang w:val="uk-UA"/>
              </w:rPr>
              <w:t xml:space="preserve"> </w:t>
            </w:r>
            <w:proofErr w:type="spellStart"/>
            <w:r w:rsidRPr="00A3119B">
              <w:rPr>
                <w:rFonts w:eastAsia="Arial"/>
                <w:szCs w:val="28"/>
                <w:lang w:val="uk-UA"/>
              </w:rPr>
              <w:t>range</w:t>
            </w:r>
            <w:proofErr w:type="spellEnd"/>
            <w:r w:rsidRPr="00A3119B">
              <w:rPr>
                <w:rFonts w:eastAsia="Arial"/>
                <w:szCs w:val="28"/>
                <w:lang w:val="uk-UA"/>
              </w:rPr>
              <w:t>)</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ITT</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призначене лікування (</w:t>
            </w:r>
            <w:proofErr w:type="spellStart"/>
            <w:r w:rsidRPr="00A3119B">
              <w:rPr>
                <w:rFonts w:eastAsia="Arial"/>
                <w:szCs w:val="28"/>
                <w:lang w:val="uk-UA"/>
              </w:rPr>
              <w:t>intention</w:t>
            </w:r>
            <w:proofErr w:type="spellEnd"/>
            <w:r w:rsidRPr="00A3119B">
              <w:rPr>
                <w:rFonts w:eastAsia="Arial"/>
                <w:szCs w:val="28"/>
                <w:lang w:val="uk-UA"/>
              </w:rPr>
              <w:t xml:space="preserve"> </w:t>
            </w:r>
            <w:proofErr w:type="spellStart"/>
            <w:r w:rsidRPr="00A3119B">
              <w:rPr>
                <w:rFonts w:eastAsia="Arial"/>
                <w:szCs w:val="28"/>
                <w:lang w:val="uk-UA"/>
              </w:rPr>
              <w:t>to</w:t>
            </w:r>
            <w:proofErr w:type="spellEnd"/>
            <w:r w:rsidRPr="00A3119B">
              <w:rPr>
                <w:rFonts w:eastAsia="Arial"/>
                <w:szCs w:val="28"/>
                <w:lang w:val="uk-UA"/>
              </w:rPr>
              <w:t xml:space="preserve"> </w:t>
            </w:r>
            <w:proofErr w:type="spellStart"/>
            <w:r w:rsidRPr="00A3119B">
              <w:rPr>
                <w:rFonts w:eastAsia="Arial"/>
                <w:szCs w:val="28"/>
                <w:lang w:val="uk-UA"/>
              </w:rPr>
              <w:t>treat</w:t>
            </w:r>
            <w:proofErr w:type="spellEnd"/>
            <w:r w:rsidRPr="00A3119B">
              <w:rPr>
                <w:rFonts w:eastAsia="Arial"/>
                <w:szCs w:val="28"/>
                <w:lang w:val="uk-UA"/>
              </w:rPr>
              <w:t>)</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KNCV</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Туберкульозний фонд KNCV</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LPA</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лінійний зонд-аналіз (</w:t>
            </w:r>
            <w:proofErr w:type="spellStart"/>
            <w:r w:rsidRPr="00A3119B">
              <w:rPr>
                <w:rFonts w:eastAsia="Arial"/>
                <w:szCs w:val="28"/>
                <w:lang w:val="uk-UA"/>
              </w:rPr>
              <w:t>line</w:t>
            </w:r>
            <w:proofErr w:type="spellEnd"/>
            <w:r w:rsidRPr="00A3119B">
              <w:rPr>
                <w:rFonts w:eastAsia="Arial"/>
                <w:szCs w:val="28"/>
                <w:lang w:val="uk-UA"/>
              </w:rPr>
              <w:t xml:space="preserve"> </w:t>
            </w:r>
            <w:proofErr w:type="spellStart"/>
            <w:r w:rsidRPr="00A3119B">
              <w:rPr>
                <w:rFonts w:eastAsia="Arial"/>
                <w:szCs w:val="28"/>
                <w:lang w:val="uk-UA"/>
              </w:rPr>
              <w:t>probe</w:t>
            </w:r>
            <w:proofErr w:type="spellEnd"/>
            <w:r w:rsidRPr="00A3119B">
              <w:rPr>
                <w:rFonts w:eastAsia="Arial"/>
                <w:szCs w:val="28"/>
                <w:lang w:val="uk-UA"/>
              </w:rPr>
              <w:t xml:space="preserve"> </w:t>
            </w:r>
            <w:proofErr w:type="spellStart"/>
            <w:r w:rsidRPr="00A3119B">
              <w:rPr>
                <w:rFonts w:eastAsia="Arial"/>
                <w:szCs w:val="28"/>
                <w:lang w:val="uk-UA"/>
              </w:rPr>
              <w:t>assay</w:t>
            </w:r>
            <w:proofErr w:type="spellEnd"/>
            <w:r w:rsidRPr="00A3119B">
              <w:rPr>
                <w:rFonts w:eastAsia="Arial"/>
                <w:szCs w:val="28"/>
                <w:lang w:val="uk-UA"/>
              </w:rPr>
              <w:t>)</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proofErr w:type="spellStart"/>
            <w:r w:rsidRPr="00A3119B">
              <w:rPr>
                <w:rFonts w:eastAsia="Arial"/>
                <w:b/>
                <w:szCs w:val="28"/>
                <w:lang w:val="uk-UA"/>
              </w:rPr>
              <w:t>MTBDRsl</w:t>
            </w:r>
            <w:proofErr w:type="spellEnd"/>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 xml:space="preserve">дослідження резистентності генотипу </w:t>
            </w:r>
            <w:proofErr w:type="spellStart"/>
            <w:r w:rsidRPr="00A3119B">
              <w:rPr>
                <w:rFonts w:eastAsia="Arial"/>
                <w:i/>
                <w:szCs w:val="28"/>
                <w:lang w:val="uk-UA"/>
              </w:rPr>
              <w:t>Mycobacterium</w:t>
            </w:r>
            <w:proofErr w:type="spellEnd"/>
            <w:r w:rsidRPr="00A3119B">
              <w:rPr>
                <w:rFonts w:eastAsia="Arial"/>
                <w:i/>
                <w:szCs w:val="28"/>
                <w:lang w:val="uk-UA"/>
              </w:rPr>
              <w:t xml:space="preserve"> </w:t>
            </w:r>
            <w:proofErr w:type="spellStart"/>
            <w:r w:rsidRPr="00A3119B">
              <w:rPr>
                <w:rFonts w:eastAsia="Arial"/>
                <w:i/>
                <w:szCs w:val="28"/>
                <w:lang w:val="uk-UA"/>
              </w:rPr>
              <w:t>tuberculosis</w:t>
            </w:r>
            <w:proofErr w:type="spellEnd"/>
            <w:r w:rsidRPr="00A3119B">
              <w:rPr>
                <w:rFonts w:eastAsia="Arial"/>
                <w:szCs w:val="28"/>
                <w:lang w:val="uk-UA"/>
              </w:rPr>
              <w:t xml:space="preserve"> до препаратів другого ряду (</w:t>
            </w:r>
            <w:proofErr w:type="spellStart"/>
            <w:r w:rsidRPr="00A3119B">
              <w:rPr>
                <w:rFonts w:eastAsia="Arial"/>
                <w:szCs w:val="28"/>
                <w:lang w:val="uk-UA"/>
              </w:rPr>
              <w:t>GenoType</w:t>
            </w:r>
            <w:proofErr w:type="spellEnd"/>
            <w:r w:rsidRPr="00A3119B">
              <w:rPr>
                <w:rFonts w:eastAsia="Arial"/>
                <w:szCs w:val="28"/>
                <w:lang w:val="uk-UA"/>
              </w:rPr>
              <w:t xml:space="preserve"> </w:t>
            </w:r>
            <w:proofErr w:type="spellStart"/>
            <w:r w:rsidRPr="00A3119B">
              <w:rPr>
                <w:rFonts w:eastAsia="Arial"/>
                <w:szCs w:val="28"/>
                <w:lang w:val="uk-UA"/>
              </w:rPr>
              <w:t>Mycobacterium</w:t>
            </w:r>
            <w:proofErr w:type="spellEnd"/>
            <w:r w:rsidRPr="00A3119B">
              <w:rPr>
                <w:rFonts w:eastAsia="Arial"/>
                <w:szCs w:val="28"/>
                <w:lang w:val="uk-UA"/>
              </w:rPr>
              <w:t xml:space="preserve"> </w:t>
            </w:r>
            <w:proofErr w:type="spellStart"/>
            <w:r w:rsidRPr="00A3119B">
              <w:rPr>
                <w:rFonts w:eastAsia="Arial"/>
                <w:szCs w:val="28"/>
                <w:lang w:val="uk-UA"/>
              </w:rPr>
              <w:t>tuberculosis</w:t>
            </w:r>
            <w:proofErr w:type="spellEnd"/>
            <w:r w:rsidRPr="00A3119B">
              <w:rPr>
                <w:rFonts w:eastAsia="Arial"/>
                <w:szCs w:val="28"/>
                <w:lang w:val="uk-UA"/>
              </w:rPr>
              <w:t xml:space="preserve"> </w:t>
            </w:r>
            <w:proofErr w:type="spellStart"/>
            <w:r w:rsidRPr="00A3119B">
              <w:rPr>
                <w:rFonts w:eastAsia="Arial"/>
                <w:szCs w:val="28"/>
                <w:lang w:val="uk-UA"/>
              </w:rPr>
              <w:t>drug-resistant</w:t>
            </w:r>
            <w:proofErr w:type="spellEnd"/>
            <w:r w:rsidRPr="00A3119B">
              <w:rPr>
                <w:rFonts w:eastAsia="Arial"/>
                <w:szCs w:val="28"/>
                <w:lang w:val="uk-UA"/>
              </w:rPr>
              <w:t xml:space="preserve"> </w:t>
            </w:r>
            <w:proofErr w:type="spellStart"/>
            <w:r w:rsidRPr="00A3119B">
              <w:rPr>
                <w:rFonts w:eastAsia="Arial"/>
                <w:szCs w:val="28"/>
                <w:lang w:val="uk-UA"/>
              </w:rPr>
              <w:t>second-line</w:t>
            </w:r>
            <w:proofErr w:type="spellEnd"/>
            <w:r w:rsidRPr="00A3119B">
              <w:rPr>
                <w:rFonts w:eastAsia="Arial"/>
                <w:szCs w:val="28"/>
                <w:lang w:val="uk-UA"/>
              </w:rPr>
              <w:t xml:space="preserve"> </w:t>
            </w:r>
            <w:proofErr w:type="spellStart"/>
            <w:r w:rsidRPr="00A3119B">
              <w:rPr>
                <w:rFonts w:eastAsia="Arial"/>
                <w:szCs w:val="28"/>
                <w:lang w:val="uk-UA"/>
              </w:rPr>
              <w:t>assay</w:t>
            </w:r>
            <w:proofErr w:type="spellEnd"/>
            <w:r w:rsidRPr="00A3119B">
              <w:rPr>
                <w:rFonts w:eastAsia="Arial"/>
                <w:szCs w:val="28"/>
                <w:lang w:val="uk-UA"/>
              </w:rPr>
              <w:t>)</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PICO</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населення, втручання, компаратор, результати</w:t>
            </w:r>
            <w:r w:rsidRPr="00A3119B">
              <w:rPr>
                <w:rFonts w:eastAsia="Arial"/>
                <w:szCs w:val="28"/>
                <w:lang w:val="uk-UA"/>
              </w:rPr>
              <w:br/>
              <w:t>(</w:t>
            </w:r>
            <w:proofErr w:type="spellStart"/>
            <w:r w:rsidRPr="00A3119B">
              <w:rPr>
                <w:rFonts w:eastAsia="Arial"/>
                <w:szCs w:val="28"/>
                <w:lang w:val="uk-UA"/>
              </w:rPr>
              <w:t>Population</w:t>
            </w:r>
            <w:proofErr w:type="spellEnd"/>
            <w:r w:rsidRPr="00A3119B">
              <w:rPr>
                <w:rFonts w:eastAsia="Arial"/>
                <w:szCs w:val="28"/>
                <w:lang w:val="uk-UA"/>
              </w:rPr>
              <w:t xml:space="preserve">, </w:t>
            </w:r>
            <w:proofErr w:type="spellStart"/>
            <w:r w:rsidRPr="00A3119B">
              <w:rPr>
                <w:rFonts w:eastAsia="Arial"/>
                <w:szCs w:val="28"/>
                <w:lang w:val="uk-UA"/>
              </w:rPr>
              <w:t>Intervention</w:t>
            </w:r>
            <w:proofErr w:type="spellEnd"/>
            <w:r w:rsidRPr="00A3119B">
              <w:rPr>
                <w:rFonts w:eastAsia="Arial"/>
                <w:szCs w:val="28"/>
                <w:lang w:val="uk-UA"/>
              </w:rPr>
              <w:t xml:space="preserve">, </w:t>
            </w:r>
            <w:proofErr w:type="spellStart"/>
            <w:r w:rsidRPr="00A3119B">
              <w:rPr>
                <w:rFonts w:eastAsia="Arial"/>
                <w:szCs w:val="28"/>
                <w:lang w:val="uk-UA"/>
              </w:rPr>
              <w:t>Comparator</w:t>
            </w:r>
            <w:proofErr w:type="spellEnd"/>
            <w:r w:rsidRPr="00A3119B">
              <w:rPr>
                <w:rFonts w:eastAsia="Arial"/>
                <w:szCs w:val="28"/>
                <w:lang w:val="uk-UA"/>
              </w:rPr>
              <w:t xml:space="preserve">, </w:t>
            </w:r>
            <w:proofErr w:type="spellStart"/>
            <w:r w:rsidRPr="00A3119B">
              <w:rPr>
                <w:rFonts w:eastAsia="Arial"/>
                <w:szCs w:val="28"/>
                <w:lang w:val="uk-UA"/>
              </w:rPr>
              <w:t>Outcomes</w:t>
            </w:r>
            <w:proofErr w:type="spellEnd"/>
            <w:r w:rsidRPr="00A3119B">
              <w:rPr>
                <w:rFonts w:eastAsia="Arial"/>
                <w:szCs w:val="28"/>
                <w:lang w:val="uk-UA"/>
              </w:rPr>
              <w:t>)</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SGOT</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 xml:space="preserve">глутамат </w:t>
            </w:r>
            <w:proofErr w:type="spellStart"/>
            <w:r w:rsidRPr="00A3119B">
              <w:rPr>
                <w:rFonts w:eastAsia="Arial"/>
                <w:szCs w:val="28"/>
                <w:lang w:val="uk-UA"/>
              </w:rPr>
              <w:t>оксалоацетат</w:t>
            </w:r>
            <w:proofErr w:type="spellEnd"/>
            <w:r w:rsidRPr="00A3119B">
              <w:rPr>
                <w:rFonts w:eastAsia="Arial"/>
                <w:szCs w:val="28"/>
                <w:lang w:val="uk-UA"/>
              </w:rPr>
              <w:t xml:space="preserve"> трансаміназа</w:t>
            </w:r>
            <w:r w:rsidRPr="00A3119B">
              <w:rPr>
                <w:rFonts w:eastAsia="Arial"/>
                <w:szCs w:val="28"/>
                <w:lang w:val="uk-UA"/>
              </w:rPr>
              <w:br/>
              <w:t>(</w:t>
            </w:r>
            <w:proofErr w:type="spellStart"/>
            <w:r w:rsidRPr="00A3119B">
              <w:rPr>
                <w:rFonts w:eastAsia="Arial"/>
                <w:szCs w:val="28"/>
                <w:lang w:val="uk-UA"/>
              </w:rPr>
              <w:t>serum</w:t>
            </w:r>
            <w:proofErr w:type="spellEnd"/>
            <w:r w:rsidRPr="00A3119B">
              <w:rPr>
                <w:rFonts w:eastAsia="Arial"/>
                <w:szCs w:val="28"/>
                <w:lang w:val="uk-UA"/>
              </w:rPr>
              <w:t xml:space="preserve"> </w:t>
            </w:r>
            <w:proofErr w:type="spellStart"/>
            <w:r w:rsidRPr="00A3119B">
              <w:rPr>
                <w:rFonts w:eastAsia="Arial"/>
                <w:szCs w:val="28"/>
                <w:lang w:val="uk-UA"/>
              </w:rPr>
              <w:t>glutamic</w:t>
            </w:r>
            <w:proofErr w:type="spellEnd"/>
            <w:r w:rsidRPr="00A3119B">
              <w:rPr>
                <w:rFonts w:eastAsia="Arial"/>
                <w:szCs w:val="28"/>
                <w:lang w:val="uk-UA"/>
              </w:rPr>
              <w:t xml:space="preserve"> </w:t>
            </w:r>
            <w:proofErr w:type="spellStart"/>
            <w:r w:rsidRPr="00A3119B">
              <w:rPr>
                <w:rFonts w:eastAsia="Arial"/>
                <w:szCs w:val="28"/>
                <w:lang w:val="uk-UA"/>
              </w:rPr>
              <w:t>oxaloacetic</w:t>
            </w:r>
            <w:proofErr w:type="spellEnd"/>
            <w:r w:rsidRPr="00A3119B">
              <w:rPr>
                <w:rFonts w:eastAsia="Arial"/>
                <w:szCs w:val="28"/>
                <w:lang w:val="uk-UA"/>
              </w:rPr>
              <w:t xml:space="preserve"> </w:t>
            </w:r>
            <w:proofErr w:type="spellStart"/>
            <w:r w:rsidRPr="00A3119B">
              <w:rPr>
                <w:rFonts w:eastAsia="Arial"/>
                <w:szCs w:val="28"/>
                <w:lang w:val="uk-UA"/>
              </w:rPr>
              <w:t>transaminase</w:t>
            </w:r>
            <w:proofErr w:type="spellEnd"/>
            <w:r w:rsidRPr="00A3119B">
              <w:rPr>
                <w:rFonts w:eastAsia="Arial"/>
                <w:szCs w:val="28"/>
                <w:lang w:val="uk-UA"/>
              </w:rPr>
              <w:t>)</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SMS</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послуга коротких повідомлень</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USAID</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Style w:val="21"/>
                <w:rFonts w:ascii="Times New Roman" w:hAnsi="Times New Roman" w:cs="Times New Roman"/>
                <w:color w:val="auto"/>
                <w:sz w:val="28"/>
                <w:szCs w:val="28"/>
              </w:rPr>
              <w:t>Агентство США з міжнародного розвитку</w:t>
            </w:r>
            <w:r w:rsidRPr="00A3119B">
              <w:rPr>
                <w:rStyle w:val="21"/>
                <w:rFonts w:ascii="Times New Roman" w:hAnsi="Times New Roman" w:cs="Times New Roman"/>
                <w:color w:val="auto"/>
                <w:sz w:val="28"/>
                <w:szCs w:val="28"/>
              </w:rPr>
              <w:br/>
              <w:t>(</w:t>
            </w:r>
            <w:proofErr w:type="spellStart"/>
            <w:r w:rsidRPr="00A3119B">
              <w:rPr>
                <w:rStyle w:val="21"/>
                <w:rFonts w:ascii="Times New Roman" w:hAnsi="Times New Roman" w:cs="Times New Roman"/>
                <w:color w:val="auto"/>
                <w:sz w:val="28"/>
                <w:szCs w:val="28"/>
              </w:rPr>
              <w:t>United</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States</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Agency</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for</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International</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Development</w:t>
            </w:r>
            <w:proofErr w:type="spellEnd"/>
            <w:r w:rsidRPr="00A3119B">
              <w:rPr>
                <w:rStyle w:val="21"/>
                <w:rFonts w:ascii="Times New Roman" w:hAnsi="Times New Roman" w:cs="Times New Roman"/>
                <w:color w:val="auto"/>
                <w:sz w:val="28"/>
                <w:szCs w:val="28"/>
              </w:rPr>
              <w:t>)</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VOT</w:t>
            </w:r>
          </w:p>
        </w:tc>
        <w:tc>
          <w:tcPr>
            <w:tcW w:w="7371" w:type="dxa"/>
          </w:tcPr>
          <w:p w:rsidR="00CD5C3F" w:rsidRPr="00A3119B" w:rsidRDefault="00CD5C3F" w:rsidP="00A3119B">
            <w:pPr>
              <w:spacing w:after="120" w:line="233" w:lineRule="auto"/>
              <w:ind w:firstLine="0"/>
              <w:jc w:val="left"/>
              <w:rPr>
                <w:rStyle w:val="21"/>
                <w:rFonts w:ascii="Times New Roman" w:hAnsi="Times New Roman" w:cs="Times New Roman"/>
                <w:color w:val="auto"/>
                <w:sz w:val="28"/>
                <w:szCs w:val="28"/>
              </w:rPr>
            </w:pPr>
            <w:r w:rsidRPr="00A3119B">
              <w:rPr>
                <w:rStyle w:val="21"/>
                <w:rFonts w:ascii="Times New Roman" w:hAnsi="Times New Roman" w:cs="Times New Roman"/>
                <w:color w:val="auto"/>
                <w:sz w:val="28"/>
                <w:szCs w:val="28"/>
              </w:rPr>
              <w:t>лікування під безпосереднім наглядом за допомогою відео</w:t>
            </w:r>
            <w:r w:rsidRPr="00A3119B">
              <w:rPr>
                <w:rStyle w:val="21"/>
                <w:rFonts w:ascii="Times New Roman" w:hAnsi="Times New Roman" w:cs="Times New Roman"/>
                <w:color w:val="auto"/>
                <w:sz w:val="28"/>
                <w:szCs w:val="28"/>
              </w:rPr>
              <w:br/>
              <w:t>(</w:t>
            </w:r>
            <w:proofErr w:type="spellStart"/>
            <w:r w:rsidRPr="00A3119B">
              <w:rPr>
                <w:rStyle w:val="21"/>
                <w:rFonts w:ascii="Times New Roman" w:hAnsi="Times New Roman" w:cs="Times New Roman"/>
                <w:color w:val="auto"/>
                <w:sz w:val="28"/>
                <w:szCs w:val="28"/>
              </w:rPr>
              <w:t>video-observed</w:t>
            </w:r>
            <w:proofErr w:type="spellEnd"/>
            <w:r w:rsidRPr="00A3119B">
              <w:rPr>
                <w:rStyle w:val="21"/>
                <w:rFonts w:ascii="Times New Roman" w:hAnsi="Times New Roman" w:cs="Times New Roman"/>
                <w:color w:val="auto"/>
                <w:sz w:val="28"/>
                <w:szCs w:val="28"/>
              </w:rPr>
              <w:t xml:space="preserve"> </w:t>
            </w:r>
            <w:proofErr w:type="spellStart"/>
            <w:r w:rsidRPr="00A3119B">
              <w:rPr>
                <w:rStyle w:val="21"/>
                <w:rFonts w:ascii="Times New Roman" w:hAnsi="Times New Roman" w:cs="Times New Roman"/>
                <w:color w:val="auto"/>
                <w:sz w:val="28"/>
                <w:szCs w:val="28"/>
              </w:rPr>
              <w:t>treatment</w:t>
            </w:r>
            <w:proofErr w:type="spellEnd"/>
            <w:r w:rsidRPr="00A3119B">
              <w:rPr>
                <w:rStyle w:val="21"/>
                <w:rFonts w:ascii="Times New Roman" w:hAnsi="Times New Roman" w:cs="Times New Roman"/>
                <w:color w:val="auto"/>
                <w:sz w:val="28"/>
                <w:szCs w:val="28"/>
              </w:rPr>
              <w:t>)</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АРТ</w:t>
            </w:r>
          </w:p>
        </w:tc>
        <w:tc>
          <w:tcPr>
            <w:tcW w:w="7371" w:type="dxa"/>
          </w:tcPr>
          <w:p w:rsidR="00CD5C3F" w:rsidRPr="00A3119B" w:rsidRDefault="00CD5C3F" w:rsidP="00A3119B">
            <w:pPr>
              <w:spacing w:after="120" w:line="233" w:lineRule="auto"/>
              <w:ind w:firstLine="0"/>
              <w:jc w:val="left"/>
              <w:rPr>
                <w:rFonts w:eastAsia="Arial"/>
                <w:szCs w:val="28"/>
                <w:lang w:val="uk-UA"/>
              </w:rPr>
            </w:pPr>
            <w:proofErr w:type="spellStart"/>
            <w:r w:rsidRPr="00A3119B">
              <w:rPr>
                <w:rFonts w:eastAsia="Arial"/>
                <w:szCs w:val="28"/>
                <w:lang w:val="uk-UA"/>
              </w:rPr>
              <w:t>антиретровірусна</w:t>
            </w:r>
            <w:proofErr w:type="spellEnd"/>
            <w:r w:rsidRPr="00A3119B">
              <w:rPr>
                <w:rFonts w:eastAsia="Arial"/>
                <w:szCs w:val="28"/>
                <w:lang w:val="uk-UA"/>
              </w:rPr>
              <w:t xml:space="preserve"> терапія</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АСТ</w:t>
            </w:r>
          </w:p>
        </w:tc>
        <w:tc>
          <w:tcPr>
            <w:tcW w:w="7371" w:type="dxa"/>
          </w:tcPr>
          <w:p w:rsidR="00CD5C3F" w:rsidRPr="00A3119B" w:rsidRDefault="00CD5C3F" w:rsidP="00A3119B">
            <w:pPr>
              <w:spacing w:after="120" w:line="233" w:lineRule="auto"/>
              <w:ind w:firstLine="0"/>
              <w:jc w:val="left"/>
              <w:rPr>
                <w:rFonts w:eastAsia="Arial"/>
                <w:szCs w:val="28"/>
                <w:lang w:val="uk-UA"/>
              </w:rPr>
            </w:pPr>
            <w:proofErr w:type="spellStart"/>
            <w:r w:rsidRPr="00A3119B">
              <w:rPr>
                <w:rFonts w:eastAsia="Arial"/>
                <w:szCs w:val="28"/>
                <w:lang w:val="uk-UA"/>
              </w:rPr>
              <w:t>аспартатамінотрансфераза</w:t>
            </w:r>
            <w:proofErr w:type="spellEnd"/>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АТТ</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 xml:space="preserve">Американське </w:t>
            </w:r>
            <w:proofErr w:type="spellStart"/>
            <w:r w:rsidRPr="00A3119B">
              <w:rPr>
                <w:rFonts w:eastAsia="Arial"/>
                <w:szCs w:val="28"/>
                <w:lang w:val="uk-UA"/>
              </w:rPr>
              <w:t>торакальне</w:t>
            </w:r>
            <w:proofErr w:type="spellEnd"/>
            <w:r w:rsidRPr="00A3119B">
              <w:rPr>
                <w:rFonts w:eastAsia="Arial"/>
                <w:szCs w:val="28"/>
                <w:lang w:val="uk-UA"/>
              </w:rPr>
              <w:t xml:space="preserve"> товариство</w:t>
            </w:r>
          </w:p>
        </w:tc>
      </w:tr>
      <w:tr w:rsidR="00A3119B" w:rsidRPr="00A3119B" w:rsidTr="00A3119B">
        <w:trPr>
          <w:trHeight w:val="516"/>
        </w:trPr>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ВІЛ</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вірус імунодефіциту людини</w:t>
            </w:r>
          </w:p>
        </w:tc>
      </w:tr>
      <w:tr w:rsidR="00A3119B" w:rsidRPr="00A3119B"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ВООЗ</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Всесвітня організація охорони здоров’я</w:t>
            </w:r>
          </w:p>
        </w:tc>
      </w:tr>
      <w:tr w:rsidR="00A3119B" w:rsidRPr="00850C2F" w:rsidTr="00A3119B">
        <w:tc>
          <w:tcPr>
            <w:tcW w:w="2376" w:type="dxa"/>
          </w:tcPr>
          <w:p w:rsidR="00CD5C3F" w:rsidRPr="00A3119B" w:rsidRDefault="00CD5C3F" w:rsidP="00A3119B">
            <w:pPr>
              <w:spacing w:after="120" w:line="233" w:lineRule="auto"/>
              <w:ind w:firstLine="0"/>
              <w:jc w:val="left"/>
              <w:rPr>
                <w:rFonts w:eastAsia="Arial"/>
                <w:b/>
                <w:szCs w:val="28"/>
                <w:lang w:val="uk-UA"/>
              </w:rPr>
            </w:pPr>
            <w:r w:rsidRPr="00A3119B">
              <w:rPr>
                <w:rFonts w:eastAsia="Arial"/>
                <w:b/>
                <w:szCs w:val="28"/>
                <w:lang w:val="uk-UA"/>
              </w:rPr>
              <w:t>ВООЗ/GTB</w:t>
            </w:r>
          </w:p>
        </w:tc>
        <w:tc>
          <w:tcPr>
            <w:tcW w:w="7371" w:type="dxa"/>
          </w:tcPr>
          <w:p w:rsidR="00CD5C3F" w:rsidRPr="00A3119B" w:rsidRDefault="00CD5C3F" w:rsidP="00A3119B">
            <w:pPr>
              <w:spacing w:after="120" w:line="233" w:lineRule="auto"/>
              <w:ind w:firstLine="0"/>
              <w:jc w:val="left"/>
              <w:rPr>
                <w:rFonts w:eastAsia="Arial"/>
                <w:szCs w:val="28"/>
                <w:lang w:val="uk-UA"/>
              </w:rPr>
            </w:pPr>
            <w:r w:rsidRPr="00A3119B">
              <w:rPr>
                <w:rFonts w:eastAsia="Arial"/>
                <w:szCs w:val="28"/>
                <w:lang w:val="uk-UA"/>
              </w:rPr>
              <w:t xml:space="preserve">Глобальна програма ВООЗ із боротьби з туберкульозом </w:t>
            </w:r>
            <w:r w:rsidRPr="00A3119B">
              <w:rPr>
                <w:rFonts w:eastAsia="Arial"/>
                <w:szCs w:val="28"/>
                <w:lang w:val="uk-UA"/>
              </w:rPr>
              <w:br/>
              <w:t>(</w:t>
            </w:r>
            <w:proofErr w:type="spellStart"/>
            <w:r w:rsidRPr="00A3119B">
              <w:rPr>
                <w:rFonts w:eastAsia="Arial"/>
                <w:szCs w:val="28"/>
                <w:lang w:val="uk-UA"/>
              </w:rPr>
              <w:t>Global</w:t>
            </w:r>
            <w:proofErr w:type="spellEnd"/>
            <w:r w:rsidRPr="00A3119B">
              <w:rPr>
                <w:rFonts w:eastAsia="Arial"/>
                <w:szCs w:val="28"/>
                <w:lang w:val="uk-UA"/>
              </w:rPr>
              <w:t xml:space="preserve"> </w:t>
            </w:r>
            <w:proofErr w:type="spellStart"/>
            <w:r w:rsidRPr="00A3119B">
              <w:rPr>
                <w:rFonts w:eastAsia="Arial"/>
                <w:szCs w:val="28"/>
                <w:lang w:val="uk-UA"/>
              </w:rPr>
              <w:t>Tuberculosis</w:t>
            </w:r>
            <w:proofErr w:type="spellEnd"/>
            <w:r w:rsidRPr="00A3119B">
              <w:rPr>
                <w:rFonts w:eastAsia="Arial"/>
                <w:szCs w:val="28"/>
                <w:lang w:val="uk-UA"/>
              </w:rPr>
              <w:t xml:space="preserve"> </w:t>
            </w:r>
            <w:proofErr w:type="spellStart"/>
            <w:r w:rsidRPr="00A3119B">
              <w:rPr>
                <w:rFonts w:eastAsia="Arial"/>
                <w:szCs w:val="28"/>
                <w:lang w:val="uk-UA"/>
              </w:rPr>
              <w:t>Programme</w:t>
            </w:r>
            <w:proofErr w:type="spellEnd"/>
            <w:r w:rsidRPr="00A3119B">
              <w:rPr>
                <w:rFonts w:eastAsia="Arial"/>
                <w:szCs w:val="28"/>
                <w:lang w:val="uk-UA"/>
              </w:rPr>
              <w:t>)</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lastRenderedPageBreak/>
              <w:t>ГЗР</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Група зовнішнього рецензування</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ГРН</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Група з розробки настанови</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ДІ</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довірчий інтервал (95%)</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ІДП</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індивідуальні дані пацієнтів</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proofErr w:type="spellStart"/>
            <w:r w:rsidRPr="00A3119B">
              <w:rPr>
                <w:rFonts w:eastAsia="Arial"/>
                <w:b/>
                <w:szCs w:val="28"/>
                <w:lang w:val="uk-UA"/>
              </w:rPr>
              <w:t>ІДПд</w:t>
            </w:r>
            <w:proofErr w:type="spellEnd"/>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індивідуальні дані дорослих пацієнтів</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КПН</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Комітет ВООЗ із перегляду настанов</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КПФД</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комбіновані препарати з фіксованим дозуванням</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ЛЖВ</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люди, які живуть з ВІЛ</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ЛС-ТБ</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лікарсько-стійкий туберкульоз</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ЛТБІ</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латентна туберкульозна інфекція</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МА ІДП</w:t>
            </w:r>
          </w:p>
        </w:tc>
        <w:tc>
          <w:tcPr>
            <w:tcW w:w="7371" w:type="dxa"/>
          </w:tcPr>
          <w:p w:rsidR="00CD5C3F" w:rsidRPr="00A3119B" w:rsidRDefault="00CD5C3F" w:rsidP="00823898">
            <w:pPr>
              <w:spacing w:after="120"/>
              <w:ind w:firstLine="0"/>
              <w:jc w:val="left"/>
              <w:rPr>
                <w:rFonts w:eastAsia="Arial"/>
                <w:szCs w:val="28"/>
                <w:lang w:val="uk-UA"/>
              </w:rPr>
            </w:pPr>
            <w:proofErr w:type="spellStart"/>
            <w:r w:rsidRPr="00A3119B">
              <w:rPr>
                <w:rFonts w:eastAsia="Arial"/>
                <w:szCs w:val="28"/>
                <w:lang w:val="uk-UA"/>
              </w:rPr>
              <w:t>метааналіз</w:t>
            </w:r>
            <w:proofErr w:type="spellEnd"/>
            <w:r w:rsidRPr="00A3119B">
              <w:rPr>
                <w:rFonts w:eastAsia="Arial"/>
                <w:szCs w:val="28"/>
                <w:lang w:val="uk-UA"/>
              </w:rPr>
              <w:t xml:space="preserve"> індивідуальних даних пацієнтів</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МР/</w:t>
            </w:r>
            <w:r w:rsidRPr="00A3119B">
              <w:rPr>
                <w:rFonts w:eastAsia="Times New Roman"/>
                <w:b/>
                <w:szCs w:val="28"/>
                <w:lang w:val="uk-UA"/>
              </w:rPr>
              <w:t>Риф</w:t>
            </w:r>
            <w:r w:rsidRPr="00A3119B">
              <w:rPr>
                <w:rFonts w:eastAsia="Arial"/>
                <w:b/>
                <w:szCs w:val="28"/>
                <w:lang w:val="uk-UA"/>
              </w:rPr>
              <w:t>-ТБ</w:t>
            </w:r>
          </w:p>
        </w:tc>
        <w:tc>
          <w:tcPr>
            <w:tcW w:w="7371" w:type="dxa"/>
          </w:tcPr>
          <w:p w:rsidR="00CD5C3F" w:rsidRPr="00A3119B" w:rsidRDefault="00CD5C3F" w:rsidP="00823898">
            <w:pPr>
              <w:spacing w:after="120"/>
              <w:ind w:firstLine="0"/>
              <w:jc w:val="left"/>
              <w:rPr>
                <w:rFonts w:eastAsia="Arial"/>
                <w:szCs w:val="28"/>
                <w:lang w:val="uk-UA"/>
              </w:rPr>
            </w:pPr>
            <w:proofErr w:type="spellStart"/>
            <w:r w:rsidRPr="00A3119B">
              <w:rPr>
                <w:rFonts w:eastAsia="Arial"/>
                <w:szCs w:val="28"/>
                <w:lang w:val="uk-UA"/>
              </w:rPr>
              <w:t>мультирезистентний</w:t>
            </w:r>
            <w:proofErr w:type="spellEnd"/>
            <w:r w:rsidRPr="00A3119B">
              <w:rPr>
                <w:rFonts w:eastAsia="Arial"/>
                <w:szCs w:val="28"/>
                <w:lang w:val="uk-UA"/>
              </w:rPr>
              <w:t>/</w:t>
            </w:r>
            <w:proofErr w:type="spellStart"/>
            <w:r w:rsidRPr="00A3119B">
              <w:rPr>
                <w:rFonts w:eastAsia="Arial"/>
                <w:szCs w:val="28"/>
                <w:lang w:val="uk-UA"/>
              </w:rPr>
              <w:t>рифампіцин</w:t>
            </w:r>
            <w:proofErr w:type="spellEnd"/>
            <w:r w:rsidRPr="00A3119B">
              <w:rPr>
                <w:rFonts w:eastAsia="Arial"/>
                <w:szCs w:val="28"/>
                <w:lang w:val="uk-UA"/>
              </w:rPr>
              <w:t>-резистентний туберкульоз</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МРТБ</w:t>
            </w:r>
          </w:p>
        </w:tc>
        <w:tc>
          <w:tcPr>
            <w:tcW w:w="7371" w:type="dxa"/>
          </w:tcPr>
          <w:p w:rsidR="00CD5C3F" w:rsidRPr="00A3119B" w:rsidRDefault="00CD5C3F" w:rsidP="00823898">
            <w:pPr>
              <w:spacing w:after="120"/>
              <w:ind w:firstLine="0"/>
              <w:jc w:val="left"/>
              <w:rPr>
                <w:rFonts w:eastAsia="Arial"/>
                <w:szCs w:val="28"/>
                <w:lang w:val="uk-UA"/>
              </w:rPr>
            </w:pPr>
            <w:proofErr w:type="spellStart"/>
            <w:r w:rsidRPr="00A3119B">
              <w:rPr>
                <w:rFonts w:eastAsia="Arial"/>
                <w:szCs w:val="28"/>
                <w:lang w:val="uk-UA"/>
              </w:rPr>
              <w:t>мультирезистентний</w:t>
            </w:r>
            <w:proofErr w:type="spellEnd"/>
            <w:r w:rsidRPr="00A3119B">
              <w:rPr>
                <w:rFonts w:eastAsia="Arial"/>
                <w:szCs w:val="28"/>
                <w:lang w:val="uk-UA"/>
              </w:rPr>
              <w:t xml:space="preserve"> туберкульоз </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proofErr w:type="spellStart"/>
            <w:r w:rsidRPr="00A3119B">
              <w:rPr>
                <w:rFonts w:eastAsia="Arial"/>
                <w:b/>
                <w:szCs w:val="28"/>
                <w:lang w:val="uk-UA"/>
              </w:rPr>
              <w:t>Нрез</w:t>
            </w:r>
            <w:proofErr w:type="spellEnd"/>
            <w:r w:rsidRPr="00A3119B">
              <w:rPr>
                <w:rFonts w:eastAsia="Arial"/>
                <w:b/>
                <w:szCs w:val="28"/>
                <w:lang w:val="uk-UA"/>
              </w:rPr>
              <w:t>-ТБ</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 xml:space="preserve">підтверджений чутливий до </w:t>
            </w:r>
            <w:proofErr w:type="spellStart"/>
            <w:r w:rsidRPr="00A3119B">
              <w:rPr>
                <w:rFonts w:eastAsia="Arial"/>
                <w:szCs w:val="28"/>
                <w:lang w:val="uk-UA"/>
              </w:rPr>
              <w:t>рифампіцину</w:t>
            </w:r>
            <w:proofErr w:type="spellEnd"/>
            <w:r w:rsidRPr="00A3119B">
              <w:rPr>
                <w:rFonts w:eastAsia="Arial"/>
                <w:szCs w:val="28"/>
                <w:lang w:val="uk-UA"/>
              </w:rPr>
              <w:t xml:space="preserve">, </w:t>
            </w:r>
            <w:r w:rsidRPr="00A3119B">
              <w:rPr>
                <w:rFonts w:eastAsia="Arial"/>
                <w:szCs w:val="28"/>
                <w:lang w:val="uk-UA"/>
              </w:rPr>
              <w:br/>
              <w:t xml:space="preserve">резистентний до </w:t>
            </w:r>
            <w:proofErr w:type="spellStart"/>
            <w:r w:rsidRPr="00A3119B">
              <w:rPr>
                <w:rFonts w:eastAsia="Arial"/>
                <w:szCs w:val="28"/>
                <w:lang w:val="uk-UA"/>
              </w:rPr>
              <w:t>ізоніазиду</w:t>
            </w:r>
            <w:proofErr w:type="spellEnd"/>
            <w:r w:rsidRPr="00A3119B">
              <w:rPr>
                <w:rFonts w:eastAsia="Arial"/>
                <w:szCs w:val="28"/>
                <w:lang w:val="uk-UA"/>
              </w:rPr>
              <w:t xml:space="preserve"> туберкульоз</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ПТП</w:t>
            </w:r>
          </w:p>
        </w:tc>
        <w:tc>
          <w:tcPr>
            <w:tcW w:w="7371" w:type="dxa"/>
          </w:tcPr>
          <w:p w:rsidR="00CD5C3F" w:rsidRPr="00A3119B" w:rsidRDefault="00CD5C3F" w:rsidP="00A3119B">
            <w:pPr>
              <w:spacing w:after="120"/>
              <w:ind w:firstLine="0"/>
              <w:jc w:val="left"/>
              <w:rPr>
                <w:rFonts w:eastAsia="Arial"/>
                <w:szCs w:val="28"/>
                <w:lang w:val="uk-UA"/>
              </w:rPr>
            </w:pPr>
            <w:r w:rsidRPr="00A3119B">
              <w:rPr>
                <w:rFonts w:eastAsia="Arial"/>
                <w:szCs w:val="28"/>
                <w:lang w:val="uk-UA"/>
              </w:rPr>
              <w:t>протитуберкульозний препарат</w:t>
            </w:r>
          </w:p>
        </w:tc>
      </w:tr>
      <w:tr w:rsidR="00A3119B" w:rsidRPr="00A3119B" w:rsidTr="00A3119B">
        <w:tc>
          <w:tcPr>
            <w:tcW w:w="2376" w:type="dxa"/>
            <w:shd w:val="clear" w:color="auto" w:fill="auto"/>
          </w:tcPr>
          <w:p w:rsidR="00CD5C3F" w:rsidRPr="00A3119B" w:rsidRDefault="00CD5C3F" w:rsidP="00823898">
            <w:pPr>
              <w:spacing w:after="120"/>
              <w:ind w:firstLine="0"/>
              <w:jc w:val="left"/>
              <w:rPr>
                <w:rFonts w:eastAsia="Arial"/>
                <w:b/>
                <w:szCs w:val="28"/>
                <w:lang w:val="uk-UA"/>
              </w:rPr>
            </w:pPr>
            <w:r w:rsidRPr="00A3119B">
              <w:rPr>
                <w:rFonts w:eastAsia="Times New Roman"/>
                <w:b/>
                <w:szCs w:val="28"/>
                <w:lang w:val="uk-UA"/>
              </w:rPr>
              <w:t>Риф</w:t>
            </w:r>
            <w:r w:rsidRPr="00A3119B">
              <w:rPr>
                <w:rFonts w:eastAsia="Arial"/>
                <w:b/>
                <w:szCs w:val="28"/>
                <w:lang w:val="uk-UA"/>
              </w:rPr>
              <w:t>-ТБ</w:t>
            </w:r>
          </w:p>
        </w:tc>
        <w:tc>
          <w:tcPr>
            <w:tcW w:w="7371" w:type="dxa"/>
          </w:tcPr>
          <w:p w:rsidR="00CD5C3F" w:rsidRPr="00A3119B" w:rsidRDefault="00CD5C3F" w:rsidP="00823898">
            <w:pPr>
              <w:spacing w:after="120"/>
              <w:ind w:firstLine="0"/>
              <w:jc w:val="left"/>
              <w:rPr>
                <w:rFonts w:eastAsia="Arial"/>
                <w:szCs w:val="28"/>
                <w:lang w:val="uk-UA"/>
              </w:rPr>
            </w:pPr>
            <w:proofErr w:type="spellStart"/>
            <w:r w:rsidRPr="00A3119B">
              <w:rPr>
                <w:rFonts w:eastAsia="Arial"/>
                <w:szCs w:val="28"/>
                <w:lang w:val="uk-UA"/>
              </w:rPr>
              <w:t>рифампіцин</w:t>
            </w:r>
            <w:proofErr w:type="spellEnd"/>
            <w:r w:rsidRPr="00A3119B">
              <w:rPr>
                <w:rFonts w:eastAsia="Arial"/>
                <w:szCs w:val="28"/>
                <w:lang w:val="uk-UA"/>
              </w:rPr>
              <w:t>-резистентний туберкульоз</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РКД</w:t>
            </w:r>
          </w:p>
        </w:tc>
        <w:tc>
          <w:tcPr>
            <w:tcW w:w="7371" w:type="dxa"/>
          </w:tcPr>
          <w:p w:rsidR="00CD5C3F" w:rsidRPr="00A3119B" w:rsidRDefault="00CD5C3F" w:rsidP="00823898">
            <w:pPr>
              <w:spacing w:after="120"/>
              <w:ind w:firstLine="0"/>
              <w:jc w:val="left"/>
              <w:rPr>
                <w:rFonts w:eastAsia="Arial"/>
                <w:szCs w:val="28"/>
                <w:lang w:val="uk-UA"/>
              </w:rPr>
            </w:pPr>
            <w:proofErr w:type="spellStart"/>
            <w:r w:rsidRPr="00A3119B">
              <w:rPr>
                <w:rFonts w:eastAsia="Arial"/>
                <w:szCs w:val="28"/>
                <w:lang w:val="uk-UA"/>
              </w:rPr>
              <w:t>рандомізоване</w:t>
            </w:r>
            <w:proofErr w:type="spellEnd"/>
            <w:r w:rsidRPr="00A3119B">
              <w:rPr>
                <w:rFonts w:eastAsia="Arial"/>
                <w:szCs w:val="28"/>
                <w:lang w:val="uk-UA"/>
              </w:rPr>
              <w:t xml:space="preserve"> контрольоване дослідження</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СНІД</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синдром набутого імунодефіциту</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СНЯ</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серйозні небажані явища</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ТБ</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туберкульоз</w:t>
            </w:r>
          </w:p>
        </w:tc>
      </w:tr>
      <w:tr w:rsidR="00A3119B" w:rsidRPr="00A3119B" w:rsidTr="00A3119B">
        <w:tc>
          <w:tcPr>
            <w:tcW w:w="2376" w:type="dxa"/>
          </w:tcPr>
          <w:p w:rsidR="00CD5C3F" w:rsidRPr="00A3119B" w:rsidRDefault="00CD5C3F" w:rsidP="00823898">
            <w:pPr>
              <w:spacing w:after="120"/>
              <w:ind w:firstLine="0"/>
              <w:jc w:val="left"/>
              <w:rPr>
                <w:b/>
                <w:szCs w:val="28"/>
                <w:lang w:val="uk-UA"/>
              </w:rPr>
            </w:pPr>
            <w:r w:rsidRPr="00A3119B">
              <w:rPr>
                <w:rFonts w:eastAsia="Arial"/>
                <w:b/>
                <w:szCs w:val="28"/>
                <w:lang w:val="uk-UA"/>
              </w:rPr>
              <w:t>ТБ-ШМР</w:t>
            </w:r>
          </w:p>
        </w:tc>
        <w:tc>
          <w:tcPr>
            <w:tcW w:w="7371" w:type="dxa"/>
          </w:tcPr>
          <w:p w:rsidR="00CD5C3F" w:rsidRPr="00A3119B" w:rsidRDefault="00CD5C3F" w:rsidP="00823898">
            <w:pPr>
              <w:spacing w:after="120"/>
              <w:ind w:firstLine="0"/>
              <w:jc w:val="left"/>
              <w:rPr>
                <w:szCs w:val="28"/>
                <w:lang w:val="uk-UA"/>
              </w:rPr>
            </w:pPr>
            <w:r w:rsidRPr="00A3119B">
              <w:rPr>
                <w:rFonts w:eastAsia="Arial"/>
                <w:szCs w:val="28"/>
                <w:lang w:val="uk-UA"/>
              </w:rPr>
              <w:t>туберкульоз із широкою медикаментозною резистентністю</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ТМЧ</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тест на медикаментозну чутливість</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ФК/ФД</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фармакокінетика/</w:t>
            </w:r>
            <w:proofErr w:type="spellStart"/>
            <w:r w:rsidRPr="00A3119B">
              <w:rPr>
                <w:rFonts w:eastAsia="Arial"/>
                <w:szCs w:val="28"/>
                <w:lang w:val="uk-UA"/>
              </w:rPr>
              <w:t>фармакодинаміка</w:t>
            </w:r>
            <w:proofErr w:type="spellEnd"/>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ЦКЗ</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Центри з контролю та профілактики захворювань США</w:t>
            </w:r>
          </w:p>
        </w:tc>
      </w:tr>
      <w:tr w:rsidR="00A3119B" w:rsidRPr="00A3119B" w:rsidTr="00A3119B">
        <w:tc>
          <w:tcPr>
            <w:tcW w:w="2376" w:type="dxa"/>
          </w:tcPr>
          <w:p w:rsidR="00CD5C3F" w:rsidRPr="00A3119B" w:rsidRDefault="00CD5C3F" w:rsidP="00823898">
            <w:pPr>
              <w:spacing w:after="120"/>
              <w:ind w:firstLine="0"/>
              <w:jc w:val="left"/>
              <w:rPr>
                <w:rFonts w:eastAsia="Arial"/>
                <w:b/>
                <w:szCs w:val="28"/>
                <w:lang w:val="uk-UA"/>
              </w:rPr>
            </w:pPr>
            <w:r w:rsidRPr="00A3119B">
              <w:rPr>
                <w:rFonts w:eastAsia="Arial"/>
                <w:b/>
                <w:szCs w:val="28"/>
                <w:lang w:val="uk-UA"/>
              </w:rPr>
              <w:t>ЦНС</w:t>
            </w:r>
          </w:p>
        </w:tc>
        <w:tc>
          <w:tcPr>
            <w:tcW w:w="7371" w:type="dxa"/>
          </w:tcPr>
          <w:p w:rsidR="00CD5C3F" w:rsidRPr="00A3119B" w:rsidRDefault="00CD5C3F" w:rsidP="00823898">
            <w:pPr>
              <w:spacing w:after="120"/>
              <w:ind w:firstLine="0"/>
              <w:jc w:val="left"/>
              <w:rPr>
                <w:rFonts w:eastAsia="Arial"/>
                <w:szCs w:val="28"/>
                <w:lang w:val="uk-UA"/>
              </w:rPr>
            </w:pPr>
            <w:r w:rsidRPr="00A3119B">
              <w:rPr>
                <w:rFonts w:eastAsia="Arial"/>
                <w:szCs w:val="28"/>
                <w:lang w:val="uk-UA"/>
              </w:rPr>
              <w:t>центральна нервова система</w:t>
            </w:r>
          </w:p>
        </w:tc>
      </w:tr>
      <w:bookmarkEnd w:id="4"/>
    </w:tbl>
    <w:p w:rsidR="004B5B7F" w:rsidRPr="00ED35A9" w:rsidRDefault="004B5B7F" w:rsidP="000E0B10">
      <w:pPr>
        <w:rPr>
          <w:rFonts w:cs="Times New Roman"/>
          <w:szCs w:val="28"/>
          <w:lang w:val="uk-UA"/>
        </w:rPr>
      </w:pPr>
      <w:r w:rsidRPr="00ED35A9">
        <w:rPr>
          <w:rFonts w:cs="Times New Roman"/>
          <w:szCs w:val="28"/>
          <w:lang w:val="uk-UA"/>
        </w:rPr>
        <w:br w:type="page"/>
      </w:r>
    </w:p>
    <w:p w:rsidR="004B5B7F" w:rsidRPr="00ED35A9" w:rsidRDefault="004B5B7F" w:rsidP="00823898">
      <w:pPr>
        <w:pStyle w:val="1"/>
        <w:rPr>
          <w:lang w:val="uk-UA"/>
        </w:rPr>
      </w:pPr>
      <w:bookmarkStart w:id="5" w:name="_Toc18416316"/>
      <w:bookmarkStart w:id="6" w:name="_Toc417570565"/>
      <w:r w:rsidRPr="00ED35A9">
        <w:rPr>
          <w:lang w:val="uk-UA"/>
        </w:rPr>
        <w:lastRenderedPageBreak/>
        <w:t>Визначення основних термінів</w:t>
      </w:r>
      <w:bookmarkEnd w:id="5"/>
    </w:p>
    <w:p w:rsidR="004B5B7F" w:rsidRPr="00ED35A9" w:rsidRDefault="004B5B7F" w:rsidP="000E0B10">
      <w:pPr>
        <w:rPr>
          <w:rFonts w:cs="Times New Roman"/>
          <w:szCs w:val="28"/>
          <w:lang w:val="uk-UA"/>
        </w:rPr>
      </w:pPr>
      <w:r w:rsidRPr="00ED35A9">
        <w:rPr>
          <w:rFonts w:cs="Times New Roman"/>
          <w:b/>
          <w:szCs w:val="28"/>
          <w:lang w:val="uk-UA"/>
        </w:rPr>
        <w:t xml:space="preserve">Довгострокові схеми лікування </w:t>
      </w:r>
      <w:proofErr w:type="spellStart"/>
      <w:r w:rsidRPr="00ED35A9">
        <w:rPr>
          <w:rFonts w:cs="Times New Roman"/>
          <w:b/>
          <w:szCs w:val="28"/>
          <w:lang w:val="uk-UA"/>
        </w:rPr>
        <w:t>мультирезистентного</w:t>
      </w:r>
      <w:proofErr w:type="spellEnd"/>
      <w:r w:rsidRPr="00ED35A9">
        <w:rPr>
          <w:rFonts w:cs="Times New Roman"/>
          <w:b/>
          <w:szCs w:val="28"/>
          <w:lang w:val="uk-UA"/>
        </w:rPr>
        <w:t xml:space="preserve"> туберкульозу</w:t>
      </w:r>
      <w:r w:rsidRPr="00ED35A9">
        <w:rPr>
          <w:rFonts w:cs="Times New Roman"/>
          <w:szCs w:val="28"/>
          <w:lang w:val="uk-UA"/>
        </w:rPr>
        <w:t xml:space="preserve"> – це схеми, що використовують для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w:t>
      </w:r>
      <w:proofErr w:type="spellStart"/>
      <w:r w:rsidRPr="00ED35A9">
        <w:rPr>
          <w:rFonts w:cs="Times New Roman"/>
          <w:szCs w:val="28"/>
          <w:lang w:val="uk-UA"/>
        </w:rPr>
        <w:t>рифампіцин</w:t>
      </w:r>
      <w:proofErr w:type="spellEnd"/>
      <w:r w:rsidRPr="00ED35A9">
        <w:rPr>
          <w:rFonts w:cs="Times New Roman"/>
          <w:szCs w:val="28"/>
          <w:lang w:val="uk-UA"/>
        </w:rPr>
        <w:t>-резистентного туберкульозу. Вони тривають 18 міс або більше, можуть бути стандартизованими або індивідуалізованими. Такі схеми зазвичай розробляють із включенням мінімальної кількості протитуберкульозних препаратів другого ряду, які вважаються ефективними на основі історії хвороби або даних медикаментозної резистентності. Характеристики та показання для застосування таких схем детальніше розглянуто у розділах 2 і 3 даної настанови частини «Рекомендації та коментарі». Раніше для визначення таких схем використовували термін «стандартні», проте у 2016 р</w:t>
      </w:r>
      <w:r w:rsidR="009F6706" w:rsidRPr="00ED35A9">
        <w:rPr>
          <w:rFonts w:cs="Times New Roman"/>
          <w:szCs w:val="28"/>
          <w:lang w:val="uk-UA"/>
        </w:rPr>
        <w:t>.</w:t>
      </w:r>
      <w:r w:rsidRPr="00ED35A9">
        <w:rPr>
          <w:rFonts w:cs="Times New Roman"/>
          <w:szCs w:val="28"/>
          <w:lang w:val="uk-UA"/>
        </w:rPr>
        <w:t xml:space="preserve"> його вживання припинили.</w:t>
      </w:r>
    </w:p>
    <w:p w:rsidR="004B5B7F" w:rsidRPr="00ED35A9" w:rsidRDefault="004B5B7F" w:rsidP="000E0B10">
      <w:pPr>
        <w:rPr>
          <w:rFonts w:cs="Times New Roman"/>
          <w:szCs w:val="28"/>
          <w:lang w:val="uk-UA"/>
        </w:rPr>
      </w:pPr>
      <w:proofErr w:type="spellStart"/>
      <w:r w:rsidRPr="00ED35A9">
        <w:rPr>
          <w:rFonts w:cs="Times New Roman"/>
          <w:b/>
          <w:szCs w:val="28"/>
          <w:lang w:val="uk-UA"/>
        </w:rPr>
        <w:t>Ізоніазид</w:t>
      </w:r>
      <w:proofErr w:type="spellEnd"/>
      <w:r w:rsidRPr="00ED35A9">
        <w:rPr>
          <w:rFonts w:cs="Times New Roman"/>
          <w:b/>
          <w:szCs w:val="28"/>
          <w:lang w:val="uk-UA"/>
        </w:rPr>
        <w:t>-резистентний туберкульоз (</w:t>
      </w:r>
      <w:proofErr w:type="spellStart"/>
      <w:r w:rsidRPr="00ED35A9">
        <w:rPr>
          <w:rFonts w:cs="Times New Roman"/>
          <w:b/>
          <w:szCs w:val="28"/>
          <w:lang w:val="uk-UA"/>
        </w:rPr>
        <w:t>Hрез</w:t>
      </w:r>
      <w:proofErr w:type="spellEnd"/>
      <w:r w:rsidRPr="00ED35A9">
        <w:rPr>
          <w:rFonts w:cs="Times New Roman"/>
          <w:b/>
          <w:szCs w:val="28"/>
          <w:lang w:val="uk-UA"/>
        </w:rPr>
        <w:t>-ТБ)</w:t>
      </w:r>
      <w:r w:rsidRPr="00ED35A9">
        <w:rPr>
          <w:rFonts w:cs="Times New Roman"/>
          <w:szCs w:val="28"/>
          <w:lang w:val="uk-UA"/>
        </w:rPr>
        <w:t xml:space="preserve"> означає наявність штамів </w:t>
      </w:r>
      <w:proofErr w:type="spellStart"/>
      <w:r w:rsidRPr="00ED35A9">
        <w:rPr>
          <w:rFonts w:cs="Times New Roman"/>
          <w:i/>
          <w:szCs w:val="28"/>
          <w:lang w:val="uk-UA"/>
        </w:rPr>
        <w:t>Mycobacterium</w:t>
      </w:r>
      <w:proofErr w:type="spellEnd"/>
      <w:r w:rsidRPr="00ED35A9">
        <w:rPr>
          <w:rFonts w:cs="Times New Roman"/>
          <w:i/>
          <w:szCs w:val="28"/>
          <w:lang w:val="uk-UA"/>
        </w:rPr>
        <w:t xml:space="preserve"> </w:t>
      </w:r>
      <w:proofErr w:type="spellStart"/>
      <w:r w:rsidRPr="00ED35A9">
        <w:rPr>
          <w:rFonts w:cs="Times New Roman"/>
          <w:i/>
          <w:szCs w:val="28"/>
          <w:lang w:val="uk-UA"/>
        </w:rPr>
        <w:t>tuberculosis</w:t>
      </w:r>
      <w:proofErr w:type="spellEnd"/>
      <w:r w:rsidRPr="00ED35A9">
        <w:rPr>
          <w:rFonts w:cs="Times New Roman"/>
          <w:szCs w:val="28"/>
          <w:lang w:val="uk-UA"/>
        </w:rPr>
        <w:t xml:space="preserve">, які мають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 чутливість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що було підтверджено </w:t>
      </w:r>
      <w:proofErr w:type="spellStart"/>
      <w:r w:rsidRPr="00ED35A9">
        <w:rPr>
          <w:rFonts w:cs="Times New Roman"/>
          <w:i/>
          <w:szCs w:val="28"/>
          <w:lang w:val="uk-UA"/>
        </w:rPr>
        <w:t>in</w:t>
      </w:r>
      <w:proofErr w:type="spellEnd"/>
      <w:r w:rsidRPr="00ED35A9">
        <w:rPr>
          <w:rFonts w:cs="Times New Roman"/>
          <w:i/>
          <w:szCs w:val="28"/>
          <w:lang w:val="uk-UA"/>
        </w:rPr>
        <w:t xml:space="preserve"> </w:t>
      </w:r>
      <w:proofErr w:type="spellStart"/>
      <w:r w:rsidRPr="00ED35A9">
        <w:rPr>
          <w:rFonts w:cs="Times New Roman"/>
          <w:i/>
          <w:szCs w:val="28"/>
          <w:lang w:val="uk-UA"/>
        </w:rPr>
        <w:t>vitro</w:t>
      </w:r>
      <w:proofErr w:type="spellEnd"/>
      <w:r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b/>
          <w:szCs w:val="28"/>
          <w:lang w:val="uk-UA"/>
        </w:rPr>
        <w:t>Інтенсивна (або ін’єкційна) фаза лікування</w:t>
      </w:r>
      <w:r w:rsidRPr="00ED35A9">
        <w:rPr>
          <w:rFonts w:cs="Times New Roman"/>
          <w:szCs w:val="28"/>
          <w:lang w:val="uk-UA"/>
        </w:rPr>
        <w:t xml:space="preserve"> (як це поняття застосовується у даній настанові та </w:t>
      </w:r>
      <w:r w:rsidR="009F6706" w:rsidRPr="00ED35A9">
        <w:rPr>
          <w:rFonts w:cs="Times New Roman"/>
          <w:szCs w:val="28"/>
          <w:lang w:val="uk-UA"/>
        </w:rPr>
        <w:t>в</w:t>
      </w:r>
      <w:r w:rsidRPr="00ED35A9">
        <w:rPr>
          <w:rFonts w:cs="Times New Roman"/>
          <w:szCs w:val="28"/>
          <w:lang w:val="uk-UA"/>
        </w:rPr>
        <w:t xml:space="preserve"> оглядах доказових даних, на яких базуються рекомендації) – це початкова фаза коротшого або більш тривалого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під час якої застосовують ін’єкційний препарат – </w:t>
      </w:r>
      <w:proofErr w:type="spellStart"/>
      <w:r w:rsidRPr="00ED35A9">
        <w:rPr>
          <w:rFonts w:cs="Times New Roman"/>
          <w:szCs w:val="28"/>
          <w:lang w:val="uk-UA"/>
        </w:rPr>
        <w:t>амікацин</w:t>
      </w:r>
      <w:proofErr w:type="spellEnd"/>
      <w:r w:rsidRPr="00ED35A9">
        <w:rPr>
          <w:rFonts w:cs="Times New Roman"/>
          <w:szCs w:val="28"/>
          <w:lang w:val="uk-UA"/>
        </w:rPr>
        <w:t xml:space="preserve">, </w:t>
      </w:r>
      <w:proofErr w:type="spellStart"/>
      <w:r w:rsidRPr="00ED35A9">
        <w:rPr>
          <w:rFonts w:cs="Times New Roman"/>
          <w:szCs w:val="28"/>
          <w:lang w:val="uk-UA"/>
        </w:rPr>
        <w:t>капреоміцин</w:t>
      </w:r>
      <w:proofErr w:type="spellEnd"/>
      <w:r w:rsidRPr="00ED35A9">
        <w:rPr>
          <w:rFonts w:cs="Times New Roman"/>
          <w:szCs w:val="28"/>
          <w:lang w:val="uk-UA"/>
        </w:rPr>
        <w:t xml:space="preserve">, </w:t>
      </w:r>
      <w:proofErr w:type="spellStart"/>
      <w:r w:rsidRPr="00ED35A9">
        <w:rPr>
          <w:rFonts w:cs="Times New Roman"/>
          <w:szCs w:val="28"/>
          <w:lang w:val="uk-UA"/>
        </w:rPr>
        <w:t>канаміцин</w:t>
      </w:r>
      <w:proofErr w:type="spellEnd"/>
      <w:r w:rsidRPr="00ED35A9">
        <w:rPr>
          <w:rFonts w:cs="Times New Roman"/>
          <w:szCs w:val="28"/>
          <w:lang w:val="uk-UA"/>
        </w:rPr>
        <w:t xml:space="preserve"> або стрептоміцин. Схеми без ін’єкційного препарату вважають такими, що не мають інтенсивної фази.</w:t>
      </w:r>
    </w:p>
    <w:p w:rsidR="004B5B7F" w:rsidRPr="00ED35A9" w:rsidRDefault="004B5B7F" w:rsidP="000E0B10">
      <w:pPr>
        <w:rPr>
          <w:rFonts w:cs="Times New Roman"/>
          <w:szCs w:val="28"/>
          <w:lang w:val="uk-UA"/>
        </w:rPr>
      </w:pPr>
      <w:r w:rsidRPr="00ED35A9">
        <w:rPr>
          <w:rFonts w:cs="Times New Roman"/>
          <w:b/>
          <w:szCs w:val="28"/>
          <w:lang w:val="uk-UA"/>
        </w:rPr>
        <w:t xml:space="preserve">Короткострокова схема лікування </w:t>
      </w:r>
      <w:proofErr w:type="spellStart"/>
      <w:r w:rsidRPr="00ED35A9">
        <w:rPr>
          <w:rFonts w:cs="Times New Roman"/>
          <w:b/>
          <w:szCs w:val="28"/>
          <w:lang w:val="uk-UA"/>
        </w:rPr>
        <w:t>мультирезистентного</w:t>
      </w:r>
      <w:proofErr w:type="spellEnd"/>
      <w:r w:rsidRPr="00ED35A9">
        <w:rPr>
          <w:rFonts w:cs="Times New Roman"/>
          <w:b/>
          <w:szCs w:val="28"/>
          <w:lang w:val="uk-UA"/>
        </w:rPr>
        <w:t xml:space="preserve"> туберкульозу</w:t>
      </w:r>
      <w:r w:rsidRPr="00ED35A9">
        <w:rPr>
          <w:rFonts w:cs="Times New Roman"/>
          <w:szCs w:val="28"/>
          <w:lang w:val="uk-UA"/>
        </w:rPr>
        <w:t xml:space="preserve"> означає курс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w:t>
      </w:r>
      <w:proofErr w:type="spellStart"/>
      <w:r w:rsidRPr="00ED35A9">
        <w:rPr>
          <w:rFonts w:cs="Times New Roman"/>
          <w:szCs w:val="28"/>
          <w:lang w:val="uk-UA"/>
        </w:rPr>
        <w:t>рифампіцин</w:t>
      </w:r>
      <w:proofErr w:type="spellEnd"/>
      <w:r w:rsidRPr="00ED35A9">
        <w:rPr>
          <w:rFonts w:cs="Times New Roman"/>
          <w:szCs w:val="28"/>
          <w:lang w:val="uk-UA"/>
        </w:rPr>
        <w:t>-резистентного туберкульозу, що триває 9–12 міс, є переважно стандартизованим, а також має склад і тривалість, максимально наближену до тих, по яких є документовані доказові дані. Характеристики та показання для застосування такої схеми детальніше розглянуто у розділі 4 даної настанови частини «Рекомендації та коментарі».</w:t>
      </w:r>
    </w:p>
    <w:p w:rsidR="004B5B7F" w:rsidRPr="00ED35A9" w:rsidRDefault="004B5B7F" w:rsidP="000E0B10">
      <w:pPr>
        <w:rPr>
          <w:rFonts w:cs="Times New Roman"/>
          <w:szCs w:val="28"/>
          <w:lang w:val="uk-UA"/>
        </w:rPr>
      </w:pPr>
      <w:r w:rsidRPr="00ED35A9">
        <w:rPr>
          <w:rFonts w:cs="Times New Roman"/>
          <w:b/>
          <w:szCs w:val="28"/>
          <w:lang w:val="uk-UA"/>
        </w:rPr>
        <w:t>Новий випадок</w:t>
      </w:r>
      <w:r w:rsidRPr="00ED35A9">
        <w:rPr>
          <w:rFonts w:cs="Times New Roman"/>
          <w:szCs w:val="28"/>
          <w:lang w:val="uk-UA"/>
        </w:rPr>
        <w:t xml:space="preserve"> визначається як </w:t>
      </w:r>
      <w:proofErr w:type="spellStart"/>
      <w:r w:rsidRPr="00ED35A9">
        <w:rPr>
          <w:rFonts w:cs="Times New Roman"/>
          <w:szCs w:val="28"/>
          <w:lang w:val="uk-UA"/>
        </w:rPr>
        <w:t>новозареєстрований</w:t>
      </w:r>
      <w:proofErr w:type="spellEnd"/>
      <w:r w:rsidRPr="00ED35A9">
        <w:rPr>
          <w:rFonts w:cs="Times New Roman"/>
          <w:szCs w:val="28"/>
          <w:lang w:val="uk-UA"/>
        </w:rPr>
        <w:t xml:space="preserve"> епізод туберкульозу в пацієнта, який раніше ніколи не проходив протитуберкульозне лікування або приймав протитуберкульозні препарати менше 1</w:t>
      </w:r>
      <w:r w:rsidR="00F87383" w:rsidRPr="00ED35A9">
        <w:rPr>
          <w:rFonts w:cs="Times New Roman"/>
          <w:szCs w:val="28"/>
          <w:lang w:val="uk-UA"/>
        </w:rPr>
        <w:t> </w:t>
      </w:r>
      <w:r w:rsidRPr="00ED35A9">
        <w:rPr>
          <w:rFonts w:cs="Times New Roman"/>
          <w:szCs w:val="28"/>
          <w:lang w:val="uk-UA"/>
        </w:rPr>
        <w:t>міс.</w:t>
      </w:r>
    </w:p>
    <w:p w:rsidR="004B5B7F" w:rsidRPr="00ED35A9" w:rsidRDefault="004B5B7F" w:rsidP="000E0B10">
      <w:pPr>
        <w:rPr>
          <w:rFonts w:cs="Times New Roman"/>
          <w:szCs w:val="28"/>
          <w:lang w:val="uk-UA"/>
        </w:rPr>
      </w:pPr>
      <w:proofErr w:type="spellStart"/>
      <w:r w:rsidRPr="00ED35A9">
        <w:rPr>
          <w:rFonts w:cs="Times New Roman"/>
          <w:b/>
          <w:szCs w:val="28"/>
          <w:lang w:val="uk-UA"/>
        </w:rPr>
        <w:t>Полірезистентність</w:t>
      </w:r>
      <w:proofErr w:type="spellEnd"/>
      <w:r w:rsidRPr="00ED35A9">
        <w:rPr>
          <w:rFonts w:cs="Times New Roman"/>
          <w:szCs w:val="28"/>
          <w:lang w:val="uk-UA"/>
        </w:rPr>
        <w:t xml:space="preserve"> означає резистентність до більше ніж одного протитуберкульозного препарату першого ряду, окрім резистентності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 </w:t>
      </w:r>
      <w:proofErr w:type="spellStart"/>
      <w:r w:rsidRPr="00ED35A9">
        <w:rPr>
          <w:rFonts w:cs="Times New Roman"/>
          <w:szCs w:val="28"/>
          <w:lang w:val="uk-UA"/>
        </w:rPr>
        <w:t>рифампіцину</w:t>
      </w:r>
      <w:proofErr w:type="spellEnd"/>
      <w:r w:rsidRPr="00ED35A9">
        <w:rPr>
          <w:rFonts w:cs="Times New Roman"/>
          <w:szCs w:val="28"/>
          <w:lang w:val="uk-UA"/>
        </w:rPr>
        <w:t xml:space="preserve"> разом.</w:t>
      </w:r>
    </w:p>
    <w:p w:rsidR="004B5B7F" w:rsidRPr="00ED35A9" w:rsidRDefault="004B5B7F" w:rsidP="000E0B10">
      <w:pPr>
        <w:rPr>
          <w:rFonts w:cs="Times New Roman"/>
          <w:szCs w:val="28"/>
          <w:lang w:val="uk-UA"/>
        </w:rPr>
      </w:pPr>
      <w:r w:rsidRPr="00ED35A9">
        <w:rPr>
          <w:rFonts w:cs="Times New Roman"/>
          <w:b/>
          <w:szCs w:val="28"/>
          <w:lang w:val="uk-UA"/>
        </w:rPr>
        <w:t>Протитуберкульозний препарат другого ряду</w:t>
      </w:r>
      <w:r w:rsidRPr="00ED35A9">
        <w:rPr>
          <w:rFonts w:cs="Times New Roman"/>
          <w:szCs w:val="28"/>
          <w:lang w:val="uk-UA"/>
        </w:rPr>
        <w:t xml:space="preserve"> – це препарат для лікування медикаментозно-резистентного туберкульозу. Протитуберкульозні препарати першого ряду, що використовували для лікування чутливого туберкульозу (</w:t>
      </w:r>
      <w:proofErr w:type="spellStart"/>
      <w:r w:rsidRPr="00ED35A9">
        <w:rPr>
          <w:rFonts w:cs="Times New Roman"/>
          <w:szCs w:val="28"/>
          <w:lang w:val="uk-UA"/>
        </w:rPr>
        <w:t>етамбутол</w:t>
      </w:r>
      <w:proofErr w:type="spellEnd"/>
      <w:r w:rsidRPr="00ED35A9">
        <w:rPr>
          <w:rFonts w:cs="Times New Roman"/>
          <w:szCs w:val="28"/>
          <w:lang w:val="uk-UA"/>
        </w:rPr>
        <w:t xml:space="preserve">, </w:t>
      </w:r>
      <w:proofErr w:type="spellStart"/>
      <w:r w:rsidRPr="00ED35A9">
        <w:rPr>
          <w:rFonts w:cs="Times New Roman"/>
          <w:szCs w:val="28"/>
          <w:lang w:val="uk-UA"/>
        </w:rPr>
        <w:t>ізоніазид</w:t>
      </w:r>
      <w:proofErr w:type="spellEnd"/>
      <w:r w:rsidRPr="00ED35A9">
        <w:rPr>
          <w:rFonts w:cs="Times New Roman"/>
          <w:szCs w:val="28"/>
          <w:lang w:val="uk-UA"/>
        </w:rPr>
        <w:t xml:space="preserve"> та </w:t>
      </w:r>
      <w:proofErr w:type="spellStart"/>
      <w:r w:rsidRPr="00ED35A9">
        <w:rPr>
          <w:rFonts w:cs="Times New Roman"/>
          <w:szCs w:val="28"/>
          <w:lang w:val="uk-UA"/>
        </w:rPr>
        <w:t>піразинамід</w:t>
      </w:r>
      <w:proofErr w:type="spellEnd"/>
      <w:r w:rsidRPr="00ED35A9">
        <w:rPr>
          <w:rFonts w:cs="Times New Roman"/>
          <w:szCs w:val="28"/>
          <w:lang w:val="uk-UA"/>
        </w:rPr>
        <w:t xml:space="preserve">), можуть бути застосовані також у схемах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(стрептоміцин </w:t>
      </w:r>
      <w:r w:rsidR="009F6706" w:rsidRPr="00ED35A9">
        <w:rPr>
          <w:rFonts w:cs="Times New Roman"/>
          <w:szCs w:val="28"/>
          <w:lang w:val="uk-UA"/>
        </w:rPr>
        <w:t>на сьогодні</w:t>
      </w:r>
      <w:r w:rsidRPr="00ED35A9">
        <w:rPr>
          <w:rFonts w:cs="Times New Roman"/>
          <w:szCs w:val="28"/>
          <w:lang w:val="uk-UA"/>
        </w:rPr>
        <w:t xml:space="preserve"> вважають протитуберкульозним препаратом другого ряду і використовують лише як заміну </w:t>
      </w:r>
      <w:proofErr w:type="spellStart"/>
      <w:r w:rsidRPr="00ED35A9">
        <w:rPr>
          <w:rFonts w:cs="Times New Roman"/>
          <w:szCs w:val="28"/>
          <w:lang w:val="uk-UA"/>
        </w:rPr>
        <w:t>амікацину</w:t>
      </w:r>
      <w:proofErr w:type="spellEnd"/>
      <w:r w:rsidRPr="00ED35A9">
        <w:rPr>
          <w:rFonts w:cs="Times New Roman"/>
          <w:szCs w:val="28"/>
          <w:lang w:val="uk-UA"/>
        </w:rPr>
        <w:t xml:space="preserve">, коли </w:t>
      </w:r>
      <w:proofErr w:type="spellStart"/>
      <w:r w:rsidRPr="00ED35A9">
        <w:rPr>
          <w:rFonts w:cs="Times New Roman"/>
          <w:szCs w:val="28"/>
          <w:lang w:val="uk-UA"/>
        </w:rPr>
        <w:t>амікацин</w:t>
      </w:r>
      <w:proofErr w:type="spellEnd"/>
      <w:r w:rsidRPr="00ED35A9">
        <w:rPr>
          <w:rFonts w:cs="Times New Roman"/>
          <w:szCs w:val="28"/>
          <w:lang w:val="uk-UA"/>
        </w:rPr>
        <w:t xml:space="preserve"> недоступний або є підтверджена резистентність до нього).</w:t>
      </w:r>
    </w:p>
    <w:p w:rsidR="004B5B7F" w:rsidRPr="00ED35A9" w:rsidRDefault="004B5B7F" w:rsidP="00750848">
      <w:pPr>
        <w:spacing w:line="247" w:lineRule="auto"/>
        <w:rPr>
          <w:rFonts w:cs="Times New Roman"/>
          <w:szCs w:val="28"/>
          <w:lang w:val="uk-UA"/>
        </w:rPr>
      </w:pPr>
      <w:r w:rsidRPr="00ED35A9">
        <w:rPr>
          <w:rFonts w:cs="Times New Roman"/>
          <w:b/>
          <w:szCs w:val="28"/>
          <w:lang w:val="uk-UA"/>
        </w:rPr>
        <w:lastRenderedPageBreak/>
        <w:t xml:space="preserve">Раніше </w:t>
      </w:r>
      <w:r w:rsidR="009F6706" w:rsidRPr="00ED35A9">
        <w:rPr>
          <w:rFonts w:cs="Times New Roman"/>
          <w:b/>
          <w:szCs w:val="28"/>
          <w:lang w:val="uk-UA"/>
        </w:rPr>
        <w:t>про</w:t>
      </w:r>
      <w:r w:rsidRPr="00ED35A9">
        <w:rPr>
          <w:rFonts w:cs="Times New Roman"/>
          <w:b/>
          <w:szCs w:val="28"/>
          <w:lang w:val="uk-UA"/>
        </w:rPr>
        <w:t>ліковані пацієнти</w:t>
      </w:r>
      <w:r w:rsidRPr="00ED35A9">
        <w:rPr>
          <w:rFonts w:cs="Times New Roman"/>
          <w:szCs w:val="28"/>
          <w:lang w:val="uk-UA"/>
        </w:rPr>
        <w:t xml:space="preserve"> – це пацієнти, що отримували в минулому протитуберкульозні препарати протягом 1 міс або більше. Вони могли проходити лікування із застосуванням препаратів першого ряду для чутливого туберкульозу або другого ряду для резистентних форм (наприклад, короткостроковою схемою для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w:t>
      </w:r>
    </w:p>
    <w:p w:rsidR="004B5B7F" w:rsidRPr="00ED35A9" w:rsidRDefault="004B5B7F" w:rsidP="00750848">
      <w:pPr>
        <w:spacing w:line="247" w:lineRule="auto"/>
        <w:rPr>
          <w:rFonts w:cs="Times New Roman"/>
          <w:szCs w:val="28"/>
          <w:lang w:val="uk-UA"/>
        </w:rPr>
      </w:pPr>
      <w:r w:rsidRPr="00ED35A9">
        <w:rPr>
          <w:rFonts w:cs="Times New Roman"/>
          <w:szCs w:val="28"/>
          <w:lang w:val="uk-UA"/>
        </w:rPr>
        <w:t xml:space="preserve">Категорії </w:t>
      </w:r>
      <w:r w:rsidRPr="00ED35A9">
        <w:rPr>
          <w:rFonts w:cs="Times New Roman"/>
          <w:b/>
          <w:szCs w:val="28"/>
          <w:lang w:val="uk-UA"/>
        </w:rPr>
        <w:t>результатів лікування</w:t>
      </w:r>
      <w:r w:rsidRPr="00ED35A9">
        <w:rPr>
          <w:rFonts w:cs="Times New Roman"/>
          <w:szCs w:val="28"/>
          <w:lang w:val="uk-UA"/>
        </w:rPr>
        <w:t xml:space="preserve">, використані у цій настанові, і термін </w:t>
      </w:r>
      <w:r w:rsidRPr="00ED35A9">
        <w:rPr>
          <w:rFonts w:cs="Times New Roman"/>
          <w:b/>
          <w:szCs w:val="28"/>
          <w:lang w:val="uk-UA"/>
        </w:rPr>
        <w:t>рецидив</w:t>
      </w:r>
      <w:r w:rsidRPr="00ED35A9">
        <w:rPr>
          <w:rFonts w:cs="Times New Roman"/>
          <w:szCs w:val="28"/>
          <w:lang w:val="uk-UA"/>
        </w:rPr>
        <w:t xml:space="preserve"> застосовують згідно визначень, узгоджених протитуберкульозними програмами, якщо не зазначено інше </w:t>
      </w:r>
      <w:r w:rsidRPr="00ED35A9">
        <w:rPr>
          <w:rFonts w:cs="Times New Roman"/>
          <w:i/>
          <w:szCs w:val="28"/>
          <w:lang w:val="uk-UA"/>
        </w:rPr>
        <w:t>(12, 13)</w:t>
      </w:r>
      <w:r w:rsidRPr="00ED35A9">
        <w:rPr>
          <w:rFonts w:cs="Times New Roman"/>
          <w:szCs w:val="28"/>
          <w:lang w:val="uk-UA"/>
        </w:rPr>
        <w:t>.</w:t>
      </w:r>
    </w:p>
    <w:p w:rsidR="004B5B7F" w:rsidRPr="00ED35A9" w:rsidRDefault="004B5B7F" w:rsidP="00750848">
      <w:pPr>
        <w:spacing w:line="247" w:lineRule="auto"/>
        <w:rPr>
          <w:rFonts w:cs="Times New Roman"/>
          <w:szCs w:val="28"/>
          <w:lang w:val="uk-UA"/>
        </w:rPr>
      </w:pPr>
      <w:proofErr w:type="spellStart"/>
      <w:r w:rsidRPr="00ED35A9">
        <w:rPr>
          <w:rFonts w:cs="Times New Roman"/>
          <w:b/>
          <w:szCs w:val="28"/>
          <w:lang w:val="uk-UA"/>
        </w:rPr>
        <w:t>Рифампіцин</w:t>
      </w:r>
      <w:proofErr w:type="spellEnd"/>
      <w:r w:rsidRPr="00ED35A9">
        <w:rPr>
          <w:rFonts w:cs="Times New Roman"/>
          <w:b/>
          <w:szCs w:val="28"/>
          <w:lang w:val="uk-UA"/>
        </w:rPr>
        <w:t>-резистентний туберкульоз (Риф-ТБ)</w:t>
      </w:r>
      <w:r w:rsidRPr="00ED35A9">
        <w:rPr>
          <w:rFonts w:cs="Times New Roman"/>
          <w:szCs w:val="28"/>
          <w:lang w:val="uk-UA"/>
        </w:rPr>
        <w:t xml:space="preserve"> – це штами, які вважають нечутливими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на основі проведення тестування з медикаментозної чутливості, внаслідок чого для лікування таких випадків підходять схеми, що застосовують для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w:t>
      </w:r>
      <w:proofErr w:type="spellStart"/>
      <w:r w:rsidRPr="00ED35A9">
        <w:rPr>
          <w:rFonts w:cs="Times New Roman"/>
          <w:szCs w:val="28"/>
          <w:lang w:val="uk-UA"/>
        </w:rPr>
        <w:t>Рифампіцин</w:t>
      </w:r>
      <w:proofErr w:type="spellEnd"/>
      <w:r w:rsidRPr="00ED35A9">
        <w:rPr>
          <w:rFonts w:cs="Times New Roman"/>
          <w:szCs w:val="28"/>
          <w:lang w:val="uk-UA"/>
        </w:rPr>
        <w:t xml:space="preserve">-резистентні штами туберкульозу можуть бути чутливими чи стійкими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(наприклад, </w:t>
      </w:r>
      <w:proofErr w:type="spellStart"/>
      <w:r w:rsidRPr="00ED35A9">
        <w:rPr>
          <w:rFonts w:cs="Times New Roman"/>
          <w:szCs w:val="28"/>
          <w:lang w:val="uk-UA"/>
        </w:rPr>
        <w:t>мультирезистентний</w:t>
      </w:r>
      <w:proofErr w:type="spellEnd"/>
      <w:r w:rsidRPr="00ED35A9">
        <w:rPr>
          <w:rFonts w:cs="Times New Roman"/>
          <w:szCs w:val="28"/>
          <w:lang w:val="uk-UA"/>
        </w:rPr>
        <w:t xml:space="preserve"> туберкульоз) або резистентними до інших протитуберкульозних препаратів першого ряду (</w:t>
      </w:r>
      <w:proofErr w:type="spellStart"/>
      <w:r w:rsidRPr="00ED35A9">
        <w:rPr>
          <w:rFonts w:cs="Times New Roman"/>
          <w:szCs w:val="28"/>
          <w:lang w:val="uk-UA"/>
        </w:rPr>
        <w:t>полірезистентний</w:t>
      </w:r>
      <w:proofErr w:type="spellEnd"/>
      <w:r w:rsidRPr="00ED35A9">
        <w:rPr>
          <w:rFonts w:cs="Times New Roman"/>
          <w:szCs w:val="28"/>
          <w:lang w:val="uk-UA"/>
        </w:rPr>
        <w:t xml:space="preserve"> туберкульоз), або резистентними до протитуберкульозних препаратів другого ряду (наприклад, туберкульоз із широкою медикаментозною резистентністю). У даній настанові, як і в інших джерелах, випадки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та </w:t>
      </w:r>
      <w:proofErr w:type="spellStart"/>
      <w:r w:rsidRPr="00ED35A9">
        <w:rPr>
          <w:rFonts w:cs="Times New Roman"/>
          <w:szCs w:val="28"/>
          <w:lang w:val="uk-UA"/>
        </w:rPr>
        <w:t>рифампіцин</w:t>
      </w:r>
      <w:proofErr w:type="spellEnd"/>
      <w:r w:rsidRPr="00ED35A9">
        <w:rPr>
          <w:rFonts w:cs="Times New Roman"/>
          <w:szCs w:val="28"/>
          <w:lang w:val="uk-UA"/>
        </w:rPr>
        <w:t>-резистентного туберкульозу часто об’єднують терміном «</w:t>
      </w:r>
      <w:proofErr w:type="spellStart"/>
      <w:r w:rsidRPr="00ED35A9">
        <w:rPr>
          <w:rFonts w:cs="Times New Roman"/>
          <w:szCs w:val="28"/>
          <w:lang w:val="uk-UA"/>
        </w:rPr>
        <w:t>мультирезистентний</w:t>
      </w:r>
      <w:proofErr w:type="spellEnd"/>
      <w:r w:rsidRPr="00ED35A9">
        <w:rPr>
          <w:rFonts w:cs="Times New Roman"/>
          <w:szCs w:val="28"/>
          <w:lang w:val="uk-UA"/>
        </w:rPr>
        <w:t xml:space="preserve"> туберкульоз/</w:t>
      </w:r>
      <w:proofErr w:type="spellStart"/>
      <w:r w:rsidRPr="00ED35A9">
        <w:rPr>
          <w:rFonts w:cs="Times New Roman"/>
          <w:szCs w:val="28"/>
          <w:lang w:val="uk-UA"/>
        </w:rPr>
        <w:t>рифампіцин</w:t>
      </w:r>
      <w:proofErr w:type="spellEnd"/>
      <w:r w:rsidRPr="00ED35A9">
        <w:rPr>
          <w:rFonts w:cs="Times New Roman"/>
          <w:szCs w:val="28"/>
          <w:lang w:val="uk-UA"/>
        </w:rPr>
        <w:t>-резистентний туберкульоз».</w:t>
      </w:r>
    </w:p>
    <w:p w:rsidR="004B5B7F" w:rsidRPr="00ED35A9" w:rsidRDefault="004B5B7F" w:rsidP="00750848">
      <w:pPr>
        <w:spacing w:line="247" w:lineRule="auto"/>
        <w:rPr>
          <w:rFonts w:cs="Times New Roman"/>
          <w:szCs w:val="28"/>
          <w:lang w:val="uk-UA"/>
        </w:rPr>
      </w:pPr>
      <w:r w:rsidRPr="00ED35A9">
        <w:rPr>
          <w:rFonts w:cs="Times New Roman"/>
          <w:b/>
          <w:szCs w:val="28"/>
          <w:lang w:val="uk-UA"/>
        </w:rPr>
        <w:t>Серйозні небажані явища (СНЯ)</w:t>
      </w:r>
      <w:r w:rsidRPr="00ED35A9">
        <w:rPr>
          <w:rFonts w:cs="Times New Roman"/>
          <w:szCs w:val="28"/>
          <w:lang w:val="uk-UA"/>
        </w:rPr>
        <w:t xml:space="preserve">, за даними оглядів, проведених під час розробки «Настанови ВООЗ з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та </w:t>
      </w:r>
      <w:proofErr w:type="spellStart"/>
      <w:r w:rsidRPr="00ED35A9">
        <w:rPr>
          <w:rFonts w:cs="Times New Roman"/>
          <w:szCs w:val="28"/>
          <w:lang w:val="uk-UA"/>
        </w:rPr>
        <w:t>рифампіцин</w:t>
      </w:r>
      <w:proofErr w:type="spellEnd"/>
      <w:r w:rsidRPr="00ED35A9">
        <w:rPr>
          <w:rFonts w:cs="Times New Roman"/>
          <w:szCs w:val="28"/>
          <w:lang w:val="uk-UA"/>
        </w:rPr>
        <w:t xml:space="preserve">-резистентного туберкульозу» 2018 р., – це такі небажані явища, що класифікують за ступенем 3 (тяжкі), ступенем 4 (загрожують життю чи обмежують життєдіяльність) або ступенем 5 (смерть, пов’язана з небажаним явищем), або які призвели до передчасної зупинки застосування препарату. Також СНЯ часто визначаються як небезпечні явища, що призводять до смертельного наслідку або створюють загрозу для життя, госпіталізації або подовження її терміну, </w:t>
      </w:r>
      <w:proofErr w:type="spellStart"/>
      <w:r w:rsidRPr="00ED35A9">
        <w:rPr>
          <w:rFonts w:cs="Times New Roman"/>
          <w:szCs w:val="28"/>
          <w:lang w:val="uk-UA"/>
        </w:rPr>
        <w:t>персистуючого</w:t>
      </w:r>
      <w:proofErr w:type="spellEnd"/>
      <w:r w:rsidRPr="00ED35A9">
        <w:rPr>
          <w:rFonts w:cs="Times New Roman"/>
          <w:szCs w:val="28"/>
          <w:lang w:val="uk-UA"/>
        </w:rPr>
        <w:t xml:space="preserve"> або значного обмеження життєдіяльності </w:t>
      </w:r>
      <w:r w:rsidR="009F6706" w:rsidRPr="00ED35A9">
        <w:rPr>
          <w:rFonts w:cs="Times New Roman"/>
          <w:szCs w:val="28"/>
          <w:lang w:val="uk-UA"/>
        </w:rPr>
        <w:t xml:space="preserve">чи </w:t>
      </w:r>
      <w:r w:rsidRPr="00ED35A9">
        <w:rPr>
          <w:rFonts w:cs="Times New Roman"/>
          <w:szCs w:val="28"/>
          <w:lang w:val="uk-UA"/>
        </w:rPr>
        <w:t xml:space="preserve">виникнення вродженої аномалії </w:t>
      </w:r>
      <w:r w:rsidRPr="00ED35A9">
        <w:rPr>
          <w:rFonts w:cs="Times New Roman"/>
          <w:i/>
          <w:szCs w:val="28"/>
          <w:lang w:val="uk-UA"/>
        </w:rPr>
        <w:t>(11)</w:t>
      </w:r>
      <w:r w:rsidRPr="00ED35A9">
        <w:rPr>
          <w:rFonts w:cs="Times New Roman"/>
          <w:szCs w:val="28"/>
          <w:lang w:val="uk-UA"/>
        </w:rPr>
        <w:t>. Ведення випадків виникнення СНЯ може вимагати припинення прийому препарату, який міг спричинити подібне явище.</w:t>
      </w:r>
    </w:p>
    <w:p w:rsidR="004B5B7F" w:rsidRPr="00ED35A9" w:rsidRDefault="004B5B7F" w:rsidP="00750848">
      <w:pPr>
        <w:spacing w:line="247" w:lineRule="auto"/>
        <w:rPr>
          <w:rFonts w:cs="Times New Roman"/>
          <w:szCs w:val="28"/>
          <w:lang w:val="uk-UA"/>
        </w:rPr>
      </w:pPr>
      <w:r w:rsidRPr="00ED35A9">
        <w:rPr>
          <w:rFonts w:cs="Times New Roman"/>
          <w:b/>
          <w:szCs w:val="28"/>
          <w:lang w:val="uk-UA"/>
        </w:rPr>
        <w:t>Ступінь тяжкості захворювання</w:t>
      </w:r>
      <w:r w:rsidRPr="00ED35A9">
        <w:rPr>
          <w:rFonts w:cs="Times New Roman"/>
          <w:szCs w:val="28"/>
          <w:lang w:val="uk-UA"/>
        </w:rPr>
        <w:t xml:space="preserve"> у пацієнтів віком понад 14 років зазвичай визначають за наявністю каверн, двостороннього захворювання на рентгенограмі грудної кліт</w:t>
      </w:r>
      <w:r w:rsidR="00236DCB" w:rsidRPr="00ED35A9">
        <w:rPr>
          <w:rFonts w:cs="Times New Roman"/>
          <w:szCs w:val="28"/>
          <w:lang w:val="uk-UA"/>
        </w:rPr>
        <w:t>к</w:t>
      </w:r>
      <w:r w:rsidRPr="00ED35A9">
        <w:rPr>
          <w:rFonts w:cs="Times New Roman"/>
          <w:szCs w:val="28"/>
          <w:lang w:val="uk-UA"/>
        </w:rPr>
        <w:t xml:space="preserve">и або </w:t>
      </w:r>
      <w:proofErr w:type="spellStart"/>
      <w:r w:rsidRPr="00ED35A9">
        <w:rPr>
          <w:rFonts w:cs="Times New Roman"/>
          <w:szCs w:val="28"/>
          <w:lang w:val="uk-UA"/>
        </w:rPr>
        <w:t>бактеріовиділення</w:t>
      </w:r>
      <w:proofErr w:type="spellEnd"/>
      <w:r w:rsidRPr="00ED35A9">
        <w:rPr>
          <w:rFonts w:cs="Times New Roman"/>
          <w:szCs w:val="28"/>
          <w:lang w:val="uk-UA"/>
        </w:rPr>
        <w:t xml:space="preserve"> у мазку (</w:t>
      </w:r>
      <w:r w:rsidRPr="00ED35A9">
        <w:rPr>
          <w:rFonts w:cs="Times New Roman"/>
          <w:i/>
          <w:szCs w:val="28"/>
          <w:lang w:val="uk-UA"/>
        </w:rPr>
        <w:t>див.</w:t>
      </w:r>
      <w:r w:rsidRPr="00ED35A9">
        <w:rPr>
          <w:rFonts w:cs="Times New Roman"/>
          <w:szCs w:val="28"/>
          <w:lang w:val="uk-UA"/>
        </w:rPr>
        <w:t xml:space="preserve"> Додаток 9). Ступінь тяжкості захворювання у пацієнтів віком менше 15 років зазвичай визначають за наявністю каверн, двостороннього захворювання на рентгенограмі грудної кліт</w:t>
      </w:r>
      <w:r w:rsidR="00236DCB" w:rsidRPr="00ED35A9">
        <w:rPr>
          <w:rFonts w:cs="Times New Roman"/>
          <w:szCs w:val="28"/>
          <w:lang w:val="uk-UA"/>
        </w:rPr>
        <w:t>к</w:t>
      </w:r>
      <w:r w:rsidRPr="00ED35A9">
        <w:rPr>
          <w:rFonts w:cs="Times New Roman"/>
          <w:szCs w:val="28"/>
          <w:lang w:val="uk-UA"/>
        </w:rPr>
        <w:t xml:space="preserve">и або </w:t>
      </w:r>
      <w:proofErr w:type="spellStart"/>
      <w:r w:rsidRPr="00ED35A9">
        <w:rPr>
          <w:rFonts w:cs="Times New Roman"/>
          <w:szCs w:val="28"/>
          <w:lang w:val="uk-UA"/>
        </w:rPr>
        <w:t>позалегеневих</w:t>
      </w:r>
      <w:proofErr w:type="spellEnd"/>
      <w:r w:rsidRPr="00ED35A9">
        <w:rPr>
          <w:rFonts w:cs="Times New Roman"/>
          <w:szCs w:val="28"/>
          <w:lang w:val="uk-UA"/>
        </w:rPr>
        <w:t xml:space="preserve"> форм захворювання, окрім лімфаденопатії (пухлина периферійних вузлів або ізольована пухлина середостіння без стиснення) </w:t>
      </w:r>
      <w:r w:rsidRPr="00ED35A9">
        <w:rPr>
          <w:rFonts w:cs="Times New Roman"/>
          <w:i/>
          <w:szCs w:val="28"/>
          <w:lang w:val="uk-UA"/>
        </w:rPr>
        <w:t>(9)</w:t>
      </w:r>
      <w:r w:rsidRPr="00ED35A9">
        <w:rPr>
          <w:rFonts w:cs="Times New Roman"/>
          <w:szCs w:val="28"/>
          <w:lang w:val="uk-UA"/>
        </w:rPr>
        <w:t xml:space="preserve">. При визначенні ступеня тяжкості захворювання у дітей можна ще звернути увагу на випадки істотної недостатності харчування (визначається за синдромом або показниками), </w:t>
      </w:r>
      <w:r w:rsidRPr="00ED35A9">
        <w:rPr>
          <w:rFonts w:cs="Times New Roman"/>
          <w:szCs w:val="28"/>
          <w:lang w:val="uk-UA"/>
        </w:rPr>
        <w:lastRenderedPageBreak/>
        <w:t xml:space="preserve">прогресуючої </w:t>
      </w:r>
      <w:proofErr w:type="spellStart"/>
      <w:r w:rsidRPr="00ED35A9">
        <w:rPr>
          <w:rFonts w:cs="Times New Roman"/>
          <w:szCs w:val="28"/>
          <w:lang w:val="uk-UA"/>
        </w:rPr>
        <w:t>імуносупресії</w:t>
      </w:r>
      <w:proofErr w:type="spellEnd"/>
      <w:r w:rsidRPr="00ED35A9">
        <w:rPr>
          <w:rFonts w:cs="Times New Roman"/>
          <w:szCs w:val="28"/>
          <w:lang w:val="uk-UA"/>
        </w:rPr>
        <w:t xml:space="preserve"> або наявність позитивних результатів бактеріологічного дослідження на туберкульоз (мазок, </w:t>
      </w:r>
      <w:proofErr w:type="spellStart"/>
      <w:r w:rsidRPr="00ED35A9">
        <w:rPr>
          <w:rFonts w:cs="Times New Roman"/>
          <w:szCs w:val="28"/>
          <w:lang w:val="uk-UA"/>
        </w:rPr>
        <w:t>Xpert</w:t>
      </w:r>
      <w:proofErr w:type="spellEnd"/>
      <w:r w:rsidRPr="00ED35A9">
        <w:rPr>
          <w:rFonts w:cs="Times New Roman"/>
          <w:szCs w:val="28"/>
          <w:lang w:val="uk-UA"/>
        </w:rPr>
        <w:t xml:space="preserve"> MTB/RIF, посів).</w:t>
      </w:r>
    </w:p>
    <w:p w:rsidR="004B5B7F" w:rsidRPr="00ED35A9" w:rsidRDefault="004B5B7F" w:rsidP="00750848">
      <w:pPr>
        <w:spacing w:line="247" w:lineRule="auto"/>
        <w:rPr>
          <w:rFonts w:cs="Times New Roman"/>
          <w:szCs w:val="28"/>
          <w:lang w:val="uk-UA"/>
        </w:rPr>
      </w:pPr>
      <w:r w:rsidRPr="00ED35A9">
        <w:rPr>
          <w:rFonts w:cs="Times New Roman"/>
          <w:b/>
          <w:szCs w:val="28"/>
          <w:lang w:val="uk-UA"/>
        </w:rPr>
        <w:t>Тест на медикаментозну чутливість (ТМЧ)</w:t>
      </w:r>
      <w:r w:rsidRPr="00ED35A9">
        <w:rPr>
          <w:rFonts w:cs="Times New Roman"/>
          <w:szCs w:val="28"/>
          <w:lang w:val="uk-UA"/>
        </w:rPr>
        <w:t xml:space="preserve"> означає проведення тестування </w:t>
      </w:r>
      <w:proofErr w:type="spellStart"/>
      <w:r w:rsidRPr="00ED35A9">
        <w:rPr>
          <w:rFonts w:cs="Times New Roman"/>
          <w:i/>
          <w:szCs w:val="28"/>
          <w:lang w:val="uk-UA"/>
        </w:rPr>
        <w:t>in</w:t>
      </w:r>
      <w:proofErr w:type="spellEnd"/>
      <w:r w:rsidRPr="00ED35A9">
        <w:rPr>
          <w:rFonts w:cs="Times New Roman"/>
          <w:i/>
          <w:szCs w:val="28"/>
          <w:lang w:val="uk-UA"/>
        </w:rPr>
        <w:t xml:space="preserve"> </w:t>
      </w:r>
      <w:proofErr w:type="spellStart"/>
      <w:r w:rsidRPr="00ED35A9">
        <w:rPr>
          <w:rFonts w:cs="Times New Roman"/>
          <w:i/>
          <w:szCs w:val="28"/>
          <w:lang w:val="uk-UA"/>
        </w:rPr>
        <w:t>vitro</w:t>
      </w:r>
      <w:proofErr w:type="spellEnd"/>
      <w:r w:rsidRPr="00ED35A9">
        <w:rPr>
          <w:rFonts w:cs="Times New Roman"/>
          <w:szCs w:val="28"/>
          <w:lang w:val="uk-UA"/>
        </w:rPr>
        <w:t xml:space="preserve"> за допомогою або методів </w:t>
      </w:r>
      <w:proofErr w:type="spellStart"/>
      <w:r w:rsidRPr="00ED35A9">
        <w:rPr>
          <w:rFonts w:cs="Times New Roman"/>
          <w:szCs w:val="28"/>
          <w:lang w:val="uk-UA"/>
        </w:rPr>
        <w:t>фенотипування</w:t>
      </w:r>
      <w:proofErr w:type="spellEnd"/>
      <w:r w:rsidRPr="00ED35A9">
        <w:rPr>
          <w:rFonts w:cs="Times New Roman"/>
          <w:szCs w:val="28"/>
          <w:lang w:val="uk-UA"/>
        </w:rPr>
        <w:t xml:space="preserve"> для визначення чутливості, або молекулярних технік для виявлення мутацій, що зумовлюють медикаментозну резистентність </w:t>
      </w:r>
      <w:r w:rsidRPr="00ED35A9">
        <w:rPr>
          <w:rFonts w:cs="Times New Roman"/>
          <w:i/>
          <w:szCs w:val="28"/>
          <w:lang w:val="uk-UA"/>
        </w:rPr>
        <w:t>(7, 8)</w:t>
      </w:r>
      <w:r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szCs w:val="28"/>
          <w:lang w:val="uk-UA"/>
        </w:rPr>
        <w:br w:type="page"/>
      </w:r>
    </w:p>
    <w:p w:rsidR="004B5B7F" w:rsidRPr="00ED35A9" w:rsidRDefault="004B5B7F" w:rsidP="00823898">
      <w:pPr>
        <w:pStyle w:val="1"/>
        <w:rPr>
          <w:lang w:val="uk-UA"/>
        </w:rPr>
      </w:pPr>
      <w:bookmarkStart w:id="7" w:name="_Toc18416317"/>
      <w:bookmarkEnd w:id="6"/>
      <w:r w:rsidRPr="00ED35A9">
        <w:rPr>
          <w:lang w:val="uk-UA"/>
        </w:rPr>
        <w:lastRenderedPageBreak/>
        <w:t>короткий огляд</w:t>
      </w:r>
      <w:bookmarkEnd w:id="7"/>
    </w:p>
    <w:p w:rsidR="004B5B7F" w:rsidRPr="00ED35A9" w:rsidRDefault="004B5B7F" w:rsidP="00750848">
      <w:pPr>
        <w:spacing w:line="247" w:lineRule="auto"/>
        <w:rPr>
          <w:rFonts w:cs="Times New Roman"/>
          <w:szCs w:val="28"/>
          <w:lang w:val="uk-UA"/>
        </w:rPr>
      </w:pPr>
      <w:r w:rsidRPr="00ED35A9">
        <w:rPr>
          <w:rFonts w:cs="Times New Roman"/>
          <w:szCs w:val="28"/>
          <w:lang w:val="uk-UA"/>
        </w:rPr>
        <w:t xml:space="preserve">Штами туберкульозу (ТБ) з лікарською стійкістю (ЛС-ТБ) важче піддаються лікуванню, ніж чутливий до лікарських засобів ТБ, загрожуючи світовому прогресу в досягненні цілей стратегії Всесвітньої організації охорони здоров’я (ВООЗ) щодо подолання ТБ. Таким чином, </w:t>
      </w:r>
      <w:r w:rsidR="009F6706" w:rsidRPr="00ED35A9">
        <w:rPr>
          <w:rFonts w:cs="Times New Roman"/>
          <w:szCs w:val="28"/>
          <w:lang w:val="uk-UA"/>
        </w:rPr>
        <w:t>існує</w:t>
      </w:r>
      <w:r w:rsidRPr="00ED35A9">
        <w:rPr>
          <w:rFonts w:cs="Times New Roman"/>
          <w:szCs w:val="28"/>
          <w:lang w:val="uk-UA"/>
        </w:rPr>
        <w:t xml:space="preserve"> критична потреба у розробленні нових рекомендацій щодо лікування та допомоги пацієнтам з ЛС-ТБ, заснованих на найбільш свіжих та вичерпних доказових даних. З огляду на це, «Зведена настанова ВООЗ із лікування лікарсько-стійкого туберкульозу» відповідає потребам ВООЗ щодо інформування медичних працівників країн-учасниць про заходи з покращення лікування ЛС-ТБ.</w:t>
      </w:r>
    </w:p>
    <w:p w:rsidR="004B5B7F" w:rsidRPr="00ED35A9" w:rsidRDefault="004B5B7F" w:rsidP="00750848">
      <w:pPr>
        <w:spacing w:after="120" w:line="247" w:lineRule="auto"/>
        <w:rPr>
          <w:rFonts w:cs="Times New Roman"/>
          <w:szCs w:val="28"/>
          <w:lang w:val="uk-UA"/>
        </w:rPr>
      </w:pPr>
      <w:r w:rsidRPr="00ED35A9">
        <w:rPr>
          <w:rFonts w:cs="Times New Roman"/>
          <w:szCs w:val="28"/>
          <w:lang w:val="uk-UA"/>
        </w:rPr>
        <w:t>З 2011 по 2018 рр. ВООЗ було розроблено та видано стратегічні рекомендації щодо лікування та догляду за пацієнтами з ЛС-ТБ, засновані на доказових даних. Ці рекомендації було представлено у декількох документах ВООЗ та відповідних додатках (</w:t>
      </w:r>
      <w:r w:rsidRPr="00ED35A9">
        <w:rPr>
          <w:rFonts w:cs="Times New Roman"/>
          <w:i/>
          <w:szCs w:val="28"/>
          <w:lang w:val="uk-UA"/>
        </w:rPr>
        <w:t>див.</w:t>
      </w:r>
      <w:r w:rsidRPr="00ED35A9">
        <w:rPr>
          <w:rFonts w:cs="Times New Roman"/>
          <w:szCs w:val="28"/>
          <w:lang w:val="uk-UA"/>
        </w:rPr>
        <w:t xml:space="preserve"> Вставку), зокрема у публікації ВООЗ «Настанова із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та </w:t>
      </w:r>
      <w:proofErr w:type="spellStart"/>
      <w:r w:rsidRPr="00ED35A9">
        <w:rPr>
          <w:rFonts w:cs="Times New Roman"/>
          <w:szCs w:val="28"/>
          <w:lang w:val="uk-UA"/>
        </w:rPr>
        <w:t>рифампіцин</w:t>
      </w:r>
      <w:proofErr w:type="spellEnd"/>
      <w:r w:rsidRPr="00ED35A9">
        <w:rPr>
          <w:rFonts w:cs="Times New Roman"/>
          <w:szCs w:val="28"/>
          <w:lang w:val="uk-UA"/>
        </w:rPr>
        <w:t xml:space="preserve">-резистентного туберкульозу» (оновлення 2018 р.), виданій у грудні 2018 р. Стратегічні рекомендації у кожній з цих настанов було розроблено скликаними ВООЗ групами з розробки настанов (ГРН) із використанням підходу GRADE (системи градації рекомендацій, експертиз, розвитку та оцінювання: </w:t>
      </w:r>
      <w:proofErr w:type="spellStart"/>
      <w:r w:rsidRPr="00ED35A9">
        <w:rPr>
          <w:rFonts w:cs="Times New Roman"/>
          <w:szCs w:val="28"/>
          <w:lang w:val="uk-UA"/>
        </w:rPr>
        <w:t>Grading</w:t>
      </w:r>
      <w:proofErr w:type="spellEnd"/>
      <w:r w:rsidRPr="00ED35A9">
        <w:rPr>
          <w:rFonts w:cs="Times New Roman"/>
          <w:szCs w:val="28"/>
          <w:lang w:val="uk-UA"/>
        </w:rPr>
        <w:t xml:space="preserve"> </w:t>
      </w:r>
      <w:proofErr w:type="spellStart"/>
      <w:r w:rsidRPr="00ED35A9">
        <w:rPr>
          <w:rFonts w:cs="Times New Roman"/>
          <w:szCs w:val="28"/>
          <w:lang w:val="uk-UA"/>
        </w:rPr>
        <w:t>of</w:t>
      </w:r>
      <w:proofErr w:type="spellEnd"/>
      <w:r w:rsidRPr="00ED35A9">
        <w:rPr>
          <w:rFonts w:cs="Times New Roman"/>
          <w:szCs w:val="28"/>
          <w:lang w:val="uk-UA"/>
        </w:rPr>
        <w:t xml:space="preserve"> </w:t>
      </w:r>
      <w:proofErr w:type="spellStart"/>
      <w:r w:rsidRPr="00ED35A9">
        <w:rPr>
          <w:rFonts w:cs="Times New Roman"/>
          <w:szCs w:val="28"/>
          <w:lang w:val="uk-UA"/>
        </w:rPr>
        <w:t>Recommendations</w:t>
      </w:r>
      <w:proofErr w:type="spellEnd"/>
      <w:r w:rsidRPr="00ED35A9">
        <w:rPr>
          <w:rFonts w:cs="Times New Roman"/>
          <w:szCs w:val="28"/>
          <w:lang w:val="uk-UA"/>
        </w:rPr>
        <w:t xml:space="preserve">, </w:t>
      </w:r>
      <w:proofErr w:type="spellStart"/>
      <w:r w:rsidRPr="00ED35A9">
        <w:rPr>
          <w:rFonts w:cs="Times New Roman"/>
          <w:szCs w:val="28"/>
          <w:lang w:val="uk-UA"/>
        </w:rPr>
        <w:t>Assessment</w:t>
      </w:r>
      <w:proofErr w:type="spellEnd"/>
      <w:r w:rsidRPr="00ED35A9">
        <w:rPr>
          <w:rFonts w:cs="Times New Roman"/>
          <w:szCs w:val="28"/>
          <w:lang w:val="uk-UA"/>
        </w:rPr>
        <w:t xml:space="preserve">, </w:t>
      </w:r>
      <w:proofErr w:type="spellStart"/>
      <w:r w:rsidRPr="00ED35A9">
        <w:rPr>
          <w:rFonts w:cs="Times New Roman"/>
          <w:szCs w:val="28"/>
          <w:lang w:val="uk-UA"/>
        </w:rPr>
        <w:t>Development</w:t>
      </w:r>
      <w:proofErr w:type="spellEnd"/>
      <w:r w:rsidRPr="00ED35A9">
        <w:rPr>
          <w:rFonts w:cs="Times New Roman"/>
          <w:szCs w:val="28"/>
          <w:lang w:val="uk-UA"/>
        </w:rPr>
        <w:t xml:space="preserve"> </w:t>
      </w:r>
      <w:proofErr w:type="spellStart"/>
      <w:r w:rsidRPr="00ED35A9">
        <w:rPr>
          <w:rFonts w:cs="Times New Roman"/>
          <w:szCs w:val="28"/>
          <w:lang w:val="uk-UA"/>
        </w:rPr>
        <w:t>and</w:t>
      </w:r>
      <w:proofErr w:type="spellEnd"/>
      <w:r w:rsidRPr="00ED35A9">
        <w:rPr>
          <w:rFonts w:cs="Times New Roman"/>
          <w:szCs w:val="28"/>
          <w:lang w:val="uk-UA"/>
        </w:rPr>
        <w:t xml:space="preserve"> </w:t>
      </w:r>
      <w:proofErr w:type="spellStart"/>
      <w:r w:rsidRPr="00ED35A9">
        <w:rPr>
          <w:rFonts w:cs="Times New Roman"/>
          <w:szCs w:val="28"/>
          <w:lang w:val="uk-UA"/>
        </w:rPr>
        <w:t>Evaluation</w:t>
      </w:r>
      <w:proofErr w:type="spellEnd"/>
      <w:r w:rsidRPr="00ED35A9">
        <w:rPr>
          <w:rFonts w:cs="Times New Roman"/>
          <w:szCs w:val="28"/>
          <w:lang w:val="uk-UA"/>
        </w:rPr>
        <w:t>) для підсумовування доказових даних та визначення стратегічних рекомендацій, а також надання відповідних коментарів. ГРН складалися з міждисциплінарних груп зовнішніх експертів із досвідом щодо різних аспектів програмного та клінічного менеджменту ЛС-ТБ, а також осіб, що зазнали впливу цього захворювання. Методи, використані для розробки рекомендацій, було визначено відповідно до вимог Комітету ВООЗ із перегляду настанов (КПН), і КПН наглядав за розробкою кожної з настанов.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356"/>
      </w:tblGrid>
      <w:tr w:rsidR="004B5B7F" w:rsidRPr="00ED35A9" w:rsidTr="001A3FB1">
        <w:tc>
          <w:tcPr>
            <w:tcW w:w="9356" w:type="dxa"/>
            <w:shd w:val="clear" w:color="auto" w:fill="DEEAF6" w:themeFill="accent1" w:themeFillTint="33"/>
          </w:tcPr>
          <w:p w:rsidR="004B5B7F" w:rsidRPr="00ED35A9" w:rsidRDefault="004B5B7F" w:rsidP="001A3FB1">
            <w:pPr>
              <w:spacing w:before="120" w:after="120"/>
              <w:ind w:firstLine="0"/>
              <w:rPr>
                <w:rFonts w:cs="Times New Roman"/>
                <w:b/>
                <w:szCs w:val="28"/>
                <w:lang w:val="uk-UA"/>
              </w:rPr>
            </w:pPr>
            <w:r w:rsidRPr="00ED35A9">
              <w:rPr>
                <w:rFonts w:cs="Times New Roman"/>
                <w:b/>
                <w:szCs w:val="28"/>
                <w:lang w:val="uk-UA"/>
              </w:rPr>
              <w:t>Вставка. Настанови ВООЗ із лікування ТБ, включені до «Зведеної настанови ВООЗ з лікування лікарсько-стійкого туберкульозу»</w:t>
            </w:r>
          </w:p>
          <w:p w:rsidR="004B5B7F" w:rsidRPr="00ED35A9" w:rsidRDefault="004B5B7F" w:rsidP="001A3FB1">
            <w:pPr>
              <w:ind w:firstLine="0"/>
              <w:rPr>
                <w:rFonts w:cs="Times New Roman"/>
                <w:szCs w:val="28"/>
                <w:lang w:val="uk-UA"/>
              </w:rPr>
            </w:pPr>
            <w:r w:rsidRPr="00ED35A9">
              <w:rPr>
                <w:rFonts w:cs="Times New Roman"/>
                <w:szCs w:val="28"/>
                <w:lang w:val="uk-UA"/>
              </w:rPr>
              <w:t>Настанова з програмного менеджменту лікарсько-стійкого туберкульозу: оновлення 2011 р.</w:t>
            </w:r>
          </w:p>
          <w:p w:rsidR="004B5B7F" w:rsidRPr="00ED35A9" w:rsidRDefault="004B5B7F" w:rsidP="001A3FB1">
            <w:pPr>
              <w:spacing w:after="120"/>
              <w:ind w:firstLine="0"/>
              <w:rPr>
                <w:rFonts w:cs="Times New Roman"/>
                <w:sz w:val="24"/>
                <w:szCs w:val="24"/>
                <w:lang w:val="uk-UA"/>
              </w:rPr>
            </w:pP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programmatic</w:t>
            </w:r>
            <w:proofErr w:type="spellEnd"/>
            <w:r w:rsidRPr="00ED35A9">
              <w:rPr>
                <w:rFonts w:cs="Times New Roman"/>
                <w:sz w:val="24"/>
                <w:szCs w:val="24"/>
                <w:lang w:val="uk-UA"/>
              </w:rPr>
              <w:t xml:space="preserve"> </w:t>
            </w:r>
            <w:proofErr w:type="spellStart"/>
            <w:r w:rsidRPr="00ED35A9">
              <w:rPr>
                <w:rFonts w:cs="Times New Roman"/>
                <w:sz w:val="24"/>
                <w:szCs w:val="24"/>
                <w:lang w:val="uk-UA"/>
              </w:rPr>
              <w:t>management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drug-resistant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2011 </w:t>
            </w:r>
            <w:proofErr w:type="spellStart"/>
            <w:r w:rsidRPr="00ED35A9">
              <w:rPr>
                <w:rFonts w:cs="Times New Roman"/>
                <w:sz w:val="24"/>
                <w:szCs w:val="24"/>
                <w:lang w:val="uk-UA"/>
              </w:rPr>
              <w:t>update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2011 (WHO/HTM/TB/2011.6).</w:t>
            </w:r>
          </w:p>
          <w:p w:rsidR="004B5B7F" w:rsidRPr="00ED35A9" w:rsidRDefault="004B5B7F" w:rsidP="001A3FB1">
            <w:pPr>
              <w:ind w:firstLine="0"/>
              <w:rPr>
                <w:rFonts w:cs="Times New Roman"/>
                <w:szCs w:val="28"/>
                <w:lang w:val="uk-UA"/>
              </w:rPr>
            </w:pPr>
            <w:r w:rsidRPr="00ED35A9">
              <w:rPr>
                <w:rFonts w:cs="Times New Roman"/>
                <w:szCs w:val="28"/>
                <w:lang w:val="uk-UA"/>
              </w:rPr>
              <w:t xml:space="preserve">Застосування </w:t>
            </w:r>
            <w:proofErr w:type="spellStart"/>
            <w:r w:rsidRPr="00ED35A9">
              <w:rPr>
                <w:rFonts w:cs="Times New Roman"/>
                <w:szCs w:val="28"/>
                <w:lang w:val="uk-UA"/>
              </w:rPr>
              <w:t>бедаквіліну</w:t>
            </w:r>
            <w:proofErr w:type="spellEnd"/>
            <w:r w:rsidRPr="00ED35A9">
              <w:rPr>
                <w:rFonts w:cs="Times New Roman"/>
                <w:szCs w:val="28"/>
                <w:lang w:val="uk-UA"/>
              </w:rPr>
              <w:t xml:space="preserve"> при лікуванні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тимчасові стратегічні рекомендації.</w:t>
            </w:r>
          </w:p>
          <w:p w:rsidR="004B5B7F" w:rsidRPr="00ED35A9" w:rsidRDefault="004B5B7F" w:rsidP="001A3FB1">
            <w:pPr>
              <w:spacing w:after="120"/>
              <w:ind w:firstLine="0"/>
              <w:rPr>
                <w:rFonts w:cs="Times New Roman"/>
                <w:sz w:val="24"/>
                <w:szCs w:val="24"/>
                <w:lang w:val="uk-UA"/>
              </w:rPr>
            </w:pP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use</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bedaquiline</w:t>
            </w:r>
            <w:proofErr w:type="spellEnd"/>
            <w:r w:rsidRPr="00ED35A9">
              <w:rPr>
                <w:rFonts w:cs="Times New Roman"/>
                <w:sz w:val="24"/>
                <w:szCs w:val="24"/>
                <w:lang w:val="uk-UA"/>
              </w:rPr>
              <w:t xml:space="preserve"> </w:t>
            </w:r>
            <w:proofErr w:type="spellStart"/>
            <w:r w:rsidRPr="00ED35A9">
              <w:rPr>
                <w:rFonts w:cs="Times New Roman"/>
                <w:sz w:val="24"/>
                <w:szCs w:val="24"/>
                <w:lang w:val="uk-UA"/>
              </w:rPr>
              <w:t>in</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multidrug-resistant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interim</w:t>
            </w:r>
            <w:proofErr w:type="spellEnd"/>
            <w:r w:rsidRPr="00ED35A9">
              <w:rPr>
                <w:rFonts w:cs="Times New Roman"/>
                <w:sz w:val="24"/>
                <w:szCs w:val="24"/>
                <w:lang w:val="uk-UA"/>
              </w:rPr>
              <w:t xml:space="preserve"> </w:t>
            </w:r>
            <w:proofErr w:type="spellStart"/>
            <w:r w:rsidRPr="00ED35A9">
              <w:rPr>
                <w:rFonts w:cs="Times New Roman"/>
                <w:sz w:val="24"/>
                <w:szCs w:val="24"/>
                <w:lang w:val="uk-UA"/>
              </w:rPr>
              <w:t>policy</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guidance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2013 (WHO/HTM/TB/2013.6).</w:t>
            </w:r>
          </w:p>
          <w:p w:rsidR="004B5B7F" w:rsidRPr="00ED35A9" w:rsidRDefault="004B5B7F" w:rsidP="001A3FB1">
            <w:pPr>
              <w:ind w:firstLine="0"/>
              <w:rPr>
                <w:rFonts w:cs="Times New Roman"/>
                <w:szCs w:val="28"/>
                <w:lang w:val="uk-UA"/>
              </w:rPr>
            </w:pPr>
            <w:r w:rsidRPr="00ED35A9">
              <w:rPr>
                <w:rFonts w:cs="Times New Roman"/>
                <w:szCs w:val="28"/>
                <w:lang w:val="uk-UA"/>
              </w:rPr>
              <w:t xml:space="preserve">Застосування </w:t>
            </w:r>
            <w:proofErr w:type="spellStart"/>
            <w:r w:rsidRPr="00ED35A9">
              <w:rPr>
                <w:rFonts w:cs="Times New Roman"/>
                <w:szCs w:val="28"/>
                <w:lang w:val="uk-UA"/>
              </w:rPr>
              <w:t>деламаніду</w:t>
            </w:r>
            <w:proofErr w:type="spellEnd"/>
            <w:r w:rsidRPr="00ED35A9">
              <w:rPr>
                <w:rFonts w:cs="Times New Roman"/>
                <w:szCs w:val="28"/>
                <w:lang w:val="uk-UA"/>
              </w:rPr>
              <w:t xml:space="preserve"> при лікуванні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тимчасові стратегічні рекомендації.</w:t>
            </w:r>
          </w:p>
          <w:p w:rsidR="004B5B7F" w:rsidRPr="00ED35A9" w:rsidRDefault="004B5B7F" w:rsidP="001A3FB1">
            <w:pPr>
              <w:spacing w:after="120"/>
              <w:ind w:firstLine="0"/>
              <w:rPr>
                <w:rFonts w:cs="Times New Roman"/>
                <w:sz w:val="24"/>
                <w:szCs w:val="24"/>
                <w:lang w:val="uk-UA"/>
              </w:rPr>
            </w:pP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use</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delamanid</w:t>
            </w:r>
            <w:proofErr w:type="spellEnd"/>
            <w:r w:rsidRPr="00ED35A9">
              <w:rPr>
                <w:rFonts w:cs="Times New Roman"/>
                <w:sz w:val="24"/>
                <w:szCs w:val="24"/>
                <w:lang w:val="uk-UA"/>
              </w:rPr>
              <w:t xml:space="preserve"> </w:t>
            </w:r>
            <w:proofErr w:type="spellStart"/>
            <w:r w:rsidRPr="00ED35A9">
              <w:rPr>
                <w:rFonts w:cs="Times New Roman"/>
                <w:sz w:val="24"/>
                <w:szCs w:val="24"/>
                <w:lang w:val="uk-UA"/>
              </w:rPr>
              <w:t>in</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multidrug-resistant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interim</w:t>
            </w:r>
            <w:proofErr w:type="spellEnd"/>
            <w:r w:rsidRPr="00ED35A9">
              <w:rPr>
                <w:rFonts w:cs="Times New Roman"/>
                <w:sz w:val="24"/>
                <w:szCs w:val="24"/>
                <w:lang w:val="uk-UA"/>
              </w:rPr>
              <w:t xml:space="preserve"> </w:t>
            </w:r>
            <w:proofErr w:type="spellStart"/>
            <w:r w:rsidRPr="00ED35A9">
              <w:rPr>
                <w:rFonts w:cs="Times New Roman"/>
                <w:sz w:val="24"/>
                <w:szCs w:val="24"/>
                <w:lang w:val="uk-UA"/>
              </w:rPr>
              <w:t>policy</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guidance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2014 (WHO/HTM/TB/2014.23).</w:t>
            </w:r>
          </w:p>
          <w:p w:rsidR="004B5B7F" w:rsidRPr="00ED35A9" w:rsidRDefault="004B5B7F" w:rsidP="00750848">
            <w:pPr>
              <w:spacing w:line="252" w:lineRule="auto"/>
              <w:ind w:firstLine="0"/>
              <w:rPr>
                <w:rFonts w:cs="Times New Roman"/>
                <w:szCs w:val="28"/>
                <w:lang w:val="uk-UA"/>
              </w:rPr>
            </w:pPr>
            <w:r w:rsidRPr="00ED35A9">
              <w:rPr>
                <w:rFonts w:cs="Times New Roman"/>
                <w:szCs w:val="28"/>
                <w:lang w:val="uk-UA"/>
              </w:rPr>
              <w:lastRenderedPageBreak/>
              <w:t xml:space="preserve">Застосування </w:t>
            </w:r>
            <w:proofErr w:type="spellStart"/>
            <w:r w:rsidRPr="00ED35A9">
              <w:rPr>
                <w:rFonts w:cs="Times New Roman"/>
                <w:szCs w:val="28"/>
                <w:lang w:val="uk-UA"/>
              </w:rPr>
              <w:t>деламаніду</w:t>
            </w:r>
            <w:proofErr w:type="spellEnd"/>
            <w:r w:rsidRPr="00ED35A9">
              <w:rPr>
                <w:rFonts w:cs="Times New Roman"/>
                <w:szCs w:val="28"/>
                <w:lang w:val="uk-UA"/>
              </w:rPr>
              <w:t xml:space="preserve"> при лікуванні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туберкульозу у дітей та підлітків: тимчасові стратегічні рекомендації.</w:t>
            </w:r>
          </w:p>
          <w:p w:rsidR="004B5B7F" w:rsidRPr="00ED35A9" w:rsidRDefault="004B5B7F" w:rsidP="00750848">
            <w:pPr>
              <w:spacing w:after="120" w:line="252" w:lineRule="auto"/>
              <w:ind w:firstLine="0"/>
              <w:rPr>
                <w:rFonts w:cs="Times New Roman"/>
                <w:sz w:val="24"/>
                <w:szCs w:val="24"/>
                <w:lang w:val="uk-UA"/>
              </w:rPr>
            </w:pP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use</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delamanid</w:t>
            </w:r>
            <w:proofErr w:type="spellEnd"/>
            <w:r w:rsidRPr="00ED35A9">
              <w:rPr>
                <w:rFonts w:cs="Times New Roman"/>
                <w:sz w:val="24"/>
                <w:szCs w:val="24"/>
                <w:lang w:val="uk-UA"/>
              </w:rPr>
              <w:t xml:space="preserve"> </w:t>
            </w:r>
            <w:proofErr w:type="spellStart"/>
            <w:r w:rsidRPr="00ED35A9">
              <w:rPr>
                <w:rFonts w:cs="Times New Roman"/>
                <w:sz w:val="24"/>
                <w:szCs w:val="24"/>
                <w:lang w:val="uk-UA"/>
              </w:rPr>
              <w:t>in</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multidrug-resistant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in</w:t>
            </w:r>
            <w:proofErr w:type="spellEnd"/>
            <w:r w:rsidRPr="00ED35A9">
              <w:rPr>
                <w:rFonts w:cs="Times New Roman"/>
                <w:sz w:val="24"/>
                <w:szCs w:val="24"/>
                <w:lang w:val="uk-UA"/>
              </w:rPr>
              <w:t xml:space="preserve"> </w:t>
            </w:r>
            <w:proofErr w:type="spellStart"/>
            <w:r w:rsidRPr="00ED35A9">
              <w:rPr>
                <w:rFonts w:cs="Times New Roman"/>
                <w:sz w:val="24"/>
                <w:szCs w:val="24"/>
                <w:lang w:val="uk-UA"/>
              </w:rPr>
              <w:t>children</w:t>
            </w:r>
            <w:proofErr w:type="spellEnd"/>
            <w:r w:rsidRPr="00ED35A9">
              <w:rPr>
                <w:rFonts w:cs="Times New Roman"/>
                <w:sz w:val="24"/>
                <w:szCs w:val="24"/>
                <w:lang w:val="uk-UA"/>
              </w:rPr>
              <w:t xml:space="preserve"> </w:t>
            </w:r>
            <w:proofErr w:type="spellStart"/>
            <w:r w:rsidRPr="00ED35A9">
              <w:rPr>
                <w:rFonts w:cs="Times New Roman"/>
                <w:sz w:val="24"/>
                <w:szCs w:val="24"/>
                <w:lang w:val="uk-UA"/>
              </w:rPr>
              <w:t>and</w:t>
            </w:r>
            <w:proofErr w:type="spellEnd"/>
            <w:r w:rsidRPr="00ED35A9">
              <w:rPr>
                <w:rFonts w:cs="Times New Roman"/>
                <w:sz w:val="24"/>
                <w:szCs w:val="24"/>
                <w:lang w:val="uk-UA"/>
              </w:rPr>
              <w:t xml:space="preserve"> </w:t>
            </w:r>
            <w:proofErr w:type="spellStart"/>
            <w:r w:rsidRPr="00ED35A9">
              <w:rPr>
                <w:rFonts w:cs="Times New Roman"/>
                <w:sz w:val="24"/>
                <w:szCs w:val="24"/>
                <w:lang w:val="uk-UA"/>
              </w:rPr>
              <w:t>adolescents</w:t>
            </w:r>
            <w:proofErr w:type="spellEnd"/>
            <w:r w:rsidRPr="00ED35A9">
              <w:rPr>
                <w:rFonts w:cs="Times New Roman"/>
                <w:sz w:val="24"/>
                <w:szCs w:val="24"/>
                <w:lang w:val="uk-UA"/>
              </w:rPr>
              <w:t xml:space="preserve">: </w:t>
            </w:r>
            <w:proofErr w:type="spellStart"/>
            <w:r w:rsidRPr="00ED35A9">
              <w:rPr>
                <w:rFonts w:cs="Times New Roman"/>
                <w:sz w:val="24"/>
                <w:szCs w:val="24"/>
                <w:lang w:val="uk-UA"/>
              </w:rPr>
              <w:t>interim</w:t>
            </w:r>
            <w:proofErr w:type="spellEnd"/>
            <w:r w:rsidRPr="00ED35A9">
              <w:rPr>
                <w:rFonts w:cs="Times New Roman"/>
                <w:sz w:val="24"/>
                <w:szCs w:val="24"/>
                <w:lang w:val="uk-UA"/>
              </w:rPr>
              <w:t xml:space="preserve"> </w:t>
            </w:r>
            <w:proofErr w:type="spellStart"/>
            <w:r w:rsidRPr="00ED35A9">
              <w:rPr>
                <w:rFonts w:cs="Times New Roman"/>
                <w:sz w:val="24"/>
                <w:szCs w:val="24"/>
                <w:lang w:val="uk-UA"/>
              </w:rPr>
              <w:t>policy</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guidance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2016 (WHO/HTM/TB/2016.14).</w:t>
            </w:r>
          </w:p>
          <w:p w:rsidR="004B5B7F" w:rsidRPr="00ED35A9" w:rsidRDefault="004B5B7F" w:rsidP="00750848">
            <w:pPr>
              <w:spacing w:line="252" w:lineRule="auto"/>
              <w:ind w:firstLine="0"/>
              <w:rPr>
                <w:rFonts w:cs="Times New Roman"/>
                <w:szCs w:val="28"/>
                <w:lang w:val="uk-UA"/>
              </w:rPr>
            </w:pPr>
            <w:r w:rsidRPr="00ED35A9">
              <w:rPr>
                <w:rFonts w:cs="Times New Roman"/>
                <w:szCs w:val="28"/>
                <w:lang w:val="uk-UA"/>
              </w:rPr>
              <w:t xml:space="preserve">Настанова ВООЗ із лікування лікарсько-стійкого туберкульозу: оновлення 2016 р. </w:t>
            </w:r>
          </w:p>
          <w:p w:rsidR="004B5B7F" w:rsidRPr="00ED35A9" w:rsidRDefault="004B5B7F" w:rsidP="00750848">
            <w:pPr>
              <w:spacing w:after="120" w:line="252" w:lineRule="auto"/>
              <w:ind w:firstLine="0"/>
              <w:rPr>
                <w:rFonts w:cs="Times New Roman"/>
                <w:sz w:val="24"/>
                <w:szCs w:val="24"/>
                <w:lang w:val="uk-UA"/>
              </w:rPr>
            </w:pPr>
            <w:r w:rsidRPr="00ED35A9">
              <w:rPr>
                <w:rFonts w:cs="Times New Roman"/>
                <w:sz w:val="24"/>
                <w:szCs w:val="24"/>
                <w:lang w:val="uk-UA"/>
              </w:rPr>
              <w:t xml:space="preserve">WHO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drug</w:t>
            </w:r>
            <w:proofErr w:type="spellEnd"/>
            <w:r w:rsidRPr="00ED35A9">
              <w:rPr>
                <w:rFonts w:cs="Times New Roman"/>
                <w:sz w:val="24"/>
                <w:szCs w:val="24"/>
                <w:lang w:val="uk-UA"/>
              </w:rPr>
              <w:t xml:space="preserve"> </w:t>
            </w:r>
            <w:proofErr w:type="spellStart"/>
            <w:r w:rsidRPr="00ED35A9">
              <w:rPr>
                <w:rFonts w:cs="Times New Roman"/>
                <w:sz w:val="24"/>
                <w:szCs w:val="24"/>
                <w:lang w:val="uk-UA"/>
              </w:rPr>
              <w:t>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2016 </w:t>
            </w:r>
            <w:proofErr w:type="spellStart"/>
            <w:r w:rsidRPr="00ED35A9">
              <w:rPr>
                <w:rFonts w:cs="Times New Roman"/>
                <w:sz w:val="24"/>
                <w:szCs w:val="24"/>
                <w:lang w:val="uk-UA"/>
              </w:rPr>
              <w:t>update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2016 (WHO/HTM/TB/2016.4).</w:t>
            </w:r>
          </w:p>
          <w:p w:rsidR="004B5B7F" w:rsidRPr="00ED35A9" w:rsidRDefault="004B5B7F" w:rsidP="00750848">
            <w:pPr>
              <w:spacing w:line="252" w:lineRule="auto"/>
              <w:ind w:firstLine="0"/>
              <w:rPr>
                <w:rFonts w:cs="Times New Roman"/>
                <w:szCs w:val="28"/>
                <w:lang w:val="uk-UA"/>
              </w:rPr>
            </w:pPr>
            <w:r w:rsidRPr="00ED35A9">
              <w:rPr>
                <w:rFonts w:cs="Times New Roman"/>
                <w:szCs w:val="28"/>
                <w:lang w:val="uk-UA"/>
              </w:rPr>
              <w:t xml:space="preserve">Настанова з лікування та догляду пацієнтів з лікарсько-чутливим туберкульозом: оновлення 2017 р. </w:t>
            </w:r>
          </w:p>
          <w:p w:rsidR="004B5B7F" w:rsidRPr="00ED35A9" w:rsidRDefault="004B5B7F" w:rsidP="00750848">
            <w:pPr>
              <w:spacing w:after="120" w:line="252" w:lineRule="auto"/>
              <w:ind w:firstLine="0"/>
              <w:rPr>
                <w:rFonts w:cs="Times New Roman"/>
                <w:sz w:val="24"/>
                <w:szCs w:val="24"/>
                <w:lang w:val="uk-UA"/>
              </w:rPr>
            </w:pP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of</w:t>
            </w:r>
            <w:proofErr w:type="spellEnd"/>
            <w:r w:rsidRPr="00ED35A9">
              <w:rPr>
                <w:rFonts w:cs="Times New Roman"/>
                <w:sz w:val="24"/>
                <w:szCs w:val="24"/>
                <w:lang w:val="uk-UA"/>
              </w:rPr>
              <w:t xml:space="preserve"> </w:t>
            </w:r>
            <w:proofErr w:type="spellStart"/>
            <w:r w:rsidRPr="00ED35A9">
              <w:rPr>
                <w:rFonts w:cs="Times New Roman"/>
                <w:sz w:val="24"/>
                <w:szCs w:val="24"/>
                <w:lang w:val="uk-UA"/>
              </w:rPr>
              <w:t>drug-susceptible</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and</w:t>
            </w:r>
            <w:proofErr w:type="spellEnd"/>
            <w:r w:rsidRPr="00ED35A9">
              <w:rPr>
                <w:rFonts w:cs="Times New Roman"/>
                <w:sz w:val="24"/>
                <w:szCs w:val="24"/>
                <w:lang w:val="uk-UA"/>
              </w:rPr>
              <w:t xml:space="preserve"> </w:t>
            </w:r>
            <w:proofErr w:type="spellStart"/>
            <w:r w:rsidRPr="00ED35A9">
              <w:rPr>
                <w:rFonts w:cs="Times New Roman"/>
                <w:sz w:val="24"/>
                <w:szCs w:val="24"/>
                <w:lang w:val="uk-UA"/>
              </w:rPr>
              <w:t>patient</w:t>
            </w:r>
            <w:proofErr w:type="spellEnd"/>
            <w:r w:rsidRPr="00ED35A9">
              <w:rPr>
                <w:rFonts w:cs="Times New Roman"/>
                <w:sz w:val="24"/>
                <w:szCs w:val="24"/>
                <w:lang w:val="uk-UA"/>
              </w:rPr>
              <w:t xml:space="preserve"> </w:t>
            </w:r>
            <w:proofErr w:type="spellStart"/>
            <w:r w:rsidRPr="00ED35A9">
              <w:rPr>
                <w:rFonts w:cs="Times New Roman"/>
                <w:sz w:val="24"/>
                <w:szCs w:val="24"/>
                <w:lang w:val="uk-UA"/>
              </w:rPr>
              <w:t>care</w:t>
            </w:r>
            <w:proofErr w:type="spellEnd"/>
            <w:r w:rsidRPr="00ED35A9">
              <w:rPr>
                <w:rFonts w:cs="Times New Roman"/>
                <w:sz w:val="24"/>
                <w:szCs w:val="24"/>
                <w:lang w:val="uk-UA"/>
              </w:rPr>
              <w:t xml:space="preserve">: 2017 </w:t>
            </w:r>
            <w:proofErr w:type="spellStart"/>
            <w:r w:rsidRPr="00ED35A9">
              <w:rPr>
                <w:rFonts w:cs="Times New Roman"/>
                <w:sz w:val="24"/>
                <w:szCs w:val="24"/>
                <w:lang w:val="uk-UA"/>
              </w:rPr>
              <w:t>update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2017 (WHO/HTM/TB/2017.05).</w:t>
            </w:r>
          </w:p>
          <w:p w:rsidR="004B5B7F" w:rsidRPr="00ED35A9" w:rsidRDefault="004B5B7F" w:rsidP="00750848">
            <w:pPr>
              <w:spacing w:line="252" w:lineRule="auto"/>
              <w:ind w:firstLine="0"/>
              <w:rPr>
                <w:rFonts w:cs="Times New Roman"/>
                <w:szCs w:val="28"/>
                <w:lang w:val="uk-UA"/>
              </w:rPr>
            </w:pPr>
            <w:r w:rsidRPr="00ED35A9">
              <w:rPr>
                <w:rFonts w:cs="Times New Roman"/>
                <w:szCs w:val="28"/>
                <w:lang w:val="uk-UA"/>
              </w:rPr>
              <w:t xml:space="preserve">Настанова ВООЗ із лікування </w:t>
            </w:r>
            <w:proofErr w:type="spellStart"/>
            <w:r w:rsidRPr="00ED35A9">
              <w:rPr>
                <w:rFonts w:cs="Times New Roman"/>
                <w:szCs w:val="28"/>
                <w:lang w:val="uk-UA"/>
              </w:rPr>
              <w:t>ізоніазид</w:t>
            </w:r>
            <w:proofErr w:type="spellEnd"/>
            <w:r w:rsidRPr="00ED35A9">
              <w:rPr>
                <w:rFonts w:cs="Times New Roman"/>
                <w:szCs w:val="28"/>
                <w:lang w:val="uk-UA"/>
              </w:rPr>
              <w:t>-резистентного туберкульозу. Додаток до настанови ВООЗ із лікування лікарсько-стійкого туберкульозу.</w:t>
            </w:r>
          </w:p>
          <w:p w:rsidR="004B5B7F" w:rsidRPr="00ED35A9" w:rsidRDefault="004B5B7F" w:rsidP="00750848">
            <w:pPr>
              <w:spacing w:after="120" w:line="252" w:lineRule="auto"/>
              <w:ind w:firstLine="0"/>
              <w:rPr>
                <w:rFonts w:cs="Times New Roman"/>
                <w:sz w:val="24"/>
                <w:szCs w:val="24"/>
                <w:lang w:val="uk-UA"/>
              </w:rPr>
            </w:pPr>
            <w:r w:rsidRPr="00ED35A9">
              <w:rPr>
                <w:rFonts w:cs="Times New Roman"/>
                <w:sz w:val="24"/>
                <w:szCs w:val="24"/>
                <w:lang w:val="uk-UA"/>
              </w:rPr>
              <w:t xml:space="preserve">WHO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isoniazid-resistant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Supplement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to</w:t>
            </w:r>
            <w:proofErr w:type="spellEnd"/>
            <w:r w:rsidRPr="00ED35A9">
              <w:rPr>
                <w:rFonts w:cs="Times New Roman"/>
                <w:sz w:val="24"/>
                <w:szCs w:val="24"/>
                <w:lang w:val="uk-UA"/>
              </w:rPr>
              <w:t xml:space="preserve"> </w:t>
            </w:r>
            <w:proofErr w:type="spellStart"/>
            <w:r w:rsidRPr="00ED35A9">
              <w:rPr>
                <w:rFonts w:cs="Times New Roman"/>
                <w:sz w:val="24"/>
                <w:szCs w:val="24"/>
                <w:lang w:val="uk-UA"/>
              </w:rPr>
              <w:t>the</w:t>
            </w:r>
            <w:proofErr w:type="spellEnd"/>
            <w:r w:rsidRPr="00ED35A9">
              <w:rPr>
                <w:rFonts w:cs="Times New Roman"/>
                <w:sz w:val="24"/>
                <w:szCs w:val="24"/>
                <w:lang w:val="uk-UA"/>
              </w:rPr>
              <w:t xml:space="preserve"> WHO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drug-resistant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2018 (WHO/CDS/TB/2018.7).</w:t>
            </w:r>
          </w:p>
          <w:p w:rsidR="004B5B7F" w:rsidRPr="00ED35A9" w:rsidRDefault="004B5B7F" w:rsidP="00750848">
            <w:pPr>
              <w:spacing w:line="252" w:lineRule="auto"/>
              <w:ind w:firstLine="0"/>
              <w:rPr>
                <w:rFonts w:cs="Times New Roman"/>
                <w:szCs w:val="28"/>
                <w:lang w:val="uk-UA"/>
              </w:rPr>
            </w:pPr>
            <w:r w:rsidRPr="00ED35A9">
              <w:rPr>
                <w:rFonts w:cs="Times New Roman"/>
                <w:szCs w:val="28"/>
                <w:lang w:val="uk-UA"/>
              </w:rPr>
              <w:t xml:space="preserve">Настанова ВООЗ із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та </w:t>
            </w:r>
            <w:proofErr w:type="spellStart"/>
            <w:r w:rsidRPr="00ED35A9">
              <w:rPr>
                <w:rFonts w:cs="Times New Roman"/>
                <w:szCs w:val="28"/>
                <w:lang w:val="uk-UA"/>
              </w:rPr>
              <w:t>рифампіцин</w:t>
            </w:r>
            <w:proofErr w:type="spellEnd"/>
            <w:r w:rsidRPr="00ED35A9">
              <w:rPr>
                <w:rFonts w:cs="Times New Roman"/>
                <w:szCs w:val="28"/>
                <w:lang w:val="uk-UA"/>
              </w:rPr>
              <w:t>-резистентного туберкульозу: оновлення 2018 р.</w:t>
            </w:r>
          </w:p>
          <w:p w:rsidR="004B5B7F" w:rsidRPr="00ED35A9" w:rsidRDefault="004B5B7F" w:rsidP="00750848">
            <w:pPr>
              <w:spacing w:after="120" w:line="252" w:lineRule="auto"/>
              <w:ind w:firstLine="0"/>
              <w:rPr>
                <w:rFonts w:cs="Times New Roman"/>
                <w:sz w:val="24"/>
                <w:szCs w:val="24"/>
                <w:lang w:val="uk-UA"/>
              </w:rPr>
            </w:pPr>
            <w:r w:rsidRPr="00ED35A9">
              <w:rPr>
                <w:rFonts w:cs="Times New Roman"/>
                <w:sz w:val="24"/>
                <w:szCs w:val="24"/>
                <w:lang w:val="uk-UA"/>
              </w:rPr>
              <w:t xml:space="preserve">WHO </w:t>
            </w:r>
            <w:proofErr w:type="spellStart"/>
            <w:r w:rsidRPr="00ED35A9">
              <w:rPr>
                <w:rFonts w:cs="Times New Roman"/>
                <w:sz w:val="24"/>
                <w:szCs w:val="24"/>
                <w:lang w:val="uk-UA"/>
              </w:rPr>
              <w:t>treatment</w:t>
            </w:r>
            <w:proofErr w:type="spellEnd"/>
            <w:r w:rsidRPr="00ED35A9">
              <w:rPr>
                <w:rFonts w:cs="Times New Roman"/>
                <w:sz w:val="24"/>
                <w:szCs w:val="24"/>
                <w:lang w:val="uk-UA"/>
              </w:rPr>
              <w:t xml:space="preserve"> </w:t>
            </w:r>
            <w:proofErr w:type="spellStart"/>
            <w:r w:rsidRPr="00ED35A9">
              <w:rPr>
                <w:rFonts w:cs="Times New Roman"/>
                <w:sz w:val="24"/>
                <w:szCs w:val="24"/>
                <w:lang w:val="uk-UA"/>
              </w:rPr>
              <w:t>guidelines</w:t>
            </w:r>
            <w:proofErr w:type="spellEnd"/>
            <w:r w:rsidRPr="00ED35A9">
              <w:rPr>
                <w:rFonts w:cs="Times New Roman"/>
                <w:sz w:val="24"/>
                <w:szCs w:val="24"/>
                <w:lang w:val="uk-UA"/>
              </w:rPr>
              <w:t xml:space="preserve"> </w:t>
            </w:r>
            <w:proofErr w:type="spellStart"/>
            <w:r w:rsidRPr="00ED35A9">
              <w:rPr>
                <w:rFonts w:cs="Times New Roman"/>
                <w:sz w:val="24"/>
                <w:szCs w:val="24"/>
                <w:lang w:val="uk-UA"/>
              </w:rPr>
              <w:t>for</w:t>
            </w:r>
            <w:proofErr w:type="spellEnd"/>
            <w:r w:rsidRPr="00ED35A9">
              <w:rPr>
                <w:rFonts w:cs="Times New Roman"/>
                <w:sz w:val="24"/>
                <w:szCs w:val="24"/>
                <w:lang w:val="uk-UA"/>
              </w:rPr>
              <w:t xml:space="preserve"> </w:t>
            </w:r>
            <w:proofErr w:type="spellStart"/>
            <w:r w:rsidRPr="00ED35A9">
              <w:rPr>
                <w:rFonts w:cs="Times New Roman"/>
                <w:sz w:val="24"/>
                <w:szCs w:val="24"/>
                <w:lang w:val="uk-UA"/>
              </w:rPr>
              <w:t>multidrug</w:t>
            </w:r>
            <w:proofErr w:type="spellEnd"/>
            <w:r w:rsidRPr="00ED35A9">
              <w:rPr>
                <w:rFonts w:cs="Times New Roman"/>
                <w:sz w:val="24"/>
                <w:szCs w:val="24"/>
                <w:lang w:val="uk-UA"/>
              </w:rPr>
              <w:t xml:space="preserve">- </w:t>
            </w:r>
            <w:proofErr w:type="spellStart"/>
            <w:r w:rsidRPr="00ED35A9">
              <w:rPr>
                <w:rFonts w:cs="Times New Roman"/>
                <w:sz w:val="24"/>
                <w:szCs w:val="24"/>
                <w:lang w:val="uk-UA"/>
              </w:rPr>
              <w:t>and</w:t>
            </w:r>
            <w:proofErr w:type="spellEnd"/>
            <w:r w:rsidRPr="00ED35A9">
              <w:rPr>
                <w:rFonts w:cs="Times New Roman"/>
                <w:sz w:val="24"/>
                <w:szCs w:val="24"/>
                <w:lang w:val="uk-UA"/>
              </w:rPr>
              <w:t xml:space="preserve"> </w:t>
            </w:r>
            <w:proofErr w:type="spellStart"/>
            <w:r w:rsidRPr="00ED35A9">
              <w:rPr>
                <w:rFonts w:cs="Times New Roman"/>
                <w:sz w:val="24"/>
                <w:szCs w:val="24"/>
                <w:lang w:val="uk-UA"/>
              </w:rPr>
              <w:t>rifampicin-resistant</w:t>
            </w:r>
            <w:proofErr w:type="spellEnd"/>
            <w:r w:rsidRPr="00ED35A9">
              <w:rPr>
                <w:rFonts w:cs="Times New Roman"/>
                <w:sz w:val="24"/>
                <w:szCs w:val="24"/>
                <w:lang w:val="uk-UA"/>
              </w:rPr>
              <w:t xml:space="preserve"> </w:t>
            </w:r>
            <w:proofErr w:type="spellStart"/>
            <w:r w:rsidRPr="00ED35A9">
              <w:rPr>
                <w:rFonts w:cs="Times New Roman"/>
                <w:sz w:val="24"/>
                <w:szCs w:val="24"/>
                <w:lang w:val="uk-UA"/>
              </w:rPr>
              <w:t>tuberculosis</w:t>
            </w:r>
            <w:proofErr w:type="spellEnd"/>
            <w:r w:rsidRPr="00ED35A9">
              <w:rPr>
                <w:rFonts w:cs="Times New Roman"/>
                <w:sz w:val="24"/>
                <w:szCs w:val="24"/>
                <w:lang w:val="uk-UA"/>
              </w:rPr>
              <w:t xml:space="preserve">, 2018 </w:t>
            </w:r>
            <w:proofErr w:type="spellStart"/>
            <w:r w:rsidRPr="00ED35A9">
              <w:rPr>
                <w:rFonts w:cs="Times New Roman"/>
                <w:sz w:val="24"/>
                <w:szCs w:val="24"/>
                <w:lang w:val="uk-UA"/>
              </w:rPr>
              <w:t>update</w:t>
            </w:r>
            <w:proofErr w:type="spellEnd"/>
            <w:r w:rsidRPr="00ED35A9">
              <w:rPr>
                <w:rFonts w:cs="Times New Roman"/>
                <w:sz w:val="24"/>
                <w:szCs w:val="24"/>
                <w:lang w:val="uk-UA"/>
              </w:rPr>
              <w:t xml:space="preserve">. </w:t>
            </w:r>
            <w:proofErr w:type="spellStart"/>
            <w:r w:rsidRPr="00ED35A9">
              <w:rPr>
                <w:rFonts w:cs="Times New Roman"/>
                <w:sz w:val="24"/>
                <w:szCs w:val="24"/>
                <w:lang w:val="uk-UA"/>
              </w:rPr>
              <w:t>Geneva</w:t>
            </w:r>
            <w:proofErr w:type="spellEnd"/>
            <w:r w:rsidRPr="00ED35A9">
              <w:rPr>
                <w:rFonts w:cs="Times New Roman"/>
                <w:sz w:val="24"/>
                <w:szCs w:val="24"/>
                <w:lang w:val="uk-UA"/>
              </w:rPr>
              <w:t xml:space="preserve">, </w:t>
            </w:r>
            <w:proofErr w:type="spellStart"/>
            <w:r w:rsidRPr="00ED35A9">
              <w:rPr>
                <w:rFonts w:cs="Times New Roman"/>
                <w:sz w:val="24"/>
                <w:szCs w:val="24"/>
                <w:lang w:val="uk-UA"/>
              </w:rPr>
              <w:t>World</w:t>
            </w:r>
            <w:proofErr w:type="spellEnd"/>
            <w:r w:rsidRPr="00ED35A9">
              <w:rPr>
                <w:rFonts w:cs="Times New Roman"/>
                <w:sz w:val="24"/>
                <w:szCs w:val="24"/>
                <w:lang w:val="uk-UA"/>
              </w:rPr>
              <w:t xml:space="preserve"> </w:t>
            </w:r>
            <w:proofErr w:type="spellStart"/>
            <w:r w:rsidRPr="00ED35A9">
              <w:rPr>
                <w:rFonts w:cs="Times New Roman"/>
                <w:sz w:val="24"/>
                <w:szCs w:val="24"/>
                <w:lang w:val="uk-UA"/>
              </w:rPr>
              <w:t>Health</w:t>
            </w:r>
            <w:proofErr w:type="spellEnd"/>
            <w:r w:rsidRPr="00ED35A9">
              <w:rPr>
                <w:rFonts w:cs="Times New Roman"/>
                <w:sz w:val="24"/>
                <w:szCs w:val="24"/>
                <w:lang w:val="uk-UA"/>
              </w:rPr>
              <w:t xml:space="preserve"> </w:t>
            </w:r>
            <w:proofErr w:type="spellStart"/>
            <w:r w:rsidRPr="00ED35A9">
              <w:rPr>
                <w:rFonts w:cs="Times New Roman"/>
                <w:sz w:val="24"/>
                <w:szCs w:val="24"/>
                <w:lang w:val="uk-UA"/>
              </w:rPr>
              <w:t>Organization</w:t>
            </w:r>
            <w:proofErr w:type="spellEnd"/>
            <w:r w:rsidRPr="00ED35A9">
              <w:rPr>
                <w:rFonts w:cs="Times New Roman"/>
                <w:sz w:val="24"/>
                <w:szCs w:val="24"/>
                <w:lang w:val="uk-UA"/>
              </w:rPr>
              <w:t>. 2018 (WHO/CDS/TB/2018.15).</w:t>
            </w:r>
          </w:p>
        </w:tc>
      </w:tr>
    </w:tbl>
    <w:p w:rsidR="004B5B7F" w:rsidRPr="00ED35A9" w:rsidRDefault="004B5B7F" w:rsidP="00750848">
      <w:pPr>
        <w:spacing w:before="120" w:line="252" w:lineRule="auto"/>
        <w:rPr>
          <w:rFonts w:cs="Times New Roman"/>
          <w:szCs w:val="28"/>
          <w:lang w:val="uk-UA"/>
        </w:rPr>
      </w:pPr>
      <w:r w:rsidRPr="00ED35A9">
        <w:rPr>
          <w:rFonts w:cs="Times New Roman"/>
          <w:szCs w:val="28"/>
          <w:lang w:val="uk-UA"/>
        </w:rPr>
        <w:lastRenderedPageBreak/>
        <w:t xml:space="preserve">Представлену зведену настанову, що містить всеосяжний перелік рекомендацій ВООЗ з лікування та догляду при ЛС-ТБ, виведено з восьми керівних документів ВООЗ, які вона відтепер замінює. До складу зведеної настанови увійшли рекомендації із розробки політик щодо схем лікування </w:t>
      </w:r>
      <w:proofErr w:type="spellStart"/>
      <w:r w:rsidRPr="00ED35A9">
        <w:rPr>
          <w:rFonts w:cs="Times New Roman"/>
          <w:szCs w:val="28"/>
          <w:lang w:val="uk-UA"/>
        </w:rPr>
        <w:t>ізоніазид</w:t>
      </w:r>
      <w:proofErr w:type="spellEnd"/>
      <w:r w:rsidRPr="00ED35A9">
        <w:rPr>
          <w:rFonts w:cs="Times New Roman"/>
          <w:szCs w:val="28"/>
          <w:lang w:val="uk-UA"/>
        </w:rPr>
        <w:t>-резистентного ТБ (</w:t>
      </w:r>
      <w:proofErr w:type="spellStart"/>
      <w:r w:rsidRPr="00ED35A9">
        <w:rPr>
          <w:rFonts w:cs="Times New Roman"/>
          <w:szCs w:val="28"/>
          <w:lang w:val="uk-UA"/>
        </w:rPr>
        <w:t>Hрез</w:t>
      </w:r>
      <w:proofErr w:type="spellEnd"/>
      <w:r w:rsidRPr="00ED35A9">
        <w:rPr>
          <w:rFonts w:cs="Times New Roman"/>
          <w:szCs w:val="28"/>
          <w:lang w:val="uk-UA"/>
        </w:rPr>
        <w:t xml:space="preserve">-ТБ), а також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та </w:t>
      </w:r>
      <w:proofErr w:type="spellStart"/>
      <w:r w:rsidRPr="00ED35A9">
        <w:rPr>
          <w:rFonts w:cs="Times New Roman"/>
          <w:szCs w:val="28"/>
          <w:lang w:val="uk-UA"/>
        </w:rPr>
        <w:t>рифампіцин</w:t>
      </w:r>
      <w:proofErr w:type="spellEnd"/>
      <w:r w:rsidRPr="00ED35A9">
        <w:rPr>
          <w:rFonts w:cs="Times New Roman"/>
          <w:szCs w:val="28"/>
          <w:lang w:val="uk-UA"/>
        </w:rPr>
        <w:t xml:space="preserve">-резистентного ТБ (МР/Риф-ТБ), включаючи довгострокові та короткострокові схеми для лікування МР/Риф-ТБ, </w:t>
      </w:r>
      <w:proofErr w:type="spellStart"/>
      <w:r w:rsidRPr="00ED35A9">
        <w:rPr>
          <w:rFonts w:cs="Times New Roman"/>
          <w:szCs w:val="28"/>
          <w:lang w:val="uk-UA"/>
        </w:rPr>
        <w:t>культуральний</w:t>
      </w:r>
      <w:proofErr w:type="spellEnd"/>
      <w:r w:rsidRPr="00ED35A9">
        <w:rPr>
          <w:rFonts w:cs="Times New Roman"/>
          <w:szCs w:val="28"/>
          <w:lang w:val="uk-UA"/>
        </w:rPr>
        <w:t xml:space="preserve"> моніторинг пацієнтів на лікуванні, терміни початку </w:t>
      </w:r>
      <w:proofErr w:type="spellStart"/>
      <w:r w:rsidRPr="00ED35A9">
        <w:rPr>
          <w:rFonts w:cs="Times New Roman"/>
          <w:szCs w:val="28"/>
          <w:lang w:val="uk-UA"/>
        </w:rPr>
        <w:t>антиретровірусної</w:t>
      </w:r>
      <w:proofErr w:type="spellEnd"/>
      <w:r w:rsidRPr="00ED35A9">
        <w:rPr>
          <w:rFonts w:cs="Times New Roman"/>
          <w:szCs w:val="28"/>
          <w:lang w:val="uk-UA"/>
        </w:rPr>
        <w:t xml:space="preserve"> терапії (АРТ) у пацієнтів з МР/Риф-ТБ, інфікованих вірусом імунодефіциту людини (ВІЛ), застосування хірургічного лікування для пацієнтів, що отримують лікування </w:t>
      </w:r>
      <w:proofErr w:type="spellStart"/>
      <w:r w:rsidRPr="00ED35A9">
        <w:rPr>
          <w:rFonts w:cs="Times New Roman"/>
          <w:szCs w:val="28"/>
          <w:lang w:val="uk-UA"/>
        </w:rPr>
        <w:t>мультирезистентного</w:t>
      </w:r>
      <w:proofErr w:type="spellEnd"/>
      <w:r w:rsidRPr="00ED35A9">
        <w:rPr>
          <w:rFonts w:cs="Times New Roman"/>
          <w:szCs w:val="28"/>
          <w:lang w:val="uk-UA"/>
        </w:rPr>
        <w:t xml:space="preserve"> ТБ (МРТБ), а також оптимальні моделі з надання підтримки та догляду пацієнтам.</w:t>
      </w:r>
    </w:p>
    <w:p w:rsidR="004B5B7F" w:rsidRPr="00ED35A9" w:rsidRDefault="004B5B7F" w:rsidP="00750848">
      <w:pPr>
        <w:spacing w:line="252" w:lineRule="auto"/>
        <w:rPr>
          <w:rFonts w:cs="Times New Roman"/>
          <w:szCs w:val="28"/>
          <w:lang w:val="uk-UA"/>
        </w:rPr>
      </w:pPr>
      <w:r w:rsidRPr="00ED35A9">
        <w:rPr>
          <w:rFonts w:cs="Times New Roman"/>
          <w:szCs w:val="28"/>
          <w:lang w:val="uk-UA"/>
        </w:rPr>
        <w:t>Нижче наведено повний перелік з 29 стратегічних рекомендацій, зібраних у 8 розділах. Нові рекомендації будуть доповнені подальшими порадами щодо їхнього впровадження та внесені до переглянутої версії практичного посібника ВООЗ із впровадження протитуберкульозної програми.</w:t>
      </w:r>
    </w:p>
    <w:p w:rsidR="00750848" w:rsidRPr="00ED35A9" w:rsidRDefault="00750848">
      <w:pPr>
        <w:spacing w:after="160" w:line="259" w:lineRule="auto"/>
        <w:ind w:firstLine="0"/>
        <w:jc w:val="left"/>
        <w:rPr>
          <w:rFonts w:eastAsia="Arial" w:cs="Times New Roman"/>
          <w:b/>
          <w:szCs w:val="28"/>
          <w:lang w:val="uk-UA"/>
        </w:rPr>
      </w:pPr>
      <w:r w:rsidRPr="00ED35A9">
        <w:rPr>
          <w:rFonts w:cs="Times New Roman"/>
          <w:b/>
          <w:szCs w:val="28"/>
          <w:lang w:val="uk-UA"/>
        </w:rPr>
        <w:br w:type="page"/>
      </w:r>
    </w:p>
    <w:p w:rsidR="007D423A" w:rsidRPr="00ED35A9" w:rsidRDefault="007D423A" w:rsidP="007D423A">
      <w:pPr>
        <w:pStyle w:val="Bodytext20"/>
        <w:shd w:val="clear" w:color="auto" w:fill="auto"/>
        <w:spacing w:before="120" w:line="240" w:lineRule="auto"/>
        <w:ind w:firstLine="0"/>
        <w:jc w:val="center"/>
        <w:rPr>
          <w:rFonts w:ascii="Times New Roman" w:hAnsi="Times New Roman" w:cs="Times New Roman"/>
          <w:b/>
          <w:sz w:val="28"/>
          <w:szCs w:val="28"/>
          <w:lang w:val="uk-UA"/>
        </w:rPr>
      </w:pPr>
      <w:r w:rsidRPr="00ED35A9">
        <w:rPr>
          <w:rFonts w:ascii="Times New Roman" w:hAnsi="Times New Roman" w:cs="Times New Roman"/>
          <w:b/>
          <w:sz w:val="28"/>
          <w:szCs w:val="28"/>
          <w:lang w:val="uk-UA"/>
        </w:rPr>
        <w:lastRenderedPageBreak/>
        <w:t>Короткий огляд рекомендацій</w:t>
      </w:r>
      <w:r w:rsidRPr="00ED35A9">
        <w:rPr>
          <w:rFonts w:ascii="Times New Roman" w:hAnsi="Times New Roman" w:cs="Times New Roman"/>
          <w:b/>
          <w:sz w:val="28"/>
          <w:szCs w:val="28"/>
          <w:lang w:val="uk-UA"/>
        </w:rPr>
        <w:br/>
      </w:r>
      <w:r w:rsidR="00750848" w:rsidRPr="00ED35A9">
        <w:rPr>
          <w:rFonts w:ascii="Times New Roman" w:hAnsi="Times New Roman" w:cs="Times New Roman"/>
          <w:b/>
          <w:sz w:val="28"/>
          <w:szCs w:val="28"/>
          <w:lang w:val="uk-UA"/>
        </w:rPr>
        <w:t xml:space="preserve">з </w:t>
      </w:r>
      <w:r w:rsidRPr="00ED35A9">
        <w:rPr>
          <w:rFonts w:ascii="Times New Roman" w:hAnsi="Times New Roman" w:cs="Times New Roman"/>
          <w:b/>
          <w:sz w:val="28"/>
          <w:szCs w:val="28"/>
          <w:lang w:val="uk-UA"/>
        </w:rPr>
        <w:t>лікування та догляду при ЛС-ТБ</w:t>
      </w:r>
    </w:p>
    <w:tbl>
      <w:tblPr>
        <w:tblStyle w:val="a8"/>
        <w:tblW w:w="9498" w:type="dxa"/>
        <w:tblInd w:w="108" w:type="dxa"/>
        <w:tblLayout w:type="fixed"/>
        <w:tblLook w:val="04A0" w:firstRow="1" w:lastRow="0" w:firstColumn="1" w:lastColumn="0" w:noHBand="0" w:noVBand="1"/>
      </w:tblPr>
      <w:tblGrid>
        <w:gridCol w:w="3119"/>
        <w:gridCol w:w="6379"/>
      </w:tblGrid>
      <w:tr w:rsidR="007D423A" w:rsidRPr="00ED35A9" w:rsidTr="001A0A35">
        <w:trPr>
          <w:trHeight w:val="20"/>
          <w:tblHeader/>
        </w:trPr>
        <w:tc>
          <w:tcPr>
            <w:tcW w:w="3119" w:type="dxa"/>
            <w:shd w:val="clear" w:color="auto" w:fill="auto"/>
          </w:tcPr>
          <w:p w:rsidR="007D423A" w:rsidRPr="00ED35A9" w:rsidRDefault="007D423A" w:rsidP="001A0A35">
            <w:pPr>
              <w:ind w:firstLine="0"/>
              <w:jc w:val="center"/>
              <w:rPr>
                <w:b/>
                <w:szCs w:val="28"/>
                <w:lang w:val="uk-UA"/>
              </w:rPr>
            </w:pPr>
            <w:r w:rsidRPr="00ED35A9">
              <w:rPr>
                <w:b/>
                <w:szCs w:val="28"/>
                <w:lang w:val="uk-UA"/>
              </w:rPr>
              <w:t>Розділ</w:t>
            </w:r>
          </w:p>
        </w:tc>
        <w:tc>
          <w:tcPr>
            <w:tcW w:w="6379" w:type="dxa"/>
            <w:shd w:val="clear" w:color="auto" w:fill="auto"/>
          </w:tcPr>
          <w:p w:rsidR="007D423A" w:rsidRPr="00ED35A9" w:rsidRDefault="007D423A" w:rsidP="001A0A35">
            <w:pPr>
              <w:ind w:firstLine="0"/>
              <w:jc w:val="center"/>
              <w:rPr>
                <w:b/>
                <w:szCs w:val="28"/>
                <w:lang w:val="uk-UA"/>
              </w:rPr>
            </w:pPr>
            <w:r w:rsidRPr="00ED35A9">
              <w:rPr>
                <w:b/>
                <w:szCs w:val="28"/>
                <w:lang w:val="uk-UA"/>
              </w:rPr>
              <w:t>Рекомендація</w:t>
            </w:r>
          </w:p>
        </w:tc>
      </w:tr>
      <w:tr w:rsidR="007D423A" w:rsidRPr="00850C2F"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t xml:space="preserve">1. Схеми для лікування </w:t>
            </w:r>
            <w:proofErr w:type="spellStart"/>
            <w:r w:rsidRPr="00ED35A9">
              <w:rPr>
                <w:lang w:val="uk-UA"/>
              </w:rPr>
              <w:t>ізоніазид</w:t>
            </w:r>
            <w:proofErr w:type="spellEnd"/>
            <w:r w:rsidRPr="00ED35A9">
              <w:rPr>
                <w:lang w:val="uk-UA"/>
              </w:rPr>
              <w:t>-резистентного туберкульозу</w:t>
            </w:r>
          </w:p>
        </w:tc>
        <w:tc>
          <w:tcPr>
            <w:tcW w:w="6379" w:type="dxa"/>
            <w:shd w:val="clear" w:color="auto" w:fill="auto"/>
          </w:tcPr>
          <w:p w:rsidR="007D423A" w:rsidRPr="00ED35A9" w:rsidRDefault="007D423A" w:rsidP="001A0A35">
            <w:pPr>
              <w:spacing w:after="120"/>
              <w:ind w:firstLine="0"/>
              <w:jc w:val="left"/>
              <w:rPr>
                <w:spacing w:val="-2"/>
                <w:szCs w:val="28"/>
                <w:lang w:val="uk-UA"/>
              </w:rPr>
            </w:pPr>
            <w:r w:rsidRPr="00ED35A9">
              <w:rPr>
                <w:spacing w:val="-2"/>
                <w:szCs w:val="28"/>
                <w:lang w:val="uk-UA"/>
              </w:rPr>
              <w:t xml:space="preserve">1.1. У пацієнтів із підтвердженим </w:t>
            </w:r>
            <w:proofErr w:type="spellStart"/>
            <w:r w:rsidRPr="00ED35A9">
              <w:rPr>
                <w:spacing w:val="-2"/>
                <w:szCs w:val="28"/>
                <w:lang w:val="uk-UA"/>
              </w:rPr>
              <w:t>Нрез</w:t>
            </w:r>
            <w:proofErr w:type="spellEnd"/>
            <w:r w:rsidRPr="00ED35A9">
              <w:rPr>
                <w:spacing w:val="-2"/>
                <w:szCs w:val="28"/>
                <w:lang w:val="uk-UA"/>
              </w:rPr>
              <w:t xml:space="preserve">-ТБ рекомендовано проводити лікування із застосуванням </w:t>
            </w:r>
            <w:proofErr w:type="spellStart"/>
            <w:r w:rsidRPr="00ED35A9">
              <w:rPr>
                <w:spacing w:val="-2"/>
                <w:szCs w:val="28"/>
                <w:lang w:val="uk-UA"/>
              </w:rPr>
              <w:t>рифампіцину</w:t>
            </w:r>
            <w:proofErr w:type="spellEnd"/>
            <w:r w:rsidRPr="00ED35A9">
              <w:rPr>
                <w:spacing w:val="-2"/>
                <w:szCs w:val="28"/>
                <w:lang w:val="uk-UA"/>
              </w:rPr>
              <w:t xml:space="preserve">, </w:t>
            </w:r>
            <w:proofErr w:type="spellStart"/>
            <w:r w:rsidRPr="00ED35A9">
              <w:rPr>
                <w:spacing w:val="-2"/>
                <w:szCs w:val="28"/>
                <w:lang w:val="uk-UA"/>
              </w:rPr>
              <w:t>етамбутолу</w:t>
            </w:r>
            <w:proofErr w:type="spellEnd"/>
            <w:r w:rsidRPr="00ED35A9">
              <w:rPr>
                <w:spacing w:val="-2"/>
                <w:szCs w:val="28"/>
                <w:lang w:val="uk-UA"/>
              </w:rPr>
              <w:t xml:space="preserve">, </w:t>
            </w:r>
            <w:proofErr w:type="spellStart"/>
            <w:r w:rsidRPr="00ED35A9">
              <w:rPr>
                <w:spacing w:val="-2"/>
                <w:szCs w:val="28"/>
                <w:lang w:val="uk-UA"/>
              </w:rPr>
              <w:t>піразинаміду</w:t>
            </w:r>
            <w:proofErr w:type="spellEnd"/>
            <w:r w:rsidRPr="00ED35A9">
              <w:rPr>
                <w:spacing w:val="-2"/>
                <w:szCs w:val="28"/>
                <w:lang w:val="uk-UA"/>
              </w:rPr>
              <w:t xml:space="preserve"> та </w:t>
            </w:r>
            <w:proofErr w:type="spellStart"/>
            <w:r w:rsidRPr="00ED35A9">
              <w:rPr>
                <w:spacing w:val="-2"/>
                <w:szCs w:val="28"/>
                <w:lang w:val="uk-UA"/>
              </w:rPr>
              <w:t>левофлоксацину</w:t>
            </w:r>
            <w:proofErr w:type="spellEnd"/>
            <w:r w:rsidRPr="00ED35A9">
              <w:rPr>
                <w:spacing w:val="-2"/>
                <w:szCs w:val="28"/>
                <w:lang w:val="uk-UA"/>
              </w:rPr>
              <w:t xml:space="preserve"> протягом 6 міс (умовна рекомендація, дуже низька якість доказових даних).</w:t>
            </w:r>
          </w:p>
          <w:p w:rsidR="007D423A" w:rsidRPr="00ED35A9" w:rsidRDefault="007D423A" w:rsidP="00750848">
            <w:pPr>
              <w:ind w:firstLine="0"/>
              <w:jc w:val="left"/>
              <w:rPr>
                <w:spacing w:val="-2"/>
                <w:szCs w:val="28"/>
                <w:highlight w:val="yellow"/>
                <w:lang w:val="uk-UA"/>
              </w:rPr>
            </w:pPr>
            <w:r w:rsidRPr="00ED35A9">
              <w:rPr>
                <w:spacing w:val="-2"/>
                <w:szCs w:val="28"/>
                <w:lang w:val="uk-UA"/>
              </w:rPr>
              <w:t xml:space="preserve">1.2. У пацієнтів із підтвердженим </w:t>
            </w:r>
            <w:proofErr w:type="spellStart"/>
            <w:r w:rsidRPr="00ED35A9">
              <w:rPr>
                <w:spacing w:val="-2"/>
                <w:szCs w:val="28"/>
                <w:lang w:val="uk-UA"/>
              </w:rPr>
              <w:t>Нрез</w:t>
            </w:r>
            <w:proofErr w:type="spellEnd"/>
            <w:r w:rsidRPr="00ED35A9">
              <w:rPr>
                <w:spacing w:val="-2"/>
                <w:szCs w:val="28"/>
                <w:lang w:val="uk-UA"/>
              </w:rPr>
              <w:t>-ТБ не рекомендовано застосування у схемах лікування стрептоміцину або інших ін’єкційних препаратів (умовна рекомендація, дуже низька якість доказових даних).</w:t>
            </w:r>
          </w:p>
        </w:tc>
      </w:tr>
      <w:tr w:rsidR="007D423A" w:rsidRPr="00ED35A9" w:rsidTr="001A0A35">
        <w:trPr>
          <w:trHeight w:val="20"/>
        </w:trPr>
        <w:tc>
          <w:tcPr>
            <w:tcW w:w="3119" w:type="dxa"/>
            <w:shd w:val="clear" w:color="auto" w:fill="auto"/>
          </w:tcPr>
          <w:p w:rsidR="007D423A" w:rsidRPr="00ED35A9" w:rsidRDefault="007D423A" w:rsidP="001A0A35">
            <w:pPr>
              <w:ind w:firstLine="0"/>
              <w:jc w:val="left"/>
              <w:rPr>
                <w:lang w:val="uk-UA"/>
              </w:rPr>
            </w:pPr>
            <w:r w:rsidRPr="00ED35A9">
              <w:rPr>
                <w:lang w:val="uk-UA"/>
              </w:rPr>
              <w:t xml:space="preserve">2. Склад довгострокових схем лікування </w:t>
            </w:r>
            <w:proofErr w:type="spellStart"/>
            <w:r w:rsidRPr="00ED35A9">
              <w:rPr>
                <w:lang w:val="uk-UA"/>
              </w:rPr>
              <w:t>мультирезистентного</w:t>
            </w:r>
            <w:proofErr w:type="spellEnd"/>
            <w:r w:rsidRPr="00ED35A9">
              <w:rPr>
                <w:lang w:val="uk-UA"/>
              </w:rPr>
              <w:t xml:space="preserve"> туберкульозу</w:t>
            </w:r>
          </w:p>
        </w:tc>
        <w:tc>
          <w:tcPr>
            <w:tcW w:w="6379" w:type="dxa"/>
            <w:shd w:val="clear" w:color="auto" w:fill="auto"/>
          </w:tcPr>
          <w:p w:rsidR="007D423A" w:rsidRPr="00ED35A9" w:rsidRDefault="007D423A" w:rsidP="001A0A35">
            <w:pPr>
              <w:spacing w:after="120"/>
              <w:ind w:firstLine="0"/>
              <w:jc w:val="left"/>
              <w:rPr>
                <w:szCs w:val="28"/>
                <w:lang w:val="uk-UA"/>
              </w:rPr>
            </w:pPr>
            <w:r w:rsidRPr="00ED35A9">
              <w:rPr>
                <w:szCs w:val="28"/>
                <w:lang w:val="uk-UA"/>
              </w:rPr>
              <w:t xml:space="preserve">2.1. У пацієнтів з МРТБ до довгострокових схем лікування слід включати усі три препарати групи А та щонайменше один препарат групи В, починаючи лікування якнайменше з чотирьох ПТП, які ймовірно будуть ефективними, та застосовуючи принаймні три препарати після припинення прийому </w:t>
            </w:r>
            <w:proofErr w:type="spellStart"/>
            <w:r w:rsidRPr="00ED35A9">
              <w:rPr>
                <w:szCs w:val="28"/>
                <w:lang w:val="uk-UA"/>
              </w:rPr>
              <w:t>бедаквіліну</w:t>
            </w:r>
            <w:proofErr w:type="spellEnd"/>
            <w:r w:rsidRPr="00ED35A9">
              <w:rPr>
                <w:rStyle w:val="ac"/>
                <w:szCs w:val="28"/>
                <w:lang w:val="uk-UA"/>
              </w:rPr>
              <w:footnoteReference w:id="1"/>
            </w:r>
            <w:r w:rsidRPr="00ED35A9">
              <w:rPr>
                <w:szCs w:val="28"/>
                <w:lang w:val="uk-UA"/>
              </w:rPr>
              <w:t>. Якщо використовують лише один або два препарати групи А, то слід включити обидва препарати групи В. Якщо схема не може бути складена лише з препаратів груп А та В, тоді для доповнення слід додати препарати групи С (умовна рекомендація, дуже низька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t>2.2. </w:t>
            </w:r>
            <w:proofErr w:type="spellStart"/>
            <w:r w:rsidRPr="00ED35A9">
              <w:rPr>
                <w:szCs w:val="28"/>
                <w:lang w:val="uk-UA"/>
              </w:rPr>
              <w:t>Канаміцин</w:t>
            </w:r>
            <w:proofErr w:type="spellEnd"/>
            <w:r w:rsidRPr="00ED35A9">
              <w:rPr>
                <w:szCs w:val="28"/>
                <w:lang w:val="uk-UA"/>
              </w:rPr>
              <w:t xml:space="preserve"> та </w:t>
            </w:r>
            <w:proofErr w:type="spellStart"/>
            <w:r w:rsidRPr="00ED35A9">
              <w:rPr>
                <w:szCs w:val="28"/>
                <w:lang w:val="uk-UA"/>
              </w:rPr>
              <w:t>капреоміцин</w:t>
            </w:r>
            <w:proofErr w:type="spellEnd"/>
            <w:r w:rsidRPr="00ED35A9">
              <w:rPr>
                <w:szCs w:val="28"/>
                <w:lang w:val="uk-UA"/>
              </w:rPr>
              <w:t xml:space="preserve"> не слід застосовувати при лікуванні пацієнтів з МРТБ на довгострокових схемах (умовна рекомендація, дуже низька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t>2.3. </w:t>
            </w:r>
            <w:proofErr w:type="spellStart"/>
            <w:r w:rsidRPr="00ED35A9">
              <w:rPr>
                <w:szCs w:val="28"/>
                <w:lang w:val="uk-UA"/>
              </w:rPr>
              <w:t>Левофлоксацин</w:t>
            </w:r>
            <w:proofErr w:type="spellEnd"/>
            <w:r w:rsidRPr="00ED35A9">
              <w:rPr>
                <w:szCs w:val="28"/>
                <w:lang w:val="uk-UA"/>
              </w:rPr>
              <w:t xml:space="preserve"> або </w:t>
            </w:r>
            <w:proofErr w:type="spellStart"/>
            <w:r w:rsidRPr="00ED35A9">
              <w:rPr>
                <w:szCs w:val="28"/>
                <w:lang w:val="uk-UA"/>
              </w:rPr>
              <w:t>моксіфлоксацин</w:t>
            </w:r>
            <w:proofErr w:type="spellEnd"/>
            <w:r w:rsidRPr="00ED35A9">
              <w:rPr>
                <w:szCs w:val="28"/>
                <w:lang w:val="uk-UA"/>
              </w:rPr>
              <w:t xml:space="preserve"> рекомендовано застосовувати при лікуванні пацієнтів з МР/Риф-ТБ на довгострокових схемах (наполеглива рекомендація, середня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t>2.4. </w:t>
            </w:r>
            <w:proofErr w:type="spellStart"/>
            <w:r w:rsidRPr="00ED35A9">
              <w:rPr>
                <w:szCs w:val="28"/>
                <w:lang w:val="uk-UA"/>
              </w:rPr>
              <w:t>Бедаквілін</w:t>
            </w:r>
            <w:proofErr w:type="spellEnd"/>
            <w:r w:rsidRPr="00ED35A9">
              <w:rPr>
                <w:szCs w:val="28"/>
                <w:lang w:val="uk-UA"/>
              </w:rPr>
              <w:t xml:space="preserve"> рекомендовано включати до довгострокових схем лікування пацієнтів з МРТБ віком від 18 років (наполеглива рекомендація, середня якість доказових даних). </w:t>
            </w:r>
            <w:proofErr w:type="spellStart"/>
            <w:r w:rsidRPr="00ED35A9">
              <w:rPr>
                <w:szCs w:val="28"/>
                <w:lang w:val="uk-UA"/>
              </w:rPr>
              <w:t>Бедаквілін</w:t>
            </w:r>
            <w:proofErr w:type="spellEnd"/>
            <w:r w:rsidRPr="00ED35A9">
              <w:rPr>
                <w:szCs w:val="28"/>
                <w:lang w:val="uk-UA"/>
              </w:rPr>
              <w:t xml:space="preserve"> також </w:t>
            </w:r>
            <w:r w:rsidRPr="00ED35A9">
              <w:rPr>
                <w:szCs w:val="28"/>
                <w:lang w:val="uk-UA"/>
              </w:rPr>
              <w:lastRenderedPageBreak/>
              <w:t>можна включати до довгострокових схем лікування пацієнтів з МРТБ віком від 6 до 17 років (умовна рекомендація, дуже низька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2.5. </w:t>
            </w:r>
            <w:proofErr w:type="spellStart"/>
            <w:r w:rsidRPr="00ED35A9">
              <w:rPr>
                <w:szCs w:val="28"/>
                <w:lang w:val="uk-UA"/>
              </w:rPr>
              <w:t>Лінезолід</w:t>
            </w:r>
            <w:proofErr w:type="spellEnd"/>
            <w:r w:rsidRPr="00ED35A9">
              <w:rPr>
                <w:szCs w:val="28"/>
                <w:lang w:val="uk-UA"/>
              </w:rPr>
              <w:t xml:space="preserve"> рекомендовано включати до довгострокових схем лікування пацієнтів з МР/Риф-ТБ (наполеглива рекомендація, середня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2.6. </w:t>
            </w:r>
            <w:proofErr w:type="spellStart"/>
            <w:r w:rsidRPr="00ED35A9">
              <w:rPr>
                <w:szCs w:val="28"/>
                <w:lang w:val="uk-UA"/>
              </w:rPr>
              <w:t>Клофазимін</w:t>
            </w:r>
            <w:proofErr w:type="spellEnd"/>
            <w:r w:rsidRPr="00ED35A9">
              <w:rPr>
                <w:szCs w:val="28"/>
                <w:lang w:val="uk-UA"/>
              </w:rPr>
              <w:t xml:space="preserve"> та </w:t>
            </w:r>
            <w:proofErr w:type="spellStart"/>
            <w:r w:rsidRPr="00ED35A9">
              <w:rPr>
                <w:szCs w:val="28"/>
                <w:lang w:val="uk-UA"/>
              </w:rPr>
              <w:t>циклосерін</w:t>
            </w:r>
            <w:proofErr w:type="spellEnd"/>
            <w:r w:rsidRPr="00ED35A9">
              <w:rPr>
                <w:szCs w:val="28"/>
                <w:lang w:val="uk-UA"/>
              </w:rPr>
              <w:t xml:space="preserve"> або </w:t>
            </w:r>
            <w:proofErr w:type="spellStart"/>
            <w:r w:rsidRPr="00ED35A9">
              <w:rPr>
                <w:szCs w:val="28"/>
                <w:lang w:val="uk-UA"/>
              </w:rPr>
              <w:t>теризидон</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2.7. </w:t>
            </w:r>
            <w:proofErr w:type="spellStart"/>
            <w:r w:rsidRPr="00ED35A9">
              <w:rPr>
                <w:szCs w:val="28"/>
                <w:lang w:val="uk-UA"/>
              </w:rPr>
              <w:t>Етамбутол</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2.8. </w:t>
            </w:r>
            <w:proofErr w:type="spellStart"/>
            <w:r w:rsidRPr="00ED35A9">
              <w:rPr>
                <w:szCs w:val="28"/>
                <w:lang w:val="uk-UA"/>
              </w:rPr>
              <w:t>Деламанід</w:t>
            </w:r>
            <w:proofErr w:type="spellEnd"/>
            <w:r w:rsidRPr="00ED35A9">
              <w:rPr>
                <w:szCs w:val="28"/>
                <w:lang w:val="uk-UA"/>
              </w:rPr>
              <w:t xml:space="preserve"> можна включати до довгострокових схем лікування у пацієнтів з МР/Риф-ТБ віком від 3 років (умовна рекомендація, середня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2.9. </w:t>
            </w:r>
            <w:proofErr w:type="spellStart"/>
            <w:r w:rsidRPr="00ED35A9">
              <w:rPr>
                <w:szCs w:val="28"/>
                <w:lang w:val="uk-UA"/>
              </w:rPr>
              <w:t>Піразинамід</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2.10. </w:t>
            </w:r>
            <w:proofErr w:type="spellStart"/>
            <w:r w:rsidRPr="00ED35A9">
              <w:rPr>
                <w:szCs w:val="28"/>
                <w:lang w:val="uk-UA"/>
              </w:rPr>
              <w:t>Іміпенем-циластатин</w:t>
            </w:r>
            <w:proofErr w:type="spellEnd"/>
            <w:r w:rsidRPr="00ED35A9">
              <w:rPr>
                <w:szCs w:val="28"/>
                <w:lang w:val="uk-UA"/>
              </w:rPr>
              <w:t xml:space="preserve"> або </w:t>
            </w:r>
            <w:proofErr w:type="spellStart"/>
            <w:r w:rsidRPr="00ED35A9">
              <w:rPr>
                <w:szCs w:val="28"/>
                <w:lang w:val="uk-UA"/>
              </w:rPr>
              <w:t>меропенем</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r w:rsidRPr="00ED35A9">
              <w:rPr>
                <w:szCs w:val="28"/>
                <w:vertAlign w:val="superscript"/>
                <w:lang w:val="uk-UA"/>
              </w:rPr>
              <w:footnoteReference w:id="2"/>
            </w:r>
            <w:r w:rsidRPr="00ED35A9">
              <w:rPr>
                <w:szCs w:val="28"/>
                <w:lang w:val="uk-UA"/>
              </w:rPr>
              <w:t>.</w:t>
            </w:r>
          </w:p>
          <w:p w:rsidR="007D423A" w:rsidRPr="00ED35A9" w:rsidRDefault="007D423A" w:rsidP="00750848">
            <w:pPr>
              <w:spacing w:after="120" w:line="247" w:lineRule="auto"/>
              <w:ind w:firstLine="0"/>
              <w:jc w:val="left"/>
              <w:rPr>
                <w:szCs w:val="28"/>
                <w:lang w:val="uk-UA"/>
              </w:rPr>
            </w:pPr>
            <w:r w:rsidRPr="00ED35A9">
              <w:rPr>
                <w:szCs w:val="28"/>
                <w:lang w:val="uk-UA"/>
              </w:rPr>
              <w:t>2.11. </w:t>
            </w:r>
            <w:proofErr w:type="spellStart"/>
            <w:r w:rsidRPr="00ED35A9">
              <w:rPr>
                <w:szCs w:val="28"/>
                <w:lang w:val="uk-UA"/>
              </w:rPr>
              <w:t>Амікацин</w:t>
            </w:r>
            <w:proofErr w:type="spellEnd"/>
            <w:r w:rsidRPr="00ED35A9">
              <w:rPr>
                <w:szCs w:val="28"/>
                <w:lang w:val="uk-UA"/>
              </w:rPr>
              <w:t xml:space="preserve"> можна включати до довгострокових схем лікування у пацієнтів з МР/Риф-ТБ віком від 18 років, коли проведено ТМЧ та забезпечено надійні заходи з моніторингу побічних реакцій. Якщо </w:t>
            </w:r>
            <w:proofErr w:type="spellStart"/>
            <w:r w:rsidRPr="00ED35A9">
              <w:rPr>
                <w:szCs w:val="28"/>
                <w:lang w:val="uk-UA"/>
              </w:rPr>
              <w:t>амікацин</w:t>
            </w:r>
            <w:proofErr w:type="spellEnd"/>
            <w:r w:rsidRPr="00ED35A9">
              <w:rPr>
                <w:szCs w:val="28"/>
                <w:lang w:val="uk-UA"/>
              </w:rPr>
              <w:t xml:space="preserve"> недоступний, його можна замінити стрептоміцином на тих самих умовах (умовна рекомендація, дуже низька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lastRenderedPageBreak/>
              <w:t>2.12. </w:t>
            </w:r>
            <w:proofErr w:type="spellStart"/>
            <w:r w:rsidRPr="00ED35A9">
              <w:rPr>
                <w:szCs w:val="28"/>
                <w:lang w:val="uk-UA"/>
              </w:rPr>
              <w:t>Етіонамід</w:t>
            </w:r>
            <w:proofErr w:type="spellEnd"/>
            <w:r w:rsidRPr="00ED35A9">
              <w:rPr>
                <w:szCs w:val="28"/>
                <w:lang w:val="uk-UA"/>
              </w:rPr>
              <w:t xml:space="preserve"> або </w:t>
            </w:r>
            <w:proofErr w:type="spellStart"/>
            <w:r w:rsidRPr="00ED35A9">
              <w:rPr>
                <w:szCs w:val="28"/>
                <w:lang w:val="uk-UA"/>
              </w:rPr>
              <w:t>протіонамід</w:t>
            </w:r>
            <w:proofErr w:type="spellEnd"/>
            <w:r w:rsidRPr="00ED35A9">
              <w:rPr>
                <w:szCs w:val="28"/>
                <w:lang w:val="uk-UA"/>
              </w:rPr>
              <w:t xml:space="preserve"> можна включати до довгострокових схем лікування у пацієнтів з МР/Риф-ТБ лише якщо не застосовується </w:t>
            </w:r>
            <w:proofErr w:type="spellStart"/>
            <w:r w:rsidRPr="00ED35A9">
              <w:rPr>
                <w:szCs w:val="28"/>
                <w:lang w:val="uk-UA"/>
              </w:rPr>
              <w:t>бедаквілін</w:t>
            </w:r>
            <w:proofErr w:type="spellEnd"/>
            <w:r w:rsidRPr="00ED35A9">
              <w:rPr>
                <w:szCs w:val="28"/>
                <w:lang w:val="uk-UA"/>
              </w:rPr>
              <w:t xml:space="preserve">,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клофазимін</w:t>
            </w:r>
            <w:proofErr w:type="spellEnd"/>
            <w:r w:rsidRPr="00ED35A9">
              <w:rPr>
                <w:szCs w:val="28"/>
                <w:lang w:val="uk-UA"/>
              </w:rPr>
              <w:t xml:space="preserve"> чи </w:t>
            </w:r>
            <w:proofErr w:type="spellStart"/>
            <w:r w:rsidRPr="00ED35A9">
              <w:rPr>
                <w:szCs w:val="28"/>
                <w:lang w:val="uk-UA"/>
              </w:rPr>
              <w:t>деламанід</w:t>
            </w:r>
            <w:proofErr w:type="spellEnd"/>
            <w:r w:rsidRPr="00ED35A9">
              <w:rPr>
                <w:szCs w:val="28"/>
                <w:lang w:val="uk-UA"/>
              </w:rPr>
              <w:t xml:space="preserve"> або за відсутності кращих варіантів складання схеми (умовна рекомендація проти використання, дуже низька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t>2.13. </w:t>
            </w:r>
            <w:proofErr w:type="spellStart"/>
            <w:r w:rsidRPr="00ED35A9">
              <w:rPr>
                <w:szCs w:val="28"/>
                <w:lang w:val="uk-UA"/>
              </w:rPr>
              <w:t>Парааміносаліцилову</w:t>
            </w:r>
            <w:proofErr w:type="spellEnd"/>
            <w:r w:rsidRPr="00ED35A9">
              <w:rPr>
                <w:szCs w:val="28"/>
                <w:lang w:val="uk-UA"/>
              </w:rPr>
              <w:t xml:space="preserve"> кислоту можна включати до довгострокових схем лікування у пацієнтів з МР/Риф-ТБ тільки якщо не застосовується </w:t>
            </w:r>
            <w:proofErr w:type="spellStart"/>
            <w:r w:rsidRPr="00ED35A9">
              <w:rPr>
                <w:szCs w:val="28"/>
                <w:lang w:val="uk-UA"/>
              </w:rPr>
              <w:t>бедаквілін</w:t>
            </w:r>
            <w:proofErr w:type="spellEnd"/>
            <w:r w:rsidRPr="00ED35A9">
              <w:rPr>
                <w:szCs w:val="28"/>
                <w:lang w:val="uk-UA"/>
              </w:rPr>
              <w:t xml:space="preserve">,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клофазимін</w:t>
            </w:r>
            <w:proofErr w:type="spellEnd"/>
            <w:r w:rsidRPr="00ED35A9">
              <w:rPr>
                <w:szCs w:val="28"/>
                <w:lang w:val="uk-UA"/>
              </w:rPr>
              <w:t xml:space="preserve"> чи </w:t>
            </w:r>
            <w:proofErr w:type="spellStart"/>
            <w:r w:rsidRPr="00ED35A9">
              <w:rPr>
                <w:szCs w:val="28"/>
                <w:lang w:val="uk-UA"/>
              </w:rPr>
              <w:t>деламанід</w:t>
            </w:r>
            <w:proofErr w:type="spellEnd"/>
            <w:r w:rsidRPr="00ED35A9">
              <w:rPr>
                <w:szCs w:val="28"/>
                <w:lang w:val="uk-UA"/>
              </w:rPr>
              <w:t xml:space="preserve"> або за відсутності кращих варіантів складання схеми (умовна рекомендація проти використання, дуже низька якість доказових даних).</w:t>
            </w:r>
          </w:p>
          <w:p w:rsidR="007D423A" w:rsidRPr="00ED35A9" w:rsidRDefault="007D423A" w:rsidP="00750848">
            <w:pPr>
              <w:ind w:firstLine="0"/>
              <w:jc w:val="left"/>
              <w:rPr>
                <w:szCs w:val="28"/>
                <w:highlight w:val="yellow"/>
                <w:lang w:val="uk-UA"/>
              </w:rPr>
            </w:pPr>
            <w:r w:rsidRPr="00ED35A9">
              <w:rPr>
                <w:szCs w:val="28"/>
                <w:lang w:val="uk-UA"/>
              </w:rPr>
              <w:t>2.14. </w:t>
            </w:r>
            <w:proofErr w:type="spellStart"/>
            <w:r w:rsidRPr="00ED35A9">
              <w:rPr>
                <w:szCs w:val="28"/>
                <w:lang w:val="uk-UA"/>
              </w:rPr>
              <w:t>Клавуланову</w:t>
            </w:r>
            <w:proofErr w:type="spellEnd"/>
            <w:r w:rsidRPr="00ED35A9">
              <w:rPr>
                <w:szCs w:val="28"/>
                <w:lang w:val="uk-UA"/>
              </w:rPr>
              <w:t xml:space="preserve"> кислоту не слід включати до довгострокових схем лікування у пацієнтів з МР/Риф-ТБ (наполеглива рекомендація проти використання, низька якість доказових даних)</w:t>
            </w:r>
            <w:r w:rsidR="00750848" w:rsidRPr="00ED35A9">
              <w:rPr>
                <w:szCs w:val="28"/>
                <w:vertAlign w:val="superscript"/>
                <w:lang w:val="uk-UA"/>
              </w:rPr>
              <w:t>2</w:t>
            </w:r>
            <w:r w:rsidRPr="00ED35A9">
              <w:rPr>
                <w:szCs w:val="28"/>
                <w:lang w:val="uk-UA"/>
              </w:rPr>
              <w:t>.</w:t>
            </w:r>
          </w:p>
        </w:tc>
      </w:tr>
      <w:tr w:rsidR="007D423A" w:rsidRPr="00850C2F" w:rsidTr="001A0A35">
        <w:trPr>
          <w:trHeight w:val="20"/>
        </w:trPr>
        <w:tc>
          <w:tcPr>
            <w:tcW w:w="3119" w:type="dxa"/>
            <w:shd w:val="clear" w:color="auto" w:fill="auto"/>
          </w:tcPr>
          <w:p w:rsidR="007D423A" w:rsidRPr="00ED35A9" w:rsidRDefault="007D423A" w:rsidP="00750848">
            <w:pPr>
              <w:spacing w:line="247" w:lineRule="auto"/>
              <w:ind w:firstLine="0"/>
              <w:jc w:val="left"/>
              <w:rPr>
                <w:szCs w:val="28"/>
                <w:highlight w:val="yellow"/>
                <w:lang w:val="uk-UA"/>
              </w:rPr>
            </w:pPr>
            <w:r w:rsidRPr="00ED35A9">
              <w:rPr>
                <w:lang w:val="uk-UA"/>
              </w:rPr>
              <w:lastRenderedPageBreak/>
              <w:t>3. Тривалість довгострокових схем лікування МРТБ</w:t>
            </w:r>
          </w:p>
        </w:tc>
        <w:tc>
          <w:tcPr>
            <w:tcW w:w="6379" w:type="dxa"/>
            <w:shd w:val="clear" w:color="auto" w:fill="auto"/>
          </w:tcPr>
          <w:p w:rsidR="007D423A" w:rsidRPr="00ED35A9" w:rsidRDefault="007D423A" w:rsidP="00750848">
            <w:pPr>
              <w:spacing w:after="120" w:line="247" w:lineRule="auto"/>
              <w:ind w:firstLine="0"/>
              <w:jc w:val="left"/>
              <w:rPr>
                <w:szCs w:val="28"/>
                <w:lang w:val="uk-UA"/>
              </w:rPr>
            </w:pPr>
            <w:r w:rsidRPr="00ED35A9">
              <w:rPr>
                <w:szCs w:val="28"/>
                <w:lang w:val="uk-UA"/>
              </w:rPr>
              <w:t>3.1. Для пацієнтів з МР/Риф-ТБ на довгострокових схемах за більшості випадків рекомендовано загальну тривалість лікування протягом 18–20 міс; тривалість лікування можна варіювати відповідно до реакції пацієнта на лікування (умовна рекомендація, дуже низька якість доказових даних).</w:t>
            </w:r>
          </w:p>
          <w:p w:rsidR="007D423A" w:rsidRPr="00ED35A9" w:rsidRDefault="007D423A" w:rsidP="00750848">
            <w:pPr>
              <w:spacing w:after="120" w:line="247" w:lineRule="auto"/>
              <w:ind w:firstLine="0"/>
              <w:jc w:val="left"/>
              <w:rPr>
                <w:szCs w:val="28"/>
                <w:lang w:val="uk-UA"/>
              </w:rPr>
            </w:pPr>
            <w:r w:rsidRPr="00ED35A9">
              <w:rPr>
                <w:szCs w:val="28"/>
                <w:lang w:val="uk-UA"/>
              </w:rPr>
              <w:t xml:space="preserve">3.2. Для пацієнтів з МР/Риф-ТБ на довгострокових схемах за більшості випадків після визначення </w:t>
            </w:r>
            <w:proofErr w:type="spellStart"/>
            <w:r w:rsidRPr="00ED35A9">
              <w:rPr>
                <w:szCs w:val="28"/>
                <w:lang w:val="uk-UA"/>
              </w:rPr>
              <w:t>культуральної</w:t>
            </w:r>
            <w:proofErr w:type="spellEnd"/>
            <w:r w:rsidRPr="00ED35A9">
              <w:rPr>
                <w:szCs w:val="28"/>
                <w:lang w:val="uk-UA"/>
              </w:rPr>
              <w:t xml:space="preserve"> конверсії рекомендована загальна тривалість лікування становить 15–17 міс; тривалість можна варіювати відповідно до реакції пацієнта на лікування (умовна рекомендація, дуже низька якість доказових даних).</w:t>
            </w:r>
          </w:p>
          <w:p w:rsidR="007D423A" w:rsidRPr="00ED35A9" w:rsidRDefault="007D423A" w:rsidP="00750848">
            <w:pPr>
              <w:spacing w:line="247" w:lineRule="auto"/>
              <w:ind w:firstLine="0"/>
              <w:jc w:val="left"/>
              <w:rPr>
                <w:szCs w:val="28"/>
                <w:lang w:val="uk-UA"/>
              </w:rPr>
            </w:pPr>
            <w:r w:rsidRPr="00ED35A9">
              <w:rPr>
                <w:szCs w:val="28"/>
                <w:lang w:val="uk-UA"/>
              </w:rPr>
              <w:t xml:space="preserve">3.3. Для пацієнтів з МР/Риф-ТБ на довгострокових схемах із застосуванням </w:t>
            </w:r>
            <w:proofErr w:type="spellStart"/>
            <w:r w:rsidRPr="00ED35A9">
              <w:rPr>
                <w:szCs w:val="28"/>
                <w:lang w:val="uk-UA"/>
              </w:rPr>
              <w:t>амікацину</w:t>
            </w:r>
            <w:proofErr w:type="spellEnd"/>
            <w:r w:rsidRPr="00ED35A9">
              <w:rPr>
                <w:szCs w:val="28"/>
                <w:lang w:val="uk-UA"/>
              </w:rPr>
              <w:t xml:space="preserve"> або стрептоміцину за більшості випадків рекомендовано проведення інтенсивної фази лікування протягом 6–7 міс; тривалість можна варіювати відповідно до реакції пацієнта на лікування (умовна рекомендація, дуже низька якість доказових даних).</w:t>
            </w:r>
          </w:p>
        </w:tc>
      </w:tr>
      <w:tr w:rsidR="007D423A" w:rsidRPr="00ED35A9"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lastRenderedPageBreak/>
              <w:t xml:space="preserve">4. Застосування стандартизованої короткострокової схеми лікування </w:t>
            </w:r>
            <w:proofErr w:type="spellStart"/>
            <w:r w:rsidRPr="00ED35A9">
              <w:rPr>
                <w:lang w:val="uk-UA"/>
              </w:rPr>
              <w:t>мультирезистентного</w:t>
            </w:r>
            <w:proofErr w:type="spellEnd"/>
            <w:r w:rsidRPr="00ED35A9">
              <w:rPr>
                <w:lang w:val="uk-UA"/>
              </w:rPr>
              <w:t xml:space="preserve"> туберкульозу</w:t>
            </w:r>
          </w:p>
        </w:tc>
        <w:tc>
          <w:tcPr>
            <w:tcW w:w="6379" w:type="dxa"/>
            <w:shd w:val="clear" w:color="auto" w:fill="auto"/>
          </w:tcPr>
          <w:p w:rsidR="007D423A" w:rsidRPr="00ED35A9" w:rsidRDefault="007D423A" w:rsidP="001A0A35">
            <w:pPr>
              <w:ind w:firstLine="0"/>
              <w:jc w:val="left"/>
              <w:rPr>
                <w:szCs w:val="28"/>
                <w:highlight w:val="yellow"/>
                <w:lang w:val="uk-UA"/>
              </w:rPr>
            </w:pPr>
            <w:r w:rsidRPr="00ED35A9">
              <w:rPr>
                <w:szCs w:val="28"/>
                <w:lang w:val="uk-UA"/>
              </w:rPr>
              <w:t xml:space="preserve">4.1. Пацієнтам з МР/Риф-ТБ, які раніше не проходили курс лікування довше одного місяця із застосуванням препаратів другого ряду, що використовують у короткострокових схемах лікування МРТБ, або в яких було виключено резистентність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замість довгострокових схем можна призначати короткострокові схеми лікування МРТБ тривалістю 9–12 міс (умовна рекомендація, низька якість доказових даних).</w:t>
            </w:r>
          </w:p>
        </w:tc>
      </w:tr>
      <w:tr w:rsidR="007D423A" w:rsidRPr="00ED35A9"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t xml:space="preserve">5. Моніторинг реакції пацієнта на лікування </w:t>
            </w:r>
            <w:proofErr w:type="spellStart"/>
            <w:r w:rsidRPr="00ED35A9">
              <w:rPr>
                <w:lang w:val="uk-UA"/>
              </w:rPr>
              <w:t>мультирезистентного</w:t>
            </w:r>
            <w:proofErr w:type="spellEnd"/>
            <w:r w:rsidRPr="00ED35A9">
              <w:rPr>
                <w:lang w:val="uk-UA"/>
              </w:rPr>
              <w:t xml:space="preserve"> туберкульозу із застосуванням </w:t>
            </w:r>
            <w:proofErr w:type="spellStart"/>
            <w:r w:rsidRPr="00ED35A9">
              <w:rPr>
                <w:lang w:val="uk-UA"/>
              </w:rPr>
              <w:t>культурального</w:t>
            </w:r>
            <w:proofErr w:type="spellEnd"/>
            <w:r w:rsidRPr="00ED35A9">
              <w:rPr>
                <w:lang w:val="uk-UA"/>
              </w:rPr>
              <w:t xml:space="preserve"> дослідження</w:t>
            </w:r>
          </w:p>
        </w:tc>
        <w:tc>
          <w:tcPr>
            <w:tcW w:w="6379" w:type="dxa"/>
            <w:shd w:val="clear" w:color="auto" w:fill="auto"/>
          </w:tcPr>
          <w:p w:rsidR="007D423A" w:rsidRPr="00ED35A9" w:rsidRDefault="007D423A" w:rsidP="001A0A35">
            <w:pPr>
              <w:ind w:firstLine="0"/>
              <w:jc w:val="left"/>
              <w:rPr>
                <w:szCs w:val="28"/>
                <w:highlight w:val="yellow"/>
                <w:lang w:val="uk-UA"/>
              </w:rPr>
            </w:pPr>
            <w:r w:rsidRPr="00ED35A9">
              <w:rPr>
                <w:szCs w:val="28"/>
                <w:lang w:val="uk-UA"/>
              </w:rPr>
              <w:t xml:space="preserve">5.1. У пацієнтів з МР/Риф-ТБ на довгострокових схемах для моніторингу реакції на лікування рекомендовано проведення </w:t>
            </w:r>
            <w:proofErr w:type="spellStart"/>
            <w:r w:rsidRPr="00ED35A9">
              <w:rPr>
                <w:szCs w:val="28"/>
                <w:lang w:val="uk-UA"/>
              </w:rPr>
              <w:t>культурального</w:t>
            </w:r>
            <w:proofErr w:type="spellEnd"/>
            <w:r w:rsidRPr="00ED35A9">
              <w:rPr>
                <w:szCs w:val="28"/>
                <w:lang w:val="uk-UA"/>
              </w:rPr>
              <w:t xml:space="preserve"> дослідження мокротиння на додачу до мікроскопії мокротиння (наполеглива рекомендація, середня якість доказових даних). Бажано повторювати </w:t>
            </w:r>
            <w:proofErr w:type="spellStart"/>
            <w:r w:rsidRPr="00ED35A9">
              <w:rPr>
                <w:szCs w:val="28"/>
                <w:lang w:val="uk-UA"/>
              </w:rPr>
              <w:t>культуральне</w:t>
            </w:r>
            <w:proofErr w:type="spellEnd"/>
            <w:r w:rsidRPr="00ED35A9">
              <w:rPr>
                <w:szCs w:val="28"/>
                <w:lang w:val="uk-UA"/>
              </w:rPr>
              <w:t xml:space="preserve"> дослідження мокротиння щомісяця.</w:t>
            </w:r>
          </w:p>
        </w:tc>
      </w:tr>
      <w:tr w:rsidR="007D423A" w:rsidRPr="00850C2F"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t xml:space="preserve">6. Початок </w:t>
            </w:r>
            <w:proofErr w:type="spellStart"/>
            <w:r w:rsidRPr="00ED35A9">
              <w:rPr>
                <w:lang w:val="uk-UA"/>
              </w:rPr>
              <w:t>антиретровірусної</w:t>
            </w:r>
            <w:proofErr w:type="spellEnd"/>
            <w:r w:rsidRPr="00ED35A9">
              <w:rPr>
                <w:lang w:val="uk-UA"/>
              </w:rPr>
              <w:t xml:space="preserve"> терапії у пацієнтів на схемах протитуберкульозних препаратів другого ряду</w:t>
            </w:r>
          </w:p>
        </w:tc>
        <w:tc>
          <w:tcPr>
            <w:tcW w:w="6379" w:type="dxa"/>
            <w:shd w:val="clear" w:color="auto" w:fill="auto"/>
          </w:tcPr>
          <w:p w:rsidR="007D423A" w:rsidRPr="00ED35A9" w:rsidRDefault="007D423A" w:rsidP="001A0A35">
            <w:pPr>
              <w:ind w:firstLine="0"/>
              <w:jc w:val="left"/>
              <w:rPr>
                <w:szCs w:val="28"/>
                <w:highlight w:val="yellow"/>
                <w:lang w:val="uk-UA"/>
              </w:rPr>
            </w:pPr>
            <w:r w:rsidRPr="00ED35A9">
              <w:rPr>
                <w:szCs w:val="28"/>
                <w:lang w:val="uk-UA"/>
              </w:rPr>
              <w:t>6.1. Починати АРТ рекомендовано в усіх пацієнтів з ВІЛ та ЛС-ТБ, що потребують застосування ПТП другого ряду, незалежно від кількості клітин CD4 якомога раніше (протягом перших восьми тижнів) після початку протитуберкульозної терапії (наполеглива рекомендація, дуже низька якість доказових даних).</w:t>
            </w:r>
          </w:p>
        </w:tc>
      </w:tr>
      <w:tr w:rsidR="007D423A" w:rsidRPr="00850C2F"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t xml:space="preserve">7. Хірургічні втручання у пацієнтів з </w:t>
            </w:r>
            <w:proofErr w:type="spellStart"/>
            <w:r w:rsidRPr="00ED35A9">
              <w:rPr>
                <w:lang w:val="uk-UA"/>
              </w:rPr>
              <w:t>мультирезистентним</w:t>
            </w:r>
            <w:proofErr w:type="spellEnd"/>
            <w:r w:rsidRPr="00ED35A9">
              <w:rPr>
                <w:lang w:val="uk-UA"/>
              </w:rPr>
              <w:t xml:space="preserve"> туберкульозом</w:t>
            </w:r>
          </w:p>
        </w:tc>
        <w:tc>
          <w:tcPr>
            <w:tcW w:w="6379" w:type="dxa"/>
            <w:shd w:val="clear" w:color="auto" w:fill="auto"/>
          </w:tcPr>
          <w:p w:rsidR="007D423A" w:rsidRPr="00ED35A9" w:rsidRDefault="007D423A" w:rsidP="001A0A35">
            <w:pPr>
              <w:ind w:firstLine="0"/>
              <w:jc w:val="left"/>
              <w:rPr>
                <w:szCs w:val="28"/>
                <w:highlight w:val="yellow"/>
                <w:lang w:val="uk-UA"/>
              </w:rPr>
            </w:pPr>
            <w:r w:rsidRPr="00ED35A9">
              <w:rPr>
                <w:szCs w:val="28"/>
                <w:lang w:val="uk-UA"/>
              </w:rPr>
              <w:t>7.1. У пацієнтів з Риф-ТБ або МРТБ вибіркову часткову резекцію легені (</w:t>
            </w:r>
            <w:proofErr w:type="spellStart"/>
            <w:r w:rsidRPr="00ED35A9">
              <w:rPr>
                <w:szCs w:val="28"/>
                <w:lang w:val="uk-UA"/>
              </w:rPr>
              <w:t>лобектомію</w:t>
            </w:r>
            <w:proofErr w:type="spellEnd"/>
            <w:r w:rsidRPr="00ED35A9">
              <w:rPr>
                <w:szCs w:val="28"/>
                <w:lang w:val="uk-UA"/>
              </w:rPr>
              <w:t xml:space="preserve"> або клиноподібну резекцію) можна проводити одночасно із застосовуванням рекомендованої схеми лікування МРТБ (умовна рекомендація, дуже низька якість доказових даних).</w:t>
            </w:r>
          </w:p>
        </w:tc>
      </w:tr>
      <w:tr w:rsidR="007D423A" w:rsidRPr="00850C2F" w:rsidTr="001A0A35">
        <w:trPr>
          <w:trHeight w:val="20"/>
        </w:trPr>
        <w:tc>
          <w:tcPr>
            <w:tcW w:w="3119" w:type="dxa"/>
            <w:shd w:val="clear" w:color="auto" w:fill="auto"/>
          </w:tcPr>
          <w:p w:rsidR="007D423A" w:rsidRPr="00ED35A9" w:rsidRDefault="007D423A" w:rsidP="001A0A35">
            <w:pPr>
              <w:ind w:firstLine="0"/>
              <w:jc w:val="left"/>
              <w:rPr>
                <w:szCs w:val="28"/>
                <w:highlight w:val="yellow"/>
                <w:lang w:val="uk-UA"/>
              </w:rPr>
            </w:pPr>
            <w:r w:rsidRPr="00ED35A9">
              <w:rPr>
                <w:lang w:val="uk-UA"/>
              </w:rPr>
              <w:t>8. Надання допомоги та підтримки пацієнтам з </w:t>
            </w:r>
            <w:proofErr w:type="spellStart"/>
            <w:r w:rsidRPr="00ED35A9">
              <w:rPr>
                <w:lang w:val="uk-UA"/>
              </w:rPr>
              <w:t>мультирезистентним</w:t>
            </w:r>
            <w:proofErr w:type="spellEnd"/>
            <w:r w:rsidRPr="00ED35A9">
              <w:rPr>
                <w:lang w:val="uk-UA"/>
              </w:rPr>
              <w:t>/</w:t>
            </w:r>
            <w:r w:rsidRPr="00ED35A9">
              <w:rPr>
                <w:lang w:val="uk-UA"/>
              </w:rPr>
              <w:br/>
            </w:r>
            <w:proofErr w:type="spellStart"/>
            <w:r w:rsidRPr="00ED35A9">
              <w:rPr>
                <w:lang w:val="uk-UA"/>
              </w:rPr>
              <w:t>рифампіцин</w:t>
            </w:r>
            <w:proofErr w:type="spellEnd"/>
            <w:r w:rsidRPr="00ED35A9">
              <w:rPr>
                <w:lang w:val="uk-UA"/>
              </w:rPr>
              <w:t>-резистентним туберкульозом</w:t>
            </w:r>
          </w:p>
        </w:tc>
        <w:tc>
          <w:tcPr>
            <w:tcW w:w="6379" w:type="dxa"/>
            <w:shd w:val="clear" w:color="auto" w:fill="auto"/>
          </w:tcPr>
          <w:p w:rsidR="007D423A" w:rsidRPr="00ED35A9" w:rsidRDefault="007D423A" w:rsidP="001A0A35">
            <w:pPr>
              <w:spacing w:after="120"/>
              <w:ind w:firstLine="0"/>
              <w:jc w:val="left"/>
              <w:rPr>
                <w:szCs w:val="28"/>
                <w:lang w:val="uk-UA"/>
              </w:rPr>
            </w:pPr>
            <w:r w:rsidRPr="00ED35A9">
              <w:rPr>
                <w:szCs w:val="28"/>
                <w:lang w:val="uk-UA"/>
              </w:rPr>
              <w:t>8.1. </w:t>
            </w:r>
            <w:r w:rsidRPr="00ED35A9">
              <w:rPr>
                <w:lang w:val="uk-UA"/>
              </w:rPr>
              <w:t>Рекомендовано забезпечити проведення просвітницьких заходів та консультування щодо захворювання й формування прихильності до лікування для пацієнтів, які проходять курс лікування ТБ (наполеглива рекомендація, помірна якість доказових даних).</w:t>
            </w:r>
          </w:p>
          <w:p w:rsidR="007D423A" w:rsidRPr="00ED35A9" w:rsidRDefault="007D423A" w:rsidP="001A0A35">
            <w:pPr>
              <w:spacing w:after="120"/>
              <w:ind w:firstLine="0"/>
              <w:jc w:val="left"/>
              <w:rPr>
                <w:szCs w:val="28"/>
                <w:lang w:val="uk-UA"/>
              </w:rPr>
            </w:pPr>
            <w:r w:rsidRPr="00ED35A9">
              <w:rPr>
                <w:szCs w:val="28"/>
                <w:lang w:val="uk-UA"/>
              </w:rPr>
              <w:t>8.2. </w:t>
            </w:r>
            <w:r w:rsidRPr="00ED35A9">
              <w:rPr>
                <w:lang w:val="uk-UA"/>
              </w:rPr>
              <w:t xml:space="preserve">Рекомендовано запропонувати комплекс </w:t>
            </w:r>
            <w:proofErr w:type="spellStart"/>
            <w:r w:rsidRPr="00ED35A9">
              <w:rPr>
                <w:lang w:val="uk-UA"/>
              </w:rPr>
              <w:t>втручань</w:t>
            </w:r>
            <w:proofErr w:type="spellEnd"/>
            <w:r w:rsidRPr="00ED35A9">
              <w:rPr>
                <w:lang w:val="uk-UA"/>
              </w:rPr>
              <w:t xml:space="preserve"> з формування прихильності до лікування</w:t>
            </w:r>
            <w:r w:rsidRPr="00ED35A9">
              <w:rPr>
                <w:vertAlign w:val="superscript"/>
                <w:lang w:val="uk-UA"/>
              </w:rPr>
              <w:footnoteReference w:id="3"/>
            </w:r>
            <w:r w:rsidRPr="00ED35A9">
              <w:rPr>
                <w:lang w:val="uk-UA"/>
              </w:rPr>
              <w:t xml:space="preserve"> пацієнтам, які проходять курс </w:t>
            </w:r>
            <w:r w:rsidRPr="00ED35A9">
              <w:rPr>
                <w:lang w:val="uk-UA"/>
              </w:rPr>
              <w:lastRenderedPageBreak/>
              <w:t>лікування ТБ, разом з вибором варіанту проведення терапії</w:t>
            </w:r>
            <w:r w:rsidRPr="00ED35A9">
              <w:rPr>
                <w:vertAlign w:val="superscript"/>
                <w:lang w:val="uk-UA"/>
              </w:rPr>
              <w:footnoteReference w:id="4"/>
            </w:r>
            <w:r w:rsidRPr="00ED35A9">
              <w:rPr>
                <w:lang w:val="uk-UA"/>
              </w:rPr>
              <w:t xml:space="preserve"> (умовна рекомендація, низька якість доказових даних).</w:t>
            </w:r>
          </w:p>
          <w:p w:rsidR="007D423A" w:rsidRPr="00ED35A9" w:rsidRDefault="007D423A" w:rsidP="00750848">
            <w:pPr>
              <w:spacing w:line="228" w:lineRule="auto"/>
              <w:ind w:firstLine="0"/>
              <w:jc w:val="left"/>
              <w:rPr>
                <w:lang w:val="uk-UA"/>
              </w:rPr>
            </w:pPr>
            <w:r w:rsidRPr="00ED35A9">
              <w:rPr>
                <w:szCs w:val="28"/>
                <w:lang w:val="uk-UA"/>
              </w:rPr>
              <w:t>8.3</w:t>
            </w:r>
            <w:r w:rsidRPr="00ED35A9">
              <w:rPr>
                <w:lang w:val="uk-UA"/>
              </w:rPr>
              <w:t>. Рекомендовано запропонувати один або декілька з наступних заходів щодо формування прихильності до лікування (комплементарних та не взаємовиключних) пацієнтам, які проходять курс лікування ТБ, або надавачам медичних послуг:</w:t>
            </w:r>
          </w:p>
          <w:p w:rsidR="007D423A" w:rsidRPr="00ED35A9" w:rsidRDefault="007D423A" w:rsidP="00750848">
            <w:pPr>
              <w:spacing w:line="228" w:lineRule="auto"/>
              <w:ind w:left="601" w:hanging="283"/>
              <w:jc w:val="left"/>
              <w:rPr>
                <w:szCs w:val="28"/>
                <w:lang w:val="uk-UA"/>
              </w:rPr>
            </w:pPr>
            <w:r w:rsidRPr="00ED35A9">
              <w:rPr>
                <w:szCs w:val="28"/>
                <w:lang w:val="uk-UA"/>
              </w:rPr>
              <w:t>а) відстеження</w:t>
            </w:r>
            <w:r w:rsidRPr="00ED35A9">
              <w:rPr>
                <w:vertAlign w:val="superscript"/>
                <w:lang w:val="uk-UA"/>
              </w:rPr>
              <w:footnoteReference w:id="5"/>
            </w:r>
            <w:r w:rsidRPr="00ED35A9">
              <w:rPr>
                <w:szCs w:val="28"/>
                <w:lang w:val="uk-UA"/>
              </w:rPr>
              <w:t xml:space="preserve"> та/або контроль за прийомом лікарських засобів із застосуванням цифрових технологій</w:t>
            </w:r>
            <w:r w:rsidRPr="00ED35A9">
              <w:rPr>
                <w:vertAlign w:val="superscript"/>
                <w:lang w:val="uk-UA"/>
              </w:rPr>
              <w:footnoteReference w:id="6"/>
            </w:r>
            <w:r w:rsidRPr="00ED35A9">
              <w:rPr>
                <w:szCs w:val="28"/>
                <w:lang w:val="uk-UA"/>
              </w:rPr>
              <w:t xml:space="preserve"> (</w:t>
            </w:r>
            <w:r w:rsidRPr="00ED35A9">
              <w:rPr>
                <w:lang w:val="uk-UA"/>
              </w:rPr>
              <w:t>умовна рекомендація, дуже низька якість доказових даних</w:t>
            </w:r>
            <w:r w:rsidRPr="00ED35A9">
              <w:rPr>
                <w:szCs w:val="28"/>
                <w:lang w:val="uk-UA"/>
              </w:rPr>
              <w:t>);</w:t>
            </w:r>
          </w:p>
          <w:p w:rsidR="007D423A" w:rsidRPr="00ED35A9" w:rsidRDefault="007D423A" w:rsidP="00750848">
            <w:pPr>
              <w:spacing w:line="228" w:lineRule="auto"/>
              <w:ind w:left="601" w:hanging="283"/>
              <w:jc w:val="left"/>
              <w:rPr>
                <w:szCs w:val="28"/>
                <w:lang w:val="uk-UA"/>
              </w:rPr>
            </w:pPr>
            <w:r w:rsidRPr="00ED35A9">
              <w:rPr>
                <w:szCs w:val="28"/>
                <w:lang w:val="uk-UA"/>
              </w:rPr>
              <w:t>б) </w:t>
            </w:r>
            <w:r w:rsidRPr="00ED35A9">
              <w:rPr>
                <w:rStyle w:val="fontstyle01"/>
                <w:lang w:val="uk-UA"/>
              </w:rPr>
              <w:t>матеріальна підтримка пацієнта</w:t>
            </w:r>
            <w:r w:rsidRPr="00ED35A9">
              <w:rPr>
                <w:rStyle w:val="fontstyle01"/>
                <w:vertAlign w:val="superscript"/>
                <w:lang w:val="uk-UA"/>
              </w:rPr>
              <w:footnoteReference w:id="7"/>
            </w:r>
            <w:r w:rsidRPr="00ED35A9">
              <w:rPr>
                <w:rStyle w:val="fontstyle01"/>
                <w:lang w:val="uk-UA"/>
              </w:rPr>
              <w:t xml:space="preserve"> (умовна рекомендація, помірна якість доказових даних);</w:t>
            </w:r>
          </w:p>
          <w:p w:rsidR="007D423A" w:rsidRPr="00ED35A9" w:rsidRDefault="007D423A" w:rsidP="00750848">
            <w:pPr>
              <w:spacing w:line="228" w:lineRule="auto"/>
              <w:ind w:left="601" w:hanging="283"/>
              <w:jc w:val="left"/>
              <w:rPr>
                <w:spacing w:val="-2"/>
                <w:szCs w:val="28"/>
                <w:lang w:val="uk-UA"/>
              </w:rPr>
            </w:pPr>
            <w:r w:rsidRPr="00ED35A9">
              <w:rPr>
                <w:spacing w:val="-2"/>
                <w:szCs w:val="28"/>
                <w:lang w:val="uk-UA"/>
              </w:rPr>
              <w:t>в) </w:t>
            </w:r>
            <w:r w:rsidRPr="00ED35A9">
              <w:rPr>
                <w:rStyle w:val="fontstyle01"/>
                <w:spacing w:val="-2"/>
                <w:lang w:val="uk-UA"/>
              </w:rPr>
              <w:t>психологічна підтримка пацієнта</w:t>
            </w:r>
            <w:r w:rsidRPr="00ED35A9">
              <w:rPr>
                <w:rStyle w:val="fontstyle01"/>
                <w:spacing w:val="-2"/>
                <w:vertAlign w:val="superscript"/>
                <w:lang w:val="uk-UA"/>
              </w:rPr>
              <w:footnoteReference w:id="8"/>
            </w:r>
            <w:r w:rsidRPr="00ED35A9">
              <w:rPr>
                <w:rStyle w:val="fontstyle01"/>
                <w:spacing w:val="-2"/>
                <w:lang w:val="uk-UA"/>
              </w:rPr>
              <w:t xml:space="preserve"> (умовна рекомендація, низька якість доказових даних);</w:t>
            </w:r>
          </w:p>
          <w:p w:rsidR="007D423A" w:rsidRPr="00ED35A9" w:rsidRDefault="007D423A" w:rsidP="00750848">
            <w:pPr>
              <w:spacing w:after="120" w:line="228" w:lineRule="auto"/>
              <w:ind w:left="601" w:hanging="283"/>
              <w:jc w:val="left"/>
              <w:rPr>
                <w:szCs w:val="28"/>
                <w:lang w:val="uk-UA"/>
              </w:rPr>
            </w:pPr>
            <w:r w:rsidRPr="00ED35A9">
              <w:rPr>
                <w:szCs w:val="28"/>
                <w:lang w:val="uk-UA"/>
              </w:rPr>
              <w:t>г) </w:t>
            </w:r>
            <w:r w:rsidRPr="00ED35A9">
              <w:rPr>
                <w:rStyle w:val="fontstyle01"/>
                <w:lang w:val="uk-UA"/>
              </w:rPr>
              <w:t>навчання персоналу</w:t>
            </w:r>
            <w:r w:rsidRPr="00ED35A9">
              <w:rPr>
                <w:rStyle w:val="fontstyle01"/>
                <w:vertAlign w:val="superscript"/>
                <w:lang w:val="uk-UA"/>
              </w:rPr>
              <w:footnoteReference w:id="9"/>
            </w:r>
            <w:r w:rsidRPr="00ED35A9">
              <w:rPr>
                <w:rStyle w:val="fontstyle01"/>
                <w:lang w:val="uk-UA"/>
              </w:rPr>
              <w:t xml:space="preserve"> (умовна рекомендація, низька якість доказових даних).</w:t>
            </w:r>
          </w:p>
          <w:p w:rsidR="007D423A" w:rsidRPr="00ED35A9" w:rsidRDefault="007D423A" w:rsidP="00750848">
            <w:pPr>
              <w:spacing w:line="228" w:lineRule="auto"/>
              <w:ind w:firstLine="0"/>
              <w:jc w:val="left"/>
              <w:rPr>
                <w:szCs w:val="28"/>
                <w:lang w:val="uk-UA"/>
              </w:rPr>
            </w:pPr>
            <w:r w:rsidRPr="00ED35A9">
              <w:rPr>
                <w:szCs w:val="28"/>
                <w:lang w:val="uk-UA"/>
              </w:rPr>
              <w:t>8.4. </w:t>
            </w:r>
            <w:r w:rsidRPr="00ED35A9">
              <w:rPr>
                <w:rStyle w:val="fontstyle01"/>
                <w:lang w:val="uk-UA"/>
              </w:rPr>
              <w:t>Рекомендовано пропонувати пацієнтам, які проходять курс лікування ТБ, наступні варіанти нагляду за лікуванням:</w:t>
            </w:r>
          </w:p>
          <w:p w:rsidR="007D423A" w:rsidRPr="00ED35A9" w:rsidRDefault="007D423A" w:rsidP="00750848">
            <w:pPr>
              <w:tabs>
                <w:tab w:val="left" w:pos="1452"/>
              </w:tabs>
              <w:spacing w:line="228" w:lineRule="auto"/>
              <w:ind w:left="602" w:hanging="284"/>
              <w:jc w:val="left"/>
              <w:rPr>
                <w:rStyle w:val="fontstyle01"/>
                <w:lang w:val="uk-UA"/>
              </w:rPr>
            </w:pPr>
            <w:r w:rsidRPr="00ED35A9">
              <w:rPr>
                <w:rStyle w:val="fontstyle01"/>
                <w:lang w:val="uk-UA"/>
              </w:rPr>
              <w:t>а) рекомендовано DOT на рівні громади або за місцем проживання</w:t>
            </w:r>
            <w:r w:rsidR="00480CDB" w:rsidRPr="00ED35A9">
              <w:rPr>
                <w:rStyle w:val="fontstyle01"/>
                <w:lang w:val="uk-UA"/>
              </w:rPr>
              <w:t>,</w:t>
            </w:r>
            <w:r w:rsidRPr="00ED35A9">
              <w:rPr>
                <w:rStyle w:val="fontstyle01"/>
                <w:lang w:val="uk-UA"/>
              </w:rPr>
              <w:t xml:space="preserve"> на відміну від DOT у закладі охорони здоров’я або лікування без нагляду (умовна рекомендація, помірна якість доказових даних);</w:t>
            </w:r>
          </w:p>
          <w:p w:rsidR="007D423A" w:rsidRPr="00ED35A9" w:rsidRDefault="007D423A" w:rsidP="00750848">
            <w:pPr>
              <w:tabs>
                <w:tab w:val="left" w:pos="1452"/>
              </w:tabs>
              <w:spacing w:line="228" w:lineRule="auto"/>
              <w:ind w:left="602" w:hanging="284"/>
              <w:jc w:val="left"/>
              <w:rPr>
                <w:rStyle w:val="fontstyle01"/>
                <w:lang w:val="uk-UA"/>
              </w:rPr>
            </w:pPr>
            <w:r w:rsidRPr="00ED35A9">
              <w:rPr>
                <w:rStyle w:val="fontstyle01"/>
                <w:lang w:val="uk-UA"/>
              </w:rPr>
              <w:t>б) рекомендовано DOT під наглядом надавачів медичних послуг без медичної освіти, які пройшли відповідне навчання, або медичними працівниками, на відміну від DOT під наглядом членів родини або лікування без нагляду (умовна рекомендація, дуже низька якість доказових даних);</w:t>
            </w:r>
          </w:p>
          <w:p w:rsidR="007D423A" w:rsidRPr="00ED35A9" w:rsidRDefault="007D423A" w:rsidP="001A0A35">
            <w:pPr>
              <w:spacing w:after="120" w:line="228" w:lineRule="auto"/>
              <w:ind w:left="601" w:hanging="283"/>
              <w:jc w:val="left"/>
              <w:rPr>
                <w:szCs w:val="28"/>
                <w:lang w:val="uk-UA"/>
              </w:rPr>
            </w:pPr>
            <w:r w:rsidRPr="00ED35A9">
              <w:rPr>
                <w:szCs w:val="28"/>
                <w:lang w:val="uk-UA"/>
              </w:rPr>
              <w:lastRenderedPageBreak/>
              <w:t xml:space="preserve">в) VOT може замінити DOT </w:t>
            </w:r>
            <w:r w:rsidRPr="00ED35A9">
              <w:rPr>
                <w:rStyle w:val="fontstyle01"/>
                <w:lang w:val="uk-UA"/>
              </w:rPr>
              <w:t xml:space="preserve">у разі доступності технологій </w:t>
            </w:r>
            <w:proofErr w:type="spellStart"/>
            <w:r w:rsidRPr="00ED35A9">
              <w:rPr>
                <w:rStyle w:val="fontstyle01"/>
                <w:lang w:val="uk-UA"/>
              </w:rPr>
              <w:t>відеозв’язку</w:t>
            </w:r>
            <w:proofErr w:type="spellEnd"/>
            <w:r w:rsidRPr="00ED35A9">
              <w:rPr>
                <w:rStyle w:val="fontstyle01"/>
                <w:lang w:val="uk-UA"/>
              </w:rPr>
              <w:t xml:space="preserve">, якщо можливо належним чином організувати та забезпечити все необхідне для цього нагляду надавачам медичних послуг та пацієнтам </w:t>
            </w:r>
            <w:r w:rsidRPr="00ED35A9">
              <w:rPr>
                <w:szCs w:val="28"/>
                <w:lang w:val="uk-UA"/>
              </w:rPr>
              <w:t>(умовна рекомендація, дуже низька якість доказових даних).</w:t>
            </w:r>
          </w:p>
          <w:p w:rsidR="007D423A" w:rsidRPr="00ED35A9" w:rsidRDefault="007D423A" w:rsidP="001A0A35">
            <w:pPr>
              <w:spacing w:after="120" w:line="228" w:lineRule="auto"/>
              <w:ind w:firstLine="0"/>
              <w:jc w:val="left"/>
              <w:rPr>
                <w:szCs w:val="28"/>
                <w:lang w:val="uk-UA"/>
              </w:rPr>
            </w:pPr>
            <w:r w:rsidRPr="00ED35A9">
              <w:rPr>
                <w:szCs w:val="28"/>
                <w:lang w:val="uk-UA"/>
              </w:rPr>
              <w:t>8.5. Пацієнти з МРТБ мають проходити лікування переважно амбулаторно, а не за моделями, що переважно передбачають госпіталізацію (умовна рекомендація, дуже низька якість доказових даних).</w:t>
            </w:r>
          </w:p>
          <w:p w:rsidR="007D423A" w:rsidRPr="00ED35A9" w:rsidRDefault="007D423A" w:rsidP="00750848">
            <w:pPr>
              <w:spacing w:line="228" w:lineRule="auto"/>
              <w:ind w:firstLine="0"/>
              <w:jc w:val="left"/>
              <w:rPr>
                <w:szCs w:val="28"/>
                <w:highlight w:val="yellow"/>
                <w:lang w:val="uk-UA"/>
              </w:rPr>
            </w:pPr>
            <w:r w:rsidRPr="00ED35A9">
              <w:rPr>
                <w:szCs w:val="28"/>
                <w:lang w:val="uk-UA"/>
              </w:rPr>
              <w:t>8.6. Рекомендовано впровадження децентралізованої моделі лікування пацієнтів з МРТБ, на відміну від централізованої (умовна рекомендація, дуже низька достовірність доказових даних).</w:t>
            </w:r>
          </w:p>
        </w:tc>
      </w:tr>
    </w:tbl>
    <w:p w:rsidR="007D423A" w:rsidRPr="00ED35A9" w:rsidRDefault="007D423A" w:rsidP="007D423A">
      <w:pPr>
        <w:ind w:firstLine="0"/>
        <w:rPr>
          <w:szCs w:val="28"/>
          <w:lang w:val="uk-UA"/>
        </w:rPr>
      </w:pPr>
    </w:p>
    <w:p w:rsidR="004B5B7F" w:rsidRPr="00ED35A9" w:rsidRDefault="004B5B7F" w:rsidP="000E0B10">
      <w:pPr>
        <w:rPr>
          <w:rFonts w:cs="Times New Roman"/>
          <w:szCs w:val="28"/>
          <w:lang w:val="uk-UA"/>
        </w:rPr>
      </w:pPr>
      <w:r w:rsidRPr="00ED35A9">
        <w:rPr>
          <w:rFonts w:cs="Times New Roman"/>
          <w:szCs w:val="28"/>
          <w:lang w:val="uk-UA"/>
        </w:rPr>
        <w:br w:type="page"/>
      </w:r>
    </w:p>
    <w:p w:rsidR="004B5B7F" w:rsidRPr="00ED35A9" w:rsidRDefault="004B5B7F" w:rsidP="00823898">
      <w:pPr>
        <w:pStyle w:val="1"/>
        <w:rPr>
          <w:lang w:val="uk-UA"/>
        </w:rPr>
      </w:pPr>
      <w:bookmarkStart w:id="8" w:name="_Toc417570576"/>
      <w:bookmarkStart w:id="9" w:name="_Toc18416318"/>
      <w:r w:rsidRPr="00ED35A9">
        <w:rPr>
          <w:lang w:val="uk-UA"/>
        </w:rPr>
        <w:lastRenderedPageBreak/>
        <w:t>Рекомендації та коментарі</w:t>
      </w:r>
      <w:bookmarkEnd w:id="8"/>
      <w:bookmarkEnd w:id="9"/>
    </w:p>
    <w:p w:rsidR="004B5B7F" w:rsidRPr="00ED35A9" w:rsidRDefault="004B5B7F" w:rsidP="001A3FB1">
      <w:pPr>
        <w:pStyle w:val="2"/>
        <w:rPr>
          <w:lang w:val="uk-UA"/>
        </w:rPr>
      </w:pPr>
      <w:bookmarkStart w:id="10" w:name="_Toc18416319"/>
      <w:bookmarkStart w:id="11" w:name="bookmark28"/>
      <w:bookmarkStart w:id="12" w:name="_Toc417570583"/>
      <w:r w:rsidRPr="00ED35A9">
        <w:rPr>
          <w:lang w:val="uk-UA"/>
        </w:rPr>
        <w:t xml:space="preserve">Розділ 1. Схеми для лікування </w:t>
      </w:r>
      <w:proofErr w:type="spellStart"/>
      <w:r w:rsidRPr="00ED35A9">
        <w:rPr>
          <w:lang w:val="uk-UA"/>
        </w:rPr>
        <w:t>ізоніазид</w:t>
      </w:r>
      <w:proofErr w:type="spellEnd"/>
      <w:r w:rsidRPr="00ED35A9">
        <w:rPr>
          <w:lang w:val="uk-UA"/>
        </w:rPr>
        <w:t>-резистентного туберкульозу</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9356"/>
      </w:tblGrid>
      <w:tr w:rsidR="004B5B7F" w:rsidRPr="00850C2F" w:rsidTr="001A3FB1">
        <w:tc>
          <w:tcPr>
            <w:tcW w:w="9356" w:type="dxa"/>
            <w:shd w:val="clear" w:color="auto" w:fill="DEEAF6" w:themeFill="accent1" w:themeFillTint="33"/>
          </w:tcPr>
          <w:p w:rsidR="004B5B7F" w:rsidRPr="00ED35A9" w:rsidRDefault="004B5B7F" w:rsidP="001A3FB1">
            <w:pPr>
              <w:spacing w:before="120" w:after="120"/>
              <w:ind w:firstLine="0"/>
              <w:jc w:val="center"/>
              <w:rPr>
                <w:rFonts w:cs="Times New Roman"/>
                <w:szCs w:val="28"/>
                <w:lang w:val="uk-UA"/>
              </w:rPr>
            </w:pPr>
            <w:bookmarkStart w:id="13" w:name="bookmark22"/>
            <w:bookmarkStart w:id="14" w:name="bookmark23"/>
            <w:bookmarkStart w:id="15" w:name="_Toc417570578"/>
            <w:bookmarkEnd w:id="13"/>
            <w:r w:rsidRPr="00ED35A9">
              <w:rPr>
                <w:rFonts w:cs="Times New Roman"/>
                <w:b/>
                <w:szCs w:val="28"/>
                <w:lang w:val="uk-UA"/>
              </w:rPr>
              <w:t>Рекомендації</w:t>
            </w:r>
            <w:bookmarkEnd w:id="14"/>
            <w:bookmarkEnd w:id="15"/>
          </w:p>
          <w:p w:rsidR="004B5B7F" w:rsidRPr="00ED35A9" w:rsidRDefault="004B5B7F" w:rsidP="001A3FB1">
            <w:pPr>
              <w:spacing w:after="120"/>
              <w:ind w:firstLine="0"/>
              <w:rPr>
                <w:rFonts w:cs="Times New Roman"/>
                <w:szCs w:val="28"/>
                <w:lang w:val="uk-UA"/>
              </w:rPr>
            </w:pPr>
            <w:r w:rsidRPr="00ED35A9">
              <w:rPr>
                <w:rFonts w:cs="Times New Roman"/>
                <w:szCs w:val="28"/>
                <w:lang w:val="uk-UA"/>
              </w:rPr>
              <w:t xml:space="preserve">1.1. У пацієнтів із підтвердженим </w:t>
            </w:r>
            <w:proofErr w:type="spellStart"/>
            <w:r w:rsidRPr="00ED35A9">
              <w:rPr>
                <w:rFonts w:cs="Times New Roman"/>
                <w:szCs w:val="28"/>
                <w:lang w:val="uk-UA"/>
              </w:rPr>
              <w:t>Нрез</w:t>
            </w:r>
            <w:proofErr w:type="spellEnd"/>
            <w:r w:rsidRPr="00ED35A9">
              <w:rPr>
                <w:rFonts w:cs="Times New Roman"/>
                <w:szCs w:val="28"/>
                <w:lang w:val="uk-UA"/>
              </w:rPr>
              <w:t xml:space="preserve">-ТБ рекомендовано проводити лікування із застосуванням </w:t>
            </w:r>
            <w:proofErr w:type="spellStart"/>
            <w:r w:rsidRPr="00ED35A9">
              <w:rPr>
                <w:rFonts w:cs="Times New Roman"/>
                <w:szCs w:val="28"/>
                <w:lang w:val="uk-UA"/>
              </w:rPr>
              <w:t>рифампіцину</w:t>
            </w:r>
            <w:proofErr w:type="spellEnd"/>
            <w:r w:rsidRPr="00ED35A9">
              <w:rPr>
                <w:rFonts w:cs="Times New Roman"/>
                <w:szCs w:val="28"/>
                <w:lang w:val="uk-UA"/>
              </w:rPr>
              <w:t xml:space="preserve"> (R), </w:t>
            </w:r>
            <w:proofErr w:type="spellStart"/>
            <w:r w:rsidRPr="00ED35A9">
              <w:rPr>
                <w:rFonts w:cs="Times New Roman"/>
                <w:szCs w:val="28"/>
                <w:lang w:val="uk-UA"/>
              </w:rPr>
              <w:t>етамбутолу</w:t>
            </w:r>
            <w:proofErr w:type="spellEnd"/>
            <w:r w:rsidRPr="00ED35A9">
              <w:rPr>
                <w:rFonts w:cs="Times New Roman"/>
                <w:szCs w:val="28"/>
                <w:lang w:val="uk-UA"/>
              </w:rPr>
              <w:t xml:space="preserve"> (E), </w:t>
            </w:r>
            <w:proofErr w:type="spellStart"/>
            <w:r w:rsidRPr="00ED35A9">
              <w:rPr>
                <w:rFonts w:cs="Times New Roman"/>
                <w:szCs w:val="28"/>
                <w:lang w:val="uk-UA"/>
              </w:rPr>
              <w:t>піразинаміду</w:t>
            </w:r>
            <w:proofErr w:type="spellEnd"/>
            <w:r w:rsidRPr="00ED35A9">
              <w:rPr>
                <w:rFonts w:cs="Times New Roman"/>
                <w:szCs w:val="28"/>
                <w:lang w:val="uk-UA"/>
              </w:rPr>
              <w:t xml:space="preserve"> (Z) та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w:t>
            </w:r>
            <w:proofErr w:type="spellStart"/>
            <w:r w:rsidRPr="00ED35A9">
              <w:rPr>
                <w:rFonts w:cs="Times New Roman"/>
                <w:szCs w:val="28"/>
                <w:lang w:val="uk-UA"/>
              </w:rPr>
              <w:t>Lfx</w:t>
            </w:r>
            <w:proofErr w:type="spellEnd"/>
            <w:r w:rsidRPr="00ED35A9">
              <w:rPr>
                <w:rFonts w:cs="Times New Roman"/>
                <w:szCs w:val="28"/>
                <w:lang w:val="uk-UA"/>
              </w:rPr>
              <w:t>) протягом 6 міс (умовна рекомендація, дуже низька якість доказових даних).</w:t>
            </w:r>
          </w:p>
          <w:p w:rsidR="004B5B7F" w:rsidRPr="00ED35A9" w:rsidRDefault="004B5B7F" w:rsidP="001A3FB1">
            <w:pPr>
              <w:spacing w:after="120"/>
              <w:ind w:firstLine="0"/>
              <w:rPr>
                <w:rFonts w:cs="Times New Roman"/>
                <w:szCs w:val="28"/>
                <w:lang w:val="uk-UA"/>
              </w:rPr>
            </w:pPr>
            <w:r w:rsidRPr="00ED35A9">
              <w:rPr>
                <w:rFonts w:cs="Times New Roman"/>
                <w:szCs w:val="28"/>
                <w:lang w:val="uk-UA"/>
              </w:rPr>
              <w:t xml:space="preserve">1.2. У пацієнтів із підтвердженим </w:t>
            </w:r>
            <w:proofErr w:type="spellStart"/>
            <w:r w:rsidRPr="00ED35A9">
              <w:rPr>
                <w:rFonts w:cs="Times New Roman"/>
                <w:szCs w:val="28"/>
                <w:lang w:val="uk-UA"/>
              </w:rPr>
              <w:t>Нрез</w:t>
            </w:r>
            <w:proofErr w:type="spellEnd"/>
            <w:r w:rsidRPr="00ED35A9">
              <w:rPr>
                <w:rFonts w:cs="Times New Roman"/>
                <w:szCs w:val="28"/>
                <w:lang w:val="uk-UA"/>
              </w:rPr>
              <w:t>-ТБ не рекомендовано застосування у схемах лікування стрептоміцину (S) або інших ін’єкційних препаратів (умовна рекомендація, дуже низька якість доказових даних).</w:t>
            </w:r>
          </w:p>
        </w:tc>
      </w:tr>
    </w:tbl>
    <w:p w:rsidR="004B5B7F" w:rsidRPr="00ED35A9" w:rsidRDefault="004B5B7F" w:rsidP="001A3FB1">
      <w:pPr>
        <w:spacing w:before="120"/>
        <w:rPr>
          <w:rFonts w:cs="Times New Roman"/>
          <w:b/>
          <w:szCs w:val="28"/>
          <w:lang w:val="uk-UA"/>
        </w:rPr>
      </w:pPr>
      <w:bookmarkStart w:id="16" w:name="bookmark24"/>
      <w:bookmarkStart w:id="17" w:name="_Toc417570579"/>
      <w:r w:rsidRPr="00ED35A9">
        <w:rPr>
          <w:rFonts w:cs="Times New Roman"/>
          <w:b/>
          <w:szCs w:val="28"/>
          <w:lang w:val="uk-UA"/>
        </w:rPr>
        <w:t>Обґрунтування та доказові дані</w:t>
      </w:r>
      <w:bookmarkEnd w:id="16"/>
      <w:bookmarkEnd w:id="17"/>
    </w:p>
    <w:p w:rsidR="004B5B7F" w:rsidRPr="00ED35A9" w:rsidRDefault="004B5B7F" w:rsidP="00750848">
      <w:pPr>
        <w:spacing w:after="120" w:line="247" w:lineRule="auto"/>
        <w:rPr>
          <w:rFonts w:cs="Times New Roman"/>
          <w:szCs w:val="28"/>
          <w:lang w:val="uk-UA"/>
        </w:rPr>
      </w:pPr>
      <w:r w:rsidRPr="00ED35A9">
        <w:rPr>
          <w:rFonts w:cs="Times New Roman"/>
          <w:szCs w:val="28"/>
          <w:lang w:val="uk-UA"/>
        </w:rPr>
        <w:t>Рекомендації цього розділу дають відповідь на одне запитання PICO (</w:t>
      </w:r>
      <w:proofErr w:type="spellStart"/>
      <w:r w:rsidRPr="00ED35A9">
        <w:rPr>
          <w:rFonts w:cs="Times New Roman"/>
          <w:szCs w:val="28"/>
          <w:lang w:val="uk-UA"/>
        </w:rPr>
        <w:t>Population</w:t>
      </w:r>
      <w:proofErr w:type="spellEnd"/>
      <w:r w:rsidRPr="00ED35A9">
        <w:rPr>
          <w:rFonts w:cs="Times New Roman"/>
          <w:szCs w:val="28"/>
          <w:lang w:val="uk-UA"/>
        </w:rPr>
        <w:t xml:space="preserve">, </w:t>
      </w:r>
      <w:proofErr w:type="spellStart"/>
      <w:r w:rsidRPr="00ED35A9">
        <w:rPr>
          <w:rFonts w:cs="Times New Roman"/>
          <w:szCs w:val="28"/>
          <w:lang w:val="uk-UA"/>
        </w:rPr>
        <w:t>Intervention</w:t>
      </w:r>
      <w:proofErr w:type="spellEnd"/>
      <w:r w:rsidRPr="00ED35A9">
        <w:rPr>
          <w:rFonts w:cs="Times New Roman"/>
          <w:szCs w:val="28"/>
          <w:lang w:val="uk-UA"/>
        </w:rPr>
        <w:t xml:space="preserve">, </w:t>
      </w:r>
      <w:proofErr w:type="spellStart"/>
      <w:r w:rsidRPr="00ED35A9">
        <w:rPr>
          <w:rFonts w:cs="Times New Roman"/>
          <w:szCs w:val="28"/>
          <w:lang w:val="uk-UA"/>
        </w:rPr>
        <w:t>Comparator</w:t>
      </w:r>
      <w:proofErr w:type="spellEnd"/>
      <w:r w:rsidRPr="00ED35A9">
        <w:rPr>
          <w:rFonts w:cs="Times New Roman"/>
          <w:szCs w:val="28"/>
          <w:lang w:val="uk-UA"/>
        </w:rPr>
        <w:t xml:space="preserve">, </w:t>
      </w:r>
      <w:proofErr w:type="spellStart"/>
      <w:r w:rsidRPr="00ED35A9">
        <w:rPr>
          <w:rFonts w:cs="Times New Roman"/>
          <w:szCs w:val="28"/>
          <w:lang w:val="uk-UA"/>
        </w:rPr>
        <w:t>Outcomes</w:t>
      </w:r>
      <w:proofErr w:type="spellEnd"/>
      <w:r w:rsidRPr="00ED35A9">
        <w:rPr>
          <w:rFonts w:cs="Times New Roman"/>
          <w:szCs w:val="28"/>
          <w:lang w:val="uk-UA"/>
        </w:rPr>
        <w:t xml:space="preserve"> – населення, втручання, компаратор, результати) (</w:t>
      </w:r>
      <w:r w:rsidRPr="00ED35A9">
        <w:rPr>
          <w:rFonts w:cs="Times New Roman"/>
          <w:i/>
          <w:szCs w:val="28"/>
          <w:lang w:val="uk-UA"/>
        </w:rPr>
        <w:t>див.</w:t>
      </w:r>
      <w:r w:rsidR="00CB3E8C" w:rsidRPr="00ED35A9">
        <w:rPr>
          <w:rFonts w:cs="Times New Roman"/>
          <w:szCs w:val="28"/>
          <w:lang w:val="uk-UA"/>
        </w:rPr>
        <w:t xml:space="preserve"> Додаток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B5B7F" w:rsidRPr="00850C2F" w:rsidTr="00463AA0">
        <w:tc>
          <w:tcPr>
            <w:tcW w:w="9356" w:type="dxa"/>
          </w:tcPr>
          <w:p w:rsidR="004B5B7F" w:rsidRPr="00ED35A9" w:rsidRDefault="004B5B7F" w:rsidP="00750848">
            <w:pPr>
              <w:spacing w:before="120" w:line="247" w:lineRule="auto"/>
              <w:ind w:firstLine="0"/>
              <w:rPr>
                <w:rFonts w:cs="Times New Roman"/>
                <w:b/>
                <w:i/>
                <w:szCs w:val="28"/>
                <w:lang w:val="uk-UA"/>
              </w:rPr>
            </w:pPr>
            <w:r w:rsidRPr="00ED35A9">
              <w:rPr>
                <w:rFonts w:cs="Times New Roman"/>
                <w:b/>
                <w:i/>
                <w:szCs w:val="28"/>
                <w:lang w:val="uk-UA"/>
              </w:rPr>
              <w:t>Запи</w:t>
            </w:r>
            <w:r w:rsidR="006D00C8" w:rsidRPr="00ED35A9">
              <w:rPr>
                <w:rFonts w:cs="Times New Roman"/>
                <w:b/>
                <w:i/>
                <w:szCs w:val="28"/>
                <w:lang w:val="uk-UA"/>
              </w:rPr>
              <w:t>тання PICO 1 (</w:t>
            </w:r>
            <w:proofErr w:type="spellStart"/>
            <w:r w:rsidR="006D00C8" w:rsidRPr="00ED35A9">
              <w:rPr>
                <w:rFonts w:cs="Times New Roman"/>
                <w:b/>
                <w:i/>
                <w:szCs w:val="28"/>
                <w:lang w:val="uk-UA"/>
              </w:rPr>
              <w:t>Нрез</w:t>
            </w:r>
            <w:proofErr w:type="spellEnd"/>
            <w:r w:rsidR="006D00C8" w:rsidRPr="00ED35A9">
              <w:rPr>
                <w:rFonts w:cs="Times New Roman"/>
                <w:b/>
                <w:i/>
                <w:szCs w:val="28"/>
                <w:lang w:val="uk-UA"/>
              </w:rPr>
              <w:t>-ТБ, 2018 р.)</w:t>
            </w:r>
          </w:p>
          <w:p w:rsidR="004B5B7F" w:rsidRPr="00ED35A9" w:rsidRDefault="004B5B7F" w:rsidP="00750848">
            <w:pPr>
              <w:spacing w:after="120" w:line="247" w:lineRule="auto"/>
              <w:ind w:firstLine="0"/>
              <w:rPr>
                <w:rFonts w:cs="Times New Roman"/>
                <w:szCs w:val="28"/>
                <w:lang w:val="uk-UA"/>
              </w:rPr>
            </w:pPr>
            <w:r w:rsidRPr="00ED35A9">
              <w:rPr>
                <w:rFonts w:cs="Times New Roman"/>
                <w:szCs w:val="28"/>
                <w:lang w:val="uk-UA"/>
              </w:rPr>
              <w:t xml:space="preserve">Якими повинні бути склад та тривалість схеми лікування у пацієнтів з </w:t>
            </w:r>
            <w:proofErr w:type="spellStart"/>
            <w:r w:rsidRPr="00ED35A9">
              <w:rPr>
                <w:rFonts w:cs="Times New Roman"/>
                <w:szCs w:val="28"/>
                <w:lang w:val="uk-UA"/>
              </w:rPr>
              <w:t>ізоніазид</w:t>
            </w:r>
            <w:proofErr w:type="spellEnd"/>
            <w:r w:rsidRPr="00ED35A9">
              <w:rPr>
                <w:rFonts w:cs="Times New Roman"/>
                <w:szCs w:val="28"/>
                <w:lang w:val="uk-UA"/>
              </w:rPr>
              <w:t xml:space="preserve">-резистентним ТБ (крім МРТБ) для підвищення ймовірності успіху лікування та зниження ризиків порівняно із призначенням схеми із застосуванням </w:t>
            </w:r>
            <w:proofErr w:type="spellStart"/>
            <w:r w:rsidRPr="00ED35A9">
              <w:rPr>
                <w:rFonts w:cs="Times New Roman"/>
                <w:szCs w:val="28"/>
                <w:lang w:val="uk-UA"/>
              </w:rPr>
              <w:t>рифампіцину</w:t>
            </w:r>
            <w:proofErr w:type="spellEnd"/>
            <w:r w:rsidRPr="00ED35A9">
              <w:rPr>
                <w:rFonts w:cs="Times New Roman"/>
                <w:szCs w:val="28"/>
                <w:lang w:val="uk-UA"/>
              </w:rPr>
              <w:t xml:space="preserve">, </w:t>
            </w:r>
            <w:proofErr w:type="spellStart"/>
            <w:r w:rsidRPr="00ED35A9">
              <w:rPr>
                <w:rFonts w:cs="Times New Roman"/>
                <w:szCs w:val="28"/>
                <w:lang w:val="uk-UA"/>
              </w:rPr>
              <w:t>пірази</w:t>
            </w:r>
            <w:r w:rsidR="00463AA0" w:rsidRPr="00ED35A9">
              <w:rPr>
                <w:rFonts w:cs="Times New Roman"/>
                <w:szCs w:val="28"/>
                <w:lang w:val="uk-UA"/>
              </w:rPr>
              <w:t>наміду</w:t>
            </w:r>
            <w:proofErr w:type="spellEnd"/>
            <w:r w:rsidR="00463AA0" w:rsidRPr="00ED35A9">
              <w:rPr>
                <w:rFonts w:cs="Times New Roman"/>
                <w:szCs w:val="28"/>
                <w:lang w:val="uk-UA"/>
              </w:rPr>
              <w:t xml:space="preserve"> та </w:t>
            </w:r>
            <w:proofErr w:type="spellStart"/>
            <w:r w:rsidR="00463AA0" w:rsidRPr="00ED35A9">
              <w:rPr>
                <w:rFonts w:cs="Times New Roman"/>
                <w:szCs w:val="28"/>
                <w:lang w:val="uk-UA"/>
              </w:rPr>
              <w:t>етамбутолу</w:t>
            </w:r>
            <w:proofErr w:type="spellEnd"/>
            <w:r w:rsidR="00463AA0" w:rsidRPr="00ED35A9">
              <w:rPr>
                <w:rFonts w:cs="Times New Roman"/>
                <w:szCs w:val="28"/>
                <w:lang w:val="uk-UA"/>
              </w:rPr>
              <w:t xml:space="preserve"> протягом 6 </w:t>
            </w:r>
            <w:r w:rsidRPr="00ED35A9">
              <w:rPr>
                <w:rFonts w:cs="Times New Roman"/>
                <w:szCs w:val="28"/>
                <w:lang w:val="uk-UA"/>
              </w:rPr>
              <w:t>міс або більше?</w:t>
            </w:r>
          </w:p>
        </w:tc>
      </w:tr>
    </w:tbl>
    <w:p w:rsidR="004B5B7F" w:rsidRPr="00ED35A9" w:rsidRDefault="004B5B7F" w:rsidP="00750848">
      <w:pPr>
        <w:spacing w:before="120" w:line="247" w:lineRule="auto"/>
        <w:rPr>
          <w:rFonts w:cs="Times New Roman"/>
          <w:szCs w:val="28"/>
          <w:lang w:val="uk-UA"/>
        </w:rPr>
      </w:pPr>
      <w:r w:rsidRPr="00ED35A9">
        <w:rPr>
          <w:rFonts w:cs="Times New Roman"/>
          <w:szCs w:val="28"/>
          <w:lang w:val="uk-UA"/>
        </w:rPr>
        <w:t xml:space="preserve">Для лікування пацієнтів з </w:t>
      </w:r>
      <w:proofErr w:type="spellStart"/>
      <w:r w:rsidRPr="00ED35A9">
        <w:rPr>
          <w:rFonts w:cs="Times New Roman"/>
          <w:szCs w:val="28"/>
          <w:lang w:val="uk-UA"/>
        </w:rPr>
        <w:t>Hрез</w:t>
      </w:r>
      <w:proofErr w:type="spellEnd"/>
      <w:r w:rsidRPr="00ED35A9">
        <w:rPr>
          <w:rFonts w:cs="Times New Roman"/>
          <w:szCs w:val="28"/>
          <w:lang w:val="uk-UA"/>
        </w:rPr>
        <w:t xml:space="preserve">-ТБ застосовували </w:t>
      </w:r>
      <w:proofErr w:type="spellStart"/>
      <w:r w:rsidRPr="00ED35A9">
        <w:rPr>
          <w:rFonts w:cs="Times New Roman"/>
          <w:szCs w:val="28"/>
          <w:lang w:val="uk-UA"/>
        </w:rPr>
        <w:t>рифампіцин</w:t>
      </w:r>
      <w:proofErr w:type="spellEnd"/>
      <w:r w:rsidRPr="00ED35A9">
        <w:rPr>
          <w:rFonts w:cs="Times New Roman"/>
          <w:szCs w:val="28"/>
          <w:lang w:val="uk-UA"/>
        </w:rPr>
        <w:t xml:space="preserve">, </w:t>
      </w:r>
      <w:proofErr w:type="spellStart"/>
      <w:r w:rsidRPr="00ED35A9">
        <w:rPr>
          <w:rFonts w:cs="Times New Roman"/>
          <w:szCs w:val="28"/>
          <w:lang w:val="uk-UA"/>
        </w:rPr>
        <w:t>етамбутол</w:t>
      </w:r>
      <w:proofErr w:type="spellEnd"/>
      <w:r w:rsidRPr="00ED35A9">
        <w:rPr>
          <w:rFonts w:cs="Times New Roman"/>
          <w:szCs w:val="28"/>
          <w:lang w:val="uk-UA"/>
        </w:rPr>
        <w:t xml:space="preserve"> та </w:t>
      </w:r>
      <w:proofErr w:type="spellStart"/>
      <w:r w:rsidRPr="00ED35A9">
        <w:rPr>
          <w:rFonts w:cs="Times New Roman"/>
          <w:szCs w:val="28"/>
          <w:lang w:val="uk-UA"/>
        </w:rPr>
        <w:t>піразинамід</w:t>
      </w:r>
      <w:proofErr w:type="spellEnd"/>
      <w:r w:rsidRPr="00ED35A9">
        <w:rPr>
          <w:rFonts w:cs="Times New Roman"/>
          <w:szCs w:val="28"/>
          <w:lang w:val="uk-UA"/>
        </w:rPr>
        <w:t xml:space="preserve"> із додаванням </w:t>
      </w:r>
      <w:proofErr w:type="spellStart"/>
      <w:r w:rsidRPr="00ED35A9">
        <w:rPr>
          <w:rFonts w:cs="Times New Roman"/>
          <w:szCs w:val="28"/>
          <w:lang w:val="uk-UA"/>
        </w:rPr>
        <w:t>ізоніазиду</w:t>
      </w:r>
      <w:proofErr w:type="spellEnd"/>
      <w:r w:rsidRPr="00ED35A9">
        <w:rPr>
          <w:rFonts w:cs="Times New Roman"/>
          <w:szCs w:val="28"/>
          <w:lang w:val="uk-UA"/>
        </w:rPr>
        <w:t xml:space="preserve"> або без нього ((H)REZ) </w:t>
      </w:r>
      <w:r w:rsidRPr="00ED35A9">
        <w:rPr>
          <w:rFonts w:cs="Times New Roman"/>
          <w:i/>
          <w:szCs w:val="28"/>
          <w:lang w:val="uk-UA"/>
        </w:rPr>
        <w:t>(14–16)</w:t>
      </w:r>
      <w:r w:rsidRPr="00ED35A9">
        <w:rPr>
          <w:rFonts w:cs="Times New Roman"/>
          <w:szCs w:val="28"/>
          <w:lang w:val="uk-UA"/>
        </w:rPr>
        <w:t xml:space="preserve">. Під час розробки даної настанови було </w:t>
      </w:r>
      <w:proofErr w:type="spellStart"/>
      <w:r w:rsidRPr="00ED35A9">
        <w:rPr>
          <w:rFonts w:cs="Times New Roman"/>
          <w:szCs w:val="28"/>
          <w:lang w:val="uk-UA"/>
        </w:rPr>
        <w:t>переглянуто</w:t>
      </w:r>
      <w:proofErr w:type="spellEnd"/>
      <w:r w:rsidRPr="00ED35A9">
        <w:rPr>
          <w:rFonts w:cs="Times New Roman"/>
          <w:szCs w:val="28"/>
          <w:lang w:val="uk-UA"/>
        </w:rPr>
        <w:t xml:space="preserve"> доказові дані щодо схеми лікування (H)REZ із порівнянням різної тривалості її застосування, наприклад, порівняння </w:t>
      </w:r>
      <w:r w:rsidR="009F6706" w:rsidRPr="00ED35A9">
        <w:rPr>
          <w:rFonts w:cs="Times New Roman"/>
          <w:szCs w:val="28"/>
          <w:lang w:val="uk-UA"/>
        </w:rPr>
        <w:t>шести</w:t>
      </w:r>
      <w:r w:rsidRPr="00ED35A9">
        <w:rPr>
          <w:rFonts w:cs="Times New Roman"/>
          <w:szCs w:val="28"/>
          <w:lang w:val="uk-UA"/>
        </w:rPr>
        <w:t>місячної схеми із довгостроковою. Крім того, при проведенні огляду доказових даних особлив</w:t>
      </w:r>
      <w:r w:rsidR="009F6706" w:rsidRPr="00ED35A9">
        <w:rPr>
          <w:rFonts w:cs="Times New Roman"/>
          <w:szCs w:val="28"/>
          <w:lang w:val="uk-UA"/>
        </w:rPr>
        <w:t xml:space="preserve">у </w:t>
      </w:r>
      <w:r w:rsidRPr="00ED35A9">
        <w:rPr>
          <w:rFonts w:cs="Times New Roman"/>
          <w:szCs w:val="28"/>
          <w:lang w:val="uk-UA"/>
        </w:rPr>
        <w:t>уваг</w:t>
      </w:r>
      <w:r w:rsidR="009F6706" w:rsidRPr="00ED35A9">
        <w:rPr>
          <w:rFonts w:cs="Times New Roman"/>
          <w:szCs w:val="28"/>
          <w:lang w:val="uk-UA"/>
        </w:rPr>
        <w:t xml:space="preserve">у </w:t>
      </w:r>
      <w:r w:rsidRPr="00ED35A9">
        <w:rPr>
          <w:rFonts w:cs="Times New Roman"/>
          <w:szCs w:val="28"/>
          <w:lang w:val="uk-UA"/>
        </w:rPr>
        <w:t xml:space="preserve">було приділено визначенню, чи можна покращити результати лікування пацієнтів з </w:t>
      </w:r>
      <w:proofErr w:type="spellStart"/>
      <w:r w:rsidRPr="00ED35A9">
        <w:rPr>
          <w:rFonts w:cs="Times New Roman"/>
          <w:szCs w:val="28"/>
          <w:lang w:val="uk-UA"/>
        </w:rPr>
        <w:t>Hрез</w:t>
      </w:r>
      <w:proofErr w:type="spellEnd"/>
      <w:r w:rsidRPr="00ED35A9">
        <w:rPr>
          <w:rFonts w:cs="Times New Roman"/>
          <w:szCs w:val="28"/>
          <w:lang w:val="uk-UA"/>
        </w:rPr>
        <w:t xml:space="preserve">-ТБ, що отримують схеми лікування (H)REZ різної тривалості, 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або стрептоміцину.</w:t>
      </w:r>
    </w:p>
    <w:p w:rsidR="004B5B7F" w:rsidRPr="00ED35A9" w:rsidRDefault="004B5B7F" w:rsidP="00750848">
      <w:pPr>
        <w:spacing w:line="247" w:lineRule="auto"/>
        <w:rPr>
          <w:rFonts w:cs="Times New Roman"/>
          <w:szCs w:val="28"/>
          <w:lang w:val="uk-UA"/>
        </w:rPr>
      </w:pPr>
      <w:r w:rsidRPr="00ED35A9">
        <w:rPr>
          <w:rFonts w:cs="Times New Roman"/>
          <w:szCs w:val="28"/>
          <w:lang w:val="uk-UA"/>
        </w:rPr>
        <w:t xml:space="preserve">Доказові дані, що використовували для визначення складу й тривалості схем, переважно було отримано з аналізу індивідуальних даних пацієнтів (ІДП), зібраних з 33-х баз даних із аналізованою популяцією у 5418 пацієнтів з </w:t>
      </w:r>
      <w:proofErr w:type="spellStart"/>
      <w:r w:rsidRPr="00ED35A9">
        <w:rPr>
          <w:rFonts w:cs="Times New Roman"/>
          <w:szCs w:val="28"/>
          <w:lang w:val="uk-UA"/>
        </w:rPr>
        <w:t>Hрез</w:t>
      </w:r>
      <w:proofErr w:type="spellEnd"/>
      <w:r w:rsidRPr="00ED35A9">
        <w:rPr>
          <w:rFonts w:cs="Times New Roman"/>
          <w:szCs w:val="28"/>
          <w:lang w:val="uk-UA"/>
        </w:rPr>
        <w:t>-ТБ (</w:t>
      </w:r>
      <w:r w:rsidRPr="00ED35A9">
        <w:rPr>
          <w:rFonts w:cs="Times New Roman"/>
          <w:i/>
          <w:szCs w:val="28"/>
          <w:lang w:val="uk-UA"/>
        </w:rPr>
        <w:t>див.</w:t>
      </w:r>
      <w:r w:rsidRPr="00ED35A9">
        <w:rPr>
          <w:rFonts w:cs="Times New Roman"/>
          <w:szCs w:val="28"/>
          <w:lang w:val="uk-UA"/>
        </w:rPr>
        <w:t xml:space="preserve"> також розділ «Методи» онлайн-Додатку 6). Усі дані, що використовували для розробки цієї настанови, було отримано з обсерваційних досліджень, проведених у різних умовах (26% – в Азії, 33% – в Європі, 31% – у Південній й Північній Амери</w:t>
      </w:r>
      <w:r w:rsidR="009F6706" w:rsidRPr="00ED35A9">
        <w:rPr>
          <w:rFonts w:cs="Times New Roman"/>
          <w:szCs w:val="28"/>
          <w:lang w:val="uk-UA"/>
        </w:rPr>
        <w:t xml:space="preserve">ці </w:t>
      </w:r>
      <w:r w:rsidRPr="00ED35A9">
        <w:rPr>
          <w:rFonts w:cs="Times New Roman"/>
          <w:szCs w:val="28"/>
          <w:lang w:val="uk-UA"/>
        </w:rPr>
        <w:t>та 6% – у Африці)</w:t>
      </w:r>
      <w:r w:rsidRPr="00ED35A9">
        <w:rPr>
          <w:rFonts w:cs="Times New Roman"/>
          <w:szCs w:val="28"/>
          <w:vertAlign w:val="superscript"/>
          <w:lang w:val="uk-UA"/>
        </w:rPr>
        <w:footnoteReference w:id="10"/>
      </w:r>
      <w:r w:rsidRPr="00ED35A9">
        <w:rPr>
          <w:rFonts w:cs="Times New Roman"/>
          <w:szCs w:val="28"/>
          <w:lang w:val="uk-UA"/>
        </w:rPr>
        <w:t xml:space="preserve"> </w:t>
      </w:r>
      <w:r w:rsidRPr="00ED35A9">
        <w:rPr>
          <w:rFonts w:cs="Times New Roman"/>
          <w:i/>
          <w:szCs w:val="28"/>
          <w:lang w:val="uk-UA"/>
        </w:rPr>
        <w:t>(17)</w:t>
      </w:r>
      <w:r w:rsidRPr="00ED35A9">
        <w:rPr>
          <w:rFonts w:cs="Times New Roman"/>
          <w:szCs w:val="28"/>
          <w:lang w:val="uk-UA"/>
        </w:rPr>
        <w:t xml:space="preserve">. За аналізом ІДП, схеми лікування пацієнтів містили </w:t>
      </w:r>
      <w:proofErr w:type="spellStart"/>
      <w:r w:rsidRPr="00ED35A9">
        <w:rPr>
          <w:rFonts w:cs="Times New Roman"/>
          <w:szCs w:val="28"/>
          <w:lang w:val="uk-UA"/>
        </w:rPr>
        <w:t>рифампіцин</w:t>
      </w:r>
      <w:proofErr w:type="spellEnd"/>
      <w:r w:rsidRPr="00ED35A9">
        <w:rPr>
          <w:rFonts w:cs="Times New Roman"/>
          <w:szCs w:val="28"/>
          <w:lang w:val="uk-UA"/>
        </w:rPr>
        <w:t xml:space="preserve">, </w:t>
      </w:r>
      <w:proofErr w:type="spellStart"/>
      <w:r w:rsidRPr="00ED35A9">
        <w:rPr>
          <w:rFonts w:cs="Times New Roman"/>
          <w:szCs w:val="28"/>
          <w:lang w:val="uk-UA"/>
        </w:rPr>
        <w:t>етамбутол</w:t>
      </w:r>
      <w:proofErr w:type="spellEnd"/>
      <w:r w:rsidRPr="00ED35A9">
        <w:rPr>
          <w:rFonts w:cs="Times New Roman"/>
          <w:szCs w:val="28"/>
          <w:lang w:val="uk-UA"/>
        </w:rPr>
        <w:t xml:space="preserve">, </w:t>
      </w:r>
      <w:proofErr w:type="spellStart"/>
      <w:r w:rsidRPr="00ED35A9">
        <w:rPr>
          <w:rFonts w:cs="Times New Roman"/>
          <w:szCs w:val="28"/>
          <w:lang w:val="uk-UA"/>
        </w:rPr>
        <w:lastRenderedPageBreak/>
        <w:t>піразинамід</w:t>
      </w:r>
      <w:proofErr w:type="spellEnd"/>
      <w:r w:rsidRPr="00ED35A9">
        <w:rPr>
          <w:rFonts w:cs="Times New Roman"/>
          <w:szCs w:val="28"/>
          <w:lang w:val="uk-UA"/>
        </w:rPr>
        <w:t xml:space="preserve">, стрептоміцин, </w:t>
      </w:r>
      <w:proofErr w:type="spellStart"/>
      <w:r w:rsidRPr="00ED35A9">
        <w:rPr>
          <w:rFonts w:cs="Times New Roman"/>
          <w:szCs w:val="28"/>
          <w:lang w:val="uk-UA"/>
        </w:rPr>
        <w:t>ізоніазид</w:t>
      </w:r>
      <w:proofErr w:type="spellEnd"/>
      <w:r w:rsidRPr="00ED35A9">
        <w:rPr>
          <w:rFonts w:cs="Times New Roman"/>
          <w:szCs w:val="28"/>
          <w:lang w:val="uk-UA"/>
        </w:rPr>
        <w:t xml:space="preserve"> та </w:t>
      </w:r>
      <w:proofErr w:type="spellStart"/>
      <w:r w:rsidRPr="00ED35A9">
        <w:rPr>
          <w:rFonts w:cs="Times New Roman"/>
          <w:szCs w:val="28"/>
          <w:lang w:val="uk-UA"/>
        </w:rPr>
        <w:t>фторхінолони</w:t>
      </w:r>
      <w:proofErr w:type="spellEnd"/>
      <w:r w:rsidRPr="00ED35A9">
        <w:rPr>
          <w:rFonts w:cs="Times New Roman"/>
          <w:szCs w:val="28"/>
          <w:lang w:val="uk-UA"/>
        </w:rPr>
        <w:t xml:space="preserve">. Таким чином, можна винести рекомендації лише для схем, що містять ці протитуберкульозні препарати (ПТП). </w:t>
      </w:r>
    </w:p>
    <w:p w:rsidR="004B5B7F" w:rsidRPr="00ED35A9" w:rsidRDefault="004B5B7F" w:rsidP="000E0B10">
      <w:pPr>
        <w:rPr>
          <w:rFonts w:cs="Times New Roman"/>
          <w:szCs w:val="28"/>
          <w:lang w:val="uk-UA"/>
        </w:rPr>
      </w:pPr>
      <w:r w:rsidRPr="00ED35A9">
        <w:rPr>
          <w:rFonts w:cs="Times New Roman"/>
          <w:b/>
          <w:i/>
          <w:szCs w:val="28"/>
          <w:lang w:val="uk-UA"/>
        </w:rPr>
        <w:t>Тривалість застосування схеми (H)REZ.</w:t>
      </w:r>
      <w:r w:rsidRPr="00ED35A9">
        <w:rPr>
          <w:rFonts w:cs="Times New Roman"/>
          <w:szCs w:val="28"/>
          <w:lang w:val="uk-UA"/>
        </w:rPr>
        <w:t xml:space="preserve"> За результатами проведеного аналізу, в якому порівнювали схем</w:t>
      </w:r>
      <w:r w:rsidR="00463AA0" w:rsidRPr="00ED35A9">
        <w:rPr>
          <w:rFonts w:cs="Times New Roman"/>
          <w:szCs w:val="28"/>
          <w:lang w:val="uk-UA"/>
        </w:rPr>
        <w:t>и лікування (H)REZ тривалістю 6 </w:t>
      </w:r>
      <w:r w:rsidRPr="00ED35A9">
        <w:rPr>
          <w:rFonts w:cs="Times New Roman"/>
          <w:szCs w:val="28"/>
          <w:lang w:val="uk-UA"/>
        </w:rPr>
        <w:t>міс та понад 6</w:t>
      </w:r>
      <w:r w:rsidR="00463AA0" w:rsidRPr="00ED35A9">
        <w:rPr>
          <w:rFonts w:cs="Times New Roman"/>
          <w:szCs w:val="28"/>
          <w:lang w:val="uk-UA"/>
        </w:rPr>
        <w:t> </w:t>
      </w:r>
      <w:r w:rsidRPr="00ED35A9">
        <w:rPr>
          <w:rFonts w:cs="Times New Roman"/>
          <w:szCs w:val="28"/>
          <w:lang w:val="uk-UA"/>
        </w:rPr>
        <w:t>міс, було визначено, що 6-місячна схема (H)REZ мала вищі показники ймовірно</w:t>
      </w:r>
      <w:r w:rsidR="00710AA9" w:rsidRPr="00ED35A9">
        <w:rPr>
          <w:rFonts w:cs="Times New Roman"/>
          <w:szCs w:val="28"/>
          <w:lang w:val="uk-UA"/>
        </w:rPr>
        <w:t>ї ефективності лікування</w:t>
      </w:r>
      <w:r w:rsidRPr="00ED35A9">
        <w:rPr>
          <w:rFonts w:cs="Times New Roman"/>
          <w:szCs w:val="28"/>
          <w:lang w:val="uk-UA"/>
        </w:rPr>
        <w:t xml:space="preserve"> порівняно зі схемою тривалістю понад 6</w:t>
      </w:r>
      <w:r w:rsidR="00463AA0" w:rsidRPr="00ED35A9">
        <w:rPr>
          <w:rFonts w:cs="Times New Roman"/>
          <w:szCs w:val="28"/>
          <w:lang w:val="uk-UA"/>
        </w:rPr>
        <w:t> </w:t>
      </w:r>
      <w:r w:rsidRPr="00ED35A9">
        <w:rPr>
          <w:rFonts w:cs="Times New Roman"/>
          <w:szCs w:val="28"/>
          <w:lang w:val="uk-UA"/>
        </w:rPr>
        <w:t xml:space="preserve">міс. За даними подальшого аналізу, було відзначено відсутність статистично значущої відмінності між результатами лікування пацієнтів за схемою 6REZ та &gt;6REZ. Оскільки дані не охоплювали застосування переривчастого дозування 6-місячних та &gt;6-місячних схем, не можна зробити жодних висновків щодо порівняння переривчастих та щоденних схем лікування. Ефект тривалості застосування </w:t>
      </w:r>
      <w:proofErr w:type="spellStart"/>
      <w:r w:rsidRPr="00ED35A9">
        <w:rPr>
          <w:rFonts w:cs="Times New Roman"/>
          <w:szCs w:val="28"/>
          <w:lang w:val="uk-UA"/>
        </w:rPr>
        <w:t>піразинаміду</w:t>
      </w:r>
      <w:proofErr w:type="spellEnd"/>
      <w:r w:rsidRPr="00ED35A9">
        <w:rPr>
          <w:rFonts w:cs="Times New Roman"/>
          <w:szCs w:val="28"/>
          <w:lang w:val="uk-UA"/>
        </w:rPr>
        <w:t xml:space="preserve"> у схемі (H)REZ було розглянуто у контексті максимального зниження тривалості використання цього препарату. Скорочення застосування у лікуванні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до &lt;3 міс було пов’язано з гіршим результатом лікування, навіть при додаванні стрептоміцину (скориговане співвідношення шансів (</w:t>
      </w:r>
      <w:proofErr w:type="spellStart"/>
      <w:r w:rsidRPr="00ED35A9">
        <w:rPr>
          <w:rFonts w:cs="Times New Roman"/>
          <w:szCs w:val="28"/>
          <w:lang w:val="uk-UA"/>
        </w:rPr>
        <w:t>aOR</w:t>
      </w:r>
      <w:proofErr w:type="spellEnd"/>
      <w:r w:rsidRPr="00ED35A9">
        <w:rPr>
          <w:rFonts w:cs="Times New Roman"/>
          <w:szCs w:val="28"/>
          <w:lang w:val="uk-UA"/>
        </w:rPr>
        <w:t xml:space="preserve">) 0,4; 95% довірчий інтервал (ДІ) 0,2–0,7). У 118 пацієнтів на </w:t>
      </w:r>
      <w:proofErr w:type="spellStart"/>
      <w:r w:rsidRPr="00ED35A9">
        <w:rPr>
          <w:rFonts w:cs="Times New Roman"/>
          <w:szCs w:val="28"/>
          <w:lang w:val="uk-UA"/>
        </w:rPr>
        <w:t>фторхінолон-вмісних</w:t>
      </w:r>
      <w:proofErr w:type="spellEnd"/>
      <w:r w:rsidRPr="00ED35A9">
        <w:rPr>
          <w:rFonts w:cs="Times New Roman"/>
          <w:szCs w:val="28"/>
          <w:lang w:val="uk-UA"/>
        </w:rPr>
        <w:t xml:space="preserve"> схемах, що отримували </w:t>
      </w:r>
      <w:proofErr w:type="spellStart"/>
      <w:r w:rsidRPr="00ED35A9">
        <w:rPr>
          <w:rFonts w:cs="Times New Roman"/>
          <w:szCs w:val="28"/>
          <w:lang w:val="uk-UA"/>
        </w:rPr>
        <w:t>піразинамід</w:t>
      </w:r>
      <w:proofErr w:type="spellEnd"/>
      <w:r w:rsidRPr="00ED35A9">
        <w:rPr>
          <w:rFonts w:cs="Times New Roman"/>
          <w:szCs w:val="28"/>
          <w:lang w:val="uk-UA"/>
        </w:rPr>
        <w:t xml:space="preserve"> &lt;4 міс, відзначено вищі показники успіху лікування, ніж у пацієнтів, що отримували 6(H)REZ, проте відмінність не була статистично значущою.</w:t>
      </w:r>
    </w:p>
    <w:p w:rsidR="004B5B7F" w:rsidRPr="00ED35A9" w:rsidRDefault="004B5B7F" w:rsidP="000E0B10">
      <w:pPr>
        <w:rPr>
          <w:rFonts w:cs="Times New Roman"/>
          <w:szCs w:val="28"/>
          <w:lang w:val="uk-UA"/>
        </w:rPr>
      </w:pPr>
      <w:r w:rsidRPr="00ED35A9">
        <w:rPr>
          <w:rFonts w:cs="Times New Roman"/>
          <w:b/>
          <w:i/>
          <w:szCs w:val="28"/>
          <w:lang w:val="uk-UA"/>
        </w:rPr>
        <w:t xml:space="preserve">Тривалість застосування </w:t>
      </w:r>
      <w:proofErr w:type="spellStart"/>
      <w:r w:rsidRPr="00ED35A9">
        <w:rPr>
          <w:rFonts w:cs="Times New Roman"/>
          <w:b/>
          <w:i/>
          <w:szCs w:val="28"/>
          <w:lang w:val="uk-UA"/>
        </w:rPr>
        <w:t>левофлоксацину</w:t>
      </w:r>
      <w:proofErr w:type="spellEnd"/>
      <w:r w:rsidRPr="00ED35A9">
        <w:rPr>
          <w:rFonts w:cs="Times New Roman"/>
          <w:b/>
          <w:i/>
          <w:szCs w:val="28"/>
          <w:lang w:val="uk-UA"/>
        </w:rPr>
        <w:t>.</w:t>
      </w:r>
      <w:r w:rsidRPr="00ED35A9">
        <w:rPr>
          <w:rFonts w:cs="Times New Roman"/>
          <w:szCs w:val="28"/>
          <w:lang w:val="uk-UA"/>
        </w:rPr>
        <w:t xml:space="preserve"> У підвибірці з 241 пацієнта на схемі (H)REZ із 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медіанна тривалість застосування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становила 6,1 місяця (</w:t>
      </w:r>
      <w:proofErr w:type="spellStart"/>
      <w:r w:rsidRPr="00ED35A9">
        <w:rPr>
          <w:rFonts w:cs="Times New Roman"/>
          <w:szCs w:val="28"/>
          <w:lang w:val="uk-UA"/>
        </w:rPr>
        <w:t>інтерквартильний</w:t>
      </w:r>
      <w:proofErr w:type="spellEnd"/>
      <w:r w:rsidRPr="00ED35A9">
        <w:rPr>
          <w:rFonts w:cs="Times New Roman"/>
          <w:szCs w:val="28"/>
          <w:lang w:val="uk-UA"/>
        </w:rPr>
        <w:t xml:space="preserve"> розмах (IQR) 3,5; 8,4), а для пацієнтів на схемі REZ – 9,0 місяця (IQR 7; 11). Таким чином, схоже, що тривалість лікування в обсерваційних дослідженнях, з яких було отримано ІДП, базувалася на завершенні 6-місячного лікування </w:t>
      </w:r>
      <w:proofErr w:type="spellStart"/>
      <w:r w:rsidRPr="00ED35A9">
        <w:rPr>
          <w:rFonts w:cs="Times New Roman"/>
          <w:szCs w:val="28"/>
          <w:lang w:val="uk-UA"/>
        </w:rPr>
        <w:t>фторхінолонами</w:t>
      </w:r>
      <w:proofErr w:type="spellEnd"/>
      <w:r w:rsidRPr="00ED35A9">
        <w:rPr>
          <w:rFonts w:cs="Times New Roman"/>
          <w:szCs w:val="28"/>
          <w:lang w:val="uk-UA"/>
        </w:rPr>
        <w:t>.</w:t>
      </w:r>
    </w:p>
    <w:p w:rsidR="004B5B7F" w:rsidRPr="00ED35A9" w:rsidRDefault="004B5B7F" w:rsidP="000E0B10">
      <w:pPr>
        <w:rPr>
          <w:rFonts w:cs="Times New Roman"/>
          <w:spacing w:val="-2"/>
          <w:szCs w:val="28"/>
          <w:lang w:val="uk-UA"/>
        </w:rPr>
      </w:pPr>
      <w:r w:rsidRPr="00ED35A9">
        <w:rPr>
          <w:rFonts w:cs="Times New Roman"/>
          <w:b/>
          <w:i/>
          <w:spacing w:val="-2"/>
          <w:szCs w:val="28"/>
          <w:lang w:val="uk-UA"/>
        </w:rPr>
        <w:t xml:space="preserve">Виникнення </w:t>
      </w:r>
      <w:r w:rsidR="001A165F" w:rsidRPr="00ED35A9">
        <w:rPr>
          <w:rFonts w:cs="Times New Roman"/>
          <w:b/>
          <w:i/>
          <w:spacing w:val="-2"/>
          <w:szCs w:val="28"/>
          <w:lang w:val="uk-UA"/>
        </w:rPr>
        <w:t>медикаментозної резистентності</w:t>
      </w:r>
      <w:r w:rsidRPr="00ED35A9">
        <w:rPr>
          <w:rFonts w:cs="Times New Roman"/>
          <w:b/>
          <w:i/>
          <w:spacing w:val="-2"/>
          <w:szCs w:val="28"/>
          <w:lang w:val="uk-UA"/>
        </w:rPr>
        <w:t>.</w:t>
      </w:r>
      <w:r w:rsidRPr="00ED35A9">
        <w:rPr>
          <w:rFonts w:cs="Times New Roman"/>
          <w:spacing w:val="-2"/>
          <w:szCs w:val="28"/>
          <w:lang w:val="uk-UA"/>
        </w:rPr>
        <w:t xml:space="preserve"> За даними аналізу, посилення резистентності до </w:t>
      </w:r>
      <w:proofErr w:type="spellStart"/>
      <w:r w:rsidRPr="00ED35A9">
        <w:rPr>
          <w:rFonts w:cs="Times New Roman"/>
          <w:spacing w:val="-2"/>
          <w:szCs w:val="28"/>
          <w:lang w:val="uk-UA"/>
        </w:rPr>
        <w:t>рифампіцину</w:t>
      </w:r>
      <w:proofErr w:type="spellEnd"/>
      <w:r w:rsidRPr="00ED35A9">
        <w:rPr>
          <w:rFonts w:cs="Times New Roman"/>
          <w:spacing w:val="-2"/>
          <w:szCs w:val="28"/>
          <w:lang w:val="uk-UA"/>
        </w:rPr>
        <w:t xml:space="preserve"> було нижче у пацієнтів, які отримували лікування за схемою 6(H)REZ (0,6%), ніж у пацієнтів, що отримували лікування за схемою &gt;6(H)REZ (4,3%). Це могло бути спричинено специфікою відбору та розподілу пацієнтів за схемами лікування. Наприклад, наявність екстенсивного захворювання (каверн, двостороннього захворювання або </w:t>
      </w:r>
      <w:proofErr w:type="spellStart"/>
      <w:r w:rsidRPr="00ED35A9">
        <w:rPr>
          <w:rFonts w:cs="Times New Roman"/>
          <w:spacing w:val="-2"/>
          <w:szCs w:val="28"/>
          <w:lang w:val="uk-UA"/>
        </w:rPr>
        <w:t>персистенції</w:t>
      </w:r>
      <w:proofErr w:type="spellEnd"/>
      <w:r w:rsidRPr="00ED35A9">
        <w:rPr>
          <w:rFonts w:cs="Times New Roman"/>
          <w:spacing w:val="-2"/>
          <w:szCs w:val="28"/>
          <w:lang w:val="uk-UA"/>
        </w:rPr>
        <w:t xml:space="preserve"> у мазку) була дещо вищою серед пацієнтів, </w:t>
      </w:r>
      <w:r w:rsidR="009F6706" w:rsidRPr="00ED35A9">
        <w:rPr>
          <w:rFonts w:cs="Times New Roman"/>
          <w:spacing w:val="-2"/>
          <w:szCs w:val="28"/>
          <w:lang w:val="uk-UA"/>
        </w:rPr>
        <w:t>які</w:t>
      </w:r>
      <w:r w:rsidRPr="00ED35A9">
        <w:rPr>
          <w:rFonts w:cs="Times New Roman"/>
          <w:spacing w:val="-2"/>
          <w:szCs w:val="28"/>
          <w:lang w:val="uk-UA"/>
        </w:rPr>
        <w:t xml:space="preserve"> отримували лікування із застосуванням тривалих схем (&gt;6(H)REZ); проте загалом кількість спостережень для кожного порівняння була малою, а ефект не був статистично значущим (</w:t>
      </w:r>
      <w:proofErr w:type="spellStart"/>
      <w:r w:rsidRPr="00ED35A9">
        <w:rPr>
          <w:rFonts w:cs="Times New Roman"/>
          <w:spacing w:val="-2"/>
          <w:szCs w:val="28"/>
          <w:lang w:val="uk-UA"/>
        </w:rPr>
        <w:t>aOR</w:t>
      </w:r>
      <w:proofErr w:type="spellEnd"/>
      <w:r w:rsidRPr="00ED35A9">
        <w:rPr>
          <w:rFonts w:cs="Times New Roman"/>
          <w:spacing w:val="-2"/>
          <w:szCs w:val="28"/>
          <w:lang w:val="uk-UA"/>
        </w:rPr>
        <w:t xml:space="preserve"> 0,2; 95% ДІ 0,02–1,70).</w:t>
      </w:r>
    </w:p>
    <w:p w:rsidR="004B5B7F" w:rsidRPr="00ED35A9" w:rsidRDefault="004B5B7F" w:rsidP="000E0B10">
      <w:pPr>
        <w:rPr>
          <w:rFonts w:cs="Times New Roman"/>
          <w:szCs w:val="28"/>
          <w:lang w:val="uk-UA"/>
        </w:rPr>
      </w:pPr>
      <w:r w:rsidRPr="00ED35A9">
        <w:rPr>
          <w:rFonts w:cs="Times New Roman"/>
          <w:b/>
          <w:i/>
          <w:szCs w:val="28"/>
          <w:lang w:val="uk-UA"/>
        </w:rPr>
        <w:t>Побічні реакції.</w:t>
      </w:r>
      <w:r w:rsidRPr="00ED35A9">
        <w:rPr>
          <w:rFonts w:cs="Times New Roman"/>
          <w:szCs w:val="28"/>
          <w:lang w:val="uk-UA"/>
        </w:rPr>
        <w:t xml:space="preserve"> Дані щодо виникнення побічних реакцій не оцінювали через недостатню стандартизованість (розбіжності у звітності). ГРН також було розглянуто два звіти, що містили дані пацієнтів зі США, та проведено детальне оцінювання щодо по</w:t>
      </w:r>
      <w:r w:rsidR="009F6706" w:rsidRPr="00ED35A9">
        <w:rPr>
          <w:rFonts w:cs="Times New Roman"/>
          <w:szCs w:val="28"/>
          <w:lang w:val="uk-UA"/>
        </w:rPr>
        <w:t>бічних реакцій, за даними якого</w:t>
      </w:r>
      <w:r w:rsidRPr="00ED35A9">
        <w:rPr>
          <w:rFonts w:cs="Times New Roman"/>
          <w:szCs w:val="28"/>
          <w:lang w:val="uk-UA"/>
        </w:rPr>
        <w:t xml:space="preserve"> існує ймовірність ризику виникнення надмірної гепатотоксичності при застосуванні комбінації 6(H)REZ </w:t>
      </w:r>
      <w:r w:rsidRPr="00ED35A9">
        <w:rPr>
          <w:rFonts w:cs="Times New Roman"/>
          <w:i/>
          <w:szCs w:val="28"/>
          <w:lang w:val="uk-UA"/>
        </w:rPr>
        <w:t>(18)</w:t>
      </w:r>
      <w:r w:rsidRPr="00ED35A9">
        <w:rPr>
          <w:rFonts w:cs="Times New Roman"/>
          <w:szCs w:val="28"/>
          <w:lang w:val="uk-UA"/>
        </w:rPr>
        <w:t xml:space="preserve">. Виникнення медикаментозно-індукованої гепатотоксичності є доволі поширеним явищем при застосуванні </w:t>
      </w:r>
      <w:r w:rsidRPr="00ED35A9">
        <w:rPr>
          <w:rFonts w:cs="Times New Roman"/>
          <w:szCs w:val="28"/>
          <w:lang w:val="uk-UA"/>
        </w:rPr>
        <w:lastRenderedPageBreak/>
        <w:t xml:space="preserve">ПТП. Також виникнення такої побічної реакції було відзначено в осіб, що отримували </w:t>
      </w:r>
      <w:proofErr w:type="spellStart"/>
      <w:r w:rsidRPr="00ED35A9">
        <w:rPr>
          <w:rFonts w:cs="Times New Roman"/>
          <w:szCs w:val="28"/>
          <w:lang w:val="uk-UA"/>
        </w:rPr>
        <w:t>рифампіцин</w:t>
      </w:r>
      <w:proofErr w:type="spellEnd"/>
      <w:r w:rsidRPr="00ED35A9">
        <w:rPr>
          <w:rFonts w:cs="Times New Roman"/>
          <w:szCs w:val="28"/>
          <w:lang w:val="uk-UA"/>
        </w:rPr>
        <w:t xml:space="preserve"> та </w:t>
      </w:r>
      <w:proofErr w:type="spellStart"/>
      <w:r w:rsidRPr="00ED35A9">
        <w:rPr>
          <w:rFonts w:cs="Times New Roman"/>
          <w:szCs w:val="28"/>
          <w:lang w:val="uk-UA"/>
        </w:rPr>
        <w:t>піразинамід</w:t>
      </w:r>
      <w:proofErr w:type="spellEnd"/>
      <w:r w:rsidRPr="00ED35A9">
        <w:rPr>
          <w:rFonts w:cs="Times New Roman"/>
          <w:szCs w:val="28"/>
          <w:lang w:val="uk-UA"/>
        </w:rPr>
        <w:t xml:space="preserve"> для лікування латентної туберкульозної інфекції (ЛТБІ) протягом двох місяців. У цих пацієнтів відзначено набагато вищу кількість виникнення випадків гепатотоксичності, ніж в осіб, що отримували профілактичну терапію лише </w:t>
      </w:r>
      <w:proofErr w:type="spellStart"/>
      <w:r w:rsidRPr="00ED35A9">
        <w:rPr>
          <w:rFonts w:cs="Times New Roman"/>
          <w:szCs w:val="28"/>
          <w:lang w:val="uk-UA"/>
        </w:rPr>
        <w:t>ізоніазидом</w:t>
      </w:r>
      <w:proofErr w:type="spellEnd"/>
      <w:r w:rsidRPr="00ED35A9">
        <w:rPr>
          <w:rFonts w:cs="Times New Roman"/>
          <w:szCs w:val="28"/>
          <w:lang w:val="uk-UA"/>
        </w:rPr>
        <w:t xml:space="preserve"> </w:t>
      </w:r>
      <w:r w:rsidRPr="00ED35A9">
        <w:rPr>
          <w:rFonts w:cs="Times New Roman"/>
          <w:i/>
          <w:szCs w:val="28"/>
          <w:lang w:val="uk-UA"/>
        </w:rPr>
        <w:t>(19)</w:t>
      </w:r>
      <w:r w:rsidRPr="00ED35A9">
        <w:rPr>
          <w:rFonts w:cs="Times New Roman"/>
          <w:szCs w:val="28"/>
          <w:lang w:val="uk-UA"/>
        </w:rPr>
        <w:t>. Невідомо, чи відрізняється ризик виникнення гепатотоксичності між застосуванням 6REZ та 6HREZ.</w:t>
      </w:r>
    </w:p>
    <w:p w:rsidR="004B5B7F" w:rsidRPr="00ED35A9" w:rsidRDefault="004B5B7F" w:rsidP="00750848">
      <w:pPr>
        <w:spacing w:line="233" w:lineRule="auto"/>
        <w:rPr>
          <w:rFonts w:cs="Times New Roman"/>
          <w:szCs w:val="28"/>
          <w:lang w:val="uk-UA"/>
        </w:rPr>
      </w:pPr>
      <w:r w:rsidRPr="00ED35A9">
        <w:rPr>
          <w:rFonts w:cs="Times New Roman"/>
          <w:b/>
          <w:i/>
          <w:szCs w:val="28"/>
          <w:lang w:val="uk-UA"/>
        </w:rPr>
        <w:t xml:space="preserve">Додавання </w:t>
      </w:r>
      <w:proofErr w:type="spellStart"/>
      <w:r w:rsidRPr="00ED35A9">
        <w:rPr>
          <w:rFonts w:cs="Times New Roman"/>
          <w:b/>
          <w:i/>
          <w:szCs w:val="28"/>
          <w:lang w:val="uk-UA"/>
        </w:rPr>
        <w:t>фторхінолонів</w:t>
      </w:r>
      <w:proofErr w:type="spellEnd"/>
      <w:r w:rsidRPr="00ED35A9">
        <w:rPr>
          <w:rFonts w:cs="Times New Roman"/>
          <w:b/>
          <w:i/>
          <w:szCs w:val="28"/>
          <w:lang w:val="uk-UA"/>
        </w:rPr>
        <w:t>.</w:t>
      </w:r>
      <w:r w:rsidRPr="00ED35A9">
        <w:rPr>
          <w:rFonts w:cs="Times New Roman"/>
          <w:szCs w:val="28"/>
          <w:lang w:val="uk-UA"/>
        </w:rPr>
        <w:t xml:space="preserve"> У пацієнтів з </w:t>
      </w:r>
      <w:proofErr w:type="spellStart"/>
      <w:r w:rsidRPr="00ED35A9">
        <w:rPr>
          <w:rFonts w:cs="Times New Roman"/>
          <w:szCs w:val="28"/>
          <w:lang w:val="uk-UA"/>
        </w:rPr>
        <w:t>Hрез</w:t>
      </w:r>
      <w:proofErr w:type="spellEnd"/>
      <w:r w:rsidRPr="00ED35A9">
        <w:rPr>
          <w:rFonts w:cs="Times New Roman"/>
          <w:szCs w:val="28"/>
          <w:lang w:val="uk-UA"/>
        </w:rPr>
        <w:t xml:space="preserve">-ТБ вищі показники </w:t>
      </w:r>
      <w:r w:rsidR="00710AA9" w:rsidRPr="00ED35A9">
        <w:rPr>
          <w:rFonts w:cs="Times New Roman"/>
          <w:szCs w:val="28"/>
          <w:lang w:val="uk-UA"/>
        </w:rPr>
        <w:t>ефективності лікування</w:t>
      </w:r>
      <w:r w:rsidRPr="00ED35A9">
        <w:rPr>
          <w:rFonts w:cs="Times New Roman"/>
          <w:szCs w:val="28"/>
          <w:lang w:val="uk-UA"/>
        </w:rPr>
        <w:t xml:space="preserve"> було відзначено при застосуванні схем (H)REZ із 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ніж у пацієнтів, що проходили більш тривале лікування із застосуванням схем (H)REZ без додавання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w:t>
      </w:r>
      <w:proofErr w:type="spellStart"/>
      <w:r w:rsidRPr="00ED35A9">
        <w:rPr>
          <w:rFonts w:cs="Times New Roman"/>
          <w:szCs w:val="28"/>
          <w:lang w:val="uk-UA"/>
        </w:rPr>
        <w:t>aOR</w:t>
      </w:r>
      <w:proofErr w:type="spellEnd"/>
      <w:r w:rsidR="00750848" w:rsidRPr="00ED35A9">
        <w:rPr>
          <w:rFonts w:cs="Times New Roman"/>
          <w:szCs w:val="28"/>
          <w:lang w:val="uk-UA"/>
        </w:rPr>
        <w:t> </w:t>
      </w:r>
      <w:r w:rsidRPr="00ED35A9">
        <w:rPr>
          <w:rFonts w:cs="Times New Roman"/>
          <w:szCs w:val="28"/>
          <w:lang w:val="uk-UA"/>
        </w:rPr>
        <w:t xml:space="preserve">2,8; 95% ДІ 1,1–7,3). У пацієнтів, що отримували лікування із 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до схеми (H)REZ, було відзначено нижчі показники смертності (</w:t>
      </w:r>
      <w:proofErr w:type="spellStart"/>
      <w:r w:rsidRPr="00ED35A9">
        <w:rPr>
          <w:rFonts w:cs="Times New Roman"/>
          <w:szCs w:val="28"/>
          <w:lang w:val="uk-UA"/>
        </w:rPr>
        <w:t>aOR</w:t>
      </w:r>
      <w:proofErr w:type="spellEnd"/>
      <w:r w:rsidRPr="00ED35A9">
        <w:rPr>
          <w:rFonts w:cs="Times New Roman"/>
          <w:szCs w:val="28"/>
          <w:lang w:val="uk-UA"/>
        </w:rPr>
        <w:t xml:space="preserve"> 0,4; 95% ДІ 0,2–1,1). Рівень виникнення додаткової резистентності з прогресією до МРТБ також був нижчим при додаванні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до схеми &gt;6(H)REZ (</w:t>
      </w:r>
      <w:proofErr w:type="spellStart"/>
      <w:r w:rsidRPr="00ED35A9">
        <w:rPr>
          <w:rFonts w:cs="Times New Roman"/>
          <w:szCs w:val="28"/>
          <w:lang w:val="uk-UA"/>
        </w:rPr>
        <w:t>aOR</w:t>
      </w:r>
      <w:proofErr w:type="spellEnd"/>
      <w:r w:rsidRPr="00ED35A9">
        <w:rPr>
          <w:rFonts w:cs="Times New Roman"/>
          <w:szCs w:val="28"/>
          <w:lang w:val="uk-UA"/>
        </w:rPr>
        <w:t xml:space="preserve"> 0,10; 95% ДІ 0,01–1,2), хоча й за невеликих абсолютних показників, а 0,5% (1/221) пацієнтів, що отримували лікування за схемою &gt;6(H)REZ із 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набули резистентність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порівняно з 3,8% (44/1160) пацієнтів, що не отримували </w:t>
      </w:r>
      <w:proofErr w:type="spellStart"/>
      <w:r w:rsidRPr="00ED35A9">
        <w:rPr>
          <w:rFonts w:cs="Times New Roman"/>
          <w:szCs w:val="28"/>
          <w:lang w:val="uk-UA"/>
        </w:rPr>
        <w:t>фторхінолони</w:t>
      </w:r>
      <w:proofErr w:type="spellEnd"/>
      <w:r w:rsidRPr="00ED35A9">
        <w:rPr>
          <w:rFonts w:cs="Times New Roman"/>
          <w:szCs w:val="28"/>
          <w:lang w:val="uk-UA"/>
        </w:rPr>
        <w:t xml:space="preserve">. Залишкові викривлення могли підвищити цей показник. Таким чином, силу доказових даних було знижено через невизначеність, чи були застосовані </w:t>
      </w:r>
      <w:proofErr w:type="spellStart"/>
      <w:r w:rsidRPr="00ED35A9">
        <w:rPr>
          <w:rFonts w:cs="Times New Roman"/>
          <w:szCs w:val="28"/>
          <w:lang w:val="uk-UA"/>
        </w:rPr>
        <w:t>фторхінолони</w:t>
      </w:r>
      <w:proofErr w:type="spellEnd"/>
      <w:r w:rsidRPr="00ED35A9">
        <w:rPr>
          <w:rFonts w:cs="Times New Roman"/>
          <w:szCs w:val="28"/>
          <w:lang w:val="uk-UA"/>
        </w:rPr>
        <w:t xml:space="preserve"> на початку лікування, або лише після отримання результатів тесту на медикаментозну чутливість (ТМЧ) (на другому місяці лікування або пізніше).</w:t>
      </w:r>
    </w:p>
    <w:p w:rsidR="004B5B7F" w:rsidRPr="00ED35A9" w:rsidRDefault="004B5B7F" w:rsidP="00750848">
      <w:pPr>
        <w:spacing w:line="233" w:lineRule="auto"/>
        <w:rPr>
          <w:rFonts w:cs="Times New Roman"/>
          <w:szCs w:val="28"/>
          <w:lang w:val="uk-UA"/>
        </w:rPr>
      </w:pPr>
      <w:r w:rsidRPr="00ED35A9">
        <w:rPr>
          <w:rFonts w:cs="Times New Roman"/>
          <w:b/>
          <w:i/>
          <w:szCs w:val="28"/>
          <w:lang w:val="uk-UA"/>
        </w:rPr>
        <w:t>Додавання стрептоміцину.</w:t>
      </w:r>
      <w:r w:rsidRPr="00ED35A9">
        <w:rPr>
          <w:rFonts w:cs="Times New Roman"/>
          <w:szCs w:val="28"/>
          <w:lang w:val="uk-UA"/>
        </w:rPr>
        <w:t xml:space="preserve"> За даними аналізу, додавання стрептоміцину (до третього місяця лікування) до схеми (H)REZ із застосуванням </w:t>
      </w:r>
      <w:proofErr w:type="spellStart"/>
      <w:r w:rsidRPr="00ED35A9">
        <w:rPr>
          <w:rFonts w:cs="Times New Roman"/>
          <w:szCs w:val="28"/>
          <w:lang w:val="uk-UA"/>
        </w:rPr>
        <w:t>піразинаміду</w:t>
      </w:r>
      <w:proofErr w:type="spellEnd"/>
      <w:r w:rsidRPr="00ED35A9">
        <w:rPr>
          <w:rFonts w:cs="Times New Roman"/>
          <w:szCs w:val="28"/>
          <w:lang w:val="uk-UA"/>
        </w:rPr>
        <w:t xml:space="preserve"> тривалістю менше 4 міс призвело до зниження ймовірно</w:t>
      </w:r>
      <w:r w:rsidR="00710AA9" w:rsidRPr="00ED35A9">
        <w:rPr>
          <w:rFonts w:cs="Times New Roman"/>
          <w:szCs w:val="28"/>
          <w:lang w:val="uk-UA"/>
        </w:rPr>
        <w:t>ї ефективності лікування</w:t>
      </w:r>
      <w:r w:rsidRPr="00ED35A9">
        <w:rPr>
          <w:rFonts w:cs="Times New Roman"/>
          <w:szCs w:val="28"/>
          <w:lang w:val="uk-UA"/>
        </w:rPr>
        <w:t xml:space="preserve"> (</w:t>
      </w:r>
      <w:proofErr w:type="spellStart"/>
      <w:r w:rsidRPr="00ED35A9">
        <w:rPr>
          <w:rFonts w:cs="Times New Roman"/>
          <w:szCs w:val="28"/>
          <w:lang w:val="uk-UA"/>
        </w:rPr>
        <w:t>aOR</w:t>
      </w:r>
      <w:proofErr w:type="spellEnd"/>
      <w:r w:rsidRPr="00ED35A9">
        <w:rPr>
          <w:rFonts w:cs="Times New Roman"/>
          <w:szCs w:val="28"/>
          <w:lang w:val="uk-UA"/>
        </w:rPr>
        <w:t xml:space="preserve"> 0,4; 95% ДІ 0,2–0,7); цей ефект частково може бути спричинений залишковим викривленням. Додавання стрептоміцину суттєво не скоротило показники смертності (</w:t>
      </w:r>
      <w:r w:rsidRPr="00ED35A9">
        <w:rPr>
          <w:rFonts w:cs="Times New Roman"/>
          <w:i/>
          <w:szCs w:val="28"/>
          <w:lang w:val="uk-UA"/>
        </w:rPr>
        <w:t>див.</w:t>
      </w:r>
      <w:r w:rsidRPr="00ED35A9">
        <w:rPr>
          <w:rFonts w:cs="Times New Roman"/>
          <w:szCs w:val="28"/>
          <w:lang w:val="uk-UA"/>
        </w:rPr>
        <w:t xml:space="preserve"> також онлайн-додатки 7</w:t>
      </w:r>
      <w:r w:rsidR="009F6706" w:rsidRPr="00ED35A9">
        <w:rPr>
          <w:rFonts w:cs="Times New Roman"/>
          <w:szCs w:val="28"/>
          <w:lang w:val="uk-UA"/>
        </w:rPr>
        <w:t> </w:t>
      </w:r>
      <w:r w:rsidRPr="00ED35A9">
        <w:rPr>
          <w:rFonts w:cs="Times New Roman"/>
          <w:szCs w:val="28"/>
          <w:lang w:val="uk-UA"/>
        </w:rPr>
        <w:t>та</w:t>
      </w:r>
      <w:r w:rsidR="009F6706" w:rsidRPr="00ED35A9">
        <w:rPr>
          <w:rFonts w:cs="Times New Roman"/>
          <w:szCs w:val="28"/>
          <w:lang w:val="uk-UA"/>
        </w:rPr>
        <w:t> </w:t>
      </w:r>
      <w:r w:rsidRPr="00ED35A9">
        <w:rPr>
          <w:rFonts w:cs="Times New Roman"/>
          <w:szCs w:val="28"/>
          <w:lang w:val="uk-UA"/>
        </w:rPr>
        <w:t xml:space="preserve">8). Не виявлено даних щодо застосування інших ін’єкційних препаратів (наприклад, </w:t>
      </w:r>
      <w:proofErr w:type="spellStart"/>
      <w:r w:rsidRPr="00ED35A9">
        <w:rPr>
          <w:rFonts w:cs="Times New Roman"/>
          <w:szCs w:val="28"/>
          <w:lang w:val="uk-UA"/>
        </w:rPr>
        <w:t>канаміцину</w:t>
      </w:r>
      <w:proofErr w:type="spellEnd"/>
      <w:r w:rsidRPr="00ED35A9">
        <w:rPr>
          <w:rFonts w:cs="Times New Roman"/>
          <w:szCs w:val="28"/>
          <w:lang w:val="uk-UA"/>
        </w:rPr>
        <w:t xml:space="preserve">, </w:t>
      </w:r>
      <w:proofErr w:type="spellStart"/>
      <w:r w:rsidRPr="00ED35A9">
        <w:rPr>
          <w:rFonts w:cs="Times New Roman"/>
          <w:szCs w:val="28"/>
          <w:lang w:val="uk-UA"/>
        </w:rPr>
        <w:t>амікацину</w:t>
      </w:r>
      <w:proofErr w:type="spellEnd"/>
      <w:r w:rsidRPr="00ED35A9">
        <w:rPr>
          <w:rFonts w:cs="Times New Roman"/>
          <w:szCs w:val="28"/>
          <w:lang w:val="uk-UA"/>
        </w:rPr>
        <w:t xml:space="preserve">, </w:t>
      </w:r>
      <w:proofErr w:type="spellStart"/>
      <w:r w:rsidRPr="00ED35A9">
        <w:rPr>
          <w:rFonts w:cs="Times New Roman"/>
          <w:szCs w:val="28"/>
          <w:lang w:val="uk-UA"/>
        </w:rPr>
        <w:t>капреоміцину</w:t>
      </w:r>
      <w:proofErr w:type="spellEnd"/>
      <w:r w:rsidRPr="00ED35A9">
        <w:rPr>
          <w:rFonts w:cs="Times New Roman"/>
          <w:szCs w:val="28"/>
          <w:lang w:val="uk-UA"/>
        </w:rPr>
        <w:t xml:space="preserve">) для лікування </w:t>
      </w:r>
      <w:proofErr w:type="spellStart"/>
      <w:r w:rsidRPr="00ED35A9">
        <w:rPr>
          <w:rFonts w:cs="Times New Roman"/>
          <w:szCs w:val="28"/>
          <w:lang w:val="uk-UA"/>
        </w:rPr>
        <w:t>Hрез</w:t>
      </w:r>
      <w:proofErr w:type="spellEnd"/>
      <w:r w:rsidRPr="00ED35A9">
        <w:rPr>
          <w:rFonts w:cs="Times New Roman"/>
          <w:szCs w:val="28"/>
          <w:lang w:val="uk-UA"/>
        </w:rPr>
        <w:t>-ТБ.</w:t>
      </w:r>
    </w:p>
    <w:p w:rsidR="004B5B7F" w:rsidRPr="00ED35A9" w:rsidRDefault="004B5B7F" w:rsidP="00750848">
      <w:pPr>
        <w:spacing w:line="233" w:lineRule="auto"/>
        <w:rPr>
          <w:rFonts w:cs="Times New Roman"/>
          <w:szCs w:val="28"/>
          <w:lang w:val="uk-UA"/>
        </w:rPr>
      </w:pPr>
      <w:r w:rsidRPr="00ED35A9">
        <w:rPr>
          <w:rFonts w:cs="Times New Roman"/>
          <w:b/>
          <w:i/>
          <w:szCs w:val="28"/>
          <w:lang w:val="uk-UA"/>
        </w:rPr>
        <w:t>Результати лікування.</w:t>
      </w:r>
      <w:r w:rsidRPr="00ED35A9">
        <w:rPr>
          <w:rFonts w:cs="Times New Roman"/>
          <w:szCs w:val="28"/>
          <w:lang w:val="uk-UA"/>
        </w:rPr>
        <w:t xml:space="preserve"> Під час проведення аналізу загальних результатів лікування для кожної зі схем було виявлено інші обмеження, пов’язані з розподілом пацієнтів у цих дослідженнях (відбір пацієнтів, розподіл для лікування за конкретними схемами, тяжкість захворювання). У</w:t>
      </w:r>
      <w:r w:rsidR="009F6706" w:rsidRPr="00ED35A9">
        <w:rPr>
          <w:rFonts w:cs="Times New Roman"/>
          <w:szCs w:val="28"/>
          <w:lang w:val="uk-UA"/>
        </w:rPr>
        <w:t> </w:t>
      </w:r>
      <w:r w:rsidRPr="00ED35A9">
        <w:rPr>
          <w:rFonts w:cs="Times New Roman"/>
          <w:szCs w:val="28"/>
          <w:lang w:val="uk-UA"/>
        </w:rPr>
        <w:t xml:space="preserve">пацієнтів з кавернозним захворюванням, </w:t>
      </w:r>
      <w:proofErr w:type="spellStart"/>
      <w:r w:rsidRPr="00ED35A9">
        <w:rPr>
          <w:rFonts w:cs="Times New Roman"/>
          <w:szCs w:val="28"/>
          <w:lang w:val="uk-UA"/>
        </w:rPr>
        <w:t>персистенцією</w:t>
      </w:r>
      <w:proofErr w:type="spellEnd"/>
      <w:r w:rsidRPr="00ED35A9">
        <w:rPr>
          <w:rFonts w:cs="Times New Roman"/>
          <w:szCs w:val="28"/>
          <w:lang w:val="uk-UA"/>
        </w:rPr>
        <w:t xml:space="preserve"> у мікроскопії мазку та наявністю попереднього лікування ТБ при застосуванні схеми &gt;6(H)RE із додатковим призначенням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протягом 3 міс та стрептоміцину протягом 1–3 міс було відзначено гірші результати лікування (</w:t>
      </w:r>
      <w:r w:rsidRPr="00ED35A9">
        <w:rPr>
          <w:rFonts w:cs="Times New Roman"/>
          <w:i/>
          <w:szCs w:val="28"/>
          <w:lang w:val="uk-UA"/>
        </w:rPr>
        <w:t>див.</w:t>
      </w:r>
      <w:r w:rsidRPr="00ED35A9">
        <w:rPr>
          <w:rFonts w:cs="Times New Roman"/>
          <w:szCs w:val="28"/>
          <w:lang w:val="uk-UA"/>
        </w:rPr>
        <w:t xml:space="preserve"> онлайн-додаток 7; «Настанова ВООЗ із лікування </w:t>
      </w:r>
      <w:proofErr w:type="spellStart"/>
      <w:r w:rsidRPr="00ED35A9">
        <w:rPr>
          <w:rFonts w:cs="Times New Roman"/>
          <w:szCs w:val="28"/>
          <w:lang w:val="uk-UA"/>
        </w:rPr>
        <w:t>ізоніазид</w:t>
      </w:r>
      <w:proofErr w:type="spellEnd"/>
      <w:r w:rsidRPr="00ED35A9">
        <w:rPr>
          <w:rFonts w:cs="Times New Roman"/>
          <w:szCs w:val="28"/>
          <w:lang w:val="uk-UA"/>
        </w:rPr>
        <w:t xml:space="preserve">-резистентного туберкульозу. Додаток до настанови ВООЗ із лікування лікарсько-стійкого туберкульозу» 2018 р.). Проте через обмежену кількість обсерваційних досліджень виникли певні складнощі щодо визначення чітких висновків на підставі тяжкості захворювання на ТБ або впливу інших </w:t>
      </w:r>
      <w:r w:rsidRPr="00ED35A9">
        <w:rPr>
          <w:rFonts w:cs="Times New Roman"/>
          <w:szCs w:val="28"/>
          <w:lang w:val="uk-UA"/>
        </w:rPr>
        <w:lastRenderedPageBreak/>
        <w:t>супутніх захворювань при застосуванні цієї схеми. В процесі розробки рекомендацій ГРН було проведено оцінювання загального балансу між перевагами та ризиками застосування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із визначенням цінностей та вподобань, враховуючи справедливість, прийнятність та здійсненність, окрім врахування клінічних результатів щодо потенційного ризику підвищення рівня токсичності (</w:t>
      </w:r>
      <w:r w:rsidRPr="00ED35A9">
        <w:rPr>
          <w:rFonts w:cs="Times New Roman"/>
          <w:i/>
          <w:szCs w:val="28"/>
          <w:lang w:val="uk-UA"/>
        </w:rPr>
        <w:t>див.</w:t>
      </w:r>
      <w:r w:rsidRPr="00ED35A9">
        <w:rPr>
          <w:rFonts w:cs="Times New Roman"/>
          <w:szCs w:val="28"/>
          <w:lang w:val="uk-UA"/>
        </w:rPr>
        <w:t xml:space="preserve"> онлайн-додатки 7 та 8). ГРН дійшла висновку, що застосува</w:t>
      </w:r>
      <w:r w:rsidR="009F6706" w:rsidRPr="00ED35A9">
        <w:rPr>
          <w:rFonts w:cs="Times New Roman"/>
          <w:szCs w:val="28"/>
          <w:lang w:val="uk-UA"/>
        </w:rPr>
        <w:t>ння протягом 6 міс схеми REZ із </w:t>
      </w:r>
      <w:r w:rsidRPr="00ED35A9">
        <w:rPr>
          <w:rFonts w:cs="Times New Roman"/>
          <w:szCs w:val="28"/>
          <w:lang w:val="uk-UA"/>
        </w:rPr>
        <w:t xml:space="preserve">додаванням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призводило до кращих показників </w:t>
      </w:r>
      <w:r w:rsidR="00710AA9" w:rsidRPr="00ED35A9">
        <w:rPr>
          <w:rFonts w:cs="Times New Roman"/>
          <w:szCs w:val="28"/>
          <w:lang w:val="uk-UA"/>
        </w:rPr>
        <w:t>ефективності лікування</w:t>
      </w:r>
      <w:r w:rsidRPr="00ED35A9">
        <w:rPr>
          <w:rFonts w:cs="Times New Roman"/>
          <w:szCs w:val="28"/>
          <w:lang w:val="uk-UA"/>
        </w:rPr>
        <w:t xml:space="preserve"> (із додаванням </w:t>
      </w:r>
      <w:proofErr w:type="spellStart"/>
      <w:r w:rsidRPr="00ED35A9">
        <w:rPr>
          <w:rFonts w:cs="Times New Roman"/>
          <w:szCs w:val="28"/>
          <w:lang w:val="uk-UA"/>
        </w:rPr>
        <w:t>ізоніазиду</w:t>
      </w:r>
      <w:proofErr w:type="spellEnd"/>
      <w:r w:rsidRPr="00ED35A9">
        <w:rPr>
          <w:rFonts w:cs="Times New Roman"/>
          <w:szCs w:val="28"/>
          <w:lang w:val="uk-UA"/>
        </w:rPr>
        <w:t xml:space="preserve"> або без нього). Відмінність між схемою 6(H)REZ та довгостроковою схемою &gt;6(H)REZ була помірною, дещо на користь 6-місячної схеми (відмінність не була статистично значущою). ГРН визнано факт неможливості врахування всіх можливих розбіжностей щодо призначень при порівнянні 6-місячної та довгострокової схем (H)REZ. Як приклад (хоча дані щодо стадії захворювання не було систематично зареєстровано в усіх пацієнтів), існує можливість призначення схеми &gt;6(H)REZ у більшої кількості випадків екстенсивного захворювання, що призвело до негативних наслідків лікування у цій групі пацієнтів (враховуючи ступінь тяжкості захворювання), на перевагу від застосування 6-місячної схеми.</w:t>
      </w:r>
    </w:p>
    <w:p w:rsidR="004B5B7F" w:rsidRPr="00ED35A9" w:rsidRDefault="004B5B7F" w:rsidP="00750848">
      <w:pPr>
        <w:spacing w:line="233" w:lineRule="auto"/>
        <w:rPr>
          <w:rFonts w:cs="Times New Roman"/>
          <w:szCs w:val="28"/>
          <w:lang w:val="uk-UA"/>
        </w:rPr>
      </w:pPr>
      <w:r w:rsidRPr="00ED35A9">
        <w:rPr>
          <w:rFonts w:cs="Times New Roman"/>
          <w:szCs w:val="28"/>
          <w:lang w:val="uk-UA"/>
        </w:rPr>
        <w:t>ГРН було визнано застосування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безпечним, особливо з огляду на гепатотоксичність, пов’язану з подовженим застосуванням </w:t>
      </w:r>
      <w:proofErr w:type="spellStart"/>
      <w:r w:rsidRPr="00ED35A9">
        <w:rPr>
          <w:rFonts w:cs="Times New Roman"/>
          <w:szCs w:val="28"/>
          <w:lang w:val="uk-UA"/>
        </w:rPr>
        <w:t>піразинамід-вмісних</w:t>
      </w:r>
      <w:proofErr w:type="spellEnd"/>
      <w:r w:rsidRPr="00ED35A9">
        <w:rPr>
          <w:rFonts w:cs="Times New Roman"/>
          <w:szCs w:val="28"/>
          <w:lang w:val="uk-UA"/>
        </w:rPr>
        <w:t xml:space="preserve"> схем, що складаються з багатьох препаратів. Проте скорочення тривалості лікування із застосуванням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до 3 міс або менше було пов’язано з гіршими результатами лікування, принаймні при призначенні схем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без </w:t>
      </w:r>
      <w:proofErr w:type="spellStart"/>
      <w:r w:rsidRPr="00ED35A9">
        <w:rPr>
          <w:rFonts w:cs="Times New Roman"/>
          <w:szCs w:val="28"/>
          <w:lang w:val="uk-UA"/>
        </w:rPr>
        <w:t>фторхінолону</w:t>
      </w:r>
      <w:proofErr w:type="spellEnd"/>
      <w:r w:rsidRPr="00ED35A9">
        <w:rPr>
          <w:rFonts w:cs="Times New Roman"/>
          <w:szCs w:val="28"/>
          <w:lang w:val="uk-UA"/>
        </w:rPr>
        <w:t xml:space="preserve">. Крім того, застосування стрептоміцину в цих схемах було пов’язано з відсутністю значних додаткових переваг. Застосування стрептоміцину та інших ін’єкційних препаратів також було пов’язане з підвищенням рівня виникнення серйозних небажаних явищ (СНЯ) </w:t>
      </w:r>
      <w:r w:rsidRPr="00ED35A9">
        <w:rPr>
          <w:rFonts w:cs="Times New Roman"/>
          <w:i/>
          <w:szCs w:val="28"/>
          <w:lang w:val="uk-UA"/>
        </w:rPr>
        <w:t>(20–22)</w:t>
      </w:r>
      <w:r w:rsidRPr="00ED35A9">
        <w:rPr>
          <w:rFonts w:cs="Times New Roman"/>
          <w:szCs w:val="28"/>
          <w:lang w:val="uk-UA"/>
        </w:rPr>
        <w:t>. Виходячи з цього, ГРН визнала, що поточні дані свідчать на користь застосування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без стрептоміцину або будь-якого іншого ін’єкційного препарату для випадків лікування </w:t>
      </w:r>
      <w:proofErr w:type="spellStart"/>
      <w:r w:rsidRPr="00ED35A9">
        <w:rPr>
          <w:rFonts w:cs="Times New Roman"/>
          <w:szCs w:val="28"/>
          <w:lang w:val="uk-UA"/>
        </w:rPr>
        <w:t>Hрез</w:t>
      </w:r>
      <w:proofErr w:type="spellEnd"/>
      <w:r w:rsidRPr="00ED35A9">
        <w:rPr>
          <w:rFonts w:cs="Times New Roman"/>
          <w:szCs w:val="28"/>
          <w:lang w:val="uk-UA"/>
        </w:rPr>
        <w:t>-ТБ за умови відсутності іншої вагомої причини для уникнення застосування цієї схеми (наприклад, наявність деяких форм множинної резистентності).</w:t>
      </w:r>
    </w:p>
    <w:p w:rsidR="004B5B7F" w:rsidRPr="00ED35A9" w:rsidRDefault="004B5B7F" w:rsidP="00750848">
      <w:pPr>
        <w:spacing w:line="233" w:lineRule="auto"/>
        <w:rPr>
          <w:rFonts w:cs="Times New Roman"/>
          <w:szCs w:val="28"/>
          <w:lang w:val="uk-UA"/>
        </w:rPr>
      </w:pPr>
      <w:r w:rsidRPr="00ED35A9">
        <w:rPr>
          <w:rFonts w:cs="Times New Roman"/>
          <w:szCs w:val="28"/>
          <w:lang w:val="uk-UA"/>
        </w:rPr>
        <w:t xml:space="preserve">ГРН також було відзначено значну прихильність пацієнтів до застосування 6-місячної схеми, ймовірності досягнення належних результатів лікування без виникнення подальшого рецидиву, і, особливо, призначення схеми без використання ін’єкційних препаратів. Члени ГРН визнали, що застосування схеми 6(H)REZ ймовірно підвищить рівень надання справедливих послуг з охорони здоров’я, враховуючи відносно невелику вартість компонентів схеми (порівняно з рекомендованими схемами для лікування МР/Риф-ТБ), а також підвищить ймовірність </w:t>
      </w:r>
      <w:r w:rsidR="006D127C" w:rsidRPr="00ED35A9">
        <w:rPr>
          <w:rFonts w:cs="Times New Roman"/>
          <w:szCs w:val="28"/>
          <w:lang w:val="uk-UA"/>
        </w:rPr>
        <w:t xml:space="preserve">одужання </w:t>
      </w:r>
      <w:r w:rsidRPr="00ED35A9">
        <w:rPr>
          <w:rFonts w:cs="Times New Roman"/>
          <w:szCs w:val="28"/>
          <w:lang w:val="uk-UA"/>
        </w:rPr>
        <w:t xml:space="preserve">значної кількості пацієнтів. </w:t>
      </w:r>
      <w:r w:rsidR="009F6706" w:rsidRPr="00ED35A9">
        <w:rPr>
          <w:rFonts w:cs="Times New Roman"/>
          <w:szCs w:val="28"/>
          <w:lang w:val="uk-UA"/>
        </w:rPr>
        <w:t xml:space="preserve">Потенційні </w:t>
      </w:r>
      <w:r w:rsidRPr="00ED35A9">
        <w:rPr>
          <w:rFonts w:cs="Times New Roman"/>
          <w:szCs w:val="28"/>
          <w:lang w:val="uk-UA"/>
        </w:rPr>
        <w:t>перешкоди щодо впровадження схеми можна подолати за рахунок виключення стрептоміцину та інших ін’єкційних препаратів.</w:t>
      </w:r>
    </w:p>
    <w:p w:rsidR="004B5B7F" w:rsidRPr="00ED35A9" w:rsidRDefault="004B5B7F" w:rsidP="000E0B10">
      <w:pPr>
        <w:rPr>
          <w:rFonts w:cs="Times New Roman"/>
          <w:szCs w:val="28"/>
          <w:lang w:val="uk-UA"/>
        </w:rPr>
      </w:pPr>
      <w:r w:rsidRPr="00ED35A9">
        <w:rPr>
          <w:rFonts w:cs="Times New Roman"/>
          <w:szCs w:val="28"/>
          <w:lang w:val="uk-UA"/>
        </w:rPr>
        <w:lastRenderedPageBreak/>
        <w:t xml:space="preserve">Хоча під час проведення аналізу не було враховано особисті витрати пацієнтів, ГРН погодилася, що підвищення рівня діагностичної спроможності </w:t>
      </w:r>
      <w:r w:rsidR="009A4971" w:rsidRPr="00ED35A9">
        <w:rPr>
          <w:rFonts w:cs="Times New Roman"/>
          <w:szCs w:val="28"/>
          <w:lang w:val="uk-UA"/>
        </w:rPr>
        <w:t xml:space="preserve">стосовно </w:t>
      </w:r>
      <w:r w:rsidRPr="00ED35A9">
        <w:rPr>
          <w:rFonts w:cs="Times New Roman"/>
          <w:szCs w:val="28"/>
          <w:lang w:val="uk-UA"/>
        </w:rPr>
        <w:t xml:space="preserve">виявлення резистентності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буде корисним. За даними аналізу моделювання, проведеного для оновлення «Настанови з програмного менеджменту лікарсько-стійкого туберкульозу» 2011 р., призначення ТМЧ всім пацієнтам перед лікуванням з використанням швидких тестів на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 </w:t>
      </w:r>
      <w:proofErr w:type="spellStart"/>
      <w:r w:rsidRPr="00ED35A9">
        <w:rPr>
          <w:rFonts w:cs="Times New Roman"/>
          <w:szCs w:val="28"/>
          <w:lang w:val="uk-UA"/>
        </w:rPr>
        <w:t>рифампіцину</w:t>
      </w:r>
      <w:proofErr w:type="spellEnd"/>
      <w:r w:rsidRPr="00ED35A9">
        <w:rPr>
          <w:rFonts w:cs="Times New Roman"/>
          <w:szCs w:val="28"/>
          <w:lang w:val="uk-UA"/>
        </w:rPr>
        <w:t xml:space="preserve"> було найкращою стратегією щодо запобігання смертності та попередженн</w:t>
      </w:r>
      <w:r w:rsidR="009A4971" w:rsidRPr="00ED35A9">
        <w:rPr>
          <w:rFonts w:cs="Times New Roman"/>
          <w:szCs w:val="28"/>
          <w:lang w:val="uk-UA"/>
        </w:rPr>
        <w:t xml:space="preserve">я </w:t>
      </w:r>
      <w:r w:rsidRPr="00ED35A9">
        <w:rPr>
          <w:rFonts w:cs="Times New Roman"/>
          <w:szCs w:val="28"/>
          <w:lang w:val="uk-UA"/>
        </w:rPr>
        <w:t xml:space="preserve">виникнення МРТБ </w:t>
      </w:r>
      <w:r w:rsidRPr="00ED35A9">
        <w:rPr>
          <w:rFonts w:cs="Times New Roman"/>
          <w:i/>
          <w:szCs w:val="28"/>
          <w:lang w:val="uk-UA"/>
        </w:rPr>
        <w:t>(23)</w:t>
      </w:r>
      <w:r w:rsidRPr="00ED35A9">
        <w:rPr>
          <w:rFonts w:cs="Times New Roman"/>
          <w:szCs w:val="28"/>
          <w:lang w:val="uk-UA"/>
        </w:rPr>
        <w:t>. За даними моделювання</w:t>
      </w:r>
      <w:r w:rsidR="009A4971" w:rsidRPr="00ED35A9">
        <w:rPr>
          <w:rFonts w:cs="Times New Roman"/>
          <w:szCs w:val="28"/>
          <w:lang w:val="uk-UA"/>
        </w:rPr>
        <w:t xml:space="preserve"> </w:t>
      </w:r>
      <w:r w:rsidRPr="00ED35A9">
        <w:rPr>
          <w:rFonts w:cs="Times New Roman"/>
          <w:szCs w:val="28"/>
          <w:lang w:val="uk-UA"/>
        </w:rPr>
        <w:t xml:space="preserve">також відзначено, що застосування швидких тестів для визначення резистентності як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так 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під час проведення діагностики, є найбільш економічною стратегією тестування будь-якої групи пацієнтів за різних умов, навіть при найнижчому рівні резистентності у пацієнтів з ТБ (МРТБ у &gt;1% та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(крім МРТБ) у &gt;2%).</w:t>
      </w:r>
    </w:p>
    <w:p w:rsidR="004B5B7F" w:rsidRPr="00ED35A9" w:rsidRDefault="004B5B7F" w:rsidP="000E0B10">
      <w:pPr>
        <w:rPr>
          <w:rFonts w:cs="Times New Roman"/>
          <w:szCs w:val="28"/>
          <w:lang w:val="uk-UA"/>
        </w:rPr>
      </w:pPr>
      <w:r w:rsidRPr="00ED35A9">
        <w:rPr>
          <w:rFonts w:cs="Times New Roman"/>
          <w:szCs w:val="28"/>
          <w:lang w:val="uk-UA"/>
        </w:rPr>
        <w:t>Загалом ГРН було відзначено, що призначення схеми 6(H)REZ-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може бути практичним за більшості випадків лікування </w:t>
      </w:r>
      <w:r w:rsidR="00ED35A9" w:rsidRPr="00ED35A9">
        <w:rPr>
          <w:rFonts w:cs="Times New Roman"/>
          <w:szCs w:val="28"/>
          <w:lang w:val="uk-UA"/>
        </w:rPr>
        <w:br/>
      </w:r>
      <w:r w:rsidRPr="00ED35A9">
        <w:rPr>
          <w:rFonts w:cs="Times New Roman"/>
          <w:szCs w:val="28"/>
          <w:lang w:val="uk-UA"/>
        </w:rPr>
        <w:t>ЛС-ТБ. Крім того, застосування схеми на основі препаратів тільки у пероральних лікарських формах може підвищити практичну здійсненність. На основі наявних доказових даних</w:t>
      </w:r>
      <w:r w:rsidR="009A4971" w:rsidRPr="00ED35A9">
        <w:rPr>
          <w:rFonts w:cs="Times New Roman"/>
          <w:szCs w:val="28"/>
          <w:lang w:val="uk-UA"/>
        </w:rPr>
        <w:t xml:space="preserve"> </w:t>
      </w:r>
      <w:r w:rsidRPr="00ED35A9">
        <w:rPr>
          <w:rFonts w:cs="Times New Roman"/>
          <w:szCs w:val="28"/>
          <w:lang w:val="uk-UA"/>
        </w:rPr>
        <w:t xml:space="preserve">під час обговорення співвідношення переваг та ризиків, цінностей та вподобань пацієнтів й інших кінцевих користувачів, ГРН було досягнуто загальної згоди щодо сприятливого прогнозу впровадження схеми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заснованої на наведених вище рекомендаціях. Незважаючи на відсутність чітких доказових даних щодо переваг внаслідок додавання </w:t>
      </w:r>
      <w:proofErr w:type="spellStart"/>
      <w:r w:rsidRPr="00ED35A9">
        <w:rPr>
          <w:rFonts w:cs="Times New Roman"/>
          <w:szCs w:val="28"/>
          <w:lang w:val="uk-UA"/>
        </w:rPr>
        <w:t>ізоніазиду</w:t>
      </w:r>
      <w:proofErr w:type="spellEnd"/>
      <w:r w:rsidRPr="00ED35A9">
        <w:rPr>
          <w:rFonts w:cs="Times New Roman"/>
          <w:szCs w:val="28"/>
          <w:lang w:val="uk-UA"/>
        </w:rPr>
        <w:t xml:space="preserve"> до цієї схеми, комбінований препарат з фіксованим дозуванням (КПФД) з чотирьох компонентів – (H)REZ – може бути зручнішим як для пацієнта, так і для медичної служби, оскільки виключається необхідність застосування окремих препаратів.</w:t>
      </w:r>
    </w:p>
    <w:p w:rsidR="004B5B7F" w:rsidRPr="00ED35A9" w:rsidRDefault="004B5B7F" w:rsidP="000E0B10">
      <w:pPr>
        <w:rPr>
          <w:rFonts w:cs="Times New Roman"/>
          <w:szCs w:val="28"/>
          <w:lang w:val="uk-UA"/>
        </w:rPr>
      </w:pPr>
      <w:r w:rsidRPr="00ED35A9">
        <w:rPr>
          <w:rFonts w:cs="Times New Roman"/>
          <w:szCs w:val="28"/>
          <w:lang w:val="uk-UA"/>
        </w:rPr>
        <w:t xml:space="preserve">Відповідно до </w:t>
      </w:r>
      <w:proofErr w:type="spellStart"/>
      <w:r w:rsidRPr="00ED35A9">
        <w:rPr>
          <w:rFonts w:cs="Times New Roman"/>
          <w:szCs w:val="28"/>
          <w:lang w:val="uk-UA"/>
        </w:rPr>
        <w:t>загальновизначеного</w:t>
      </w:r>
      <w:proofErr w:type="spellEnd"/>
      <w:r w:rsidRPr="00ED35A9">
        <w:rPr>
          <w:rFonts w:cs="Times New Roman"/>
          <w:szCs w:val="28"/>
          <w:lang w:val="uk-UA"/>
        </w:rPr>
        <w:t xml:space="preserve"> ведення й догляду за пацієнтами з ЛС-ТБ, фундаментальним принципом є ретельний відбір пацієнтів. Перед призначенням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дуже важливим є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за допомогою рекомендованих ВООЗ методів </w:t>
      </w:r>
      <w:proofErr w:type="spellStart"/>
      <w:r w:rsidRPr="00ED35A9">
        <w:rPr>
          <w:rFonts w:cs="Times New Roman"/>
          <w:szCs w:val="28"/>
          <w:lang w:val="uk-UA"/>
        </w:rPr>
        <w:t>генотипування</w:t>
      </w:r>
      <w:proofErr w:type="spellEnd"/>
      <w:r w:rsidRPr="00ED35A9">
        <w:rPr>
          <w:rFonts w:cs="Times New Roman"/>
          <w:szCs w:val="28"/>
          <w:lang w:val="uk-UA"/>
        </w:rPr>
        <w:t xml:space="preserve"> або </w:t>
      </w:r>
      <w:proofErr w:type="spellStart"/>
      <w:r w:rsidRPr="00ED35A9">
        <w:rPr>
          <w:rFonts w:cs="Times New Roman"/>
          <w:szCs w:val="28"/>
          <w:lang w:val="uk-UA"/>
        </w:rPr>
        <w:t>фенотипування</w:t>
      </w:r>
      <w:proofErr w:type="spellEnd"/>
      <w:r w:rsidRPr="00ED35A9">
        <w:rPr>
          <w:rFonts w:cs="Times New Roman"/>
          <w:szCs w:val="28"/>
          <w:lang w:val="uk-UA"/>
        </w:rPr>
        <w:t xml:space="preserve"> </w:t>
      </w:r>
      <w:r w:rsidRPr="00ED35A9">
        <w:rPr>
          <w:rFonts w:cs="Times New Roman"/>
          <w:i/>
          <w:szCs w:val="28"/>
          <w:lang w:val="uk-UA"/>
        </w:rPr>
        <w:t>(24, 25)</w:t>
      </w:r>
      <w:r w:rsidRPr="00ED35A9">
        <w:rPr>
          <w:rFonts w:cs="Times New Roman"/>
          <w:szCs w:val="28"/>
          <w:lang w:val="uk-UA"/>
        </w:rPr>
        <w:t xml:space="preserve">. Рекомендовано так само виключити резистентність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і, за можливості,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до початку лікування для попередження ризику виникнення додаткової медикаментозної резистентності (</w:t>
      </w:r>
      <w:r w:rsidRPr="00ED35A9">
        <w:rPr>
          <w:rFonts w:cs="Times New Roman"/>
          <w:i/>
          <w:szCs w:val="28"/>
          <w:lang w:val="uk-UA"/>
        </w:rPr>
        <w:t>див.</w:t>
      </w:r>
      <w:r w:rsidRPr="00ED35A9">
        <w:rPr>
          <w:rFonts w:cs="Times New Roman"/>
          <w:szCs w:val="28"/>
          <w:lang w:val="uk-UA"/>
        </w:rPr>
        <w:t xml:space="preserve"> також «</w:t>
      </w:r>
      <w:r w:rsidR="0002616A" w:rsidRPr="00ED35A9">
        <w:rPr>
          <w:rFonts w:cs="Times New Roman"/>
          <w:szCs w:val="28"/>
          <w:lang w:val="uk-UA"/>
        </w:rPr>
        <w:t>Впровадження рекомендацій</w:t>
      </w:r>
      <w:r w:rsidRPr="00ED35A9">
        <w:rPr>
          <w:rFonts w:cs="Times New Roman"/>
          <w:szCs w:val="28"/>
          <w:lang w:val="uk-UA"/>
        </w:rPr>
        <w:t>» у цьому розділі)</w:t>
      </w:r>
      <w:r w:rsidR="009A4971"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szCs w:val="28"/>
          <w:lang w:val="uk-UA"/>
        </w:rPr>
        <w:t xml:space="preserve">Емпіричне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зазвичай не рекомендовано. За умови наявності вагомої підозри щодо наявності </w:t>
      </w:r>
      <w:proofErr w:type="spellStart"/>
      <w:r w:rsidRPr="00ED35A9">
        <w:rPr>
          <w:rFonts w:cs="Times New Roman"/>
          <w:szCs w:val="28"/>
          <w:lang w:val="uk-UA"/>
        </w:rPr>
        <w:t>Hрез</w:t>
      </w:r>
      <w:proofErr w:type="spellEnd"/>
      <w:r w:rsidRPr="00ED35A9">
        <w:rPr>
          <w:rFonts w:cs="Times New Roman"/>
          <w:szCs w:val="28"/>
          <w:lang w:val="uk-UA"/>
        </w:rPr>
        <w:t xml:space="preserve">-ТБ (наприклад, близькі контакти з випадками </w:t>
      </w:r>
      <w:proofErr w:type="spellStart"/>
      <w:r w:rsidRPr="00ED35A9">
        <w:rPr>
          <w:rFonts w:cs="Times New Roman"/>
          <w:szCs w:val="28"/>
          <w:lang w:val="uk-UA"/>
        </w:rPr>
        <w:t>Hрез</w:t>
      </w:r>
      <w:proofErr w:type="spellEnd"/>
      <w:r w:rsidRPr="00ED35A9">
        <w:rPr>
          <w:rFonts w:cs="Times New Roman"/>
          <w:szCs w:val="28"/>
          <w:lang w:val="uk-UA"/>
        </w:rPr>
        <w:t xml:space="preserve">-ТБ та активною формою ТБ, але без лабораторного підтвердження </w:t>
      </w:r>
      <w:proofErr w:type="spellStart"/>
      <w:r w:rsidRPr="00ED35A9">
        <w:rPr>
          <w:rFonts w:cs="Times New Roman"/>
          <w:szCs w:val="28"/>
          <w:lang w:val="uk-UA"/>
        </w:rPr>
        <w:t>Hрез</w:t>
      </w:r>
      <w:proofErr w:type="spellEnd"/>
      <w:r w:rsidRPr="00ED35A9">
        <w:rPr>
          <w:rFonts w:cs="Times New Roman"/>
          <w:szCs w:val="28"/>
          <w:lang w:val="uk-UA"/>
        </w:rPr>
        <w:t>-ТБ), застосування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можна починати до лабораторного підтвердження резистентності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за умови підтвердженого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Якщо за результатами ТМЧ буде виявлено чутливість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застосування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слід припинити, залишаючи схему 2HREZ/4HR. Для інших пацієнтів, в яких </w:t>
      </w:r>
      <w:proofErr w:type="spellStart"/>
      <w:r w:rsidRPr="00ED35A9">
        <w:rPr>
          <w:rFonts w:cs="Times New Roman"/>
          <w:szCs w:val="28"/>
          <w:lang w:val="uk-UA"/>
        </w:rPr>
        <w:t>Hрез</w:t>
      </w:r>
      <w:proofErr w:type="spellEnd"/>
      <w:r w:rsidRPr="00ED35A9">
        <w:rPr>
          <w:rFonts w:cs="Times New Roman"/>
          <w:szCs w:val="28"/>
          <w:lang w:val="uk-UA"/>
        </w:rPr>
        <w:t xml:space="preserve">-ТБ </w:t>
      </w:r>
      <w:r w:rsidRPr="00ED35A9">
        <w:rPr>
          <w:rFonts w:cs="Times New Roman"/>
          <w:szCs w:val="28"/>
          <w:lang w:val="uk-UA"/>
        </w:rPr>
        <w:lastRenderedPageBreak/>
        <w:t xml:space="preserve">виявлено після початку лікування за схемою 2HREZ/4HR, застосування препаратів компоненту (H)REZ слід продовжити (або знов додати </w:t>
      </w:r>
      <w:proofErr w:type="spellStart"/>
      <w:r w:rsidRPr="00ED35A9">
        <w:rPr>
          <w:rFonts w:cs="Times New Roman"/>
          <w:szCs w:val="28"/>
          <w:lang w:val="uk-UA"/>
        </w:rPr>
        <w:t>піразинамід</w:t>
      </w:r>
      <w:proofErr w:type="spellEnd"/>
      <w:r w:rsidRPr="00ED35A9">
        <w:rPr>
          <w:rFonts w:cs="Times New Roman"/>
          <w:szCs w:val="28"/>
          <w:lang w:val="uk-UA"/>
        </w:rPr>
        <w:t xml:space="preserve"> чи </w:t>
      </w:r>
      <w:proofErr w:type="spellStart"/>
      <w:r w:rsidRPr="00ED35A9">
        <w:rPr>
          <w:rFonts w:cs="Times New Roman"/>
          <w:szCs w:val="28"/>
          <w:lang w:val="uk-UA"/>
        </w:rPr>
        <w:t>етамбутол</w:t>
      </w:r>
      <w:proofErr w:type="spellEnd"/>
      <w:r w:rsidRPr="00ED35A9">
        <w:rPr>
          <w:rFonts w:cs="Times New Roman"/>
          <w:szCs w:val="28"/>
          <w:lang w:val="uk-UA"/>
        </w:rPr>
        <w:t xml:space="preserve">), а </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додати після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w:t>
      </w:r>
    </w:p>
    <w:p w:rsidR="004B5B7F" w:rsidRPr="00ED35A9" w:rsidRDefault="004B5B7F" w:rsidP="00ED35A9">
      <w:pPr>
        <w:spacing w:line="233" w:lineRule="auto"/>
        <w:rPr>
          <w:rFonts w:cs="Times New Roman"/>
          <w:szCs w:val="28"/>
          <w:lang w:val="uk-UA"/>
        </w:rPr>
      </w:pPr>
      <w:r w:rsidRPr="00ED35A9">
        <w:rPr>
          <w:rFonts w:cs="Times New Roman"/>
          <w:szCs w:val="28"/>
          <w:lang w:val="uk-UA"/>
        </w:rPr>
        <w:t>Терміни призначення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зазвичай обмежуються необхідністю завершення </w:t>
      </w:r>
      <w:proofErr w:type="spellStart"/>
      <w:r w:rsidRPr="00ED35A9">
        <w:rPr>
          <w:rFonts w:cs="Times New Roman"/>
          <w:szCs w:val="28"/>
          <w:lang w:val="uk-UA"/>
        </w:rPr>
        <w:t>левофлоксацин-вмісної</w:t>
      </w:r>
      <w:proofErr w:type="spellEnd"/>
      <w:r w:rsidRPr="00ED35A9">
        <w:rPr>
          <w:rFonts w:cs="Times New Roman"/>
          <w:szCs w:val="28"/>
          <w:lang w:val="uk-UA"/>
        </w:rPr>
        <w:t xml:space="preserve"> схеми через 6 міс застосування. Таким чином, коли діагностику щодо </w:t>
      </w:r>
      <w:proofErr w:type="spellStart"/>
      <w:r w:rsidRPr="00ED35A9">
        <w:rPr>
          <w:rFonts w:cs="Times New Roman"/>
          <w:szCs w:val="28"/>
          <w:lang w:val="uk-UA"/>
        </w:rPr>
        <w:t>Hрез</w:t>
      </w:r>
      <w:proofErr w:type="spellEnd"/>
      <w:r w:rsidRPr="00ED35A9">
        <w:rPr>
          <w:rFonts w:cs="Times New Roman"/>
          <w:szCs w:val="28"/>
          <w:lang w:val="uk-UA"/>
        </w:rPr>
        <w:t xml:space="preserve">-ТБ проводять після початку лікування ТБ за схемою з препаратів першого ряду, пацієнт може отримувати (H)REZ понад 6 міс на момент завершення лікування. Якщо підтвердження резистентності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виявлено пізніше, під час лікування за схемою 2HRZE/4HR (наприклад, на 5-му місяці лікування, у фазі продовження), то клініцисту потрібно вирішити, виходячи з оцінювання стану пацієнта, чи доцільним буде початок 6-місячного курсу лікування за схемою (H)REZ-</w:t>
      </w:r>
      <w:proofErr w:type="spellStart"/>
      <w:r w:rsidRPr="00ED35A9">
        <w:rPr>
          <w:rFonts w:cs="Times New Roman"/>
          <w:szCs w:val="28"/>
          <w:lang w:val="uk-UA"/>
        </w:rPr>
        <w:t>левофлоксацин</w:t>
      </w:r>
      <w:proofErr w:type="spellEnd"/>
      <w:r w:rsidRPr="00ED35A9">
        <w:rPr>
          <w:rFonts w:cs="Times New Roman"/>
          <w:szCs w:val="28"/>
          <w:lang w:val="uk-UA"/>
        </w:rPr>
        <w:t>.</w:t>
      </w:r>
    </w:p>
    <w:p w:rsidR="004B5B7F" w:rsidRPr="00ED35A9" w:rsidRDefault="004B5B7F" w:rsidP="00ED35A9">
      <w:pPr>
        <w:spacing w:line="233" w:lineRule="auto"/>
        <w:rPr>
          <w:rFonts w:cs="Times New Roman"/>
          <w:szCs w:val="28"/>
          <w:lang w:val="uk-UA"/>
        </w:rPr>
      </w:pPr>
      <w:r w:rsidRPr="00ED35A9">
        <w:rPr>
          <w:rFonts w:cs="Times New Roman"/>
          <w:szCs w:val="28"/>
          <w:lang w:val="uk-UA"/>
        </w:rPr>
        <w:t xml:space="preserve">Додавання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до (H)REZ рекомендовано в усіх пацієнтів з </w:t>
      </w:r>
      <w:proofErr w:type="spellStart"/>
      <w:r w:rsidRPr="00ED35A9">
        <w:rPr>
          <w:rFonts w:cs="Times New Roman"/>
          <w:szCs w:val="28"/>
          <w:lang w:val="uk-UA"/>
        </w:rPr>
        <w:t>Hрез</w:t>
      </w:r>
      <w:proofErr w:type="spellEnd"/>
      <w:r w:rsidRPr="00ED35A9">
        <w:rPr>
          <w:rFonts w:cs="Times New Roman"/>
          <w:szCs w:val="28"/>
          <w:lang w:val="uk-UA"/>
        </w:rPr>
        <w:t xml:space="preserve">-ТБ, за винятком наступних випадків: 1) неможливість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2) наявність підозрюваної або підтвердженої резистентності до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3) підтверджена </w:t>
      </w:r>
      <w:proofErr w:type="spellStart"/>
      <w:r w:rsidRPr="00ED35A9">
        <w:rPr>
          <w:rFonts w:cs="Times New Roman"/>
          <w:szCs w:val="28"/>
          <w:lang w:val="uk-UA"/>
        </w:rPr>
        <w:t>непереносність</w:t>
      </w:r>
      <w:proofErr w:type="spellEnd"/>
      <w:r w:rsidRPr="00ED35A9">
        <w:rPr>
          <w:rFonts w:cs="Times New Roman"/>
          <w:szCs w:val="28"/>
          <w:lang w:val="uk-UA"/>
        </w:rPr>
        <w:t xml:space="preserve">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4) наявність підозрюваного або підтвердженого ризику подовження інтервалу </w:t>
      </w:r>
      <w:proofErr w:type="spellStart"/>
      <w:r w:rsidRPr="00ED35A9">
        <w:rPr>
          <w:rFonts w:cs="Times New Roman"/>
          <w:szCs w:val="28"/>
          <w:lang w:val="uk-UA"/>
        </w:rPr>
        <w:t>QTc</w:t>
      </w:r>
      <w:proofErr w:type="spellEnd"/>
      <w:r w:rsidRPr="00ED35A9">
        <w:rPr>
          <w:rFonts w:cs="Times New Roman"/>
          <w:szCs w:val="28"/>
          <w:lang w:val="uk-UA"/>
        </w:rPr>
        <w:t xml:space="preserve">; 5) вагітність або період грудного вигодовування (не є абсолютним протипоказанням). У випадках </w:t>
      </w:r>
      <w:proofErr w:type="spellStart"/>
      <w:r w:rsidRPr="00ED35A9">
        <w:rPr>
          <w:rFonts w:cs="Times New Roman"/>
          <w:szCs w:val="28"/>
          <w:lang w:val="uk-UA"/>
        </w:rPr>
        <w:t>Hрез</w:t>
      </w:r>
      <w:proofErr w:type="spellEnd"/>
      <w:r w:rsidRPr="00ED35A9">
        <w:rPr>
          <w:rFonts w:cs="Times New Roman"/>
          <w:szCs w:val="28"/>
          <w:lang w:val="uk-UA"/>
        </w:rPr>
        <w:t xml:space="preserve">-ТБ, коли застосування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не </w:t>
      </w:r>
      <w:r w:rsidR="009A4971" w:rsidRPr="00ED35A9">
        <w:rPr>
          <w:rFonts w:cs="Times New Roman"/>
          <w:szCs w:val="28"/>
          <w:lang w:val="uk-UA"/>
        </w:rPr>
        <w:t xml:space="preserve">є </w:t>
      </w:r>
      <w:r w:rsidRPr="00ED35A9">
        <w:rPr>
          <w:rFonts w:cs="Times New Roman"/>
          <w:szCs w:val="28"/>
          <w:lang w:val="uk-UA"/>
        </w:rPr>
        <w:t>можлив</w:t>
      </w:r>
      <w:r w:rsidR="009A4971" w:rsidRPr="00ED35A9">
        <w:rPr>
          <w:rFonts w:cs="Times New Roman"/>
          <w:szCs w:val="28"/>
          <w:lang w:val="uk-UA"/>
        </w:rPr>
        <w:t>им</w:t>
      </w:r>
      <w:r w:rsidRPr="00ED35A9">
        <w:rPr>
          <w:rFonts w:cs="Times New Roman"/>
          <w:szCs w:val="28"/>
          <w:lang w:val="uk-UA"/>
        </w:rPr>
        <w:t>, все одно можна призначати лікування за схемою 6(H)REZ.</w:t>
      </w:r>
    </w:p>
    <w:p w:rsidR="004B5B7F" w:rsidRPr="00ED35A9" w:rsidRDefault="004B5B7F" w:rsidP="00ED35A9">
      <w:pPr>
        <w:spacing w:line="233" w:lineRule="auto"/>
        <w:rPr>
          <w:rFonts w:cs="Times New Roman"/>
          <w:szCs w:val="28"/>
          <w:lang w:val="uk-UA"/>
        </w:rPr>
      </w:pPr>
      <w:r w:rsidRPr="00ED35A9">
        <w:rPr>
          <w:rFonts w:cs="Times New Roman"/>
          <w:szCs w:val="28"/>
          <w:lang w:val="uk-UA"/>
        </w:rPr>
        <w:t xml:space="preserve">За наявності підозрюваної або підтвердженої додаткової резистентності (особливо до </w:t>
      </w:r>
      <w:proofErr w:type="spellStart"/>
      <w:r w:rsidRPr="00ED35A9">
        <w:rPr>
          <w:rFonts w:cs="Times New Roman"/>
          <w:szCs w:val="28"/>
          <w:lang w:val="uk-UA"/>
        </w:rPr>
        <w:t>піразинаміду</w:t>
      </w:r>
      <w:proofErr w:type="spellEnd"/>
      <w:r w:rsidRPr="00ED35A9">
        <w:rPr>
          <w:rFonts w:cs="Times New Roman"/>
          <w:szCs w:val="28"/>
          <w:lang w:val="uk-UA"/>
        </w:rPr>
        <w:t>) відповідні схеми лікування слід призначати індивідуально. При перегляді доказових даних для цієї настанови не було визначено окремих рекомендацій щодо таких випадків.</w:t>
      </w:r>
    </w:p>
    <w:p w:rsidR="004B5B7F" w:rsidRPr="00ED35A9" w:rsidRDefault="004B5B7F" w:rsidP="00ED35A9">
      <w:pPr>
        <w:spacing w:line="233" w:lineRule="auto"/>
        <w:rPr>
          <w:rFonts w:cs="Times New Roman"/>
          <w:szCs w:val="28"/>
          <w:lang w:val="uk-UA"/>
        </w:rPr>
      </w:pPr>
      <w:r w:rsidRPr="00ED35A9">
        <w:rPr>
          <w:rFonts w:cs="Times New Roman"/>
          <w:szCs w:val="28"/>
          <w:lang w:val="uk-UA"/>
        </w:rPr>
        <w:t xml:space="preserve">За можливості, тестування щодо резистентності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має містити також інформацію про конкретні мутації, пов’язані з </w:t>
      </w:r>
      <w:proofErr w:type="spellStart"/>
      <w:r w:rsidRPr="00ED35A9">
        <w:rPr>
          <w:rFonts w:cs="Times New Roman"/>
          <w:szCs w:val="28"/>
          <w:lang w:val="uk-UA"/>
        </w:rPr>
        <w:t>ізоніазидом</w:t>
      </w:r>
      <w:proofErr w:type="spellEnd"/>
      <w:r w:rsidRPr="00ED35A9">
        <w:rPr>
          <w:rFonts w:cs="Times New Roman"/>
          <w:szCs w:val="28"/>
          <w:lang w:val="uk-UA"/>
        </w:rPr>
        <w:t xml:space="preserve"> (</w:t>
      </w:r>
      <w:proofErr w:type="spellStart"/>
      <w:r w:rsidRPr="00ED35A9">
        <w:rPr>
          <w:rFonts w:cs="Times New Roman"/>
          <w:i/>
          <w:szCs w:val="28"/>
          <w:lang w:val="uk-UA"/>
        </w:rPr>
        <w:t>katG</w:t>
      </w:r>
      <w:proofErr w:type="spellEnd"/>
      <w:r w:rsidRPr="00ED35A9">
        <w:rPr>
          <w:rFonts w:cs="Times New Roman"/>
          <w:szCs w:val="28"/>
          <w:lang w:val="uk-UA"/>
        </w:rPr>
        <w:t xml:space="preserve"> або </w:t>
      </w:r>
      <w:proofErr w:type="spellStart"/>
      <w:r w:rsidRPr="00ED35A9">
        <w:rPr>
          <w:rFonts w:cs="Times New Roman"/>
          <w:i/>
          <w:szCs w:val="28"/>
          <w:lang w:val="uk-UA"/>
        </w:rPr>
        <w:t>inhA</w:t>
      </w:r>
      <w:proofErr w:type="spellEnd"/>
      <w:r w:rsidRPr="00ED35A9">
        <w:rPr>
          <w:rFonts w:cs="Times New Roman"/>
          <w:szCs w:val="28"/>
          <w:lang w:val="uk-UA"/>
        </w:rPr>
        <w:t xml:space="preserve">). До того ж, корисним буде визначення загального статусу </w:t>
      </w:r>
      <w:proofErr w:type="spellStart"/>
      <w:r w:rsidRPr="00ED35A9">
        <w:rPr>
          <w:rFonts w:cs="Times New Roman"/>
          <w:szCs w:val="28"/>
          <w:lang w:val="uk-UA"/>
        </w:rPr>
        <w:t>ацетилятора</w:t>
      </w:r>
      <w:proofErr w:type="spellEnd"/>
      <w:r w:rsidRPr="00ED35A9">
        <w:rPr>
          <w:rFonts w:cs="Times New Roman"/>
          <w:szCs w:val="28"/>
          <w:lang w:val="uk-UA"/>
        </w:rPr>
        <w:t xml:space="preserve"> носіїв</w:t>
      </w:r>
      <w:r w:rsidRPr="00ED35A9">
        <w:rPr>
          <w:rFonts w:cs="Times New Roman"/>
          <w:szCs w:val="28"/>
          <w:vertAlign w:val="superscript"/>
          <w:lang w:val="uk-UA"/>
        </w:rPr>
        <w:footnoteReference w:id="11"/>
      </w:r>
      <w:r w:rsidRPr="00ED35A9">
        <w:rPr>
          <w:rFonts w:cs="Times New Roman"/>
          <w:szCs w:val="28"/>
          <w:lang w:val="uk-UA"/>
        </w:rPr>
        <w:t xml:space="preserve"> на рівні країни або регіону, враховуючи його можливий вплив щодо призначення схем лікування </w:t>
      </w:r>
      <w:r w:rsidRPr="00ED35A9">
        <w:rPr>
          <w:rFonts w:cs="Times New Roman"/>
          <w:i/>
          <w:szCs w:val="28"/>
          <w:lang w:val="uk-UA"/>
        </w:rPr>
        <w:t>(26)</w:t>
      </w:r>
      <w:r w:rsidRPr="00ED35A9">
        <w:rPr>
          <w:rFonts w:cs="Times New Roman"/>
          <w:szCs w:val="28"/>
          <w:lang w:val="uk-UA"/>
        </w:rPr>
        <w:t>.</w:t>
      </w:r>
    </w:p>
    <w:p w:rsidR="004B5B7F" w:rsidRPr="00ED35A9" w:rsidRDefault="004B5B7F" w:rsidP="00ED35A9">
      <w:pPr>
        <w:spacing w:line="233" w:lineRule="auto"/>
        <w:rPr>
          <w:rFonts w:cs="Times New Roman"/>
          <w:szCs w:val="28"/>
          <w:lang w:val="uk-UA"/>
        </w:rPr>
      </w:pPr>
      <w:r w:rsidRPr="00ED35A9">
        <w:rPr>
          <w:rFonts w:cs="Times New Roman"/>
          <w:szCs w:val="28"/>
          <w:lang w:val="uk-UA"/>
        </w:rPr>
        <w:t xml:space="preserve">Зараз знаходяться у розробці діагностичні платформи з високою пропускною спроможністю (як альтернатива лінійним зонд-аналізам (LPA)), за допомогою яких можливим буде одночасне виявлення ТБ і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та </w:t>
      </w:r>
      <w:proofErr w:type="spellStart"/>
      <w:r w:rsidRPr="00ED35A9">
        <w:rPr>
          <w:rFonts w:cs="Times New Roman"/>
          <w:szCs w:val="28"/>
          <w:lang w:val="uk-UA"/>
        </w:rPr>
        <w:t>ізоніазиду</w:t>
      </w:r>
      <w:proofErr w:type="spellEnd"/>
      <w:r w:rsidRPr="00ED35A9">
        <w:rPr>
          <w:rFonts w:cs="Times New Roman"/>
          <w:szCs w:val="28"/>
          <w:lang w:val="uk-UA"/>
        </w:rPr>
        <w:t>. Оціночні дослідження цих методів діагностики ще тривають.</w:t>
      </w:r>
    </w:p>
    <w:p w:rsidR="004B5B7F" w:rsidRPr="00ED35A9" w:rsidRDefault="004B5B7F" w:rsidP="00ED35A9">
      <w:pPr>
        <w:spacing w:line="233" w:lineRule="auto"/>
        <w:rPr>
          <w:rFonts w:cs="Times New Roman"/>
          <w:b/>
          <w:szCs w:val="28"/>
          <w:lang w:val="uk-UA"/>
        </w:rPr>
      </w:pPr>
      <w:bookmarkStart w:id="18" w:name="bookmark25"/>
      <w:bookmarkStart w:id="19" w:name="_Toc417570580"/>
      <w:r w:rsidRPr="00ED35A9">
        <w:rPr>
          <w:rFonts w:cs="Times New Roman"/>
          <w:b/>
          <w:szCs w:val="28"/>
          <w:lang w:val="uk-UA"/>
        </w:rPr>
        <w:t>Зауваження щодо підгруп</w:t>
      </w:r>
      <w:bookmarkEnd w:id="18"/>
      <w:bookmarkEnd w:id="19"/>
    </w:p>
    <w:p w:rsidR="004B5B7F" w:rsidRPr="00ED35A9" w:rsidRDefault="004B5B7F" w:rsidP="00ED35A9">
      <w:pPr>
        <w:spacing w:line="233" w:lineRule="auto"/>
        <w:rPr>
          <w:rFonts w:cs="Times New Roman"/>
          <w:szCs w:val="28"/>
          <w:lang w:val="uk-UA"/>
        </w:rPr>
      </w:pPr>
      <w:r w:rsidRPr="00ED35A9">
        <w:rPr>
          <w:rFonts w:cs="Times New Roman"/>
          <w:b/>
          <w:i/>
          <w:szCs w:val="28"/>
          <w:lang w:val="uk-UA"/>
        </w:rPr>
        <w:t>Діти.</w:t>
      </w:r>
      <w:r w:rsidRPr="00ED35A9">
        <w:rPr>
          <w:rFonts w:cs="Times New Roman"/>
          <w:szCs w:val="28"/>
          <w:lang w:val="uk-UA"/>
        </w:rPr>
        <w:t xml:space="preserve"> За даними проведеного огляду ІДП, лише 2% пацієнтів з </w:t>
      </w:r>
      <w:proofErr w:type="spellStart"/>
      <w:r w:rsidRPr="00ED35A9">
        <w:rPr>
          <w:rFonts w:cs="Times New Roman"/>
          <w:szCs w:val="28"/>
          <w:lang w:val="uk-UA"/>
        </w:rPr>
        <w:t>Hрез</w:t>
      </w:r>
      <w:proofErr w:type="spellEnd"/>
      <w:r w:rsidRPr="00ED35A9">
        <w:rPr>
          <w:rFonts w:cs="Times New Roman"/>
          <w:szCs w:val="28"/>
          <w:lang w:val="uk-UA"/>
        </w:rPr>
        <w:t>-ТБ були дітьми, тому проведення окремого оцінювання впливу на педіатричних пацієнтів було неможливим. Проте немає заперечень щодо можливості екстраполювання результатів та рекомендацій для дорослих на дітей, враховуючи, що компоненти схеми були стандартними педіатричними лікарськими засобами для лікування ТБ протягом багатьох років.</w:t>
      </w:r>
    </w:p>
    <w:p w:rsidR="004B5B7F" w:rsidRPr="00ED35A9" w:rsidRDefault="004B5B7F" w:rsidP="000E0B10">
      <w:pPr>
        <w:rPr>
          <w:rFonts w:cs="Times New Roman"/>
          <w:szCs w:val="28"/>
          <w:lang w:val="uk-UA"/>
        </w:rPr>
      </w:pPr>
      <w:r w:rsidRPr="00ED35A9">
        <w:rPr>
          <w:rFonts w:cs="Times New Roman"/>
          <w:b/>
          <w:i/>
          <w:szCs w:val="28"/>
          <w:lang w:val="uk-UA"/>
        </w:rPr>
        <w:lastRenderedPageBreak/>
        <w:t>Пацієнти з екстенсивним захворюванням.</w:t>
      </w:r>
      <w:r w:rsidRPr="00ED35A9">
        <w:rPr>
          <w:rFonts w:cs="Times New Roman"/>
          <w:szCs w:val="28"/>
          <w:lang w:val="uk-UA"/>
        </w:rPr>
        <w:t xml:space="preserve"> Хоча, за даними аналізу ІДП, не виявлено доказових даних щодо тривалості подовженого лікування, пролонгація схеми 6(H)REZ-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більше ніж на 6 міс може розглядатися в індивідуальному порядку для призначення пацієнтам з екстенсивним захворюванням, яке визначають наявністю каверн та </w:t>
      </w:r>
      <w:proofErr w:type="spellStart"/>
      <w:r w:rsidRPr="00ED35A9">
        <w:rPr>
          <w:rFonts w:cs="Times New Roman"/>
          <w:szCs w:val="28"/>
          <w:lang w:val="uk-UA"/>
        </w:rPr>
        <w:t>персистенції</w:t>
      </w:r>
      <w:proofErr w:type="spellEnd"/>
      <w:r w:rsidRPr="00ED35A9">
        <w:rPr>
          <w:rFonts w:cs="Times New Roman"/>
          <w:szCs w:val="28"/>
          <w:lang w:val="uk-UA"/>
        </w:rPr>
        <w:t xml:space="preserve"> </w:t>
      </w:r>
      <w:proofErr w:type="spellStart"/>
      <w:r w:rsidRPr="00ED35A9">
        <w:rPr>
          <w:rFonts w:cs="Times New Roman"/>
          <w:szCs w:val="28"/>
          <w:lang w:val="uk-UA"/>
        </w:rPr>
        <w:t>бактеріологічно</w:t>
      </w:r>
      <w:proofErr w:type="spellEnd"/>
      <w:r w:rsidRPr="00ED35A9">
        <w:rPr>
          <w:rFonts w:cs="Times New Roman"/>
          <w:szCs w:val="28"/>
          <w:lang w:val="uk-UA"/>
        </w:rPr>
        <w:t xml:space="preserve">-позитивного мокротиння на 3-му місяці або пізніше (за </w:t>
      </w:r>
      <w:proofErr w:type="spellStart"/>
      <w:r w:rsidRPr="00ED35A9">
        <w:rPr>
          <w:rFonts w:cs="Times New Roman"/>
          <w:szCs w:val="28"/>
          <w:lang w:val="uk-UA"/>
        </w:rPr>
        <w:t>культуральним</w:t>
      </w:r>
      <w:proofErr w:type="spellEnd"/>
      <w:r w:rsidRPr="00ED35A9">
        <w:rPr>
          <w:rFonts w:cs="Times New Roman"/>
          <w:szCs w:val="28"/>
          <w:lang w:val="uk-UA"/>
        </w:rPr>
        <w:t xml:space="preserve"> </w:t>
      </w:r>
      <w:r w:rsidR="00062299" w:rsidRPr="00ED35A9">
        <w:rPr>
          <w:rFonts w:cs="Times New Roman"/>
          <w:szCs w:val="28"/>
          <w:lang w:val="uk-UA"/>
        </w:rPr>
        <w:t xml:space="preserve">дослідженням </w:t>
      </w:r>
      <w:r w:rsidRPr="00ED35A9">
        <w:rPr>
          <w:rFonts w:cs="Times New Roman"/>
          <w:szCs w:val="28"/>
          <w:lang w:val="uk-UA"/>
        </w:rPr>
        <w:t xml:space="preserve">або мікроскопією) </w:t>
      </w:r>
      <w:r w:rsidRPr="00ED35A9">
        <w:rPr>
          <w:rFonts w:cs="Times New Roman"/>
          <w:i/>
          <w:szCs w:val="28"/>
          <w:lang w:val="uk-UA"/>
        </w:rPr>
        <w:t>(27)</w:t>
      </w:r>
      <w:r w:rsidRPr="00ED35A9">
        <w:rPr>
          <w:rFonts w:cs="Times New Roman"/>
          <w:szCs w:val="28"/>
          <w:lang w:val="uk-UA"/>
        </w:rPr>
        <w:t>. Пролонгація лікування може підвищити ризик виникнення небезпечних явищ у деяких випадках (</w:t>
      </w:r>
      <w:r w:rsidRPr="00ED35A9">
        <w:rPr>
          <w:rFonts w:cs="Times New Roman"/>
          <w:i/>
          <w:szCs w:val="28"/>
          <w:lang w:val="uk-UA"/>
        </w:rPr>
        <w:t>див.</w:t>
      </w:r>
      <w:r w:rsidRPr="00ED35A9">
        <w:rPr>
          <w:rFonts w:cs="Times New Roman"/>
          <w:szCs w:val="28"/>
          <w:lang w:val="uk-UA"/>
        </w:rPr>
        <w:t xml:space="preserve"> також «Моніторинг та оцінювання» у цьому розділі).</w:t>
      </w:r>
    </w:p>
    <w:p w:rsidR="004B5B7F" w:rsidRPr="00ED35A9" w:rsidRDefault="004B5B7F" w:rsidP="000E0B10">
      <w:pPr>
        <w:rPr>
          <w:rFonts w:cs="Times New Roman"/>
          <w:szCs w:val="28"/>
          <w:lang w:val="uk-UA"/>
        </w:rPr>
      </w:pPr>
      <w:r w:rsidRPr="00ED35A9">
        <w:rPr>
          <w:rFonts w:cs="Times New Roman"/>
          <w:b/>
          <w:i/>
          <w:szCs w:val="28"/>
          <w:lang w:val="uk-UA"/>
        </w:rPr>
        <w:t>ВІЛ-позитивні особи.</w:t>
      </w:r>
      <w:r w:rsidRPr="00ED35A9">
        <w:rPr>
          <w:rFonts w:cs="Times New Roman"/>
          <w:szCs w:val="28"/>
          <w:lang w:val="uk-UA"/>
        </w:rPr>
        <w:t xml:space="preserve"> Вплив довгострокового протитуберкульозного лікування у ВІЛ-позитивних пацієнтів на АРТ та без неї досліджували серед пацієнтів з лікарсько-чутливим туберкульозом </w:t>
      </w:r>
      <w:r w:rsidRPr="00ED35A9">
        <w:rPr>
          <w:rFonts w:cs="Times New Roman"/>
          <w:i/>
          <w:szCs w:val="28"/>
          <w:lang w:val="uk-UA"/>
        </w:rPr>
        <w:t>(28)</w:t>
      </w:r>
      <w:r w:rsidRPr="00ED35A9">
        <w:rPr>
          <w:rFonts w:cs="Times New Roman"/>
          <w:szCs w:val="28"/>
          <w:lang w:val="uk-UA"/>
        </w:rPr>
        <w:t xml:space="preserve">. За даними цього дослідження, у ВІЛ-інфікованих пацієнтів, що не перебували на АРТ та отримували протитуберкульозне лікування протягом 6 міс, відзначено вищу у 2,4 разу частоту виникнення рецидивів порівняно з пацієнтами, в яких лікування було подовжено до 9 міс. У пацієнтів з лікарсько-чутливим ТБ, що перебували на АРТ, не відзначено значного позитивного впливу внаслідок застосування </w:t>
      </w:r>
      <w:proofErr w:type="spellStart"/>
      <w:r w:rsidRPr="00ED35A9">
        <w:rPr>
          <w:rFonts w:cs="Times New Roman"/>
          <w:szCs w:val="28"/>
          <w:lang w:val="uk-UA"/>
        </w:rPr>
        <w:t>рифампіцин-вмісних</w:t>
      </w:r>
      <w:proofErr w:type="spellEnd"/>
      <w:r w:rsidRPr="00ED35A9">
        <w:rPr>
          <w:rFonts w:cs="Times New Roman"/>
          <w:szCs w:val="28"/>
          <w:lang w:val="uk-UA"/>
        </w:rPr>
        <w:t xml:space="preserve"> схем більше ніж 6 міс </w:t>
      </w:r>
      <w:r w:rsidRPr="00ED35A9">
        <w:rPr>
          <w:rFonts w:cs="Times New Roman"/>
          <w:i/>
          <w:szCs w:val="28"/>
          <w:lang w:val="uk-UA"/>
        </w:rPr>
        <w:t>(29)</w:t>
      </w:r>
      <w:r w:rsidRPr="00ED35A9">
        <w:rPr>
          <w:rFonts w:cs="Times New Roman"/>
          <w:szCs w:val="28"/>
          <w:lang w:val="uk-UA"/>
        </w:rPr>
        <w:t xml:space="preserve">. У поточному аналізі лише обмежена кількість пацієнтів отримували АРТ; проте у пацієнтів з </w:t>
      </w:r>
      <w:proofErr w:type="spellStart"/>
      <w:r w:rsidRPr="00ED35A9">
        <w:rPr>
          <w:rFonts w:cs="Times New Roman"/>
          <w:szCs w:val="28"/>
          <w:lang w:val="uk-UA"/>
        </w:rPr>
        <w:t>коінфекцією</w:t>
      </w:r>
      <w:proofErr w:type="spellEnd"/>
      <w:r w:rsidRPr="00ED35A9">
        <w:rPr>
          <w:rFonts w:cs="Times New Roman"/>
          <w:szCs w:val="28"/>
          <w:lang w:val="uk-UA"/>
        </w:rPr>
        <w:t xml:space="preserve"> ТБ/ВІЛ пріоритетним був початок АРТ протягом 8 тижнів від початку протитуберкульозної терапії (незалежно від кількості клітин CD4) відповідно до настанови ВООЗ </w:t>
      </w:r>
      <w:r w:rsidRPr="00ED35A9">
        <w:rPr>
          <w:rFonts w:cs="Times New Roman"/>
          <w:i/>
          <w:szCs w:val="28"/>
          <w:lang w:val="uk-UA"/>
        </w:rPr>
        <w:t>(30)</w:t>
      </w:r>
      <w:r w:rsidRPr="00ED35A9">
        <w:rPr>
          <w:rFonts w:cs="Times New Roman"/>
          <w:szCs w:val="28"/>
          <w:lang w:val="uk-UA"/>
        </w:rPr>
        <w:t>. Таким чином, застосування 6-місячної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рекомендовано для лікування ВІЛ-позитивних пацієнтів.</w:t>
      </w:r>
    </w:p>
    <w:p w:rsidR="004B5B7F" w:rsidRPr="00ED35A9" w:rsidRDefault="004B5B7F" w:rsidP="000E0B10">
      <w:pPr>
        <w:rPr>
          <w:rFonts w:cs="Times New Roman"/>
          <w:szCs w:val="28"/>
          <w:lang w:val="uk-UA"/>
        </w:rPr>
      </w:pPr>
      <w:proofErr w:type="spellStart"/>
      <w:r w:rsidRPr="00ED35A9">
        <w:rPr>
          <w:rFonts w:cs="Times New Roman"/>
          <w:b/>
          <w:i/>
          <w:szCs w:val="28"/>
          <w:lang w:val="uk-UA"/>
        </w:rPr>
        <w:t>Позалегеневе</w:t>
      </w:r>
      <w:proofErr w:type="spellEnd"/>
      <w:r w:rsidRPr="00ED35A9">
        <w:rPr>
          <w:rFonts w:cs="Times New Roman"/>
          <w:b/>
          <w:i/>
          <w:szCs w:val="28"/>
          <w:lang w:val="uk-UA"/>
        </w:rPr>
        <w:t xml:space="preserve"> захворювання.</w:t>
      </w:r>
      <w:r w:rsidRPr="00ED35A9">
        <w:rPr>
          <w:rFonts w:cs="Times New Roman"/>
          <w:szCs w:val="28"/>
          <w:lang w:val="uk-UA"/>
        </w:rPr>
        <w:t xml:space="preserve"> Окремі дані щодо пацієнтів із </w:t>
      </w:r>
      <w:proofErr w:type="spellStart"/>
      <w:r w:rsidRPr="00ED35A9">
        <w:rPr>
          <w:rFonts w:cs="Times New Roman"/>
          <w:szCs w:val="28"/>
          <w:lang w:val="uk-UA"/>
        </w:rPr>
        <w:t>позалегеневим</w:t>
      </w:r>
      <w:proofErr w:type="spellEnd"/>
      <w:r w:rsidRPr="00ED35A9">
        <w:rPr>
          <w:rFonts w:cs="Times New Roman"/>
          <w:szCs w:val="28"/>
          <w:lang w:val="uk-UA"/>
        </w:rPr>
        <w:t xml:space="preserve"> </w:t>
      </w:r>
      <w:proofErr w:type="spellStart"/>
      <w:r w:rsidRPr="00ED35A9">
        <w:rPr>
          <w:rFonts w:cs="Times New Roman"/>
          <w:szCs w:val="28"/>
          <w:lang w:val="uk-UA"/>
        </w:rPr>
        <w:t>Hрез</w:t>
      </w:r>
      <w:proofErr w:type="spellEnd"/>
      <w:r w:rsidRPr="00ED35A9">
        <w:rPr>
          <w:rFonts w:cs="Times New Roman"/>
          <w:szCs w:val="28"/>
          <w:lang w:val="uk-UA"/>
        </w:rPr>
        <w:t xml:space="preserve">-ТБ відсутні. Ймовірно, склад запропонованої схеми буде ефективним навіть для таких пацієнтів. Проте лікування пацієнтів із </w:t>
      </w:r>
      <w:proofErr w:type="spellStart"/>
      <w:r w:rsidRPr="00ED35A9">
        <w:rPr>
          <w:rFonts w:cs="Times New Roman"/>
          <w:szCs w:val="28"/>
          <w:lang w:val="uk-UA"/>
        </w:rPr>
        <w:t>позалегеневим</w:t>
      </w:r>
      <w:proofErr w:type="spellEnd"/>
      <w:r w:rsidRPr="00ED35A9">
        <w:rPr>
          <w:rFonts w:cs="Times New Roman"/>
          <w:szCs w:val="28"/>
          <w:lang w:val="uk-UA"/>
        </w:rPr>
        <w:t xml:space="preserve"> ТБ слід планувати у тісній співпраці з відповідними спеціалістами, зокрема інфекціоністами й неврологами, для прийняття рішень щодо індивідуальної тривалості лікування та допоміжного догляду.</w:t>
      </w:r>
    </w:p>
    <w:p w:rsidR="004B5B7F" w:rsidRPr="00ED35A9" w:rsidRDefault="0002616A" w:rsidP="000E0B10">
      <w:pPr>
        <w:rPr>
          <w:rFonts w:cs="Times New Roman"/>
          <w:b/>
          <w:szCs w:val="28"/>
          <w:lang w:val="uk-UA"/>
        </w:rPr>
      </w:pPr>
      <w:r w:rsidRPr="00ED35A9">
        <w:rPr>
          <w:rFonts w:cs="Times New Roman"/>
          <w:b/>
          <w:szCs w:val="28"/>
          <w:lang w:val="uk-UA"/>
        </w:rPr>
        <w:t>Впровадження рекомендацій</w:t>
      </w:r>
    </w:p>
    <w:p w:rsidR="004B5B7F" w:rsidRPr="00ED35A9" w:rsidRDefault="004B5B7F" w:rsidP="000E0B10">
      <w:pPr>
        <w:rPr>
          <w:rFonts w:cs="Times New Roman"/>
          <w:szCs w:val="28"/>
          <w:lang w:val="uk-UA"/>
        </w:rPr>
      </w:pPr>
      <w:r w:rsidRPr="00ED35A9">
        <w:rPr>
          <w:rFonts w:cs="Times New Roman"/>
          <w:b/>
          <w:i/>
          <w:szCs w:val="28"/>
          <w:lang w:val="uk-UA"/>
        </w:rPr>
        <w:t>Сценарії випадків.</w:t>
      </w:r>
      <w:r w:rsidRPr="00ED35A9">
        <w:rPr>
          <w:rFonts w:cs="Times New Roman"/>
          <w:szCs w:val="28"/>
          <w:lang w:val="uk-UA"/>
        </w:rPr>
        <w:t xml:space="preserve"> Впровадження зазначених рекомендацій потребує призначення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лише пацієнтам, у яких підтверджено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 виключено резистентність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Бажаним також є проведення тестування щодо резистентності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та, за можливості, до </w:t>
      </w:r>
      <w:proofErr w:type="spellStart"/>
      <w:r w:rsidRPr="00ED35A9">
        <w:rPr>
          <w:rFonts w:cs="Times New Roman"/>
          <w:szCs w:val="28"/>
          <w:lang w:val="uk-UA"/>
        </w:rPr>
        <w:t>піразинаміду</w:t>
      </w:r>
      <w:proofErr w:type="spellEnd"/>
      <w:r w:rsidRPr="00ED35A9">
        <w:rPr>
          <w:rFonts w:cs="Times New Roman"/>
          <w:szCs w:val="28"/>
          <w:lang w:val="uk-UA"/>
        </w:rPr>
        <w:t xml:space="preserve"> </w:t>
      </w:r>
      <w:r w:rsidR="009A4971" w:rsidRPr="00ED35A9">
        <w:rPr>
          <w:rFonts w:cs="Times New Roman"/>
          <w:szCs w:val="28"/>
          <w:lang w:val="uk-UA"/>
        </w:rPr>
        <w:t xml:space="preserve">перед </w:t>
      </w:r>
      <w:r w:rsidRPr="00ED35A9">
        <w:rPr>
          <w:rFonts w:cs="Times New Roman"/>
          <w:szCs w:val="28"/>
          <w:lang w:val="uk-UA"/>
        </w:rPr>
        <w:t>початк</w:t>
      </w:r>
      <w:r w:rsidR="009A4971" w:rsidRPr="00ED35A9">
        <w:rPr>
          <w:rFonts w:cs="Times New Roman"/>
          <w:szCs w:val="28"/>
          <w:lang w:val="uk-UA"/>
        </w:rPr>
        <w:t xml:space="preserve">ом </w:t>
      </w:r>
      <w:r w:rsidRPr="00ED35A9">
        <w:rPr>
          <w:rFonts w:cs="Times New Roman"/>
          <w:szCs w:val="28"/>
          <w:lang w:val="uk-UA"/>
        </w:rPr>
        <w:t xml:space="preserve">лікування. Схему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застосовують у </w:t>
      </w:r>
      <w:r w:rsidR="009A4971" w:rsidRPr="00ED35A9">
        <w:rPr>
          <w:rFonts w:cs="Times New Roman"/>
          <w:szCs w:val="28"/>
          <w:lang w:val="uk-UA"/>
        </w:rPr>
        <w:t xml:space="preserve">наступних </w:t>
      </w:r>
      <w:r w:rsidRPr="00ED35A9">
        <w:rPr>
          <w:rFonts w:cs="Times New Roman"/>
          <w:szCs w:val="28"/>
          <w:lang w:val="uk-UA"/>
        </w:rPr>
        <w:t>випадках</w:t>
      </w:r>
      <w:r w:rsidR="009A4971" w:rsidRPr="00ED35A9">
        <w:rPr>
          <w:rFonts w:cs="Times New Roman"/>
          <w:szCs w:val="28"/>
          <w:lang w:val="uk-UA"/>
        </w:rPr>
        <w:t>.</w:t>
      </w:r>
    </w:p>
    <w:p w:rsidR="004B5B7F" w:rsidRPr="00ED35A9" w:rsidRDefault="004B5B7F" w:rsidP="000E0B10">
      <w:pPr>
        <w:rPr>
          <w:rFonts w:cs="Times New Roman"/>
          <w:szCs w:val="28"/>
          <w:lang w:val="uk-UA"/>
        </w:rPr>
      </w:pPr>
      <w:proofErr w:type="spellStart"/>
      <w:r w:rsidRPr="00ED35A9">
        <w:rPr>
          <w:rFonts w:cs="Times New Roman"/>
          <w:i/>
          <w:szCs w:val="28"/>
          <w:lang w:val="uk-UA"/>
        </w:rPr>
        <w:t>Hрез</w:t>
      </w:r>
      <w:proofErr w:type="spellEnd"/>
      <w:r w:rsidRPr="00ED35A9">
        <w:rPr>
          <w:rFonts w:cs="Times New Roman"/>
          <w:i/>
          <w:szCs w:val="28"/>
          <w:lang w:val="uk-UA"/>
        </w:rPr>
        <w:t>-ТБ підтверджено до початку лікування ТБ.</w:t>
      </w:r>
      <w:r w:rsidRPr="00ED35A9">
        <w:rPr>
          <w:rFonts w:cs="Times New Roman"/>
          <w:szCs w:val="28"/>
          <w:lang w:val="uk-UA"/>
        </w:rPr>
        <w:t xml:space="preserve"> Лікування за схемою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слід починати негайно. Якщо є стійка підозра щодо встановлення такого діагнозу (наприклад, близький контакт з підтвердженим випадком </w:t>
      </w:r>
      <w:proofErr w:type="spellStart"/>
      <w:r w:rsidRPr="00ED35A9">
        <w:rPr>
          <w:rFonts w:cs="Times New Roman"/>
          <w:szCs w:val="28"/>
          <w:lang w:val="uk-UA"/>
        </w:rPr>
        <w:t>Hрез</w:t>
      </w:r>
      <w:proofErr w:type="spellEnd"/>
      <w:r w:rsidRPr="00ED35A9">
        <w:rPr>
          <w:rFonts w:cs="Times New Roman"/>
          <w:szCs w:val="28"/>
          <w:lang w:val="uk-UA"/>
        </w:rPr>
        <w:t xml:space="preserve">-ТБ), але результати ТМЧ все ще очікуються, можна починати лікування за цією схемою. Якщо за результатами ТМЧ, проведеного на початку лікування, буде виявлено чутливість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w:t>
      </w:r>
      <w:r w:rsidR="009A4971" w:rsidRPr="00ED35A9">
        <w:rPr>
          <w:rFonts w:cs="Times New Roman"/>
          <w:szCs w:val="28"/>
          <w:lang w:val="uk-UA"/>
        </w:rPr>
        <w:t xml:space="preserve">застосування </w:t>
      </w:r>
      <w:proofErr w:type="spellStart"/>
      <w:r w:rsidRPr="00ED35A9">
        <w:rPr>
          <w:rFonts w:cs="Times New Roman"/>
          <w:szCs w:val="28"/>
          <w:lang w:val="uk-UA"/>
        </w:rPr>
        <w:t>левофлоксацин</w:t>
      </w:r>
      <w:r w:rsidR="009A4971" w:rsidRPr="00ED35A9">
        <w:rPr>
          <w:rFonts w:cs="Times New Roman"/>
          <w:szCs w:val="28"/>
          <w:lang w:val="uk-UA"/>
        </w:rPr>
        <w:t>у</w:t>
      </w:r>
      <w:proofErr w:type="spellEnd"/>
      <w:r w:rsidRPr="00ED35A9">
        <w:rPr>
          <w:rFonts w:cs="Times New Roman"/>
          <w:szCs w:val="28"/>
          <w:lang w:val="uk-UA"/>
        </w:rPr>
        <w:t xml:space="preserve"> слід припинити та продовжити лікування за схемою 2HREZ/4HR до її завершення.</w:t>
      </w:r>
    </w:p>
    <w:p w:rsidR="004B5B7F" w:rsidRPr="00ED35A9" w:rsidRDefault="004B5B7F" w:rsidP="000E0B10">
      <w:pPr>
        <w:rPr>
          <w:rFonts w:cs="Times New Roman"/>
          <w:szCs w:val="28"/>
          <w:lang w:val="uk-UA"/>
        </w:rPr>
      </w:pPr>
      <w:proofErr w:type="spellStart"/>
      <w:r w:rsidRPr="00ED35A9">
        <w:rPr>
          <w:rFonts w:cs="Times New Roman"/>
          <w:i/>
          <w:szCs w:val="28"/>
          <w:lang w:val="uk-UA"/>
        </w:rPr>
        <w:lastRenderedPageBreak/>
        <w:t>Hрез</w:t>
      </w:r>
      <w:proofErr w:type="spellEnd"/>
      <w:r w:rsidRPr="00ED35A9">
        <w:rPr>
          <w:rFonts w:cs="Times New Roman"/>
          <w:i/>
          <w:szCs w:val="28"/>
          <w:lang w:val="uk-UA"/>
        </w:rPr>
        <w:t>-ТБ підтверджено після початку лікування за схемою 2HREZ/4HR.</w:t>
      </w:r>
      <w:r w:rsidRPr="00ED35A9">
        <w:rPr>
          <w:rFonts w:cs="Times New Roman"/>
          <w:szCs w:val="28"/>
          <w:lang w:val="uk-UA"/>
        </w:rPr>
        <w:t xml:space="preserve"> Це стосується пацієнтів з </w:t>
      </w:r>
      <w:proofErr w:type="spellStart"/>
      <w:r w:rsidRPr="00ED35A9">
        <w:rPr>
          <w:rFonts w:cs="Times New Roman"/>
          <w:szCs w:val="28"/>
          <w:lang w:val="uk-UA"/>
        </w:rPr>
        <w:t>недіагностованою</w:t>
      </w:r>
      <w:proofErr w:type="spellEnd"/>
      <w:r w:rsidRPr="00ED35A9">
        <w:rPr>
          <w:rFonts w:cs="Times New Roman"/>
          <w:szCs w:val="28"/>
          <w:lang w:val="uk-UA"/>
        </w:rPr>
        <w:t xml:space="preserve"> резистентністю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на початку лікування або пацієнтів, в яких розвинулася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пізніше, протягом лікування за схемою першого ряду. У таких випадках слід провести швидке молекулярне тестування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(або повторити це тестування). Після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призначають повний 6-місячний курс лікування за схемою (H)REX-</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Тривалість визначається необхідністю прийому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протягом 6 міс, що зазвичай потребує прийому супутніх препаратів першого ряду протягом більш тривалого часу.</w:t>
      </w:r>
    </w:p>
    <w:p w:rsidR="004B5B7F" w:rsidRPr="00ED35A9" w:rsidRDefault="004B5B7F" w:rsidP="000E0B10">
      <w:pPr>
        <w:rPr>
          <w:rFonts w:cs="Times New Roman"/>
          <w:szCs w:val="28"/>
          <w:lang w:val="uk-UA"/>
        </w:rPr>
      </w:pPr>
      <w:r w:rsidRPr="00ED35A9">
        <w:rPr>
          <w:rFonts w:cs="Times New Roman"/>
          <w:szCs w:val="28"/>
          <w:lang w:val="uk-UA"/>
        </w:rPr>
        <w:t xml:space="preserve">Якщо виявлено резистентність до </w:t>
      </w:r>
      <w:proofErr w:type="spellStart"/>
      <w:r w:rsidRPr="00ED35A9">
        <w:rPr>
          <w:rFonts w:cs="Times New Roman"/>
          <w:szCs w:val="28"/>
          <w:lang w:val="uk-UA"/>
        </w:rPr>
        <w:t>рифампіцину</w:t>
      </w:r>
      <w:proofErr w:type="spellEnd"/>
      <w:r w:rsidRPr="00ED35A9">
        <w:rPr>
          <w:rFonts w:cs="Times New Roman"/>
          <w:szCs w:val="28"/>
          <w:lang w:val="uk-UA"/>
        </w:rPr>
        <w:t>, то в пацієнта слід розпочати лікування МРТБ за рекомендованою схемою (</w:t>
      </w:r>
      <w:r w:rsidRPr="00ED35A9">
        <w:rPr>
          <w:rFonts w:cs="Times New Roman"/>
          <w:i/>
          <w:szCs w:val="28"/>
          <w:lang w:val="uk-UA"/>
        </w:rPr>
        <w:t>див.</w:t>
      </w:r>
      <w:r w:rsidRPr="00ED35A9">
        <w:rPr>
          <w:rFonts w:cs="Times New Roman"/>
          <w:szCs w:val="28"/>
          <w:lang w:val="uk-UA"/>
        </w:rPr>
        <w:t xml:space="preserve"> наступні розділи цієї настанови).</w:t>
      </w:r>
    </w:p>
    <w:p w:rsidR="004B5B7F" w:rsidRPr="00ED35A9" w:rsidRDefault="004B5B7F" w:rsidP="000E0B10">
      <w:pPr>
        <w:rPr>
          <w:rFonts w:cs="Times New Roman"/>
          <w:szCs w:val="28"/>
          <w:lang w:val="uk-UA"/>
        </w:rPr>
      </w:pPr>
      <w:r w:rsidRPr="00ED35A9">
        <w:rPr>
          <w:rFonts w:cs="Times New Roman"/>
          <w:b/>
          <w:i/>
          <w:szCs w:val="28"/>
          <w:lang w:val="uk-UA"/>
        </w:rPr>
        <w:t>Діагностичні спроможності.</w:t>
      </w:r>
      <w:r w:rsidRPr="00ED35A9">
        <w:rPr>
          <w:rFonts w:cs="Times New Roman"/>
          <w:szCs w:val="28"/>
          <w:lang w:val="uk-UA"/>
        </w:rPr>
        <w:t xml:space="preserve"> Загальна мета лікування ТБ полягає у досягненні </w:t>
      </w:r>
      <w:proofErr w:type="spellStart"/>
      <w:r w:rsidRPr="00ED35A9">
        <w:rPr>
          <w:rFonts w:cs="Times New Roman"/>
          <w:szCs w:val="28"/>
          <w:lang w:val="uk-UA"/>
        </w:rPr>
        <w:t>безрецидивного</w:t>
      </w:r>
      <w:proofErr w:type="spellEnd"/>
      <w:r w:rsidRPr="00ED35A9">
        <w:rPr>
          <w:rFonts w:cs="Times New Roman"/>
          <w:szCs w:val="28"/>
          <w:lang w:val="uk-UA"/>
        </w:rPr>
        <w:t xml:space="preserve"> </w:t>
      </w:r>
      <w:r w:rsidR="006D127C" w:rsidRPr="00ED35A9">
        <w:rPr>
          <w:rFonts w:cs="Times New Roman"/>
          <w:szCs w:val="28"/>
          <w:lang w:val="uk-UA"/>
        </w:rPr>
        <w:t xml:space="preserve">одужання </w:t>
      </w:r>
      <w:r w:rsidRPr="00ED35A9">
        <w:rPr>
          <w:rFonts w:cs="Times New Roman"/>
          <w:szCs w:val="28"/>
          <w:lang w:val="uk-UA"/>
        </w:rPr>
        <w:t xml:space="preserve">всіх пацієнтів, припиненні передачі </w:t>
      </w:r>
      <w:r w:rsidRPr="00ED35A9">
        <w:rPr>
          <w:rFonts w:cs="Times New Roman"/>
          <w:i/>
          <w:szCs w:val="28"/>
          <w:lang w:val="uk-UA"/>
        </w:rPr>
        <w:t>M. </w:t>
      </w:r>
      <w:proofErr w:type="spellStart"/>
      <w:r w:rsidR="009A4971" w:rsidRPr="00ED35A9">
        <w:rPr>
          <w:rFonts w:cs="Times New Roman"/>
          <w:i/>
          <w:szCs w:val="28"/>
          <w:lang w:val="uk-UA"/>
        </w:rPr>
        <w:t>Tuberculosis</w:t>
      </w:r>
      <w:proofErr w:type="spellEnd"/>
      <w:r w:rsidR="009A4971" w:rsidRPr="00ED35A9">
        <w:rPr>
          <w:rFonts w:cs="Times New Roman"/>
          <w:szCs w:val="28"/>
          <w:lang w:val="uk-UA"/>
        </w:rPr>
        <w:t xml:space="preserve"> </w:t>
      </w:r>
      <w:r w:rsidRPr="00ED35A9">
        <w:rPr>
          <w:rFonts w:cs="Times New Roman"/>
          <w:szCs w:val="28"/>
          <w:lang w:val="uk-UA"/>
        </w:rPr>
        <w:t xml:space="preserve">та запобіганні набуття (або розширення) додаткової медикаментозної резистентності. Загалом, у світі </w:t>
      </w:r>
      <w:proofErr w:type="spellStart"/>
      <w:r w:rsidRPr="00ED35A9">
        <w:rPr>
          <w:rFonts w:cs="Times New Roman"/>
          <w:szCs w:val="28"/>
          <w:lang w:val="uk-UA"/>
        </w:rPr>
        <w:t>Hрез</w:t>
      </w:r>
      <w:proofErr w:type="spellEnd"/>
      <w:r w:rsidRPr="00ED35A9">
        <w:rPr>
          <w:rFonts w:cs="Times New Roman"/>
          <w:szCs w:val="28"/>
          <w:lang w:val="uk-UA"/>
        </w:rPr>
        <w:t xml:space="preserve">-ТБ є більш поширеним, ніж МРТБ. Усі країни мають докладати зусиль для переходу до загального тестування для виявлення резистентності як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так і до </w:t>
      </w:r>
      <w:proofErr w:type="spellStart"/>
      <w:r w:rsidRPr="00ED35A9">
        <w:rPr>
          <w:rFonts w:cs="Times New Roman"/>
          <w:szCs w:val="28"/>
          <w:lang w:val="uk-UA"/>
        </w:rPr>
        <w:t>рифампіцину</w:t>
      </w:r>
      <w:proofErr w:type="spellEnd"/>
      <w:r w:rsidRPr="00ED35A9">
        <w:rPr>
          <w:rFonts w:cs="Times New Roman"/>
          <w:szCs w:val="28"/>
          <w:lang w:val="uk-UA"/>
        </w:rPr>
        <w:t>, на початку лікування ТБ, а також для забезпечення ретельного відбору пацієнтів для призначення лікування за схемою (H)REX-</w:t>
      </w:r>
      <w:proofErr w:type="spellStart"/>
      <w:r w:rsidRPr="00ED35A9">
        <w:rPr>
          <w:rFonts w:cs="Times New Roman"/>
          <w:szCs w:val="28"/>
          <w:lang w:val="uk-UA"/>
        </w:rPr>
        <w:t>левофлоксацин</w:t>
      </w:r>
      <w:proofErr w:type="spellEnd"/>
      <w:r w:rsidRPr="00ED35A9">
        <w:rPr>
          <w:rFonts w:cs="Times New Roman"/>
          <w:szCs w:val="28"/>
          <w:vertAlign w:val="superscript"/>
          <w:lang w:val="uk-UA"/>
        </w:rPr>
        <w:footnoteReference w:id="12"/>
      </w:r>
      <w:r w:rsidRPr="00ED35A9">
        <w:rPr>
          <w:rFonts w:cs="Times New Roman"/>
          <w:szCs w:val="28"/>
          <w:lang w:val="uk-UA"/>
        </w:rPr>
        <w:t xml:space="preserve">. Для належного впровадження цих рекомендацій необхідним є долучення мінімального обсягу діагностичних досліджень: проведення швидкого молекулярного тестування на резистентність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перед початком лікування за схемою для </w:t>
      </w:r>
      <w:proofErr w:type="spellStart"/>
      <w:r w:rsidRPr="00ED35A9">
        <w:rPr>
          <w:rFonts w:cs="Times New Roman"/>
          <w:szCs w:val="28"/>
          <w:lang w:val="uk-UA"/>
        </w:rPr>
        <w:t>Hрез</w:t>
      </w:r>
      <w:proofErr w:type="spellEnd"/>
      <w:r w:rsidRPr="00ED35A9">
        <w:rPr>
          <w:rFonts w:cs="Times New Roman"/>
          <w:szCs w:val="28"/>
          <w:lang w:val="uk-UA"/>
        </w:rPr>
        <w:t xml:space="preserve">-ТБ, та, бажано, виключення резистентності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за допомогою проведення рекомендованих ВООЗ тестувань.</w:t>
      </w:r>
    </w:p>
    <w:p w:rsidR="004B5B7F" w:rsidRPr="00ED35A9" w:rsidRDefault="004B5B7F" w:rsidP="000E0B10">
      <w:pPr>
        <w:rPr>
          <w:rFonts w:cs="Times New Roman"/>
          <w:szCs w:val="28"/>
          <w:lang w:val="uk-UA"/>
        </w:rPr>
      </w:pPr>
      <w:r w:rsidRPr="00ED35A9">
        <w:rPr>
          <w:rFonts w:cs="Times New Roman"/>
          <w:szCs w:val="28"/>
          <w:lang w:val="uk-UA"/>
        </w:rPr>
        <w:t xml:space="preserve">Застосування швидких молекулярних тестів, таких як </w:t>
      </w:r>
      <w:proofErr w:type="spellStart"/>
      <w:r w:rsidRPr="00ED35A9">
        <w:rPr>
          <w:rFonts w:cs="Times New Roman"/>
          <w:szCs w:val="28"/>
          <w:lang w:val="uk-UA"/>
        </w:rPr>
        <w:t>Xpert</w:t>
      </w:r>
      <w:proofErr w:type="spellEnd"/>
      <w:r w:rsidRPr="00ED35A9">
        <w:rPr>
          <w:rFonts w:cs="Times New Roman"/>
          <w:szCs w:val="28"/>
          <w:lang w:val="uk-UA"/>
        </w:rPr>
        <w:t xml:space="preserve"> MTB/RIF </w:t>
      </w:r>
      <w:r w:rsidR="009A4971" w:rsidRPr="00ED35A9">
        <w:rPr>
          <w:rFonts w:cs="Times New Roman"/>
          <w:szCs w:val="28"/>
          <w:lang w:val="uk-UA"/>
        </w:rPr>
        <w:t>і</w:t>
      </w:r>
      <w:r w:rsidRPr="00ED35A9">
        <w:rPr>
          <w:rFonts w:cs="Times New Roman"/>
          <w:szCs w:val="28"/>
          <w:lang w:val="uk-UA"/>
        </w:rPr>
        <w:t xml:space="preserve"> LPA, є бажаними при проведенні відбору пацієнтів для лікування за схемою (H)REZ-</w:t>
      </w:r>
      <w:proofErr w:type="spellStart"/>
      <w:r w:rsidRPr="00ED35A9">
        <w:rPr>
          <w:rFonts w:cs="Times New Roman"/>
          <w:szCs w:val="28"/>
          <w:lang w:val="uk-UA"/>
        </w:rPr>
        <w:t>левофлоксацин</w:t>
      </w:r>
      <w:proofErr w:type="spellEnd"/>
      <w:r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szCs w:val="28"/>
          <w:lang w:val="uk-UA"/>
        </w:rPr>
        <w:t xml:space="preserve">За даними нагляду щодо ЛС-ТБ, резистентність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у пацієнтів з </w:t>
      </w:r>
      <w:proofErr w:type="spellStart"/>
      <w:r w:rsidRPr="00ED35A9">
        <w:rPr>
          <w:rFonts w:cs="Times New Roman"/>
          <w:szCs w:val="28"/>
          <w:lang w:val="uk-UA"/>
        </w:rPr>
        <w:t>рифампіцин</w:t>
      </w:r>
      <w:proofErr w:type="spellEnd"/>
      <w:r w:rsidRPr="00ED35A9">
        <w:rPr>
          <w:rFonts w:cs="Times New Roman"/>
          <w:szCs w:val="28"/>
          <w:lang w:val="uk-UA"/>
        </w:rPr>
        <w:t xml:space="preserve">-чутливим ТБ є зазвичай низькою в усьому світі </w:t>
      </w:r>
      <w:r w:rsidRPr="00ED35A9">
        <w:rPr>
          <w:rFonts w:cs="Times New Roman"/>
          <w:i/>
          <w:szCs w:val="28"/>
          <w:lang w:val="uk-UA"/>
        </w:rPr>
        <w:t>(31)</w:t>
      </w:r>
      <w:r w:rsidRPr="00ED35A9">
        <w:rPr>
          <w:rFonts w:cs="Times New Roman"/>
          <w:szCs w:val="28"/>
          <w:lang w:val="uk-UA"/>
        </w:rPr>
        <w:t xml:space="preserve">. Проте під час впровадження у країні рекомендації з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наявність національних даних щодо поширеності резистентності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зокрема проведення </w:t>
      </w:r>
      <w:proofErr w:type="spellStart"/>
      <w:r w:rsidRPr="00ED35A9">
        <w:rPr>
          <w:rFonts w:cs="Times New Roman"/>
          <w:szCs w:val="28"/>
          <w:lang w:val="uk-UA"/>
        </w:rPr>
        <w:t>таргетованого</w:t>
      </w:r>
      <w:proofErr w:type="spellEnd"/>
      <w:r w:rsidRPr="00ED35A9">
        <w:rPr>
          <w:rFonts w:cs="Times New Roman"/>
          <w:szCs w:val="28"/>
          <w:lang w:val="uk-UA"/>
        </w:rPr>
        <w:t xml:space="preserve"> чи </w:t>
      </w:r>
      <w:proofErr w:type="spellStart"/>
      <w:r w:rsidRPr="00ED35A9">
        <w:rPr>
          <w:rFonts w:cs="Times New Roman"/>
          <w:szCs w:val="28"/>
          <w:lang w:val="uk-UA"/>
        </w:rPr>
        <w:t>повногеномного</w:t>
      </w:r>
      <w:proofErr w:type="spellEnd"/>
      <w:r w:rsidRPr="00ED35A9">
        <w:rPr>
          <w:rFonts w:cs="Times New Roman"/>
          <w:szCs w:val="28"/>
          <w:lang w:val="uk-UA"/>
        </w:rPr>
        <w:t xml:space="preserve"> </w:t>
      </w:r>
      <w:proofErr w:type="spellStart"/>
      <w:r w:rsidRPr="00ED35A9">
        <w:rPr>
          <w:rFonts w:cs="Times New Roman"/>
          <w:szCs w:val="28"/>
          <w:lang w:val="uk-UA"/>
        </w:rPr>
        <w:t>секвенування</w:t>
      </w:r>
      <w:proofErr w:type="spellEnd"/>
      <w:r w:rsidRPr="00ED35A9">
        <w:rPr>
          <w:rFonts w:cs="Times New Roman"/>
          <w:szCs w:val="28"/>
          <w:lang w:val="uk-UA"/>
        </w:rPr>
        <w:t xml:space="preserve"> для виявлення конкретних мутацій, пов’язаних з резистентністю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w:t>
      </w:r>
      <w:r w:rsidRPr="00ED35A9">
        <w:rPr>
          <w:rFonts w:cs="Times New Roman"/>
          <w:i/>
          <w:szCs w:val="28"/>
          <w:lang w:val="uk-UA"/>
        </w:rPr>
        <w:t>(32)</w:t>
      </w:r>
      <w:r w:rsidRPr="00ED35A9">
        <w:rPr>
          <w:rFonts w:cs="Times New Roman"/>
          <w:szCs w:val="28"/>
          <w:lang w:val="uk-UA"/>
        </w:rPr>
        <w:t xml:space="preserve">, може допомогти у </w:t>
      </w:r>
      <w:r w:rsidR="009A4971" w:rsidRPr="00ED35A9">
        <w:rPr>
          <w:rFonts w:cs="Times New Roman"/>
          <w:szCs w:val="28"/>
          <w:lang w:val="uk-UA"/>
        </w:rPr>
        <w:t>виборі</w:t>
      </w:r>
      <w:r w:rsidRPr="00ED35A9">
        <w:rPr>
          <w:rFonts w:cs="Times New Roman"/>
          <w:szCs w:val="28"/>
          <w:lang w:val="uk-UA"/>
        </w:rPr>
        <w:t xml:space="preserve"> стратегії тестування.</w:t>
      </w:r>
    </w:p>
    <w:p w:rsidR="004B5B7F" w:rsidRPr="00ED35A9" w:rsidRDefault="004B5B7F" w:rsidP="000E0B10">
      <w:pPr>
        <w:rPr>
          <w:rFonts w:cs="Times New Roman"/>
          <w:szCs w:val="28"/>
          <w:lang w:val="uk-UA"/>
        </w:rPr>
      </w:pPr>
      <w:r w:rsidRPr="00ED35A9">
        <w:rPr>
          <w:rFonts w:cs="Times New Roman"/>
          <w:szCs w:val="28"/>
          <w:lang w:val="uk-UA"/>
        </w:rPr>
        <w:t xml:space="preserve">За наявності підозрюваної або підтвердженої додаткової резистентності (наприклад, як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так і до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відповідні схеми лікування можуть потребувати індивідуального планування із призначенням </w:t>
      </w:r>
      <w:r w:rsidRPr="00ED35A9">
        <w:rPr>
          <w:rFonts w:cs="Times New Roman"/>
          <w:szCs w:val="28"/>
          <w:lang w:val="uk-UA"/>
        </w:rPr>
        <w:lastRenderedPageBreak/>
        <w:t>інших ПТП другого ряду. Під час проведення поточного огляду не виявлено додаткових доказових даних щодо ефективних</w:t>
      </w:r>
      <w:r w:rsidR="009A4971" w:rsidRPr="00ED35A9">
        <w:rPr>
          <w:rFonts w:cs="Times New Roman"/>
          <w:szCs w:val="28"/>
          <w:lang w:val="uk-UA"/>
        </w:rPr>
        <w:t xml:space="preserve"> схем для лікування пацієнтів з </w:t>
      </w:r>
      <w:proofErr w:type="spellStart"/>
      <w:r w:rsidRPr="00ED35A9">
        <w:rPr>
          <w:rFonts w:cs="Times New Roman"/>
          <w:szCs w:val="28"/>
          <w:lang w:val="uk-UA"/>
        </w:rPr>
        <w:t>полірезистентним</w:t>
      </w:r>
      <w:proofErr w:type="spellEnd"/>
      <w:r w:rsidRPr="00ED35A9">
        <w:rPr>
          <w:rFonts w:cs="Times New Roman"/>
          <w:szCs w:val="28"/>
          <w:lang w:val="uk-UA"/>
        </w:rPr>
        <w:t xml:space="preserve"> захворюванням.</w:t>
      </w:r>
    </w:p>
    <w:p w:rsidR="004B5B7F" w:rsidRPr="00ED35A9" w:rsidRDefault="004B5B7F" w:rsidP="000E0B10">
      <w:pPr>
        <w:rPr>
          <w:rFonts w:cs="Times New Roman"/>
          <w:szCs w:val="28"/>
          <w:lang w:val="uk-UA"/>
        </w:rPr>
      </w:pPr>
      <w:r w:rsidRPr="00ED35A9">
        <w:rPr>
          <w:rFonts w:cs="Times New Roman"/>
          <w:szCs w:val="28"/>
          <w:lang w:val="uk-UA"/>
        </w:rPr>
        <w:t xml:space="preserve">Для максимального підвищення рівня прихильності до лікування та раннього виявлення осіб, що не реагують на лікування (наприклад, пацієнтів з позитивною </w:t>
      </w:r>
      <w:proofErr w:type="spellStart"/>
      <w:r w:rsidRPr="00ED35A9">
        <w:rPr>
          <w:rFonts w:cs="Times New Roman"/>
          <w:szCs w:val="28"/>
          <w:lang w:val="uk-UA"/>
        </w:rPr>
        <w:t>персистенцією</w:t>
      </w:r>
      <w:proofErr w:type="spellEnd"/>
      <w:r w:rsidRPr="00ED35A9">
        <w:rPr>
          <w:rFonts w:cs="Times New Roman"/>
          <w:szCs w:val="28"/>
          <w:lang w:val="uk-UA"/>
        </w:rPr>
        <w:t xml:space="preserve"> мокротиння у </w:t>
      </w:r>
      <w:proofErr w:type="spellStart"/>
      <w:r w:rsidRPr="00ED35A9">
        <w:rPr>
          <w:rFonts w:cs="Times New Roman"/>
          <w:szCs w:val="28"/>
          <w:lang w:val="uk-UA"/>
        </w:rPr>
        <w:t>культуральному</w:t>
      </w:r>
      <w:proofErr w:type="spellEnd"/>
      <w:r w:rsidRPr="00ED35A9">
        <w:rPr>
          <w:rFonts w:cs="Times New Roman"/>
          <w:szCs w:val="28"/>
          <w:lang w:val="uk-UA"/>
        </w:rPr>
        <w:t xml:space="preserve"> </w:t>
      </w:r>
      <w:r w:rsidR="00062299" w:rsidRPr="00ED35A9">
        <w:rPr>
          <w:rFonts w:cs="Times New Roman"/>
          <w:szCs w:val="28"/>
          <w:lang w:val="uk-UA"/>
        </w:rPr>
        <w:t xml:space="preserve">дослідженні </w:t>
      </w:r>
      <w:r w:rsidRPr="00ED35A9">
        <w:rPr>
          <w:rFonts w:cs="Times New Roman"/>
          <w:szCs w:val="28"/>
          <w:lang w:val="uk-UA"/>
        </w:rPr>
        <w:t xml:space="preserve">або мазку), необхідним є надання підтримки та проведення постійного моніторингу. За умови відсутності реакції на лікування, показане повторне проведення ТМЧ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та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бажано за допомогою </w:t>
      </w:r>
      <w:proofErr w:type="spellStart"/>
      <w:r w:rsidRPr="00ED35A9">
        <w:rPr>
          <w:rFonts w:cs="Times New Roman"/>
          <w:szCs w:val="28"/>
          <w:lang w:val="uk-UA"/>
        </w:rPr>
        <w:t>Xpert</w:t>
      </w:r>
      <w:proofErr w:type="spellEnd"/>
      <w:r w:rsidRPr="00ED35A9">
        <w:rPr>
          <w:rFonts w:cs="Times New Roman"/>
          <w:szCs w:val="28"/>
          <w:lang w:val="uk-UA"/>
        </w:rPr>
        <w:t xml:space="preserve"> MTB/RIF або LPA. Наявність задокументованого набуття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або </w:t>
      </w:r>
      <w:proofErr w:type="spellStart"/>
      <w:r w:rsidRPr="00ED35A9">
        <w:rPr>
          <w:rFonts w:cs="Times New Roman"/>
          <w:szCs w:val="28"/>
          <w:lang w:val="uk-UA"/>
        </w:rPr>
        <w:t>фторхінолону</w:t>
      </w:r>
      <w:proofErr w:type="spellEnd"/>
      <w:r w:rsidRPr="00ED35A9">
        <w:rPr>
          <w:rFonts w:cs="Times New Roman"/>
          <w:szCs w:val="28"/>
          <w:lang w:val="uk-UA"/>
        </w:rPr>
        <w:t xml:space="preserve"> при застосуванні схеми лікування </w:t>
      </w:r>
      <w:proofErr w:type="spellStart"/>
      <w:r w:rsidRPr="00ED35A9">
        <w:rPr>
          <w:rFonts w:cs="Times New Roman"/>
          <w:szCs w:val="28"/>
          <w:lang w:val="uk-UA"/>
        </w:rPr>
        <w:t>Hрез</w:t>
      </w:r>
      <w:proofErr w:type="spellEnd"/>
      <w:r w:rsidRPr="00ED35A9">
        <w:rPr>
          <w:rFonts w:cs="Times New Roman"/>
          <w:szCs w:val="28"/>
          <w:lang w:val="uk-UA"/>
        </w:rPr>
        <w:t>-ТБ свідчить про необхідність повного перегляду клінічного й мікробіологічного статусу пацієнта та відповідної зміни схеми лікування.</w:t>
      </w:r>
    </w:p>
    <w:p w:rsidR="004B5B7F" w:rsidRPr="00ED35A9" w:rsidRDefault="004B5B7F" w:rsidP="000E0B10">
      <w:pPr>
        <w:rPr>
          <w:rFonts w:cs="Times New Roman"/>
          <w:szCs w:val="28"/>
          <w:lang w:val="uk-UA"/>
        </w:rPr>
      </w:pPr>
      <w:proofErr w:type="spellStart"/>
      <w:r w:rsidRPr="00ED35A9">
        <w:rPr>
          <w:rFonts w:cs="Times New Roman"/>
          <w:szCs w:val="28"/>
          <w:lang w:val="uk-UA"/>
        </w:rPr>
        <w:t>Левофлоксацин</w:t>
      </w:r>
      <w:proofErr w:type="spellEnd"/>
      <w:r w:rsidRPr="00ED35A9">
        <w:rPr>
          <w:rFonts w:cs="Times New Roman"/>
          <w:szCs w:val="28"/>
          <w:lang w:val="uk-UA"/>
        </w:rPr>
        <w:t xml:space="preserve"> запропоновано як </w:t>
      </w:r>
      <w:proofErr w:type="spellStart"/>
      <w:r w:rsidRPr="00ED35A9">
        <w:rPr>
          <w:rFonts w:cs="Times New Roman"/>
          <w:szCs w:val="28"/>
          <w:lang w:val="uk-UA"/>
        </w:rPr>
        <w:t>фторхінолон</w:t>
      </w:r>
      <w:proofErr w:type="spellEnd"/>
      <w:r w:rsidRPr="00ED35A9">
        <w:rPr>
          <w:rFonts w:cs="Times New Roman"/>
          <w:szCs w:val="28"/>
          <w:lang w:val="uk-UA"/>
        </w:rPr>
        <w:t xml:space="preserve"> першого вибору у схемі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з ряду причин. По-перше, цей препарат має краще описаний профіль безпечності порівняно з іншими </w:t>
      </w:r>
      <w:proofErr w:type="spellStart"/>
      <w:r w:rsidRPr="00ED35A9">
        <w:rPr>
          <w:rFonts w:cs="Times New Roman"/>
          <w:szCs w:val="28"/>
          <w:lang w:val="uk-UA"/>
        </w:rPr>
        <w:t>фторхінолонами</w:t>
      </w:r>
      <w:proofErr w:type="spellEnd"/>
      <w:r w:rsidRPr="00ED35A9">
        <w:rPr>
          <w:rFonts w:cs="Times New Roman"/>
          <w:szCs w:val="28"/>
          <w:lang w:val="uk-UA"/>
        </w:rPr>
        <w:t xml:space="preserve">, та його найчастіше застосовували у дослідженнях, розглянутих під час розробки цієї настанови. По-друге, </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має менше відомих взаємодій з іншими препаратами порівняно з </w:t>
      </w:r>
      <w:proofErr w:type="spellStart"/>
      <w:r w:rsidRPr="00ED35A9">
        <w:rPr>
          <w:rFonts w:cs="Times New Roman"/>
          <w:szCs w:val="28"/>
          <w:lang w:val="uk-UA"/>
        </w:rPr>
        <w:t>моксіфлоксацином</w:t>
      </w:r>
      <w:proofErr w:type="spellEnd"/>
      <w:r w:rsidR="0028468D" w:rsidRPr="00ED35A9">
        <w:rPr>
          <w:rFonts w:cs="Times New Roman"/>
          <w:szCs w:val="28"/>
          <w:lang w:val="uk-UA"/>
        </w:rPr>
        <w:t xml:space="preserve"> (</w:t>
      </w:r>
      <w:proofErr w:type="spellStart"/>
      <w:r w:rsidR="0028468D" w:rsidRPr="00ED35A9">
        <w:rPr>
          <w:rFonts w:cs="Times New Roman"/>
          <w:szCs w:val="28"/>
          <w:lang w:val="uk-UA"/>
        </w:rPr>
        <w:t>Mfx</w:t>
      </w:r>
      <w:proofErr w:type="spellEnd"/>
      <w:r w:rsidR="0028468D" w:rsidRPr="00ED35A9">
        <w:rPr>
          <w:rFonts w:cs="Times New Roman"/>
          <w:szCs w:val="28"/>
          <w:lang w:val="uk-UA"/>
        </w:rPr>
        <w:t>)</w:t>
      </w:r>
      <w:r w:rsidRPr="00ED35A9">
        <w:rPr>
          <w:rFonts w:cs="Times New Roman"/>
          <w:szCs w:val="28"/>
          <w:lang w:val="uk-UA"/>
        </w:rPr>
        <w:t xml:space="preserve">. Наприклад, пікова концентрація у плазмі крові та експозиція до </w:t>
      </w:r>
      <w:proofErr w:type="spellStart"/>
      <w:r w:rsidRPr="00ED35A9">
        <w:rPr>
          <w:rFonts w:cs="Times New Roman"/>
          <w:szCs w:val="28"/>
          <w:lang w:val="uk-UA"/>
        </w:rPr>
        <w:t>моксіфлоксацину</w:t>
      </w:r>
      <w:proofErr w:type="spellEnd"/>
      <w:r w:rsidRPr="00ED35A9">
        <w:rPr>
          <w:rFonts w:cs="Times New Roman"/>
          <w:szCs w:val="28"/>
          <w:lang w:val="uk-UA"/>
        </w:rPr>
        <w:t xml:space="preserve"> істотно знижується при поєднанні з </w:t>
      </w:r>
      <w:proofErr w:type="spellStart"/>
      <w:r w:rsidRPr="00ED35A9">
        <w:rPr>
          <w:rFonts w:cs="Times New Roman"/>
          <w:szCs w:val="28"/>
          <w:lang w:val="uk-UA"/>
        </w:rPr>
        <w:t>рифампіцином</w:t>
      </w:r>
      <w:proofErr w:type="spellEnd"/>
      <w:r w:rsidRPr="00ED35A9">
        <w:rPr>
          <w:rFonts w:cs="Times New Roman"/>
          <w:szCs w:val="28"/>
          <w:lang w:val="uk-UA"/>
        </w:rPr>
        <w:t xml:space="preserve"> </w:t>
      </w:r>
      <w:r w:rsidRPr="00ED35A9">
        <w:rPr>
          <w:rFonts w:cs="Times New Roman"/>
          <w:i/>
          <w:szCs w:val="28"/>
          <w:lang w:val="uk-UA"/>
        </w:rPr>
        <w:t>(33)</w:t>
      </w:r>
      <w:r w:rsidRPr="00ED35A9">
        <w:rPr>
          <w:rFonts w:cs="Times New Roman"/>
          <w:szCs w:val="28"/>
          <w:lang w:val="uk-UA"/>
        </w:rPr>
        <w:t xml:space="preserve">, але при застосуванні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про такий ефект не повідомлялося, ймовірно, через здатність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проходити обмежений цикл метаболізму та у незміненому вигляді виводитися з сечею </w:t>
      </w:r>
      <w:r w:rsidRPr="00ED35A9">
        <w:rPr>
          <w:rFonts w:cs="Times New Roman"/>
          <w:i/>
          <w:szCs w:val="28"/>
          <w:lang w:val="uk-UA"/>
        </w:rPr>
        <w:t>(34)</w:t>
      </w:r>
      <w:r w:rsidRPr="00ED35A9">
        <w:rPr>
          <w:rFonts w:cs="Times New Roman"/>
          <w:szCs w:val="28"/>
          <w:lang w:val="uk-UA"/>
        </w:rPr>
        <w:t xml:space="preserve">. Крім того, хоча він може впливати на кліренс </w:t>
      </w:r>
      <w:proofErr w:type="spellStart"/>
      <w:r w:rsidRPr="00ED35A9">
        <w:rPr>
          <w:rFonts w:cs="Times New Roman"/>
          <w:szCs w:val="28"/>
          <w:lang w:val="uk-UA"/>
        </w:rPr>
        <w:t>ламівудину</w:t>
      </w:r>
      <w:proofErr w:type="spellEnd"/>
      <w:r w:rsidRPr="00ED35A9">
        <w:rPr>
          <w:rFonts w:cs="Times New Roman"/>
          <w:szCs w:val="28"/>
          <w:lang w:val="uk-UA"/>
        </w:rPr>
        <w:t xml:space="preserve">, але на відміну від </w:t>
      </w:r>
      <w:proofErr w:type="spellStart"/>
      <w:r w:rsidRPr="00ED35A9">
        <w:rPr>
          <w:rFonts w:cs="Times New Roman"/>
          <w:szCs w:val="28"/>
          <w:lang w:val="uk-UA"/>
        </w:rPr>
        <w:t>моксіфлоксацину</w:t>
      </w:r>
      <w:proofErr w:type="spellEnd"/>
      <w:r w:rsidRPr="00ED35A9">
        <w:rPr>
          <w:rFonts w:cs="Times New Roman"/>
          <w:szCs w:val="28"/>
          <w:lang w:val="uk-UA"/>
        </w:rPr>
        <w:t xml:space="preserve">, немає протипоказань щодо його застосування з іншими </w:t>
      </w:r>
      <w:proofErr w:type="spellStart"/>
      <w:r w:rsidRPr="00ED35A9">
        <w:rPr>
          <w:rFonts w:cs="Times New Roman"/>
          <w:szCs w:val="28"/>
          <w:lang w:val="uk-UA"/>
        </w:rPr>
        <w:t>антиретровірусними</w:t>
      </w:r>
      <w:proofErr w:type="spellEnd"/>
      <w:r w:rsidRPr="00ED35A9">
        <w:rPr>
          <w:rFonts w:cs="Times New Roman"/>
          <w:szCs w:val="28"/>
          <w:lang w:val="uk-UA"/>
        </w:rPr>
        <w:t xml:space="preserve"> препаратами </w:t>
      </w:r>
      <w:r w:rsidRPr="00ED35A9">
        <w:rPr>
          <w:rFonts w:cs="Times New Roman"/>
          <w:i/>
          <w:szCs w:val="28"/>
          <w:lang w:val="uk-UA"/>
        </w:rPr>
        <w:t>(35)</w:t>
      </w:r>
      <w:r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szCs w:val="28"/>
          <w:lang w:val="uk-UA"/>
        </w:rPr>
        <w:t xml:space="preserve">Додавання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до (H)REZ рекомендовано у пацієнтів з </w:t>
      </w:r>
      <w:proofErr w:type="spellStart"/>
      <w:r w:rsidRPr="00ED35A9">
        <w:rPr>
          <w:rFonts w:cs="Times New Roman"/>
          <w:szCs w:val="28"/>
          <w:lang w:val="uk-UA"/>
        </w:rPr>
        <w:t>Hрез</w:t>
      </w:r>
      <w:proofErr w:type="spellEnd"/>
      <w:r w:rsidRPr="00ED35A9">
        <w:rPr>
          <w:rFonts w:cs="Times New Roman"/>
          <w:szCs w:val="28"/>
          <w:lang w:val="uk-UA"/>
        </w:rPr>
        <w:t>-ТБ, за винятком наступних випадків:</w:t>
      </w:r>
    </w:p>
    <w:p w:rsidR="004B5B7F" w:rsidRPr="00ED35A9" w:rsidRDefault="004B5B7F" w:rsidP="009B681D">
      <w:pPr>
        <w:pStyle w:val="a7"/>
        <w:numPr>
          <w:ilvl w:val="0"/>
          <w:numId w:val="1"/>
        </w:numPr>
        <w:ind w:left="993" w:hanging="284"/>
        <w:rPr>
          <w:rFonts w:cs="Times New Roman"/>
          <w:szCs w:val="28"/>
          <w:lang w:val="uk-UA"/>
        </w:rPr>
      </w:pPr>
      <w:r w:rsidRPr="00ED35A9">
        <w:rPr>
          <w:rFonts w:cs="Times New Roman"/>
          <w:szCs w:val="28"/>
          <w:lang w:val="uk-UA"/>
        </w:rPr>
        <w:t xml:space="preserve">неможливість виключення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(наприклад, невідома чутливість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невизначені/ помилкові результати тестування </w:t>
      </w:r>
      <w:proofErr w:type="spellStart"/>
      <w:r w:rsidRPr="00ED35A9">
        <w:rPr>
          <w:rFonts w:cs="Times New Roman"/>
          <w:szCs w:val="28"/>
          <w:lang w:val="uk-UA"/>
        </w:rPr>
        <w:t>Xpert</w:t>
      </w:r>
      <w:proofErr w:type="spellEnd"/>
      <w:r w:rsidRPr="00ED35A9">
        <w:rPr>
          <w:rFonts w:cs="Times New Roman"/>
          <w:szCs w:val="28"/>
          <w:lang w:val="uk-UA"/>
        </w:rPr>
        <w:t xml:space="preserve"> MTB/RIF);</w:t>
      </w:r>
    </w:p>
    <w:p w:rsidR="004B5B7F" w:rsidRPr="00ED35A9" w:rsidRDefault="004B5B7F" w:rsidP="009B681D">
      <w:pPr>
        <w:pStyle w:val="a7"/>
        <w:numPr>
          <w:ilvl w:val="0"/>
          <w:numId w:val="1"/>
        </w:numPr>
        <w:ind w:left="993" w:hanging="284"/>
        <w:rPr>
          <w:rFonts w:cs="Times New Roman"/>
          <w:szCs w:val="28"/>
          <w:lang w:val="uk-UA"/>
        </w:rPr>
      </w:pPr>
      <w:r w:rsidRPr="00ED35A9">
        <w:rPr>
          <w:rFonts w:cs="Times New Roman"/>
          <w:szCs w:val="28"/>
          <w:lang w:val="uk-UA"/>
        </w:rPr>
        <w:t xml:space="preserve">підозрювана або визначена резистентність до </w:t>
      </w:r>
      <w:proofErr w:type="spellStart"/>
      <w:r w:rsidRPr="00ED35A9">
        <w:rPr>
          <w:rFonts w:cs="Times New Roman"/>
          <w:szCs w:val="28"/>
          <w:lang w:val="uk-UA"/>
        </w:rPr>
        <w:t>левофлоксацину</w:t>
      </w:r>
      <w:proofErr w:type="spellEnd"/>
      <w:r w:rsidRPr="00ED35A9">
        <w:rPr>
          <w:rFonts w:cs="Times New Roman"/>
          <w:szCs w:val="28"/>
          <w:lang w:val="uk-UA"/>
        </w:rPr>
        <w:t>;</w:t>
      </w:r>
    </w:p>
    <w:p w:rsidR="004B5B7F" w:rsidRPr="00ED35A9" w:rsidRDefault="004B5B7F" w:rsidP="009B681D">
      <w:pPr>
        <w:pStyle w:val="a7"/>
        <w:numPr>
          <w:ilvl w:val="0"/>
          <w:numId w:val="1"/>
        </w:numPr>
        <w:ind w:left="993" w:hanging="284"/>
        <w:rPr>
          <w:rFonts w:cs="Times New Roman"/>
          <w:szCs w:val="28"/>
          <w:lang w:val="uk-UA"/>
        </w:rPr>
      </w:pPr>
      <w:r w:rsidRPr="00ED35A9">
        <w:rPr>
          <w:rFonts w:cs="Times New Roman"/>
          <w:szCs w:val="28"/>
          <w:lang w:val="uk-UA"/>
        </w:rPr>
        <w:t xml:space="preserve">визначена </w:t>
      </w:r>
      <w:proofErr w:type="spellStart"/>
      <w:r w:rsidRPr="00ED35A9">
        <w:rPr>
          <w:rFonts w:cs="Times New Roman"/>
          <w:szCs w:val="28"/>
          <w:lang w:val="uk-UA"/>
        </w:rPr>
        <w:t>непереносність</w:t>
      </w:r>
      <w:proofErr w:type="spellEnd"/>
      <w:r w:rsidRPr="00ED35A9">
        <w:rPr>
          <w:rFonts w:cs="Times New Roman"/>
          <w:szCs w:val="28"/>
          <w:lang w:val="uk-UA"/>
        </w:rPr>
        <w:t xml:space="preserve"> </w:t>
      </w:r>
      <w:proofErr w:type="spellStart"/>
      <w:r w:rsidRPr="00ED35A9">
        <w:rPr>
          <w:rFonts w:cs="Times New Roman"/>
          <w:szCs w:val="28"/>
          <w:lang w:val="uk-UA"/>
        </w:rPr>
        <w:t>фторхінолонів</w:t>
      </w:r>
      <w:proofErr w:type="spellEnd"/>
      <w:r w:rsidRPr="00ED35A9">
        <w:rPr>
          <w:rFonts w:cs="Times New Roman"/>
          <w:szCs w:val="28"/>
          <w:lang w:val="uk-UA"/>
        </w:rPr>
        <w:t>;</w:t>
      </w:r>
    </w:p>
    <w:p w:rsidR="004B5B7F" w:rsidRPr="00ED35A9" w:rsidRDefault="004B5B7F" w:rsidP="009B681D">
      <w:pPr>
        <w:pStyle w:val="a7"/>
        <w:numPr>
          <w:ilvl w:val="0"/>
          <w:numId w:val="1"/>
        </w:numPr>
        <w:ind w:left="993" w:hanging="284"/>
        <w:rPr>
          <w:rFonts w:cs="Times New Roman"/>
          <w:szCs w:val="28"/>
          <w:lang w:val="uk-UA"/>
        </w:rPr>
      </w:pPr>
      <w:r w:rsidRPr="00ED35A9">
        <w:rPr>
          <w:rFonts w:cs="Times New Roman"/>
          <w:szCs w:val="28"/>
          <w:lang w:val="uk-UA"/>
        </w:rPr>
        <w:t>підозрюваний або визначений ризик подовження інтервалу QT</w:t>
      </w:r>
      <w:r w:rsidRPr="00ED35A9">
        <w:rPr>
          <w:vertAlign w:val="superscript"/>
          <w:lang w:val="uk-UA"/>
        </w:rPr>
        <w:footnoteReference w:id="13"/>
      </w:r>
      <w:r w:rsidRPr="00ED35A9">
        <w:rPr>
          <w:rFonts w:cs="Times New Roman"/>
          <w:szCs w:val="28"/>
          <w:lang w:val="uk-UA"/>
        </w:rPr>
        <w:t>;</w:t>
      </w:r>
    </w:p>
    <w:p w:rsidR="004B5B7F" w:rsidRPr="00ED35A9" w:rsidRDefault="004B5B7F" w:rsidP="009B681D">
      <w:pPr>
        <w:pStyle w:val="a7"/>
        <w:numPr>
          <w:ilvl w:val="0"/>
          <w:numId w:val="1"/>
        </w:numPr>
        <w:ind w:left="993" w:hanging="284"/>
        <w:rPr>
          <w:rFonts w:cs="Times New Roman"/>
          <w:szCs w:val="28"/>
          <w:lang w:val="uk-UA"/>
        </w:rPr>
      </w:pPr>
      <w:r w:rsidRPr="00ED35A9">
        <w:rPr>
          <w:rFonts w:cs="Times New Roman"/>
          <w:szCs w:val="28"/>
          <w:lang w:val="uk-UA"/>
        </w:rPr>
        <w:t>вагітність або період грудного вигодовування (не є абсолютним протипоказанням).</w:t>
      </w:r>
    </w:p>
    <w:p w:rsidR="004B5B7F" w:rsidRPr="00ED35A9" w:rsidRDefault="004B5B7F" w:rsidP="000E0B10">
      <w:pPr>
        <w:rPr>
          <w:rFonts w:cs="Times New Roman"/>
          <w:szCs w:val="28"/>
          <w:lang w:val="uk-UA"/>
        </w:rPr>
      </w:pPr>
      <w:r w:rsidRPr="00ED35A9">
        <w:rPr>
          <w:rFonts w:cs="Times New Roman"/>
          <w:szCs w:val="28"/>
          <w:lang w:val="uk-UA"/>
        </w:rPr>
        <w:t xml:space="preserve">Якщо було пізно підтверджено резистентність до </w:t>
      </w:r>
      <w:proofErr w:type="spellStart"/>
      <w:r w:rsidRPr="00ED35A9">
        <w:rPr>
          <w:rFonts w:cs="Times New Roman"/>
          <w:szCs w:val="28"/>
          <w:lang w:val="uk-UA"/>
        </w:rPr>
        <w:t>ізоніазиду</w:t>
      </w:r>
      <w:proofErr w:type="spellEnd"/>
      <w:r w:rsidRPr="00ED35A9">
        <w:rPr>
          <w:rFonts w:cs="Times New Roman"/>
          <w:szCs w:val="28"/>
          <w:lang w:val="uk-UA"/>
        </w:rPr>
        <w:t xml:space="preserve"> (наприклад, через 5 міс після початку лікування за схемою 2HREZ/4HR), то рішення щодо початку 6-місячної схеми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за цих умов залежить від клінічного стану пацієнта та мікробіологічного статусу.</w:t>
      </w:r>
    </w:p>
    <w:p w:rsidR="004B5B7F" w:rsidRPr="00ED35A9" w:rsidRDefault="004B5B7F" w:rsidP="00ED35A9">
      <w:pPr>
        <w:spacing w:line="233" w:lineRule="auto"/>
        <w:rPr>
          <w:rFonts w:cs="Times New Roman"/>
          <w:szCs w:val="28"/>
          <w:lang w:val="uk-UA"/>
        </w:rPr>
      </w:pPr>
      <w:r w:rsidRPr="00ED35A9">
        <w:rPr>
          <w:rFonts w:cs="Times New Roman"/>
          <w:szCs w:val="28"/>
          <w:lang w:val="uk-UA"/>
        </w:rPr>
        <w:lastRenderedPageBreak/>
        <w:t xml:space="preserve">Якщо застосування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є неможливим через токсичність або резистентність, то пацієнт може отримувати лікування за альтернативною схемою 6(H)REZ. За результатами огляду доказових даних, проведеного для підготовки цієї настанови, не рекомендовано заміняти </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на ін’єкційний препарат. Під час проведення огляду доказових даних не було визначено вплив інших ПТП другого ряду на ефективність лікування.</w:t>
      </w:r>
    </w:p>
    <w:p w:rsidR="004B5B7F" w:rsidRPr="00ED35A9" w:rsidRDefault="004B5B7F" w:rsidP="00ED35A9">
      <w:pPr>
        <w:spacing w:line="233" w:lineRule="auto"/>
        <w:rPr>
          <w:rFonts w:cs="Times New Roman"/>
          <w:szCs w:val="28"/>
          <w:lang w:val="uk-UA"/>
        </w:rPr>
      </w:pPr>
      <w:r w:rsidRPr="00ED35A9">
        <w:rPr>
          <w:rFonts w:cs="Times New Roman"/>
          <w:b/>
          <w:i/>
          <w:szCs w:val="28"/>
          <w:lang w:val="uk-UA"/>
        </w:rPr>
        <w:t xml:space="preserve">Додавання </w:t>
      </w:r>
      <w:proofErr w:type="spellStart"/>
      <w:r w:rsidRPr="00ED35A9">
        <w:rPr>
          <w:rFonts w:cs="Times New Roman"/>
          <w:b/>
          <w:i/>
          <w:szCs w:val="28"/>
          <w:lang w:val="uk-UA"/>
        </w:rPr>
        <w:t>ізоніазиду</w:t>
      </w:r>
      <w:proofErr w:type="spellEnd"/>
      <w:r w:rsidRPr="00ED35A9">
        <w:rPr>
          <w:rFonts w:cs="Times New Roman"/>
          <w:b/>
          <w:i/>
          <w:szCs w:val="28"/>
          <w:lang w:val="uk-UA"/>
        </w:rPr>
        <w:t>.</w:t>
      </w:r>
      <w:r w:rsidRPr="00ED35A9">
        <w:rPr>
          <w:rFonts w:cs="Times New Roman"/>
          <w:szCs w:val="28"/>
          <w:lang w:val="uk-UA"/>
        </w:rPr>
        <w:t xml:space="preserve"> Не виявлено чітких доказових даних, які свідчили б про те, що додавання </w:t>
      </w:r>
      <w:proofErr w:type="spellStart"/>
      <w:r w:rsidRPr="00ED35A9">
        <w:rPr>
          <w:rFonts w:cs="Times New Roman"/>
          <w:szCs w:val="28"/>
          <w:lang w:val="uk-UA"/>
        </w:rPr>
        <w:t>ізоніазиду</w:t>
      </w:r>
      <w:proofErr w:type="spellEnd"/>
      <w:r w:rsidRPr="00ED35A9">
        <w:rPr>
          <w:rFonts w:cs="Times New Roman"/>
          <w:szCs w:val="28"/>
          <w:lang w:val="uk-UA"/>
        </w:rPr>
        <w:t xml:space="preserve"> приносить користь або шкоду пацієнтам. З огляду на зручність для пацієнтів та спрощення прийому, для лікування </w:t>
      </w:r>
      <w:proofErr w:type="spellStart"/>
      <w:r w:rsidRPr="00ED35A9">
        <w:rPr>
          <w:rFonts w:cs="Times New Roman"/>
          <w:szCs w:val="28"/>
          <w:lang w:val="uk-UA"/>
        </w:rPr>
        <w:t>Hрез</w:t>
      </w:r>
      <w:proofErr w:type="spellEnd"/>
      <w:r w:rsidRPr="00ED35A9">
        <w:rPr>
          <w:rFonts w:cs="Times New Roman"/>
          <w:szCs w:val="28"/>
          <w:lang w:val="uk-UA"/>
        </w:rPr>
        <w:t>-ТБ можна застосовувати КПФД з чотирьох компонентів HREZ</w:t>
      </w:r>
      <w:r w:rsidRPr="00ED35A9">
        <w:rPr>
          <w:rFonts w:cs="Times New Roman"/>
          <w:szCs w:val="28"/>
          <w:vertAlign w:val="superscript"/>
          <w:lang w:val="uk-UA"/>
        </w:rPr>
        <w:footnoteReference w:id="14"/>
      </w:r>
      <w:r w:rsidRPr="00ED35A9">
        <w:rPr>
          <w:rFonts w:cs="Times New Roman"/>
          <w:szCs w:val="28"/>
          <w:lang w:val="uk-UA"/>
        </w:rPr>
        <w:t xml:space="preserve"> разом із </w:t>
      </w:r>
      <w:proofErr w:type="spellStart"/>
      <w:r w:rsidRPr="00ED35A9">
        <w:rPr>
          <w:rFonts w:cs="Times New Roman"/>
          <w:szCs w:val="28"/>
          <w:lang w:val="uk-UA"/>
        </w:rPr>
        <w:t>левофлоксацином</w:t>
      </w:r>
      <w:proofErr w:type="spellEnd"/>
      <w:r w:rsidRPr="00ED35A9">
        <w:rPr>
          <w:rFonts w:cs="Times New Roman"/>
          <w:szCs w:val="28"/>
          <w:lang w:val="uk-UA"/>
        </w:rPr>
        <w:t>.</w:t>
      </w:r>
    </w:p>
    <w:p w:rsidR="004B5B7F" w:rsidRPr="00ED35A9" w:rsidRDefault="004B5B7F" w:rsidP="00ED35A9">
      <w:pPr>
        <w:spacing w:line="233" w:lineRule="auto"/>
        <w:rPr>
          <w:rFonts w:cs="Times New Roman"/>
          <w:spacing w:val="-2"/>
          <w:szCs w:val="28"/>
          <w:lang w:val="uk-UA"/>
        </w:rPr>
      </w:pPr>
      <w:r w:rsidRPr="00ED35A9">
        <w:rPr>
          <w:rFonts w:cs="Times New Roman"/>
          <w:spacing w:val="-2"/>
          <w:szCs w:val="28"/>
          <w:lang w:val="uk-UA"/>
        </w:rPr>
        <w:t xml:space="preserve">Хоча застосування </w:t>
      </w:r>
      <w:proofErr w:type="spellStart"/>
      <w:r w:rsidRPr="00ED35A9">
        <w:rPr>
          <w:rFonts w:cs="Times New Roman"/>
          <w:spacing w:val="-2"/>
          <w:szCs w:val="28"/>
          <w:lang w:val="uk-UA"/>
        </w:rPr>
        <w:t>ізоніазиду</w:t>
      </w:r>
      <w:proofErr w:type="spellEnd"/>
      <w:r w:rsidRPr="00ED35A9">
        <w:rPr>
          <w:rFonts w:cs="Times New Roman"/>
          <w:spacing w:val="-2"/>
          <w:szCs w:val="28"/>
          <w:lang w:val="uk-UA"/>
        </w:rPr>
        <w:t xml:space="preserve"> у високих до</w:t>
      </w:r>
      <w:r w:rsidR="009A4971" w:rsidRPr="00ED35A9">
        <w:rPr>
          <w:rFonts w:cs="Times New Roman"/>
          <w:spacing w:val="-2"/>
          <w:szCs w:val="28"/>
          <w:lang w:val="uk-UA"/>
        </w:rPr>
        <w:t>зах (10–15 мг/кг/добу у </w:t>
      </w:r>
      <w:r w:rsidRPr="00ED35A9">
        <w:rPr>
          <w:rFonts w:cs="Times New Roman"/>
          <w:spacing w:val="-2"/>
          <w:szCs w:val="28"/>
          <w:lang w:val="uk-UA"/>
        </w:rPr>
        <w:t xml:space="preserve">дорослих) не було оцінено у проведеному огляді через недостатню кількість даних, ГРН було розглянуто можливість ефективності підвищення дозування </w:t>
      </w:r>
      <w:proofErr w:type="spellStart"/>
      <w:r w:rsidRPr="00ED35A9">
        <w:rPr>
          <w:rFonts w:cs="Times New Roman"/>
          <w:spacing w:val="-2"/>
          <w:szCs w:val="28"/>
          <w:lang w:val="uk-UA"/>
        </w:rPr>
        <w:t>ізоніазиду</w:t>
      </w:r>
      <w:proofErr w:type="spellEnd"/>
      <w:r w:rsidRPr="00ED35A9">
        <w:rPr>
          <w:rFonts w:cs="Times New Roman"/>
          <w:spacing w:val="-2"/>
          <w:szCs w:val="28"/>
          <w:lang w:val="uk-UA"/>
        </w:rPr>
        <w:t xml:space="preserve"> у збалансованих за показниками маси тіла КПФД залежно від типу молекулярних мутацій. За даними огляду доказових даних </w:t>
      </w:r>
      <w:proofErr w:type="spellStart"/>
      <w:r w:rsidRPr="00ED35A9">
        <w:rPr>
          <w:rFonts w:cs="Times New Roman"/>
          <w:i/>
          <w:spacing w:val="-2"/>
          <w:szCs w:val="28"/>
          <w:lang w:val="uk-UA"/>
        </w:rPr>
        <w:t>in</w:t>
      </w:r>
      <w:proofErr w:type="spellEnd"/>
      <w:r w:rsidRPr="00ED35A9">
        <w:rPr>
          <w:rFonts w:cs="Times New Roman"/>
          <w:i/>
          <w:spacing w:val="-2"/>
          <w:szCs w:val="28"/>
          <w:lang w:val="uk-UA"/>
        </w:rPr>
        <w:t xml:space="preserve"> </w:t>
      </w:r>
      <w:proofErr w:type="spellStart"/>
      <w:r w:rsidRPr="00ED35A9">
        <w:rPr>
          <w:rFonts w:cs="Times New Roman"/>
          <w:i/>
          <w:spacing w:val="-2"/>
          <w:szCs w:val="28"/>
          <w:lang w:val="uk-UA"/>
        </w:rPr>
        <w:t>vitro</w:t>
      </w:r>
      <w:proofErr w:type="spellEnd"/>
      <w:r w:rsidRPr="00ED35A9">
        <w:rPr>
          <w:rFonts w:cs="Times New Roman"/>
          <w:spacing w:val="-2"/>
          <w:szCs w:val="28"/>
          <w:lang w:val="uk-UA"/>
        </w:rPr>
        <w:t xml:space="preserve">, при виявленні специфічних мутацій </w:t>
      </w:r>
      <w:proofErr w:type="spellStart"/>
      <w:r w:rsidRPr="00ED35A9">
        <w:rPr>
          <w:rFonts w:cs="Times New Roman"/>
          <w:i/>
          <w:spacing w:val="-2"/>
          <w:szCs w:val="28"/>
          <w:lang w:val="uk-UA"/>
        </w:rPr>
        <w:t>inhA</w:t>
      </w:r>
      <w:proofErr w:type="spellEnd"/>
      <w:r w:rsidRPr="00ED35A9">
        <w:rPr>
          <w:rFonts w:cs="Times New Roman"/>
          <w:spacing w:val="-2"/>
          <w:szCs w:val="28"/>
          <w:lang w:val="uk-UA"/>
        </w:rPr>
        <w:t xml:space="preserve"> (за відсутності будь-яких мутацій </w:t>
      </w:r>
      <w:proofErr w:type="spellStart"/>
      <w:r w:rsidRPr="00ED35A9">
        <w:rPr>
          <w:rFonts w:cs="Times New Roman"/>
          <w:i/>
          <w:spacing w:val="-2"/>
          <w:szCs w:val="28"/>
          <w:lang w:val="uk-UA"/>
        </w:rPr>
        <w:t>katG</w:t>
      </w:r>
      <w:proofErr w:type="spellEnd"/>
      <w:r w:rsidRPr="00ED35A9">
        <w:rPr>
          <w:rFonts w:cs="Times New Roman"/>
          <w:spacing w:val="-2"/>
          <w:szCs w:val="28"/>
          <w:lang w:val="uk-UA"/>
        </w:rPr>
        <w:t xml:space="preserve">) підвищення дози </w:t>
      </w:r>
      <w:proofErr w:type="spellStart"/>
      <w:r w:rsidRPr="00ED35A9">
        <w:rPr>
          <w:rFonts w:cs="Times New Roman"/>
          <w:spacing w:val="-2"/>
          <w:szCs w:val="28"/>
          <w:lang w:val="uk-UA"/>
        </w:rPr>
        <w:t>ізоніазиду</w:t>
      </w:r>
      <w:proofErr w:type="spellEnd"/>
      <w:r w:rsidRPr="00ED35A9">
        <w:rPr>
          <w:rFonts w:cs="Times New Roman"/>
          <w:spacing w:val="-2"/>
          <w:szCs w:val="28"/>
          <w:lang w:val="uk-UA"/>
        </w:rPr>
        <w:t xml:space="preserve">, ймовірно, буде ефективним; таким чином, можна розглядати призначення </w:t>
      </w:r>
      <w:proofErr w:type="spellStart"/>
      <w:r w:rsidRPr="00ED35A9">
        <w:rPr>
          <w:rFonts w:cs="Times New Roman"/>
          <w:spacing w:val="-2"/>
          <w:szCs w:val="28"/>
          <w:lang w:val="uk-UA"/>
        </w:rPr>
        <w:t>ізоніазиду</w:t>
      </w:r>
      <w:proofErr w:type="spellEnd"/>
      <w:r w:rsidRPr="00ED35A9">
        <w:rPr>
          <w:rFonts w:cs="Times New Roman"/>
          <w:spacing w:val="-2"/>
          <w:szCs w:val="28"/>
          <w:lang w:val="uk-UA"/>
        </w:rPr>
        <w:t xml:space="preserve"> з підвищенням до максимальної дози – до 15 мг/кг/добу. У випадку виникнення мутацій </w:t>
      </w:r>
      <w:proofErr w:type="spellStart"/>
      <w:r w:rsidRPr="00ED35A9">
        <w:rPr>
          <w:rFonts w:cs="Times New Roman"/>
          <w:i/>
          <w:spacing w:val="-2"/>
          <w:szCs w:val="28"/>
          <w:lang w:val="uk-UA"/>
        </w:rPr>
        <w:t>katG</w:t>
      </w:r>
      <w:proofErr w:type="spellEnd"/>
      <w:r w:rsidRPr="00ED35A9">
        <w:rPr>
          <w:rFonts w:cs="Times New Roman"/>
          <w:spacing w:val="-2"/>
          <w:szCs w:val="28"/>
          <w:lang w:val="uk-UA"/>
        </w:rPr>
        <w:t xml:space="preserve">, які найчастіше призводять до більш розширеної резистентності, застосування </w:t>
      </w:r>
      <w:proofErr w:type="spellStart"/>
      <w:r w:rsidRPr="00ED35A9">
        <w:rPr>
          <w:rFonts w:cs="Times New Roman"/>
          <w:spacing w:val="-2"/>
          <w:szCs w:val="28"/>
          <w:lang w:val="uk-UA"/>
        </w:rPr>
        <w:t>ізоніазиду</w:t>
      </w:r>
      <w:proofErr w:type="spellEnd"/>
      <w:r w:rsidRPr="00ED35A9">
        <w:rPr>
          <w:rFonts w:cs="Times New Roman"/>
          <w:spacing w:val="-2"/>
          <w:szCs w:val="28"/>
          <w:lang w:val="uk-UA"/>
        </w:rPr>
        <w:t xml:space="preserve"> навіть у високих дозах призведе до менш ймовірної ефективності </w:t>
      </w:r>
      <w:r w:rsidRPr="00ED35A9">
        <w:rPr>
          <w:rFonts w:cs="Times New Roman"/>
          <w:i/>
          <w:spacing w:val="-2"/>
          <w:szCs w:val="28"/>
          <w:lang w:val="uk-UA"/>
        </w:rPr>
        <w:t>(36)</w:t>
      </w:r>
      <w:r w:rsidRPr="00ED35A9">
        <w:rPr>
          <w:rFonts w:cs="Times New Roman"/>
          <w:spacing w:val="-2"/>
          <w:szCs w:val="28"/>
          <w:vertAlign w:val="superscript"/>
          <w:lang w:val="uk-UA"/>
        </w:rPr>
        <w:footnoteReference w:id="15"/>
      </w:r>
      <w:r w:rsidRPr="00ED35A9">
        <w:rPr>
          <w:rFonts w:cs="Times New Roman"/>
          <w:spacing w:val="-2"/>
          <w:szCs w:val="28"/>
          <w:lang w:val="uk-UA"/>
        </w:rPr>
        <w:t>.</w:t>
      </w:r>
    </w:p>
    <w:p w:rsidR="004B5B7F" w:rsidRPr="00ED35A9" w:rsidRDefault="004B5B7F" w:rsidP="00ED35A9">
      <w:pPr>
        <w:spacing w:line="233" w:lineRule="auto"/>
        <w:rPr>
          <w:rFonts w:cs="Times New Roman"/>
          <w:szCs w:val="28"/>
          <w:lang w:val="uk-UA"/>
        </w:rPr>
      </w:pPr>
      <w:r w:rsidRPr="00ED35A9">
        <w:rPr>
          <w:rFonts w:cs="Times New Roman"/>
          <w:b/>
          <w:i/>
          <w:szCs w:val="28"/>
          <w:lang w:val="uk-UA"/>
        </w:rPr>
        <w:t>Дозування.</w:t>
      </w:r>
      <w:r w:rsidRPr="00ED35A9">
        <w:rPr>
          <w:rFonts w:cs="Times New Roman"/>
          <w:szCs w:val="28"/>
          <w:lang w:val="uk-UA"/>
        </w:rPr>
        <w:t xml:space="preserve"> Хоча при проведенні аналізу ІДП не було виявлено доказових даних щодо визначення частоти дозування, переривчастого або розділеного дозування при застосуванні схеми 6(H)REZ-</w:t>
      </w:r>
      <w:proofErr w:type="spellStart"/>
      <w:r w:rsidRPr="00ED35A9">
        <w:rPr>
          <w:rFonts w:cs="Times New Roman"/>
          <w:szCs w:val="28"/>
          <w:lang w:val="uk-UA"/>
        </w:rPr>
        <w:t>левофоксацин</w:t>
      </w:r>
      <w:proofErr w:type="spellEnd"/>
      <w:r w:rsidRPr="00ED35A9">
        <w:rPr>
          <w:rFonts w:cs="Times New Roman"/>
          <w:szCs w:val="28"/>
          <w:lang w:val="uk-UA"/>
        </w:rPr>
        <w:t xml:space="preserve"> слід уникати </w:t>
      </w:r>
      <w:r w:rsidRPr="00ED35A9">
        <w:rPr>
          <w:rFonts w:cs="Times New Roman"/>
          <w:i/>
          <w:szCs w:val="28"/>
          <w:lang w:val="uk-UA"/>
        </w:rPr>
        <w:t>(29, 37, 38)</w:t>
      </w:r>
      <w:r w:rsidRPr="00ED35A9">
        <w:rPr>
          <w:rFonts w:cs="Times New Roman"/>
          <w:szCs w:val="28"/>
          <w:lang w:val="uk-UA"/>
        </w:rPr>
        <w:t xml:space="preserve">. За відсутності повної інформації щодо оптимального дозування препарату рекомендовано визначення дози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із врахуванням маси тіла</w:t>
      </w:r>
      <w:r w:rsidRPr="00ED35A9">
        <w:rPr>
          <w:rFonts w:cs="Times New Roman"/>
          <w:szCs w:val="28"/>
          <w:vertAlign w:val="superscript"/>
          <w:lang w:val="uk-UA"/>
        </w:rPr>
        <w:footnoteReference w:id="16"/>
      </w:r>
      <w:r w:rsidRPr="00ED35A9">
        <w:rPr>
          <w:rFonts w:cs="Times New Roman"/>
          <w:szCs w:val="28"/>
          <w:lang w:val="uk-UA"/>
        </w:rPr>
        <w:t>.</w:t>
      </w:r>
    </w:p>
    <w:p w:rsidR="004B5B7F" w:rsidRPr="00ED35A9" w:rsidRDefault="004B5B7F" w:rsidP="00ED35A9">
      <w:pPr>
        <w:spacing w:line="233" w:lineRule="auto"/>
        <w:rPr>
          <w:rFonts w:cs="Times New Roman"/>
          <w:szCs w:val="28"/>
          <w:lang w:val="uk-UA"/>
        </w:rPr>
      </w:pPr>
      <w:r w:rsidRPr="00ED35A9">
        <w:rPr>
          <w:rFonts w:cs="Times New Roman"/>
          <w:b/>
          <w:i/>
          <w:szCs w:val="28"/>
          <w:lang w:val="uk-UA"/>
        </w:rPr>
        <w:t>Взаємодія препаратів.</w:t>
      </w:r>
      <w:r w:rsidRPr="00ED35A9">
        <w:rPr>
          <w:rFonts w:cs="Times New Roman"/>
          <w:szCs w:val="28"/>
          <w:lang w:val="uk-UA"/>
        </w:rPr>
        <w:t xml:space="preserve"> </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може потенційно впливати на кліренс </w:t>
      </w:r>
      <w:proofErr w:type="spellStart"/>
      <w:r w:rsidRPr="00ED35A9">
        <w:rPr>
          <w:rFonts w:cs="Times New Roman"/>
          <w:szCs w:val="28"/>
          <w:lang w:val="uk-UA"/>
        </w:rPr>
        <w:t>ламівудину</w:t>
      </w:r>
      <w:proofErr w:type="spellEnd"/>
      <w:r w:rsidRPr="00ED35A9">
        <w:rPr>
          <w:rFonts w:cs="Times New Roman"/>
          <w:szCs w:val="28"/>
          <w:lang w:val="uk-UA"/>
        </w:rPr>
        <w:t xml:space="preserve"> (підвищення концентрації </w:t>
      </w:r>
      <w:proofErr w:type="spellStart"/>
      <w:r w:rsidRPr="00ED35A9">
        <w:rPr>
          <w:rFonts w:cs="Times New Roman"/>
          <w:szCs w:val="28"/>
          <w:lang w:val="uk-UA"/>
        </w:rPr>
        <w:t>ламівудину</w:t>
      </w:r>
      <w:proofErr w:type="spellEnd"/>
      <w:r w:rsidRPr="00ED35A9">
        <w:rPr>
          <w:rFonts w:cs="Times New Roman"/>
          <w:szCs w:val="28"/>
          <w:lang w:val="uk-UA"/>
        </w:rPr>
        <w:t xml:space="preserve">), проте відсутні протипоказання щодо його застосування з іншими </w:t>
      </w:r>
      <w:proofErr w:type="spellStart"/>
      <w:r w:rsidRPr="00ED35A9">
        <w:rPr>
          <w:rFonts w:cs="Times New Roman"/>
          <w:szCs w:val="28"/>
          <w:lang w:val="uk-UA"/>
        </w:rPr>
        <w:t>антиретровірусними</w:t>
      </w:r>
      <w:proofErr w:type="spellEnd"/>
      <w:r w:rsidRPr="00ED35A9">
        <w:rPr>
          <w:rFonts w:cs="Times New Roman"/>
          <w:szCs w:val="28"/>
          <w:lang w:val="uk-UA"/>
        </w:rPr>
        <w:t xml:space="preserve"> препаратами та необхідність коригування дози </w:t>
      </w:r>
      <w:r w:rsidRPr="00ED35A9">
        <w:rPr>
          <w:rFonts w:cs="Times New Roman"/>
          <w:i/>
          <w:szCs w:val="28"/>
          <w:lang w:val="uk-UA"/>
        </w:rPr>
        <w:t>(35)</w:t>
      </w:r>
      <w:r w:rsidRPr="00ED35A9">
        <w:rPr>
          <w:rFonts w:cs="Times New Roman"/>
          <w:szCs w:val="28"/>
          <w:lang w:val="uk-UA"/>
        </w:rPr>
        <w:t xml:space="preserve">. Слід уникати прийому </w:t>
      </w:r>
      <w:proofErr w:type="spellStart"/>
      <w:r w:rsidRPr="00ED35A9">
        <w:rPr>
          <w:rFonts w:cs="Times New Roman"/>
          <w:szCs w:val="28"/>
          <w:lang w:val="uk-UA"/>
        </w:rPr>
        <w:t>левофлоксацину</w:t>
      </w:r>
      <w:proofErr w:type="spellEnd"/>
      <w:r w:rsidRPr="00ED35A9">
        <w:rPr>
          <w:rFonts w:cs="Times New Roman"/>
          <w:szCs w:val="28"/>
          <w:lang w:val="uk-UA"/>
        </w:rPr>
        <w:t xml:space="preserve"> з пероральними </w:t>
      </w:r>
      <w:proofErr w:type="spellStart"/>
      <w:r w:rsidRPr="00ED35A9">
        <w:rPr>
          <w:rFonts w:cs="Times New Roman"/>
          <w:szCs w:val="28"/>
          <w:lang w:val="uk-UA"/>
        </w:rPr>
        <w:t>бівалентними</w:t>
      </w:r>
      <w:proofErr w:type="spellEnd"/>
      <w:r w:rsidRPr="00ED35A9">
        <w:rPr>
          <w:rFonts w:cs="Times New Roman"/>
          <w:szCs w:val="28"/>
          <w:lang w:val="uk-UA"/>
        </w:rPr>
        <w:t xml:space="preserve"> катіон-</w:t>
      </w:r>
      <w:proofErr w:type="spellStart"/>
      <w:r w:rsidRPr="00ED35A9">
        <w:rPr>
          <w:rFonts w:cs="Times New Roman"/>
          <w:szCs w:val="28"/>
          <w:lang w:val="uk-UA"/>
        </w:rPr>
        <w:t>вмісними</w:t>
      </w:r>
      <w:proofErr w:type="spellEnd"/>
      <w:r w:rsidRPr="00ED35A9">
        <w:rPr>
          <w:rFonts w:cs="Times New Roman"/>
          <w:szCs w:val="28"/>
          <w:lang w:val="uk-UA"/>
        </w:rPr>
        <w:t xml:space="preserve"> сполуками (наприклад, </w:t>
      </w:r>
      <w:proofErr w:type="spellStart"/>
      <w:r w:rsidRPr="00ED35A9">
        <w:rPr>
          <w:rFonts w:cs="Times New Roman"/>
          <w:szCs w:val="28"/>
          <w:lang w:val="uk-UA"/>
        </w:rPr>
        <w:t>антацидами</w:t>
      </w:r>
      <w:proofErr w:type="spellEnd"/>
      <w:r w:rsidRPr="00ED35A9">
        <w:rPr>
          <w:rFonts w:cs="Times New Roman"/>
          <w:szCs w:val="28"/>
          <w:lang w:val="uk-UA"/>
        </w:rPr>
        <w:t xml:space="preserve">), бо це може вплинути на його абсорбцію </w:t>
      </w:r>
      <w:r w:rsidRPr="00ED35A9">
        <w:rPr>
          <w:rFonts w:cs="Times New Roman"/>
          <w:i/>
          <w:szCs w:val="28"/>
          <w:lang w:val="uk-UA"/>
        </w:rPr>
        <w:t>(7)</w:t>
      </w:r>
      <w:r w:rsidRPr="00ED35A9">
        <w:rPr>
          <w:rFonts w:cs="Times New Roman"/>
          <w:szCs w:val="28"/>
          <w:lang w:val="uk-UA"/>
        </w:rPr>
        <w:t>. Відсутні обмеження щодо одночасного застосування препарату та вживання молочних продуктів.</w:t>
      </w:r>
    </w:p>
    <w:p w:rsidR="004B5B7F" w:rsidRPr="00ED35A9" w:rsidRDefault="004B5B7F" w:rsidP="000E0B10">
      <w:pPr>
        <w:rPr>
          <w:rFonts w:cs="Times New Roman"/>
          <w:szCs w:val="28"/>
          <w:lang w:val="uk-UA"/>
        </w:rPr>
      </w:pPr>
      <w:r w:rsidRPr="00ED35A9">
        <w:rPr>
          <w:rFonts w:cs="Times New Roman"/>
          <w:b/>
          <w:i/>
          <w:szCs w:val="28"/>
          <w:lang w:val="uk-UA"/>
        </w:rPr>
        <w:lastRenderedPageBreak/>
        <w:t xml:space="preserve">Подовження лікування </w:t>
      </w:r>
      <w:r w:rsidR="00ED35A9" w:rsidRPr="00ED35A9">
        <w:rPr>
          <w:rFonts w:cs="Times New Roman"/>
          <w:b/>
          <w:i/>
          <w:szCs w:val="28"/>
          <w:lang w:val="uk-UA"/>
        </w:rPr>
        <w:t xml:space="preserve">більше ніж на </w:t>
      </w:r>
      <w:r w:rsidRPr="00ED35A9">
        <w:rPr>
          <w:rFonts w:cs="Times New Roman"/>
          <w:b/>
          <w:i/>
          <w:szCs w:val="28"/>
          <w:lang w:val="uk-UA"/>
        </w:rPr>
        <w:t>6 міс.</w:t>
      </w:r>
      <w:r w:rsidRPr="00ED35A9">
        <w:rPr>
          <w:rFonts w:cs="Times New Roman"/>
          <w:szCs w:val="28"/>
          <w:lang w:val="uk-UA"/>
        </w:rPr>
        <w:t xml:space="preserve"> Такий варіант можна розглянути для лікування пацієнтів з екстенсивним кавернозним захворюванням або повільною конверсією до негативної мікроскопії </w:t>
      </w:r>
      <w:r w:rsidR="00523F79" w:rsidRPr="00ED35A9">
        <w:rPr>
          <w:rFonts w:cs="Times New Roman"/>
          <w:szCs w:val="28"/>
          <w:lang w:val="uk-UA"/>
        </w:rPr>
        <w:t>чи</w:t>
      </w:r>
      <w:r w:rsidRPr="00ED35A9">
        <w:rPr>
          <w:rFonts w:cs="Times New Roman"/>
          <w:szCs w:val="28"/>
          <w:lang w:val="uk-UA"/>
        </w:rPr>
        <w:t xml:space="preserve"> </w:t>
      </w:r>
      <w:proofErr w:type="spellStart"/>
      <w:r w:rsidRPr="00ED35A9">
        <w:rPr>
          <w:rFonts w:cs="Times New Roman"/>
          <w:szCs w:val="28"/>
          <w:lang w:val="uk-UA"/>
        </w:rPr>
        <w:t>культурального</w:t>
      </w:r>
      <w:proofErr w:type="spellEnd"/>
      <w:r w:rsidRPr="00ED35A9">
        <w:rPr>
          <w:rFonts w:cs="Times New Roman"/>
          <w:szCs w:val="28"/>
          <w:lang w:val="uk-UA"/>
        </w:rPr>
        <w:t xml:space="preserve"> дослідження. Щодо останнього випадку, слід виключити набуття додаткової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а також, за можливості, резистентності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та </w:t>
      </w:r>
      <w:proofErr w:type="spellStart"/>
      <w:r w:rsidRPr="00ED35A9">
        <w:rPr>
          <w:rFonts w:cs="Times New Roman"/>
          <w:szCs w:val="28"/>
          <w:lang w:val="uk-UA"/>
        </w:rPr>
        <w:t>піразинаміду</w:t>
      </w:r>
      <w:proofErr w:type="spellEnd"/>
      <w:r w:rsidRPr="00ED35A9">
        <w:rPr>
          <w:rFonts w:cs="Times New Roman"/>
          <w:szCs w:val="28"/>
          <w:lang w:val="uk-UA"/>
        </w:rPr>
        <w:t>. При лікуванні таких пацієнтів необхідно проводити ретельний моніторинг та спостереження.</w:t>
      </w:r>
    </w:p>
    <w:p w:rsidR="004B5B7F" w:rsidRPr="00ED35A9" w:rsidRDefault="004B5B7F" w:rsidP="000E0B10">
      <w:pPr>
        <w:rPr>
          <w:rFonts w:cs="Times New Roman"/>
          <w:szCs w:val="28"/>
          <w:lang w:val="uk-UA"/>
        </w:rPr>
      </w:pPr>
      <w:r w:rsidRPr="00ED35A9">
        <w:rPr>
          <w:rFonts w:cs="Times New Roman"/>
          <w:b/>
          <w:i/>
          <w:szCs w:val="28"/>
          <w:lang w:val="uk-UA"/>
        </w:rPr>
        <w:t>Вартість.</w:t>
      </w:r>
      <w:r w:rsidRPr="00ED35A9">
        <w:rPr>
          <w:rFonts w:cs="Times New Roman"/>
          <w:szCs w:val="28"/>
          <w:lang w:val="uk-UA"/>
        </w:rPr>
        <w:t xml:space="preserve"> У рамках цього огляду не проводили аналіз клініко-економічної ефективності. У таблиці 1.1 наведено приблизну вартість повного курсу лікування із застосуванням препаратів різних схем для дорослих на основі вартості продукції, закупленої через GDF </w:t>
      </w:r>
      <w:r w:rsidRPr="00ED35A9">
        <w:rPr>
          <w:rFonts w:cs="Times New Roman"/>
          <w:i/>
          <w:szCs w:val="28"/>
          <w:lang w:val="uk-UA"/>
        </w:rPr>
        <w:t>(39)</w:t>
      </w:r>
      <w:r w:rsidRPr="00ED35A9">
        <w:rPr>
          <w:rFonts w:cs="Times New Roman"/>
          <w:szCs w:val="28"/>
          <w:lang w:val="uk-UA"/>
        </w:rPr>
        <w:t xml:space="preserve">. Застосування КПФД, навіть у частині схеми, скорочує витрати. Препарати для схеми 6HREZ-левофлоксацин мають вартість </w:t>
      </w:r>
      <w:r w:rsidR="00523F79" w:rsidRPr="00ED35A9">
        <w:rPr>
          <w:rFonts w:cs="Times New Roman"/>
          <w:szCs w:val="28"/>
          <w:lang w:val="uk-UA"/>
        </w:rPr>
        <w:t>втричі</w:t>
      </w:r>
      <w:r w:rsidRPr="00ED35A9">
        <w:rPr>
          <w:rFonts w:cs="Times New Roman"/>
          <w:szCs w:val="28"/>
          <w:lang w:val="uk-UA"/>
        </w:rPr>
        <w:t xml:space="preserve"> вищу, ніж для схеми 2HREZ/4HR із застосуванням КПФД HREZ. Очікується, що лікування </w:t>
      </w:r>
      <w:proofErr w:type="spellStart"/>
      <w:r w:rsidRPr="00ED35A9">
        <w:rPr>
          <w:rFonts w:cs="Times New Roman"/>
          <w:szCs w:val="28"/>
          <w:lang w:val="uk-UA"/>
        </w:rPr>
        <w:t>Hрез</w:t>
      </w:r>
      <w:proofErr w:type="spellEnd"/>
      <w:r w:rsidRPr="00ED35A9">
        <w:rPr>
          <w:rFonts w:cs="Times New Roman"/>
          <w:szCs w:val="28"/>
          <w:lang w:val="uk-UA"/>
        </w:rPr>
        <w:t>-ТБ із врахуванням цих рекомендацій значною мірою не підвищить оперативні витрати.</w:t>
      </w:r>
    </w:p>
    <w:p w:rsidR="004B5B7F" w:rsidRPr="00ED35A9" w:rsidRDefault="004B5B7F" w:rsidP="009B681D">
      <w:pPr>
        <w:spacing w:before="120" w:after="120"/>
        <w:ind w:firstLine="0"/>
        <w:jc w:val="center"/>
        <w:rPr>
          <w:rFonts w:cs="Times New Roman"/>
          <w:b/>
          <w:szCs w:val="28"/>
          <w:lang w:val="uk-UA"/>
        </w:rPr>
      </w:pPr>
      <w:r w:rsidRPr="00ED35A9">
        <w:rPr>
          <w:rFonts w:cs="Times New Roman"/>
          <w:b/>
          <w:szCs w:val="28"/>
          <w:lang w:val="uk-UA"/>
        </w:rPr>
        <w:t>Таблиця 1.1. Орієнтовна вартість препаратів, що застосовують</w:t>
      </w:r>
      <w:r w:rsidRPr="00ED35A9">
        <w:rPr>
          <w:rFonts w:cs="Times New Roman"/>
          <w:b/>
          <w:szCs w:val="28"/>
          <w:lang w:val="uk-UA"/>
        </w:rPr>
        <w:br/>
        <w:t xml:space="preserve">у схемах для лікування </w:t>
      </w:r>
      <w:proofErr w:type="spellStart"/>
      <w:r w:rsidRPr="00ED35A9">
        <w:rPr>
          <w:rFonts w:cs="Times New Roman"/>
          <w:b/>
          <w:szCs w:val="28"/>
          <w:lang w:val="uk-UA"/>
        </w:rPr>
        <w:t>Hрез</w:t>
      </w:r>
      <w:proofErr w:type="spellEnd"/>
      <w:r w:rsidRPr="00ED35A9">
        <w:rPr>
          <w:rFonts w:cs="Times New Roman"/>
          <w:b/>
          <w:szCs w:val="28"/>
          <w:lang w:val="uk-UA"/>
        </w:rPr>
        <w:t>-ТБ, порівняно з 6-місячною схемою</w:t>
      </w:r>
      <w:r w:rsidRPr="00ED35A9">
        <w:rPr>
          <w:rFonts w:cs="Times New Roman"/>
          <w:b/>
          <w:szCs w:val="28"/>
          <w:lang w:val="uk-UA"/>
        </w:rPr>
        <w:br/>
        <w:t>ПТП першого ряду (лише ціна препаратів)</w:t>
      </w:r>
      <w:r w:rsidRPr="00ED35A9">
        <w:rPr>
          <w:rFonts w:cs="Times New Roman"/>
          <w:b/>
          <w:szCs w:val="28"/>
          <w:vertAlign w:val="superscript"/>
          <w:lang w:val="uk-UA"/>
        </w:rPr>
        <w: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86"/>
        <w:gridCol w:w="4689"/>
      </w:tblGrid>
      <w:tr w:rsidR="004B5B7F" w:rsidRPr="00ED35A9" w:rsidTr="00F87383">
        <w:trPr>
          <w:trHeight w:val="20"/>
        </w:trPr>
        <w:tc>
          <w:tcPr>
            <w:tcW w:w="2499" w:type="pct"/>
            <w:shd w:val="clear" w:color="auto" w:fill="auto"/>
            <w:vAlign w:val="center"/>
          </w:tcPr>
          <w:p w:rsidR="004B5B7F" w:rsidRPr="00ED35A9" w:rsidRDefault="004B5B7F" w:rsidP="009B681D">
            <w:pPr>
              <w:ind w:firstLine="0"/>
              <w:jc w:val="center"/>
              <w:rPr>
                <w:rFonts w:cs="Times New Roman"/>
                <w:b/>
                <w:szCs w:val="28"/>
                <w:lang w:val="uk-UA"/>
              </w:rPr>
            </w:pPr>
            <w:r w:rsidRPr="00ED35A9">
              <w:rPr>
                <w:rFonts w:cs="Times New Roman"/>
                <w:b/>
                <w:szCs w:val="28"/>
                <w:lang w:val="uk-UA"/>
              </w:rPr>
              <w:t>Схема</w:t>
            </w:r>
          </w:p>
        </w:tc>
        <w:tc>
          <w:tcPr>
            <w:tcW w:w="2501" w:type="pct"/>
            <w:shd w:val="clear" w:color="auto" w:fill="auto"/>
            <w:vAlign w:val="center"/>
          </w:tcPr>
          <w:p w:rsidR="004B5B7F" w:rsidRPr="00ED35A9" w:rsidRDefault="004B5B7F" w:rsidP="009B681D">
            <w:pPr>
              <w:ind w:firstLine="0"/>
              <w:jc w:val="center"/>
              <w:rPr>
                <w:rFonts w:cs="Times New Roman"/>
                <w:b/>
                <w:szCs w:val="28"/>
                <w:lang w:val="uk-UA"/>
              </w:rPr>
            </w:pPr>
            <w:r w:rsidRPr="00ED35A9">
              <w:rPr>
                <w:rFonts w:cs="Times New Roman"/>
                <w:b/>
                <w:szCs w:val="28"/>
                <w:lang w:val="uk-UA"/>
              </w:rPr>
              <w:t>Приблизна вартість тільки препаратів, US</w:t>
            </w:r>
            <w:r w:rsidR="009B681D" w:rsidRPr="00ED35A9">
              <w:rPr>
                <w:rFonts w:cs="Times New Roman"/>
                <w:b/>
                <w:szCs w:val="28"/>
                <w:lang w:val="uk-UA"/>
              </w:rPr>
              <w:t> </w:t>
            </w:r>
            <w:r w:rsidRPr="00ED35A9">
              <w:rPr>
                <w:rFonts w:cs="Times New Roman"/>
                <w:b/>
                <w:szCs w:val="28"/>
                <w:lang w:val="uk-UA"/>
              </w:rPr>
              <w:t>$</w:t>
            </w:r>
            <w:r w:rsidRPr="00ED35A9">
              <w:rPr>
                <w:rFonts w:cs="Times New Roman"/>
                <w:b/>
                <w:szCs w:val="28"/>
                <w:vertAlign w:val="superscript"/>
                <w:lang w:val="uk-UA"/>
              </w:rPr>
              <w:t>*</w:t>
            </w:r>
          </w:p>
        </w:tc>
      </w:tr>
      <w:tr w:rsidR="004B5B7F" w:rsidRPr="00ED35A9" w:rsidTr="00F87383">
        <w:trPr>
          <w:trHeight w:val="20"/>
        </w:trPr>
        <w:tc>
          <w:tcPr>
            <w:tcW w:w="2499"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2HREZ/4HR</w:t>
            </w:r>
          </w:p>
        </w:tc>
        <w:tc>
          <w:tcPr>
            <w:tcW w:w="2501"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31,9 (22,36)</w:t>
            </w:r>
          </w:p>
        </w:tc>
      </w:tr>
      <w:tr w:rsidR="004B5B7F" w:rsidRPr="00ED35A9" w:rsidTr="00F87383">
        <w:trPr>
          <w:trHeight w:val="20"/>
        </w:trPr>
        <w:tc>
          <w:tcPr>
            <w:tcW w:w="2499"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6HREZ</w:t>
            </w:r>
          </w:p>
        </w:tc>
        <w:tc>
          <w:tcPr>
            <w:tcW w:w="2501"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104,4 (47,8)</w:t>
            </w:r>
          </w:p>
        </w:tc>
      </w:tr>
      <w:tr w:rsidR="004B5B7F" w:rsidRPr="00ED35A9" w:rsidTr="00F87383">
        <w:trPr>
          <w:trHeight w:val="20"/>
        </w:trPr>
        <w:tc>
          <w:tcPr>
            <w:tcW w:w="2499" w:type="pct"/>
            <w:shd w:val="clear" w:color="auto" w:fill="auto"/>
            <w:vAlign w:val="center"/>
          </w:tcPr>
          <w:p w:rsidR="004B5B7F" w:rsidRPr="00ED35A9" w:rsidRDefault="004B5B7F" w:rsidP="009B681D">
            <w:pPr>
              <w:ind w:firstLine="0"/>
              <w:rPr>
                <w:rFonts w:cs="Times New Roman"/>
                <w:szCs w:val="28"/>
                <w:lang w:val="uk-UA"/>
              </w:rPr>
            </w:pPr>
            <w:r w:rsidRPr="00ED35A9">
              <w:rPr>
                <w:rFonts w:cs="Times New Roman"/>
                <w:szCs w:val="28"/>
                <w:lang w:val="uk-UA"/>
              </w:rPr>
              <w:t>6REZ-Lfx</w:t>
            </w:r>
          </w:p>
        </w:tc>
        <w:tc>
          <w:tcPr>
            <w:tcW w:w="2501"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122,26</w:t>
            </w:r>
          </w:p>
        </w:tc>
      </w:tr>
      <w:tr w:rsidR="004B5B7F" w:rsidRPr="00ED35A9" w:rsidTr="00F87383">
        <w:trPr>
          <w:trHeight w:val="20"/>
        </w:trPr>
        <w:tc>
          <w:tcPr>
            <w:tcW w:w="2499"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6HREZ-Lfx</w:t>
            </w:r>
          </w:p>
        </w:tc>
        <w:tc>
          <w:tcPr>
            <w:tcW w:w="2501" w:type="pct"/>
            <w:shd w:val="clear" w:color="auto" w:fill="auto"/>
            <w:vAlign w:val="bottom"/>
          </w:tcPr>
          <w:p w:rsidR="004B5B7F" w:rsidRPr="00ED35A9" w:rsidRDefault="004B5B7F" w:rsidP="009B681D">
            <w:pPr>
              <w:ind w:firstLine="0"/>
              <w:rPr>
                <w:rFonts w:cs="Times New Roman"/>
                <w:szCs w:val="28"/>
                <w:lang w:val="uk-UA"/>
              </w:rPr>
            </w:pPr>
            <w:r w:rsidRPr="00ED35A9">
              <w:rPr>
                <w:rFonts w:cs="Times New Roman"/>
                <w:szCs w:val="28"/>
                <w:lang w:val="uk-UA"/>
              </w:rPr>
              <w:t>125,8 (68,7)</w:t>
            </w:r>
          </w:p>
        </w:tc>
      </w:tr>
      <w:tr w:rsidR="004B5B7F" w:rsidRPr="00ED35A9" w:rsidTr="00F87383">
        <w:trPr>
          <w:trHeight w:val="20"/>
        </w:trPr>
        <w:tc>
          <w:tcPr>
            <w:tcW w:w="2499" w:type="pct"/>
            <w:shd w:val="clear" w:color="auto" w:fill="auto"/>
            <w:vAlign w:val="center"/>
          </w:tcPr>
          <w:p w:rsidR="004B5B7F" w:rsidRPr="00ED35A9" w:rsidRDefault="004B5B7F" w:rsidP="009B681D">
            <w:pPr>
              <w:ind w:firstLine="0"/>
              <w:rPr>
                <w:rFonts w:cs="Times New Roman"/>
                <w:szCs w:val="28"/>
                <w:lang w:val="uk-UA"/>
              </w:rPr>
            </w:pPr>
            <w:r w:rsidRPr="00ED35A9">
              <w:rPr>
                <w:rFonts w:cs="Times New Roman"/>
                <w:szCs w:val="28"/>
                <w:lang w:val="uk-UA"/>
              </w:rPr>
              <w:t>9HREZ-Lfx</w:t>
            </w:r>
          </w:p>
        </w:tc>
        <w:tc>
          <w:tcPr>
            <w:tcW w:w="2501" w:type="pct"/>
            <w:shd w:val="clear" w:color="auto" w:fill="auto"/>
            <w:vAlign w:val="center"/>
          </w:tcPr>
          <w:p w:rsidR="004B5B7F" w:rsidRPr="00ED35A9" w:rsidRDefault="004B5B7F" w:rsidP="009B681D">
            <w:pPr>
              <w:ind w:firstLine="0"/>
              <w:rPr>
                <w:rFonts w:cs="Times New Roman"/>
                <w:szCs w:val="28"/>
                <w:lang w:val="uk-UA"/>
              </w:rPr>
            </w:pPr>
            <w:r w:rsidRPr="00ED35A9">
              <w:rPr>
                <w:rFonts w:cs="Times New Roman"/>
                <w:szCs w:val="28"/>
                <w:lang w:val="uk-UA"/>
              </w:rPr>
              <w:t>186,8 (102,5)</w:t>
            </w:r>
          </w:p>
        </w:tc>
      </w:tr>
    </w:tbl>
    <w:p w:rsidR="004B5B7F" w:rsidRPr="00ED35A9" w:rsidRDefault="004B5B7F" w:rsidP="009B681D">
      <w:pPr>
        <w:ind w:firstLine="0"/>
        <w:rPr>
          <w:rFonts w:cs="Times New Roman"/>
          <w:sz w:val="24"/>
          <w:szCs w:val="24"/>
          <w:lang w:val="uk-UA"/>
        </w:rPr>
      </w:pPr>
      <w:r w:rsidRPr="00ED35A9">
        <w:rPr>
          <w:rFonts w:cs="Times New Roman"/>
          <w:b/>
          <w:sz w:val="24"/>
          <w:szCs w:val="24"/>
          <w:lang w:val="uk-UA"/>
        </w:rPr>
        <w:t>Примітка.</w:t>
      </w:r>
      <w:r w:rsidRPr="00ED35A9">
        <w:rPr>
          <w:rFonts w:cs="Times New Roman"/>
          <w:sz w:val="24"/>
          <w:szCs w:val="24"/>
          <w:lang w:val="uk-UA"/>
        </w:rPr>
        <w:t xml:space="preserve"> </w:t>
      </w:r>
      <w:r w:rsidRPr="00ED35A9">
        <w:rPr>
          <w:rFonts w:cs="Times New Roman"/>
          <w:sz w:val="24"/>
          <w:szCs w:val="24"/>
          <w:vertAlign w:val="superscript"/>
          <w:lang w:val="uk-UA"/>
        </w:rPr>
        <w:t>*</w:t>
      </w:r>
      <w:r w:rsidRPr="00ED35A9">
        <w:rPr>
          <w:rFonts w:cs="Times New Roman"/>
          <w:i/>
          <w:sz w:val="24"/>
          <w:szCs w:val="24"/>
          <w:lang w:val="uk-UA"/>
        </w:rPr>
        <w:t>Джерело:</w:t>
      </w:r>
      <w:r w:rsidRPr="00ED35A9">
        <w:rPr>
          <w:rFonts w:cs="Times New Roman"/>
          <w:sz w:val="24"/>
          <w:szCs w:val="24"/>
          <w:lang w:val="uk-UA"/>
        </w:rPr>
        <w:t xml:space="preserve"> GDF </w:t>
      </w:r>
      <w:r w:rsidRPr="00ED35A9">
        <w:rPr>
          <w:rFonts w:cs="Times New Roman"/>
          <w:i/>
          <w:sz w:val="24"/>
          <w:szCs w:val="24"/>
          <w:lang w:val="uk-UA"/>
        </w:rPr>
        <w:t>(39)</w:t>
      </w:r>
      <w:r w:rsidRPr="00ED35A9">
        <w:rPr>
          <w:rFonts w:cs="Times New Roman"/>
          <w:sz w:val="24"/>
          <w:szCs w:val="24"/>
          <w:lang w:val="uk-UA"/>
        </w:rPr>
        <w:t>. Ціни вказано станом на 16 березня 2018 р. для одного дорослого з масою тіла 60 кг. Ціни в дужках відбивають вартість, за якою схема частково або повністю запропонована у формі КПФД.</w:t>
      </w:r>
    </w:p>
    <w:p w:rsidR="004B5B7F" w:rsidRPr="00ED35A9" w:rsidRDefault="004B5B7F" w:rsidP="009B681D">
      <w:pPr>
        <w:spacing w:before="120"/>
        <w:rPr>
          <w:rFonts w:cs="Times New Roman"/>
          <w:szCs w:val="28"/>
          <w:lang w:val="uk-UA"/>
        </w:rPr>
      </w:pPr>
      <w:r w:rsidRPr="00ED35A9">
        <w:rPr>
          <w:rFonts w:cs="Times New Roman"/>
          <w:b/>
          <w:i/>
          <w:szCs w:val="28"/>
          <w:lang w:val="uk-UA"/>
        </w:rPr>
        <w:t>Прихильність.</w:t>
      </w:r>
      <w:r w:rsidRPr="00ED35A9">
        <w:rPr>
          <w:rFonts w:cs="Times New Roman"/>
          <w:szCs w:val="28"/>
          <w:lang w:val="uk-UA"/>
        </w:rPr>
        <w:t xml:space="preserve"> Хоча при проведенні аналізу ІДП було виявлено обмежену кількість даних щодо використання стратегії прихильності до лікування (наприклад, лікування під безпосереднім наглядом – DOT, самостійний прийом препаратів або лікування без нагляду), покращення показників </w:t>
      </w:r>
      <w:r w:rsidR="00710AA9" w:rsidRPr="00ED35A9">
        <w:rPr>
          <w:rFonts w:cs="Times New Roman"/>
          <w:szCs w:val="28"/>
          <w:lang w:val="uk-UA"/>
        </w:rPr>
        <w:t>ефективності лікування</w:t>
      </w:r>
      <w:r w:rsidRPr="00ED35A9">
        <w:rPr>
          <w:rFonts w:cs="Times New Roman"/>
          <w:szCs w:val="28"/>
          <w:lang w:val="uk-UA"/>
        </w:rPr>
        <w:t xml:space="preserve">, ймовірно, було пов’язано з підвищенням рівня підтримки пацієнтів, зокрема надання підтримки з прихильності до лікування (наприклад, за допомогою цифрових технологій) або впровадження інших рекомендованих ВООЗ заходів </w:t>
      </w:r>
      <w:r w:rsidRPr="00ED35A9">
        <w:rPr>
          <w:rFonts w:cs="Times New Roman"/>
          <w:i/>
          <w:szCs w:val="28"/>
          <w:lang w:val="uk-UA"/>
        </w:rPr>
        <w:t>(29)</w:t>
      </w:r>
      <w:r w:rsidRPr="00ED35A9">
        <w:rPr>
          <w:rFonts w:cs="Times New Roman"/>
          <w:szCs w:val="28"/>
          <w:lang w:val="uk-UA"/>
        </w:rPr>
        <w:t xml:space="preserve">. На відміну від схем для лікування чутливого ТБ та МРТБ рекомендована схема для лікування </w:t>
      </w:r>
      <w:proofErr w:type="spellStart"/>
      <w:r w:rsidRPr="00ED35A9">
        <w:rPr>
          <w:rFonts w:cs="Times New Roman"/>
          <w:szCs w:val="28"/>
          <w:lang w:val="uk-UA"/>
        </w:rPr>
        <w:t>Hрез</w:t>
      </w:r>
      <w:proofErr w:type="spellEnd"/>
      <w:r w:rsidRPr="00ED35A9">
        <w:rPr>
          <w:rFonts w:cs="Times New Roman"/>
          <w:szCs w:val="28"/>
          <w:lang w:val="uk-UA"/>
        </w:rPr>
        <w:t>-ТБ не має інтенсивної та підтримувальної фази, що спрощує проведення та моніторинг лікування.</w:t>
      </w:r>
    </w:p>
    <w:p w:rsidR="004B5B7F" w:rsidRPr="00ED35A9" w:rsidRDefault="004B5B7F" w:rsidP="000E0B10">
      <w:pPr>
        <w:rPr>
          <w:rFonts w:cs="Times New Roman"/>
          <w:b/>
          <w:szCs w:val="28"/>
          <w:lang w:val="uk-UA"/>
        </w:rPr>
      </w:pPr>
      <w:bookmarkStart w:id="20" w:name="bookmark27"/>
      <w:bookmarkStart w:id="21" w:name="_Toc417570582"/>
      <w:r w:rsidRPr="00ED35A9">
        <w:rPr>
          <w:rFonts w:cs="Times New Roman"/>
          <w:b/>
          <w:szCs w:val="28"/>
          <w:lang w:val="uk-UA"/>
        </w:rPr>
        <w:t>Моніторинг та оцін</w:t>
      </w:r>
      <w:bookmarkEnd w:id="20"/>
      <w:bookmarkEnd w:id="21"/>
      <w:r w:rsidRPr="00ED35A9">
        <w:rPr>
          <w:rFonts w:cs="Times New Roman"/>
          <w:b/>
          <w:szCs w:val="28"/>
          <w:lang w:val="uk-UA"/>
        </w:rPr>
        <w:t>ювання</w:t>
      </w:r>
    </w:p>
    <w:p w:rsidR="004B5B7F" w:rsidRPr="00ED35A9" w:rsidRDefault="004B5B7F" w:rsidP="000E0B10">
      <w:pPr>
        <w:rPr>
          <w:rFonts w:cs="Times New Roman"/>
          <w:szCs w:val="28"/>
          <w:lang w:val="uk-UA"/>
        </w:rPr>
      </w:pPr>
      <w:r w:rsidRPr="00ED35A9">
        <w:rPr>
          <w:rFonts w:cs="Times New Roman"/>
          <w:szCs w:val="28"/>
          <w:lang w:val="uk-UA"/>
        </w:rPr>
        <w:t>При лікуванні пацієнтів за схемою (H)REZ-</w:t>
      </w:r>
      <w:proofErr w:type="spellStart"/>
      <w:r w:rsidRPr="00ED35A9">
        <w:rPr>
          <w:rFonts w:cs="Times New Roman"/>
          <w:szCs w:val="28"/>
          <w:lang w:val="uk-UA"/>
        </w:rPr>
        <w:t>левофлоксацин</w:t>
      </w:r>
      <w:proofErr w:type="spellEnd"/>
      <w:r w:rsidRPr="00ED35A9">
        <w:rPr>
          <w:rFonts w:cs="Times New Roman"/>
          <w:szCs w:val="28"/>
          <w:lang w:val="uk-UA"/>
        </w:rPr>
        <w:t xml:space="preserve"> слід проводити моніторинг лікування з використанням розкладів відповідного клінічного та лабораторного тестування. Критерії, що використовують для </w:t>
      </w:r>
      <w:r w:rsidRPr="00ED35A9">
        <w:rPr>
          <w:rFonts w:cs="Times New Roman"/>
          <w:szCs w:val="28"/>
          <w:lang w:val="uk-UA"/>
        </w:rPr>
        <w:lastRenderedPageBreak/>
        <w:t xml:space="preserve">визначення результату лікування, є тими самими, що й при лікуванні чутливого ТБ </w:t>
      </w:r>
      <w:r w:rsidRPr="00ED35A9">
        <w:rPr>
          <w:rFonts w:cs="Times New Roman"/>
          <w:i/>
          <w:szCs w:val="28"/>
          <w:lang w:val="uk-UA"/>
        </w:rPr>
        <w:t>(12)</w:t>
      </w:r>
      <w:r w:rsidRPr="00ED35A9">
        <w:rPr>
          <w:rFonts w:cs="Times New Roman"/>
          <w:szCs w:val="28"/>
          <w:lang w:val="uk-UA"/>
        </w:rPr>
        <w:t xml:space="preserve">. Відсутність відповіді або невдачу лікування слід відстежувати за допомогою ТМЧ для визначення резистентності до </w:t>
      </w:r>
      <w:proofErr w:type="spellStart"/>
      <w:r w:rsidRPr="00ED35A9">
        <w:rPr>
          <w:rFonts w:cs="Times New Roman"/>
          <w:szCs w:val="28"/>
          <w:lang w:val="uk-UA"/>
        </w:rPr>
        <w:t>рифампіцину</w:t>
      </w:r>
      <w:proofErr w:type="spellEnd"/>
      <w:r w:rsidRPr="00ED35A9">
        <w:rPr>
          <w:rFonts w:cs="Times New Roman"/>
          <w:szCs w:val="28"/>
          <w:lang w:val="uk-UA"/>
        </w:rPr>
        <w:t xml:space="preserve"> та, за можливості, до </w:t>
      </w:r>
      <w:proofErr w:type="spellStart"/>
      <w:r w:rsidRPr="00ED35A9">
        <w:rPr>
          <w:rFonts w:cs="Times New Roman"/>
          <w:szCs w:val="28"/>
          <w:lang w:val="uk-UA"/>
        </w:rPr>
        <w:t>фторхінолонів</w:t>
      </w:r>
      <w:proofErr w:type="spellEnd"/>
      <w:r w:rsidRPr="00ED35A9">
        <w:rPr>
          <w:rFonts w:cs="Times New Roman"/>
          <w:szCs w:val="28"/>
          <w:lang w:val="uk-UA"/>
        </w:rPr>
        <w:t xml:space="preserve"> </w:t>
      </w:r>
      <w:r w:rsidR="00523F79" w:rsidRPr="00ED35A9">
        <w:rPr>
          <w:rFonts w:cs="Times New Roman"/>
          <w:szCs w:val="28"/>
          <w:lang w:val="uk-UA"/>
        </w:rPr>
        <w:t xml:space="preserve">і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Для обмеження ризику набуття додаткової резистентності слід уникати додавання </w:t>
      </w:r>
      <w:r w:rsidR="00523F79" w:rsidRPr="00ED35A9">
        <w:rPr>
          <w:rFonts w:cs="Times New Roman"/>
          <w:szCs w:val="28"/>
          <w:lang w:val="uk-UA"/>
        </w:rPr>
        <w:t>поодиноких</w:t>
      </w:r>
      <w:r w:rsidRPr="00ED35A9">
        <w:rPr>
          <w:rFonts w:cs="Times New Roman"/>
          <w:szCs w:val="28"/>
          <w:lang w:val="uk-UA"/>
        </w:rPr>
        <w:t xml:space="preserve"> ПТП у пацієнтів із визначеним позитивним статусом при проведенні мікроскопічного або </w:t>
      </w:r>
      <w:proofErr w:type="spellStart"/>
      <w:r w:rsidRPr="00ED35A9">
        <w:rPr>
          <w:rFonts w:cs="Times New Roman"/>
          <w:szCs w:val="28"/>
          <w:lang w:val="uk-UA"/>
        </w:rPr>
        <w:t>культурального</w:t>
      </w:r>
      <w:proofErr w:type="spellEnd"/>
      <w:r w:rsidRPr="00ED35A9">
        <w:rPr>
          <w:rFonts w:cs="Times New Roman"/>
          <w:szCs w:val="28"/>
          <w:lang w:val="uk-UA"/>
        </w:rPr>
        <w:t xml:space="preserve"> дослідження після 2</w:t>
      </w:r>
      <w:r w:rsidR="009B681D" w:rsidRPr="00ED35A9">
        <w:rPr>
          <w:rFonts w:cs="Times New Roman"/>
          <w:szCs w:val="28"/>
          <w:lang w:val="uk-UA"/>
        </w:rPr>
        <w:t> </w:t>
      </w:r>
      <w:r w:rsidRPr="00ED35A9">
        <w:rPr>
          <w:rFonts w:cs="Times New Roman"/>
          <w:szCs w:val="28"/>
          <w:lang w:val="uk-UA"/>
        </w:rPr>
        <w:t>міс лікування, в осіб, у яких не відзначено позитивної клінічної реакції, та у пацієнтів з відсутніми недавніми результатами ТМЧ.</w:t>
      </w:r>
    </w:p>
    <w:p w:rsidR="004B5B7F" w:rsidRPr="00ED35A9" w:rsidRDefault="004B5B7F" w:rsidP="000E0B10">
      <w:pPr>
        <w:rPr>
          <w:rFonts w:cs="Times New Roman"/>
          <w:szCs w:val="28"/>
          <w:lang w:val="uk-UA"/>
        </w:rPr>
      </w:pPr>
      <w:r w:rsidRPr="00ED35A9">
        <w:rPr>
          <w:rFonts w:cs="Times New Roman"/>
          <w:szCs w:val="28"/>
          <w:lang w:val="uk-UA"/>
        </w:rPr>
        <w:t>Як і при застосуванні будь-яких інших ПТП та схем, необхідно вживати заход</w:t>
      </w:r>
      <w:r w:rsidR="00523F79" w:rsidRPr="00ED35A9">
        <w:rPr>
          <w:rFonts w:cs="Times New Roman"/>
          <w:szCs w:val="28"/>
          <w:lang w:val="uk-UA"/>
        </w:rPr>
        <w:t xml:space="preserve">и </w:t>
      </w:r>
      <w:r w:rsidRPr="00ED35A9">
        <w:rPr>
          <w:rFonts w:cs="Times New Roman"/>
          <w:szCs w:val="28"/>
          <w:lang w:val="uk-UA"/>
        </w:rPr>
        <w:t xml:space="preserve">для забезпечення швидкого виявлення та належного ведення СНЯ. Проведення постійного клінічного моніторингу є надзвичайно важливим для всіх пацієнтів, що отримують таку схему, особливо спостереження за функцією печінки, враховуючи </w:t>
      </w:r>
      <w:proofErr w:type="spellStart"/>
      <w:r w:rsidRPr="00ED35A9">
        <w:rPr>
          <w:rFonts w:cs="Times New Roman"/>
          <w:szCs w:val="28"/>
          <w:lang w:val="uk-UA"/>
        </w:rPr>
        <w:t>гепатотоксичний</w:t>
      </w:r>
      <w:proofErr w:type="spellEnd"/>
      <w:r w:rsidRPr="00ED35A9">
        <w:rPr>
          <w:rFonts w:cs="Times New Roman"/>
          <w:szCs w:val="28"/>
          <w:lang w:val="uk-UA"/>
        </w:rPr>
        <w:t xml:space="preserve"> потенціал пролонгованого застосування </w:t>
      </w:r>
      <w:proofErr w:type="spellStart"/>
      <w:r w:rsidRPr="00ED35A9">
        <w:rPr>
          <w:rFonts w:cs="Times New Roman"/>
          <w:szCs w:val="28"/>
          <w:lang w:val="uk-UA"/>
        </w:rPr>
        <w:t>піразинаміду</w:t>
      </w:r>
      <w:proofErr w:type="spellEnd"/>
      <w:r w:rsidRPr="00ED35A9">
        <w:rPr>
          <w:rFonts w:cs="Times New Roman"/>
          <w:szCs w:val="28"/>
          <w:lang w:val="uk-UA"/>
        </w:rPr>
        <w:t xml:space="preserve">. За можливості, в усіх пацієнтів слід проводити тестування для визначення рівня </w:t>
      </w:r>
      <w:proofErr w:type="spellStart"/>
      <w:r w:rsidRPr="00ED35A9">
        <w:rPr>
          <w:rFonts w:cs="Times New Roman"/>
          <w:szCs w:val="28"/>
          <w:lang w:val="uk-UA"/>
        </w:rPr>
        <w:t>аспартатамінотрансферази</w:t>
      </w:r>
      <w:proofErr w:type="spellEnd"/>
      <w:r w:rsidRPr="00ED35A9">
        <w:rPr>
          <w:rFonts w:cs="Times New Roman"/>
          <w:szCs w:val="28"/>
          <w:lang w:val="uk-UA"/>
        </w:rPr>
        <w:t xml:space="preserve"> (АСТ або глутамат </w:t>
      </w:r>
      <w:proofErr w:type="spellStart"/>
      <w:r w:rsidRPr="00ED35A9">
        <w:rPr>
          <w:rFonts w:cs="Times New Roman"/>
          <w:szCs w:val="28"/>
          <w:lang w:val="uk-UA"/>
        </w:rPr>
        <w:t>оксалоацетат</w:t>
      </w:r>
      <w:proofErr w:type="spellEnd"/>
      <w:r w:rsidRPr="00ED35A9">
        <w:rPr>
          <w:rFonts w:cs="Times New Roman"/>
          <w:szCs w:val="28"/>
          <w:lang w:val="uk-UA"/>
        </w:rPr>
        <w:t xml:space="preserve"> трансамінази – SGOT) щомісяця. За умови неможливості проведення моніторингу всіх пацієнтів, що отримують лікування </w:t>
      </w:r>
      <w:proofErr w:type="spellStart"/>
      <w:r w:rsidRPr="00ED35A9">
        <w:rPr>
          <w:rFonts w:cs="Times New Roman"/>
          <w:szCs w:val="28"/>
          <w:lang w:val="uk-UA"/>
        </w:rPr>
        <w:t>Hрез</w:t>
      </w:r>
      <w:proofErr w:type="spellEnd"/>
      <w:r w:rsidRPr="00ED35A9">
        <w:rPr>
          <w:rFonts w:cs="Times New Roman"/>
          <w:szCs w:val="28"/>
          <w:lang w:val="uk-UA"/>
        </w:rPr>
        <w:t xml:space="preserve">-ТБ, наполегливо рекомендовано щомісяця проводити моніторинг пацієнтів з високим ризиком, наприклад, пацієнтів із </w:t>
      </w:r>
      <w:proofErr w:type="spellStart"/>
      <w:r w:rsidRPr="00ED35A9">
        <w:rPr>
          <w:rFonts w:cs="Times New Roman"/>
          <w:szCs w:val="28"/>
          <w:lang w:val="uk-UA"/>
        </w:rPr>
        <w:t>коінфекцією</w:t>
      </w:r>
      <w:proofErr w:type="spellEnd"/>
      <w:r w:rsidRPr="00ED35A9">
        <w:rPr>
          <w:rFonts w:cs="Times New Roman"/>
          <w:szCs w:val="28"/>
          <w:lang w:val="uk-UA"/>
        </w:rPr>
        <w:t xml:space="preserve"> вірусного гепатиту або надмірним вживанням алкоголю в анамнезі. Додатково, з метою запобігання виникненню потенційних токсичних ефектів </w:t>
      </w:r>
      <w:proofErr w:type="spellStart"/>
      <w:r w:rsidRPr="00ED35A9">
        <w:rPr>
          <w:rFonts w:cs="Times New Roman"/>
          <w:szCs w:val="28"/>
          <w:lang w:val="uk-UA"/>
        </w:rPr>
        <w:t>етамбутолу</w:t>
      </w:r>
      <w:proofErr w:type="spellEnd"/>
      <w:r w:rsidRPr="00ED35A9">
        <w:rPr>
          <w:rFonts w:cs="Times New Roman"/>
          <w:szCs w:val="28"/>
          <w:lang w:val="uk-UA"/>
        </w:rPr>
        <w:t xml:space="preserve"> у дітей та належного ведення таких випадків (наприклад, </w:t>
      </w:r>
      <w:proofErr w:type="spellStart"/>
      <w:r w:rsidRPr="00ED35A9">
        <w:rPr>
          <w:rFonts w:cs="Times New Roman"/>
          <w:szCs w:val="28"/>
          <w:lang w:val="uk-UA"/>
        </w:rPr>
        <w:t>ретробульбарний</w:t>
      </w:r>
      <w:proofErr w:type="spellEnd"/>
      <w:r w:rsidRPr="00ED35A9">
        <w:rPr>
          <w:rFonts w:cs="Times New Roman"/>
          <w:szCs w:val="28"/>
          <w:lang w:val="uk-UA"/>
        </w:rPr>
        <w:t xml:space="preserve"> неврит), необхідним є дотримання правильного дозування, рекомендованого у педіатрії. Ранні ознаки токсичності </w:t>
      </w:r>
      <w:proofErr w:type="spellStart"/>
      <w:r w:rsidRPr="00ED35A9">
        <w:rPr>
          <w:rFonts w:cs="Times New Roman"/>
          <w:szCs w:val="28"/>
          <w:lang w:val="uk-UA"/>
        </w:rPr>
        <w:t>етамбутолу</w:t>
      </w:r>
      <w:proofErr w:type="spellEnd"/>
      <w:r w:rsidRPr="00ED35A9">
        <w:rPr>
          <w:rFonts w:cs="Times New Roman"/>
          <w:szCs w:val="28"/>
          <w:lang w:val="uk-UA"/>
        </w:rPr>
        <w:t xml:space="preserve"> можна перевіряти у старших дітей шляхом розрізняння ними червоного та зеленого кольорів. За наявності ризику виникнення </w:t>
      </w:r>
      <w:proofErr w:type="spellStart"/>
      <w:r w:rsidRPr="00ED35A9">
        <w:rPr>
          <w:rFonts w:cs="Times New Roman"/>
          <w:szCs w:val="28"/>
          <w:lang w:val="uk-UA"/>
        </w:rPr>
        <w:t>ретробульбарного</w:t>
      </w:r>
      <w:proofErr w:type="spellEnd"/>
      <w:r w:rsidRPr="00ED35A9">
        <w:rPr>
          <w:rFonts w:cs="Times New Roman"/>
          <w:szCs w:val="28"/>
          <w:lang w:val="uk-UA"/>
        </w:rPr>
        <w:t xml:space="preserve"> невриту, моніторинг щодо його виявлення можна проводити на ранніх етапах </w:t>
      </w:r>
      <w:r w:rsidRPr="00ED35A9">
        <w:rPr>
          <w:rFonts w:cs="Times New Roman"/>
          <w:i/>
          <w:szCs w:val="28"/>
          <w:lang w:val="uk-UA"/>
        </w:rPr>
        <w:t>(40)</w:t>
      </w:r>
      <w:r w:rsidRPr="00ED35A9">
        <w:rPr>
          <w:rFonts w:cs="Times New Roman"/>
          <w:szCs w:val="28"/>
          <w:lang w:val="uk-UA"/>
        </w:rPr>
        <w:t>.</w:t>
      </w:r>
    </w:p>
    <w:p w:rsidR="004B5B7F" w:rsidRPr="00ED35A9" w:rsidRDefault="004B5B7F" w:rsidP="000E0B10">
      <w:pPr>
        <w:rPr>
          <w:rFonts w:cs="Times New Roman"/>
          <w:szCs w:val="28"/>
          <w:lang w:val="uk-UA"/>
        </w:rPr>
      </w:pPr>
      <w:r w:rsidRPr="00ED35A9">
        <w:rPr>
          <w:rFonts w:cs="Times New Roman"/>
          <w:szCs w:val="28"/>
          <w:lang w:val="uk-UA"/>
        </w:rPr>
        <w:br w:type="page"/>
      </w:r>
    </w:p>
    <w:p w:rsidR="005C312E" w:rsidRPr="00ED35A9" w:rsidRDefault="005C312E" w:rsidP="005C312E">
      <w:pPr>
        <w:pStyle w:val="2"/>
        <w:rPr>
          <w:lang w:val="uk-UA"/>
        </w:rPr>
      </w:pPr>
      <w:bookmarkStart w:id="22" w:name="_Toc18416320"/>
      <w:bookmarkStart w:id="23" w:name="bookmark35"/>
      <w:bookmarkStart w:id="24" w:name="_Toc417570590"/>
      <w:bookmarkEnd w:id="11"/>
      <w:bookmarkEnd w:id="12"/>
      <w:r w:rsidRPr="00ED35A9">
        <w:rPr>
          <w:lang w:val="uk-UA"/>
        </w:rPr>
        <w:lastRenderedPageBreak/>
        <w:t xml:space="preserve">Розділ 2. Склад довгострокових схем лікування </w:t>
      </w:r>
      <w:proofErr w:type="spellStart"/>
      <w:r w:rsidRPr="00ED35A9">
        <w:rPr>
          <w:lang w:val="uk-UA"/>
        </w:rPr>
        <w:t>мультирезистентного</w:t>
      </w:r>
      <w:proofErr w:type="spellEnd"/>
      <w:r w:rsidRPr="00ED35A9">
        <w:rPr>
          <w:lang w:val="uk-UA"/>
        </w:rPr>
        <w:t xml:space="preserve"> туберкульозу</w:t>
      </w:r>
      <w:bookmarkEnd w:id="22"/>
    </w:p>
    <w:tbl>
      <w:tblPr>
        <w:tblStyle w:val="a8"/>
        <w:tblW w:w="0" w:type="auto"/>
        <w:tblInd w:w="108" w:type="dxa"/>
        <w:shd w:val="clear" w:color="auto" w:fill="DEEAF6" w:themeFill="accent1" w:themeFillTint="33"/>
        <w:tblLook w:val="04A0" w:firstRow="1" w:lastRow="0" w:firstColumn="1" w:lastColumn="0" w:noHBand="0" w:noVBand="1"/>
      </w:tblPr>
      <w:tblGrid>
        <w:gridCol w:w="9356"/>
      </w:tblGrid>
      <w:tr w:rsidR="005C312E" w:rsidRPr="00ED35A9" w:rsidTr="00DA1848">
        <w:tc>
          <w:tcPr>
            <w:tcW w:w="9356" w:type="dxa"/>
            <w:shd w:val="clear" w:color="auto" w:fill="DEEAF6" w:themeFill="accent1" w:themeFillTint="33"/>
          </w:tcPr>
          <w:p w:rsidR="005C312E" w:rsidRPr="00ED35A9" w:rsidRDefault="005C312E" w:rsidP="00DA1848">
            <w:pPr>
              <w:spacing w:before="120" w:after="120"/>
              <w:ind w:firstLine="0"/>
              <w:jc w:val="center"/>
              <w:rPr>
                <w:b/>
                <w:szCs w:val="28"/>
                <w:lang w:val="uk-UA"/>
              </w:rPr>
            </w:pPr>
            <w:bookmarkStart w:id="25" w:name="bookmark29"/>
            <w:bookmarkStart w:id="26" w:name="_Toc417570584"/>
            <w:r w:rsidRPr="00ED35A9">
              <w:rPr>
                <w:b/>
                <w:szCs w:val="28"/>
                <w:lang w:val="uk-UA"/>
              </w:rPr>
              <w:t>Рекомендації</w:t>
            </w:r>
          </w:p>
          <w:p w:rsidR="005C312E" w:rsidRPr="00ED35A9" w:rsidRDefault="005C312E" w:rsidP="00ED35A9">
            <w:pPr>
              <w:spacing w:after="120" w:line="252" w:lineRule="auto"/>
              <w:ind w:firstLine="0"/>
              <w:rPr>
                <w:szCs w:val="28"/>
                <w:lang w:val="uk-UA"/>
              </w:rPr>
            </w:pPr>
            <w:r w:rsidRPr="00ED35A9">
              <w:rPr>
                <w:szCs w:val="28"/>
                <w:lang w:val="uk-UA"/>
              </w:rPr>
              <w:t xml:space="preserve">2.1. У пацієнтів з МРТБ до довгострокових схем лікування слід включати усі три препарати групи А та </w:t>
            </w:r>
            <w:r w:rsidR="00821900" w:rsidRPr="00ED35A9">
              <w:rPr>
                <w:szCs w:val="28"/>
                <w:lang w:val="uk-UA"/>
              </w:rPr>
              <w:t xml:space="preserve">мінімум </w:t>
            </w:r>
            <w:r w:rsidRPr="00ED35A9">
              <w:rPr>
                <w:szCs w:val="28"/>
                <w:lang w:val="uk-UA"/>
              </w:rPr>
              <w:t xml:space="preserve">один препарат групи В, починаючи лікування якнайменше з чотирьох ПТП, які ймовірно будуть ефективними, та застосовуючи принаймні три препарати після припинення прийому </w:t>
            </w:r>
            <w:proofErr w:type="spellStart"/>
            <w:r w:rsidRPr="00ED35A9">
              <w:rPr>
                <w:szCs w:val="28"/>
                <w:lang w:val="uk-UA"/>
              </w:rPr>
              <w:t>бедаквіліну</w:t>
            </w:r>
            <w:proofErr w:type="spellEnd"/>
            <w:r w:rsidRPr="00ED35A9">
              <w:rPr>
                <w:szCs w:val="28"/>
                <w:lang w:val="uk-UA"/>
              </w:rPr>
              <w:t xml:space="preserve"> (</w:t>
            </w:r>
            <w:proofErr w:type="spellStart"/>
            <w:r w:rsidRPr="00ED35A9">
              <w:rPr>
                <w:szCs w:val="28"/>
                <w:lang w:val="uk-UA"/>
              </w:rPr>
              <w:t>Bdq</w:t>
            </w:r>
            <w:proofErr w:type="spellEnd"/>
            <w:r w:rsidRPr="00ED35A9">
              <w:rPr>
                <w:szCs w:val="28"/>
                <w:lang w:val="uk-UA"/>
              </w:rPr>
              <w:t>). Якщо використовують лише один або два препарати групи А, слід включити обидва препарати групи В. Якщо схема не може бути складена лише з препаратів груп А та В, тоді для доповнення слід додати препарати групи С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2.2. </w:t>
            </w:r>
            <w:proofErr w:type="spellStart"/>
            <w:r w:rsidRPr="00ED35A9">
              <w:rPr>
                <w:szCs w:val="28"/>
                <w:lang w:val="uk-UA"/>
              </w:rPr>
              <w:t>Канаміцин</w:t>
            </w:r>
            <w:proofErr w:type="spellEnd"/>
            <w:r w:rsidRPr="00ED35A9">
              <w:rPr>
                <w:szCs w:val="28"/>
                <w:lang w:val="uk-UA"/>
              </w:rPr>
              <w:t xml:space="preserve"> </w:t>
            </w:r>
            <w:r w:rsidR="00821900" w:rsidRPr="00ED35A9">
              <w:rPr>
                <w:szCs w:val="28"/>
                <w:lang w:val="uk-UA"/>
              </w:rPr>
              <w:t xml:space="preserve">і </w:t>
            </w:r>
            <w:proofErr w:type="spellStart"/>
            <w:r w:rsidRPr="00ED35A9">
              <w:rPr>
                <w:szCs w:val="28"/>
                <w:lang w:val="uk-UA"/>
              </w:rPr>
              <w:t>капреоміцин</w:t>
            </w:r>
            <w:proofErr w:type="spellEnd"/>
            <w:r w:rsidRPr="00ED35A9">
              <w:rPr>
                <w:szCs w:val="28"/>
                <w:lang w:val="uk-UA"/>
              </w:rPr>
              <w:t xml:space="preserve"> не слід застосовувати при лікуванні пацієнтів з МРТБ на довгострокових схемах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2.3. </w:t>
            </w:r>
            <w:proofErr w:type="spellStart"/>
            <w:r w:rsidRPr="00ED35A9">
              <w:rPr>
                <w:szCs w:val="28"/>
                <w:lang w:val="uk-UA"/>
              </w:rPr>
              <w:t>Левофлоксацин</w:t>
            </w:r>
            <w:proofErr w:type="spellEnd"/>
            <w:r w:rsidRPr="00ED35A9">
              <w:rPr>
                <w:szCs w:val="28"/>
                <w:lang w:val="uk-UA"/>
              </w:rPr>
              <w:t xml:space="preserve"> або </w:t>
            </w:r>
            <w:proofErr w:type="spellStart"/>
            <w:r w:rsidRPr="00ED35A9">
              <w:rPr>
                <w:szCs w:val="28"/>
                <w:lang w:val="uk-UA"/>
              </w:rPr>
              <w:t>моксіфлоксацин</w:t>
            </w:r>
            <w:proofErr w:type="spellEnd"/>
            <w:r w:rsidRPr="00ED35A9">
              <w:rPr>
                <w:szCs w:val="28"/>
                <w:lang w:val="uk-UA"/>
              </w:rPr>
              <w:t xml:space="preserve"> рекомендовано застосовувати при лікуванні пацієнтів з МР/Риф-ТБ на довгострокових схемах (наполеглива рекомендація, середня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2.4. </w:t>
            </w:r>
            <w:proofErr w:type="spellStart"/>
            <w:r w:rsidRPr="00ED35A9">
              <w:rPr>
                <w:szCs w:val="28"/>
                <w:lang w:val="uk-UA"/>
              </w:rPr>
              <w:t>Бедаквілін</w:t>
            </w:r>
            <w:proofErr w:type="spellEnd"/>
            <w:r w:rsidRPr="00ED35A9">
              <w:rPr>
                <w:szCs w:val="28"/>
                <w:lang w:val="uk-UA"/>
              </w:rPr>
              <w:t xml:space="preserve"> рекомендовано включати до довгострокових схем лікування пацієнтів з МРТБ віком від 18 років (наполеглива рекомендація, середня якість доказових даних). </w:t>
            </w:r>
            <w:proofErr w:type="spellStart"/>
            <w:r w:rsidRPr="00ED35A9">
              <w:rPr>
                <w:szCs w:val="28"/>
                <w:lang w:val="uk-UA"/>
              </w:rPr>
              <w:t>Бедаквілін</w:t>
            </w:r>
            <w:proofErr w:type="spellEnd"/>
            <w:r w:rsidRPr="00ED35A9">
              <w:rPr>
                <w:szCs w:val="28"/>
                <w:lang w:val="uk-UA"/>
              </w:rPr>
              <w:t xml:space="preserve"> також можна включати до довгострокових схем лікування пацієнтів з МРТБ віком від 6 до 17 років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2.5. 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Lzd</w:t>
            </w:r>
            <w:proofErr w:type="spellEnd"/>
            <w:r w:rsidRPr="00ED35A9">
              <w:rPr>
                <w:szCs w:val="28"/>
                <w:lang w:val="uk-UA"/>
              </w:rPr>
              <w:t>) рекомендовано включати до довгострокових схем лікування пацієнтів з МР/Риф-ТБ (наполеглива рекомендація, середня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2.6. </w:t>
            </w:r>
            <w:proofErr w:type="spellStart"/>
            <w:r w:rsidRPr="00ED35A9">
              <w:rPr>
                <w:szCs w:val="28"/>
                <w:lang w:val="uk-UA"/>
              </w:rPr>
              <w:t>Клофазимін</w:t>
            </w:r>
            <w:proofErr w:type="spellEnd"/>
            <w:r w:rsidRPr="00ED35A9">
              <w:rPr>
                <w:szCs w:val="28"/>
                <w:lang w:val="uk-UA"/>
              </w:rPr>
              <w:t xml:space="preserve"> (</w:t>
            </w:r>
            <w:proofErr w:type="spellStart"/>
            <w:r w:rsidRPr="00ED35A9">
              <w:rPr>
                <w:szCs w:val="28"/>
                <w:lang w:val="uk-UA"/>
              </w:rPr>
              <w:t>Cfz</w:t>
            </w:r>
            <w:proofErr w:type="spellEnd"/>
            <w:r w:rsidRPr="00ED35A9">
              <w:rPr>
                <w:szCs w:val="28"/>
                <w:lang w:val="uk-UA"/>
              </w:rPr>
              <w:t xml:space="preserve">) та </w:t>
            </w:r>
            <w:proofErr w:type="spellStart"/>
            <w:r w:rsidRPr="00ED35A9">
              <w:rPr>
                <w:szCs w:val="28"/>
                <w:lang w:val="uk-UA"/>
              </w:rPr>
              <w:t>циклосерін</w:t>
            </w:r>
            <w:proofErr w:type="spellEnd"/>
            <w:r w:rsidRPr="00ED35A9">
              <w:rPr>
                <w:szCs w:val="28"/>
                <w:lang w:val="uk-UA"/>
              </w:rPr>
              <w:t xml:space="preserve"> (</w:t>
            </w:r>
            <w:proofErr w:type="spellStart"/>
            <w:r w:rsidRPr="00ED35A9">
              <w:rPr>
                <w:szCs w:val="28"/>
                <w:lang w:val="uk-UA"/>
              </w:rPr>
              <w:t>Cs</w:t>
            </w:r>
            <w:proofErr w:type="spellEnd"/>
            <w:r w:rsidRPr="00ED35A9">
              <w:rPr>
                <w:szCs w:val="28"/>
                <w:lang w:val="uk-UA"/>
              </w:rPr>
              <w:t xml:space="preserve">) або </w:t>
            </w:r>
            <w:proofErr w:type="spellStart"/>
            <w:r w:rsidRPr="00ED35A9">
              <w:rPr>
                <w:szCs w:val="28"/>
                <w:lang w:val="uk-UA"/>
              </w:rPr>
              <w:t>теризидон</w:t>
            </w:r>
            <w:proofErr w:type="spellEnd"/>
            <w:r w:rsidRPr="00ED35A9">
              <w:rPr>
                <w:szCs w:val="28"/>
                <w:lang w:val="uk-UA"/>
              </w:rPr>
              <w:t xml:space="preserve"> (</w:t>
            </w:r>
            <w:proofErr w:type="spellStart"/>
            <w:r w:rsidRPr="00ED35A9">
              <w:rPr>
                <w:szCs w:val="28"/>
                <w:lang w:val="uk-UA"/>
              </w:rPr>
              <w:t>Trd</w:t>
            </w:r>
            <w:proofErr w:type="spellEnd"/>
            <w:r w:rsidRPr="00ED35A9">
              <w:rPr>
                <w:szCs w:val="28"/>
                <w:lang w:val="uk-UA"/>
              </w:rPr>
              <w:t>) можна включати до довгострокових схем лікування у пацієнтів з МР/Риф-ТБ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2.7. </w:t>
            </w:r>
            <w:proofErr w:type="spellStart"/>
            <w:r w:rsidRPr="00ED35A9">
              <w:rPr>
                <w:szCs w:val="28"/>
                <w:lang w:val="uk-UA"/>
              </w:rPr>
              <w:t>Етамбутол</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2.8. </w:t>
            </w:r>
            <w:proofErr w:type="spellStart"/>
            <w:r w:rsidRPr="00ED35A9">
              <w:rPr>
                <w:szCs w:val="28"/>
                <w:lang w:val="uk-UA"/>
              </w:rPr>
              <w:t>Деламанід</w:t>
            </w:r>
            <w:proofErr w:type="spellEnd"/>
            <w:r w:rsidRPr="00ED35A9">
              <w:rPr>
                <w:szCs w:val="28"/>
                <w:lang w:val="uk-UA"/>
              </w:rPr>
              <w:t xml:space="preserve"> (</w:t>
            </w:r>
            <w:proofErr w:type="spellStart"/>
            <w:r w:rsidRPr="00ED35A9">
              <w:rPr>
                <w:szCs w:val="28"/>
                <w:lang w:val="uk-UA"/>
              </w:rPr>
              <w:t>Dim</w:t>
            </w:r>
            <w:proofErr w:type="spellEnd"/>
            <w:r w:rsidRPr="00ED35A9">
              <w:rPr>
                <w:szCs w:val="28"/>
                <w:lang w:val="uk-UA"/>
              </w:rPr>
              <w:t>) можна включати до довгострокових схем лікування у пацієнтів з МР/Риф-ТБ віком від 3 років (умовна рекомендація, середня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t>2.9. </w:t>
            </w:r>
            <w:proofErr w:type="spellStart"/>
            <w:r w:rsidRPr="00ED35A9">
              <w:rPr>
                <w:szCs w:val="28"/>
                <w:lang w:val="uk-UA"/>
              </w:rPr>
              <w:t>Піразинамід</w:t>
            </w:r>
            <w:proofErr w:type="spellEnd"/>
            <w:r w:rsidRPr="00ED35A9">
              <w:rPr>
                <w:szCs w:val="28"/>
                <w:lang w:val="uk-UA"/>
              </w:rPr>
              <w:t xml:space="preserve"> можна включати до довгострокових схем лікування у пацієнтів з МР/Риф-ТБ (умовна рекомендація, дуже низька якість доказових даних).</w:t>
            </w:r>
          </w:p>
          <w:p w:rsidR="005C312E" w:rsidRPr="00ED35A9" w:rsidRDefault="005C312E" w:rsidP="00ED35A9">
            <w:pPr>
              <w:spacing w:after="120" w:line="252" w:lineRule="auto"/>
              <w:ind w:firstLine="0"/>
              <w:rPr>
                <w:szCs w:val="28"/>
                <w:lang w:val="uk-UA"/>
              </w:rPr>
            </w:pPr>
            <w:r w:rsidRPr="00ED35A9">
              <w:rPr>
                <w:szCs w:val="28"/>
                <w:lang w:val="uk-UA"/>
              </w:rPr>
              <w:lastRenderedPageBreak/>
              <w:t>2.10. </w:t>
            </w:r>
            <w:proofErr w:type="spellStart"/>
            <w:r w:rsidRPr="00ED35A9">
              <w:rPr>
                <w:szCs w:val="28"/>
                <w:lang w:val="uk-UA"/>
              </w:rPr>
              <w:t>Іміпенем-циластатин</w:t>
            </w:r>
            <w:proofErr w:type="spellEnd"/>
            <w:r w:rsidRPr="00ED35A9">
              <w:rPr>
                <w:szCs w:val="28"/>
                <w:lang w:val="uk-UA"/>
              </w:rPr>
              <w:t xml:space="preserve"> (</w:t>
            </w:r>
            <w:proofErr w:type="spellStart"/>
            <w:r w:rsidRPr="00ED35A9">
              <w:rPr>
                <w:szCs w:val="28"/>
                <w:lang w:val="uk-UA"/>
              </w:rPr>
              <w:t>Imp-CIn</w:t>
            </w:r>
            <w:proofErr w:type="spellEnd"/>
            <w:r w:rsidRPr="00ED35A9">
              <w:rPr>
                <w:szCs w:val="28"/>
                <w:lang w:val="uk-UA"/>
              </w:rPr>
              <w:t xml:space="preserve">) або </w:t>
            </w:r>
            <w:proofErr w:type="spellStart"/>
            <w:r w:rsidRPr="00ED35A9">
              <w:rPr>
                <w:szCs w:val="28"/>
                <w:lang w:val="uk-UA"/>
              </w:rPr>
              <w:t>меропенем</w:t>
            </w:r>
            <w:proofErr w:type="spellEnd"/>
            <w:r w:rsidRPr="00ED35A9">
              <w:rPr>
                <w:szCs w:val="28"/>
                <w:lang w:val="uk-UA"/>
              </w:rPr>
              <w:t xml:space="preserve"> (</w:t>
            </w:r>
            <w:proofErr w:type="spellStart"/>
            <w:r w:rsidRPr="00ED35A9">
              <w:rPr>
                <w:szCs w:val="28"/>
                <w:lang w:val="uk-UA"/>
              </w:rPr>
              <w:t>Mpm</w:t>
            </w:r>
            <w:proofErr w:type="spellEnd"/>
            <w:r w:rsidRPr="00ED35A9">
              <w:rPr>
                <w:szCs w:val="28"/>
                <w:lang w:val="uk-UA"/>
              </w:rPr>
              <w:t>) можна включати до довгострокових схем лікування у пацієнтів з МР/Риф-ТБ (умовна рекомендація, дуже низька якість доказових даних)</w:t>
            </w:r>
            <w:r w:rsidRPr="00ED35A9">
              <w:rPr>
                <w:szCs w:val="28"/>
                <w:vertAlign w:val="superscript"/>
                <w:lang w:val="uk-UA"/>
              </w:rPr>
              <w:footnoteReference w:id="17"/>
            </w:r>
            <w:r w:rsidRPr="00ED35A9">
              <w:rPr>
                <w:szCs w:val="28"/>
                <w:lang w:val="uk-UA"/>
              </w:rPr>
              <w:t>.</w:t>
            </w:r>
          </w:p>
          <w:p w:rsidR="005C312E" w:rsidRPr="00ED35A9" w:rsidRDefault="005C312E" w:rsidP="00DA1848">
            <w:pPr>
              <w:spacing w:after="120"/>
              <w:ind w:firstLine="0"/>
              <w:rPr>
                <w:szCs w:val="28"/>
                <w:lang w:val="uk-UA"/>
              </w:rPr>
            </w:pPr>
            <w:r w:rsidRPr="00ED35A9">
              <w:rPr>
                <w:szCs w:val="28"/>
                <w:lang w:val="uk-UA"/>
              </w:rPr>
              <w:t>2.11. </w:t>
            </w:r>
            <w:proofErr w:type="spellStart"/>
            <w:r w:rsidRPr="00ED35A9">
              <w:rPr>
                <w:szCs w:val="28"/>
                <w:lang w:val="uk-UA"/>
              </w:rPr>
              <w:t>Амікацин</w:t>
            </w:r>
            <w:proofErr w:type="spellEnd"/>
            <w:r w:rsidRPr="00ED35A9">
              <w:rPr>
                <w:szCs w:val="28"/>
                <w:lang w:val="uk-UA"/>
              </w:rPr>
              <w:t xml:space="preserve"> (</w:t>
            </w:r>
            <w:proofErr w:type="spellStart"/>
            <w:r w:rsidRPr="00ED35A9">
              <w:rPr>
                <w:szCs w:val="28"/>
                <w:lang w:val="uk-UA"/>
              </w:rPr>
              <w:t>Am</w:t>
            </w:r>
            <w:proofErr w:type="spellEnd"/>
            <w:r w:rsidRPr="00ED35A9">
              <w:rPr>
                <w:szCs w:val="28"/>
                <w:lang w:val="uk-UA"/>
              </w:rPr>
              <w:t>) можна включати до довгострокових схем лікування у</w:t>
            </w:r>
            <w:r w:rsidR="007F3460" w:rsidRPr="00ED35A9">
              <w:rPr>
                <w:szCs w:val="28"/>
                <w:lang w:val="uk-UA"/>
              </w:rPr>
              <w:t> </w:t>
            </w:r>
            <w:r w:rsidRPr="00ED35A9">
              <w:rPr>
                <w:szCs w:val="28"/>
                <w:lang w:val="uk-UA"/>
              </w:rPr>
              <w:t xml:space="preserve">пацієнтів з МР/Риф-ТБ віком від 18 років, коли проведено ТМЧ та забезпечено надійні заходи з моніторингу побічних реакцій. Якщо </w:t>
            </w:r>
            <w:proofErr w:type="spellStart"/>
            <w:r w:rsidRPr="00ED35A9">
              <w:rPr>
                <w:szCs w:val="28"/>
                <w:lang w:val="uk-UA"/>
              </w:rPr>
              <w:t>амікацин</w:t>
            </w:r>
            <w:proofErr w:type="spellEnd"/>
            <w:r w:rsidRPr="00ED35A9">
              <w:rPr>
                <w:szCs w:val="28"/>
                <w:lang w:val="uk-UA"/>
              </w:rPr>
              <w:t xml:space="preserve"> недоступний, його можна замінити стрептоміцином на тих самих умовах (умовна рекомендація, дуже низька якість доказових даних).</w:t>
            </w:r>
          </w:p>
          <w:p w:rsidR="005C312E" w:rsidRPr="00ED35A9" w:rsidRDefault="005C312E" w:rsidP="00DA1848">
            <w:pPr>
              <w:spacing w:after="120"/>
              <w:ind w:firstLine="0"/>
              <w:rPr>
                <w:szCs w:val="28"/>
                <w:lang w:val="uk-UA"/>
              </w:rPr>
            </w:pPr>
            <w:r w:rsidRPr="00ED35A9">
              <w:rPr>
                <w:szCs w:val="28"/>
                <w:lang w:val="uk-UA"/>
              </w:rPr>
              <w:t>2.12. </w:t>
            </w:r>
            <w:proofErr w:type="spellStart"/>
            <w:r w:rsidRPr="00ED35A9">
              <w:rPr>
                <w:szCs w:val="28"/>
                <w:lang w:val="uk-UA"/>
              </w:rPr>
              <w:t>Етіонамід</w:t>
            </w:r>
            <w:proofErr w:type="spellEnd"/>
            <w:r w:rsidRPr="00ED35A9">
              <w:rPr>
                <w:szCs w:val="28"/>
                <w:lang w:val="uk-UA"/>
              </w:rPr>
              <w:t xml:space="preserve"> (</w:t>
            </w:r>
            <w:proofErr w:type="spellStart"/>
            <w:r w:rsidRPr="00ED35A9">
              <w:rPr>
                <w:szCs w:val="28"/>
                <w:lang w:val="uk-UA"/>
              </w:rPr>
              <w:t>Eto</w:t>
            </w:r>
            <w:proofErr w:type="spellEnd"/>
            <w:r w:rsidRPr="00ED35A9">
              <w:rPr>
                <w:szCs w:val="28"/>
                <w:lang w:val="uk-UA"/>
              </w:rPr>
              <w:t xml:space="preserve">) або </w:t>
            </w:r>
            <w:proofErr w:type="spellStart"/>
            <w:r w:rsidRPr="00ED35A9">
              <w:rPr>
                <w:szCs w:val="28"/>
                <w:lang w:val="uk-UA"/>
              </w:rPr>
              <w:t>протіонамід</w:t>
            </w:r>
            <w:proofErr w:type="spellEnd"/>
            <w:r w:rsidRPr="00ED35A9">
              <w:rPr>
                <w:szCs w:val="28"/>
                <w:lang w:val="uk-UA"/>
              </w:rPr>
              <w:t xml:space="preserve"> (</w:t>
            </w:r>
            <w:proofErr w:type="spellStart"/>
            <w:r w:rsidRPr="00ED35A9">
              <w:rPr>
                <w:szCs w:val="28"/>
                <w:lang w:val="uk-UA"/>
              </w:rPr>
              <w:t>Pto</w:t>
            </w:r>
            <w:proofErr w:type="spellEnd"/>
            <w:r w:rsidRPr="00ED35A9">
              <w:rPr>
                <w:szCs w:val="28"/>
                <w:lang w:val="uk-UA"/>
              </w:rPr>
              <w:t xml:space="preserve">) можна включати до довгострокових схем лікування у пацієнтів з МР/Риф-ТБ лише якщо не застосовується </w:t>
            </w:r>
            <w:proofErr w:type="spellStart"/>
            <w:r w:rsidRPr="00ED35A9">
              <w:rPr>
                <w:szCs w:val="28"/>
                <w:lang w:val="uk-UA"/>
              </w:rPr>
              <w:t>бедаквілін</w:t>
            </w:r>
            <w:proofErr w:type="spellEnd"/>
            <w:r w:rsidRPr="00ED35A9">
              <w:rPr>
                <w:szCs w:val="28"/>
                <w:lang w:val="uk-UA"/>
              </w:rPr>
              <w:t xml:space="preserve">,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клофазимін</w:t>
            </w:r>
            <w:proofErr w:type="spellEnd"/>
            <w:r w:rsidRPr="00ED35A9">
              <w:rPr>
                <w:szCs w:val="28"/>
                <w:lang w:val="uk-UA"/>
              </w:rPr>
              <w:t xml:space="preserve"> чи </w:t>
            </w:r>
            <w:proofErr w:type="spellStart"/>
            <w:r w:rsidRPr="00ED35A9">
              <w:rPr>
                <w:szCs w:val="28"/>
                <w:lang w:val="uk-UA"/>
              </w:rPr>
              <w:t>деламанід</w:t>
            </w:r>
            <w:proofErr w:type="spellEnd"/>
            <w:r w:rsidRPr="00ED35A9">
              <w:rPr>
                <w:szCs w:val="28"/>
                <w:lang w:val="uk-UA"/>
              </w:rPr>
              <w:t xml:space="preserve"> або за відсутності кращих варіантів складання схеми (умовна рекомендація проти використання, дуже низька якість доказових даних).</w:t>
            </w:r>
          </w:p>
          <w:p w:rsidR="005C312E" w:rsidRPr="00ED35A9" w:rsidRDefault="005C312E" w:rsidP="00DA1848">
            <w:pPr>
              <w:spacing w:after="120"/>
              <w:ind w:firstLine="0"/>
              <w:rPr>
                <w:szCs w:val="28"/>
                <w:lang w:val="uk-UA"/>
              </w:rPr>
            </w:pPr>
            <w:r w:rsidRPr="00ED35A9">
              <w:rPr>
                <w:szCs w:val="28"/>
                <w:lang w:val="uk-UA"/>
              </w:rPr>
              <w:t>2.13. </w:t>
            </w:r>
            <w:proofErr w:type="spellStart"/>
            <w:r w:rsidRPr="00ED35A9">
              <w:rPr>
                <w:szCs w:val="28"/>
                <w:lang w:val="uk-UA"/>
              </w:rPr>
              <w:t>Парааміносаліцилову</w:t>
            </w:r>
            <w:proofErr w:type="spellEnd"/>
            <w:r w:rsidRPr="00ED35A9">
              <w:rPr>
                <w:szCs w:val="28"/>
                <w:lang w:val="uk-UA"/>
              </w:rPr>
              <w:t xml:space="preserve"> кислоту (PAS) можна включати до довгострокових схем лікування у пацієнтів з МР/Риф-ТБ тільки якщо не застосовується </w:t>
            </w:r>
            <w:proofErr w:type="spellStart"/>
            <w:r w:rsidRPr="00ED35A9">
              <w:rPr>
                <w:szCs w:val="28"/>
                <w:lang w:val="uk-UA"/>
              </w:rPr>
              <w:t>бедаквілін</w:t>
            </w:r>
            <w:proofErr w:type="spellEnd"/>
            <w:r w:rsidRPr="00ED35A9">
              <w:rPr>
                <w:szCs w:val="28"/>
                <w:lang w:val="uk-UA"/>
              </w:rPr>
              <w:t xml:space="preserve">,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клофазимін</w:t>
            </w:r>
            <w:proofErr w:type="spellEnd"/>
            <w:r w:rsidRPr="00ED35A9">
              <w:rPr>
                <w:szCs w:val="28"/>
                <w:lang w:val="uk-UA"/>
              </w:rPr>
              <w:t xml:space="preserve"> чи </w:t>
            </w:r>
            <w:proofErr w:type="spellStart"/>
            <w:r w:rsidRPr="00ED35A9">
              <w:rPr>
                <w:szCs w:val="28"/>
                <w:lang w:val="uk-UA"/>
              </w:rPr>
              <w:t>деламанід</w:t>
            </w:r>
            <w:proofErr w:type="spellEnd"/>
            <w:r w:rsidRPr="00ED35A9">
              <w:rPr>
                <w:szCs w:val="28"/>
                <w:lang w:val="uk-UA"/>
              </w:rPr>
              <w:t xml:space="preserve"> або за відсутності кращих варіантів складання схеми (умовна рекомендація проти використання, дуже низька якість доказових даних).</w:t>
            </w:r>
          </w:p>
          <w:p w:rsidR="005C312E" w:rsidRPr="00ED35A9" w:rsidRDefault="005C312E" w:rsidP="00ED35A9">
            <w:pPr>
              <w:spacing w:after="120"/>
              <w:ind w:firstLine="0"/>
              <w:rPr>
                <w:szCs w:val="28"/>
                <w:lang w:val="uk-UA"/>
              </w:rPr>
            </w:pPr>
            <w:r w:rsidRPr="00ED35A9">
              <w:rPr>
                <w:szCs w:val="28"/>
                <w:lang w:val="uk-UA"/>
              </w:rPr>
              <w:t>2.14. </w:t>
            </w:r>
            <w:proofErr w:type="spellStart"/>
            <w:r w:rsidRPr="00ED35A9">
              <w:rPr>
                <w:szCs w:val="28"/>
                <w:lang w:val="uk-UA"/>
              </w:rPr>
              <w:t>Клавуланову</w:t>
            </w:r>
            <w:proofErr w:type="spellEnd"/>
            <w:r w:rsidRPr="00ED35A9">
              <w:rPr>
                <w:szCs w:val="28"/>
                <w:lang w:val="uk-UA"/>
              </w:rPr>
              <w:t xml:space="preserve"> кислоту не слід включати до довгострокових схем лікування у пацієнтів з МР/Риф-ТБ (наполеглива рекомендація проти використання, низька якість доказових даних)</w:t>
            </w:r>
            <w:r w:rsidR="00ED35A9" w:rsidRPr="00ED35A9">
              <w:rPr>
                <w:szCs w:val="28"/>
                <w:vertAlign w:val="superscript"/>
                <w:lang w:val="uk-UA"/>
              </w:rPr>
              <w:t>17</w:t>
            </w:r>
            <w:r w:rsidRPr="00ED35A9">
              <w:rPr>
                <w:szCs w:val="28"/>
                <w:lang w:val="uk-UA"/>
              </w:rPr>
              <w:t>.</w:t>
            </w:r>
          </w:p>
        </w:tc>
      </w:tr>
    </w:tbl>
    <w:bookmarkEnd w:id="25"/>
    <w:bookmarkEnd w:id="26"/>
    <w:p w:rsidR="005C312E" w:rsidRPr="00ED35A9" w:rsidRDefault="005C312E" w:rsidP="005C312E">
      <w:pPr>
        <w:spacing w:before="120"/>
        <w:rPr>
          <w:b/>
          <w:szCs w:val="28"/>
          <w:lang w:val="uk-UA"/>
        </w:rPr>
      </w:pPr>
      <w:r w:rsidRPr="00ED35A9">
        <w:rPr>
          <w:b/>
          <w:szCs w:val="28"/>
          <w:lang w:val="uk-UA"/>
        </w:rPr>
        <w:lastRenderedPageBreak/>
        <w:t>Обґрунтування та доказові дані</w:t>
      </w:r>
    </w:p>
    <w:p w:rsidR="005C312E" w:rsidRPr="00ED35A9" w:rsidRDefault="005C312E" w:rsidP="005C312E">
      <w:pPr>
        <w:spacing w:after="120"/>
        <w:rPr>
          <w:lang w:val="uk-UA"/>
        </w:rPr>
      </w:pPr>
      <w:r w:rsidRPr="00ED35A9">
        <w:rPr>
          <w:lang w:val="uk-UA"/>
        </w:rPr>
        <w:t xml:space="preserve">Цей розділ охоплює схеми лікування МРТБ тривалістю довше, ніж короткострокові схеми лікування МРТБ протягом 9–12 міс, описані в розділі 4. Рекомендації цього розділу </w:t>
      </w:r>
      <w:r w:rsidR="00821900" w:rsidRPr="00ED35A9">
        <w:rPr>
          <w:lang w:val="uk-UA"/>
        </w:rPr>
        <w:t>на</w:t>
      </w:r>
      <w:r w:rsidRPr="00ED35A9">
        <w:rPr>
          <w:lang w:val="uk-UA"/>
        </w:rPr>
        <w:t>дають відповідь на два запитання PICO (</w:t>
      </w:r>
      <w:r w:rsidRPr="00ED35A9">
        <w:rPr>
          <w:i/>
          <w:lang w:val="uk-UA"/>
        </w:rPr>
        <w:t>див.</w:t>
      </w:r>
      <w:r w:rsidRPr="00ED35A9">
        <w:rPr>
          <w:lang w:val="uk-UA"/>
        </w:rPr>
        <w:t xml:space="preserve"> Додаток 1).</w:t>
      </w:r>
    </w:p>
    <w:tbl>
      <w:tblPr>
        <w:tblStyle w:val="a8"/>
        <w:tblW w:w="0" w:type="auto"/>
        <w:tblInd w:w="108" w:type="dxa"/>
        <w:tblLook w:val="04A0" w:firstRow="1" w:lastRow="0" w:firstColumn="1" w:lastColumn="0" w:noHBand="0" w:noVBand="1"/>
      </w:tblPr>
      <w:tblGrid>
        <w:gridCol w:w="9356"/>
      </w:tblGrid>
      <w:tr w:rsidR="005C312E" w:rsidRPr="00850C2F" w:rsidTr="00DA1848">
        <w:tc>
          <w:tcPr>
            <w:tcW w:w="9356" w:type="dxa"/>
          </w:tcPr>
          <w:p w:rsidR="005C312E" w:rsidRPr="00ED35A9" w:rsidRDefault="005C312E" w:rsidP="00DA1848">
            <w:pPr>
              <w:spacing w:before="120"/>
              <w:ind w:firstLine="0"/>
              <w:rPr>
                <w:rFonts w:eastAsiaTheme="minorEastAsia"/>
                <w:b/>
                <w:i/>
                <w:color w:val="000000"/>
                <w:lang w:val="uk-UA"/>
              </w:rPr>
            </w:pPr>
            <w:r w:rsidRPr="00ED35A9">
              <w:rPr>
                <w:b/>
                <w:i/>
                <w:lang w:val="uk-UA"/>
              </w:rPr>
              <w:t>Запитання PICO 2 (МР/Риф-ТБ, 2018</w:t>
            </w:r>
            <w:r w:rsidR="007F3460" w:rsidRPr="00ED35A9">
              <w:rPr>
                <w:rFonts w:eastAsiaTheme="minorEastAsia"/>
                <w:b/>
                <w:i/>
                <w:color w:val="000000"/>
                <w:lang w:val="uk-UA"/>
              </w:rPr>
              <w:t> р.)</w:t>
            </w:r>
          </w:p>
          <w:p w:rsidR="005C312E" w:rsidRPr="00ED35A9" w:rsidRDefault="005C312E" w:rsidP="00DA1848">
            <w:pPr>
              <w:spacing w:after="120"/>
              <w:ind w:firstLine="0"/>
              <w:rPr>
                <w:lang w:val="uk-UA"/>
              </w:rPr>
            </w:pPr>
            <w:r w:rsidRPr="00ED35A9">
              <w:rPr>
                <w:lang w:val="uk-UA"/>
              </w:rPr>
              <w:t>Застосування яких окремих препаратів ймовірніше покращить результат лікування пацієнтів з МР/Риф-ТБ в умовах призначення довгострокової схеми відповідно до рекомендацій ВООЗ</w:t>
            </w:r>
            <w:r w:rsidRPr="00ED35A9">
              <w:rPr>
                <w:vertAlign w:val="superscript"/>
                <w:lang w:val="uk-UA"/>
              </w:rPr>
              <w:footnoteReference w:id="18"/>
            </w:r>
            <w:r w:rsidRPr="00ED35A9">
              <w:rPr>
                <w:lang w:val="uk-UA"/>
              </w:rPr>
              <w:t>?</w:t>
            </w:r>
          </w:p>
          <w:p w:rsidR="005C312E" w:rsidRPr="00ED35A9" w:rsidRDefault="005C312E" w:rsidP="00DA1848">
            <w:pPr>
              <w:ind w:firstLine="0"/>
              <w:rPr>
                <w:rFonts w:eastAsiaTheme="minorEastAsia"/>
                <w:b/>
                <w:i/>
                <w:color w:val="000000"/>
                <w:lang w:val="uk-UA"/>
              </w:rPr>
            </w:pPr>
            <w:r w:rsidRPr="00ED35A9">
              <w:rPr>
                <w:b/>
                <w:i/>
                <w:lang w:val="uk-UA"/>
              </w:rPr>
              <w:t>Запитання PICO 3 (МР/Риф-ТБ,</w:t>
            </w:r>
            <w:r w:rsidR="00B45503">
              <w:rPr>
                <w:b/>
                <w:i/>
                <w:lang w:val="uk-UA"/>
              </w:rPr>
              <w:t xml:space="preserve"> </w:t>
            </w:r>
            <w:r w:rsidRPr="00ED35A9">
              <w:rPr>
                <w:rFonts w:eastAsiaTheme="minorEastAsia"/>
                <w:b/>
                <w:i/>
                <w:color w:val="000000"/>
                <w:lang w:val="uk-UA"/>
              </w:rPr>
              <w:t>2018 р.)</w:t>
            </w:r>
          </w:p>
          <w:p w:rsidR="005C312E" w:rsidRPr="00ED35A9" w:rsidRDefault="005C312E" w:rsidP="00DA1848">
            <w:pPr>
              <w:spacing w:after="120"/>
              <w:ind w:firstLine="0"/>
              <w:rPr>
                <w:lang w:val="uk-UA"/>
              </w:rPr>
            </w:pPr>
            <w:r w:rsidRPr="00ED35A9">
              <w:rPr>
                <w:lang w:val="uk-UA"/>
              </w:rPr>
              <w:t>Чи буде безпечним покращення результатів лікування у пацієнтів з МР/Риф-ТБ на довгострокових схемах, складених відповідно до рекомендацій ВООЗ, коли ефективних препаратів в інтенсивній фазі лікування менше або більше п’яти?</w:t>
            </w:r>
          </w:p>
        </w:tc>
      </w:tr>
    </w:tbl>
    <w:p w:rsidR="005C312E" w:rsidRPr="00ED35A9" w:rsidRDefault="005C312E" w:rsidP="005C312E">
      <w:pPr>
        <w:spacing w:before="120"/>
        <w:rPr>
          <w:lang w:val="uk-UA"/>
        </w:rPr>
      </w:pPr>
      <w:r w:rsidRPr="00ED35A9">
        <w:rPr>
          <w:lang w:val="uk-UA"/>
        </w:rPr>
        <w:lastRenderedPageBreak/>
        <w:t xml:space="preserve">Рекомендації щодо розробки довгострокових схем лікування МРТБ опубліковані ВООЗ чимало років тому та впроваджені у багатьох країнах світу </w:t>
      </w:r>
      <w:r w:rsidRPr="00ED35A9">
        <w:rPr>
          <w:i/>
          <w:lang w:val="uk-UA"/>
        </w:rPr>
        <w:t>(2, 6, 14)</w:t>
      </w:r>
      <w:r w:rsidRPr="00ED35A9">
        <w:rPr>
          <w:lang w:val="uk-UA"/>
        </w:rPr>
        <w:t xml:space="preserve">. Рекомендації в цьому розділі охоплюють всі форми МР/Риф-ТБ, включаючи лікування пацієнтів з чутливістю до </w:t>
      </w:r>
      <w:proofErr w:type="spellStart"/>
      <w:r w:rsidRPr="00ED35A9">
        <w:rPr>
          <w:lang w:val="uk-UA"/>
        </w:rPr>
        <w:t>ізоніазиду</w:t>
      </w:r>
      <w:proofErr w:type="spellEnd"/>
      <w:r w:rsidRPr="00ED35A9">
        <w:rPr>
          <w:lang w:val="uk-UA"/>
        </w:rPr>
        <w:t xml:space="preserve">, з додатковою резистентністю до </w:t>
      </w:r>
      <w:proofErr w:type="spellStart"/>
      <w:r w:rsidRPr="00ED35A9">
        <w:rPr>
          <w:lang w:val="uk-UA"/>
        </w:rPr>
        <w:t>ізоніазиду</w:t>
      </w:r>
      <w:proofErr w:type="spellEnd"/>
      <w:r w:rsidRPr="00ED35A9">
        <w:rPr>
          <w:lang w:val="uk-UA"/>
        </w:rPr>
        <w:t xml:space="preserve"> (наприклад, МРТБ), резистентністю до інших препаратів першого (</w:t>
      </w:r>
      <w:proofErr w:type="spellStart"/>
      <w:r w:rsidRPr="00ED35A9">
        <w:rPr>
          <w:lang w:val="uk-UA"/>
        </w:rPr>
        <w:t>полірезистентністю</w:t>
      </w:r>
      <w:proofErr w:type="spellEnd"/>
      <w:r w:rsidRPr="00ED35A9">
        <w:rPr>
          <w:lang w:val="uk-UA"/>
        </w:rPr>
        <w:t>) або другого (наприклад, туберкульоз з широкою медикаментозною резистентністю – ТБ-ШМР)</w:t>
      </w:r>
      <w:r w:rsidR="00821900" w:rsidRPr="00ED35A9">
        <w:rPr>
          <w:lang w:val="uk-UA"/>
        </w:rPr>
        <w:t xml:space="preserve"> ряду</w:t>
      </w:r>
      <w:r w:rsidRPr="00ED35A9">
        <w:rPr>
          <w:lang w:val="uk-UA"/>
        </w:rPr>
        <w:t xml:space="preserve">. ВООЗ рекомендовано в усіх пацієнтів з ТБ – </w:t>
      </w:r>
      <w:r w:rsidR="007F3460" w:rsidRPr="00ED35A9">
        <w:rPr>
          <w:lang w:val="uk-UA"/>
        </w:rPr>
        <w:t>як у дітей, так і у дорослих, в </w:t>
      </w:r>
      <w:r w:rsidRPr="00ED35A9">
        <w:rPr>
          <w:lang w:val="uk-UA"/>
        </w:rPr>
        <w:t xml:space="preserve">яких діагностовано штами, резистентні до </w:t>
      </w:r>
      <w:proofErr w:type="spellStart"/>
      <w:r w:rsidRPr="00ED35A9">
        <w:rPr>
          <w:lang w:val="uk-UA"/>
        </w:rPr>
        <w:t>рифампіцину</w:t>
      </w:r>
      <w:proofErr w:type="spellEnd"/>
      <w:r w:rsidRPr="00ED35A9">
        <w:rPr>
          <w:lang w:val="uk-UA"/>
        </w:rPr>
        <w:t xml:space="preserve">, </w:t>
      </w:r>
      <w:r w:rsidR="00821900" w:rsidRPr="00ED35A9">
        <w:rPr>
          <w:lang w:val="uk-UA"/>
        </w:rPr>
        <w:t xml:space="preserve">– </w:t>
      </w:r>
      <w:r w:rsidRPr="00ED35A9">
        <w:rPr>
          <w:lang w:val="uk-UA"/>
        </w:rPr>
        <w:t xml:space="preserve">починати лікування за схемою МРТБ. У попередній настанові 2016 р. було наведено умовні рекомендації щодо складання довгострокових схем лікування МРТБ щонайменше з п’яти ефективних препаратів для інтенсивної фази лікування – </w:t>
      </w:r>
      <w:proofErr w:type="spellStart"/>
      <w:r w:rsidRPr="00ED35A9">
        <w:rPr>
          <w:lang w:val="uk-UA"/>
        </w:rPr>
        <w:t>піразинаміду</w:t>
      </w:r>
      <w:proofErr w:type="spellEnd"/>
      <w:r w:rsidRPr="00ED35A9">
        <w:rPr>
          <w:lang w:val="uk-UA"/>
        </w:rPr>
        <w:t xml:space="preserve"> та чотирьох ПТП другого ряду (</w:t>
      </w:r>
      <w:r w:rsidRPr="00ED35A9">
        <w:rPr>
          <w:i/>
          <w:lang w:val="uk-UA"/>
        </w:rPr>
        <w:t>див.</w:t>
      </w:r>
      <w:r w:rsidRPr="00ED35A9">
        <w:rPr>
          <w:lang w:val="uk-UA"/>
        </w:rPr>
        <w:t xml:space="preserve"> таблицю 2.1) </w:t>
      </w:r>
      <w:r w:rsidRPr="00ED35A9">
        <w:rPr>
          <w:i/>
          <w:lang w:val="uk-UA"/>
        </w:rPr>
        <w:t>(6)</w:t>
      </w:r>
      <w:r w:rsidRPr="00ED35A9">
        <w:rPr>
          <w:lang w:val="uk-UA"/>
        </w:rPr>
        <w:t xml:space="preserve">. Для подальшого посилення схеми можна розглядати додавання </w:t>
      </w:r>
      <w:proofErr w:type="spellStart"/>
      <w:r w:rsidRPr="00ED35A9">
        <w:rPr>
          <w:lang w:val="uk-UA"/>
        </w:rPr>
        <w:t>ізоніазиду</w:t>
      </w:r>
      <w:proofErr w:type="spellEnd"/>
      <w:r w:rsidRPr="00ED35A9">
        <w:rPr>
          <w:lang w:val="uk-UA"/>
        </w:rPr>
        <w:t xml:space="preserve"> у високих дозах та/або </w:t>
      </w:r>
      <w:proofErr w:type="spellStart"/>
      <w:r w:rsidRPr="00ED35A9">
        <w:rPr>
          <w:lang w:val="uk-UA"/>
        </w:rPr>
        <w:t>етамбутолу</w:t>
      </w:r>
      <w:proofErr w:type="spellEnd"/>
      <w:r w:rsidRPr="00ED35A9">
        <w:rPr>
          <w:lang w:val="uk-UA"/>
        </w:rPr>
        <w:t xml:space="preserve">. Враховуючи доступність та підвищення рівня застосування нових препаратів </w:t>
      </w:r>
      <w:proofErr w:type="spellStart"/>
      <w:r w:rsidRPr="00ED35A9">
        <w:rPr>
          <w:lang w:val="uk-UA"/>
        </w:rPr>
        <w:t>бедаквіліну</w:t>
      </w:r>
      <w:proofErr w:type="spellEnd"/>
      <w:r w:rsidRPr="00ED35A9">
        <w:rPr>
          <w:lang w:val="uk-UA"/>
        </w:rPr>
        <w:t xml:space="preserve"> і </w:t>
      </w:r>
      <w:proofErr w:type="spellStart"/>
      <w:r w:rsidRPr="00ED35A9">
        <w:rPr>
          <w:lang w:val="uk-UA"/>
        </w:rPr>
        <w:t>деламаніду</w:t>
      </w:r>
      <w:proofErr w:type="spellEnd"/>
      <w:r w:rsidRPr="00ED35A9">
        <w:rPr>
          <w:lang w:val="uk-UA"/>
        </w:rPr>
        <w:t xml:space="preserve"> останнім часом, доступність </w:t>
      </w:r>
      <w:proofErr w:type="spellStart"/>
      <w:r w:rsidRPr="00ED35A9">
        <w:rPr>
          <w:lang w:val="uk-UA"/>
        </w:rPr>
        <w:t>моксіфлоксацину</w:t>
      </w:r>
      <w:proofErr w:type="spellEnd"/>
      <w:r w:rsidRPr="00ED35A9">
        <w:rPr>
          <w:lang w:val="uk-UA"/>
        </w:rPr>
        <w:t xml:space="preserve"> і </w:t>
      </w:r>
      <w:proofErr w:type="spellStart"/>
      <w:r w:rsidRPr="00ED35A9">
        <w:rPr>
          <w:lang w:val="uk-UA"/>
        </w:rPr>
        <w:t>лінезоліду</w:t>
      </w:r>
      <w:proofErr w:type="spellEnd"/>
      <w:r w:rsidRPr="00ED35A9">
        <w:rPr>
          <w:lang w:val="uk-UA"/>
        </w:rPr>
        <w:t xml:space="preserve"> </w:t>
      </w:r>
      <w:r w:rsidR="00821900" w:rsidRPr="00ED35A9">
        <w:rPr>
          <w:lang w:val="uk-UA"/>
        </w:rPr>
        <w:t xml:space="preserve">завдяки </w:t>
      </w:r>
      <w:r w:rsidRPr="00ED35A9">
        <w:rPr>
          <w:lang w:val="uk-UA"/>
        </w:rPr>
        <w:t>істотн</w:t>
      </w:r>
      <w:r w:rsidR="00821900" w:rsidRPr="00ED35A9">
        <w:rPr>
          <w:lang w:val="uk-UA"/>
        </w:rPr>
        <w:t xml:space="preserve">ому </w:t>
      </w:r>
      <w:r w:rsidRPr="00ED35A9">
        <w:rPr>
          <w:lang w:val="uk-UA"/>
        </w:rPr>
        <w:t>зниженн</w:t>
      </w:r>
      <w:r w:rsidR="00821900" w:rsidRPr="00ED35A9">
        <w:rPr>
          <w:lang w:val="uk-UA"/>
        </w:rPr>
        <w:t xml:space="preserve">ю </w:t>
      </w:r>
      <w:r w:rsidRPr="00ED35A9">
        <w:rPr>
          <w:lang w:val="uk-UA"/>
        </w:rPr>
        <w:t>вартості, а також зміни у рекомендованому складі й тривалості довгострокових схем порівняно з попередніми роками, було прийнято рішення щодо актуальності перегляду складу схем у поточному оновленні настанови.</w:t>
      </w:r>
    </w:p>
    <w:p w:rsidR="005C312E" w:rsidRPr="00ED35A9" w:rsidRDefault="005C312E" w:rsidP="005C312E">
      <w:pPr>
        <w:rPr>
          <w:lang w:val="uk-UA"/>
        </w:rPr>
      </w:pPr>
      <w:r w:rsidRPr="00ED35A9">
        <w:rPr>
          <w:lang w:val="uk-UA"/>
        </w:rPr>
        <w:t xml:space="preserve">Імовірність успіху лікування пацієнтів з МРТБ при застосуванні довгострокових схем залежить від факторів співвідношення пацієнт/штам (зокрема ступінь захворювання, шаблони резистентності, супутні захворювання), а також рівня доступу до медичної допомоги (наприклад, схеми з достатньою кількістю ефективних препаратів, якість лікарських засобів, ведення небажаних явищ та інші заходи з підтримки пацієнта). Відомо, що застосування довгострокових схем лікування МРТБ із достатньою кількістю ефективних препаратів підвищує ймовірність </w:t>
      </w:r>
      <w:r w:rsidR="006D127C" w:rsidRPr="00ED35A9">
        <w:rPr>
          <w:rFonts w:cs="Times New Roman"/>
          <w:szCs w:val="28"/>
          <w:lang w:val="uk-UA"/>
        </w:rPr>
        <w:t xml:space="preserve">одужання </w:t>
      </w:r>
      <w:r w:rsidRPr="00ED35A9">
        <w:rPr>
          <w:lang w:val="uk-UA"/>
        </w:rPr>
        <w:t xml:space="preserve">та знижує ризик </w:t>
      </w:r>
      <w:proofErr w:type="spellStart"/>
      <w:r w:rsidRPr="00ED35A9">
        <w:rPr>
          <w:lang w:val="uk-UA"/>
        </w:rPr>
        <w:t>смерт</w:t>
      </w:r>
      <w:r w:rsidR="00821900" w:rsidRPr="00ED35A9">
        <w:rPr>
          <w:lang w:val="uk-UA"/>
        </w:rPr>
        <w:t>ості</w:t>
      </w:r>
      <w:proofErr w:type="spellEnd"/>
      <w:r w:rsidR="00821900" w:rsidRPr="00ED35A9">
        <w:rPr>
          <w:lang w:val="uk-UA"/>
        </w:rPr>
        <w:t xml:space="preserve"> </w:t>
      </w:r>
      <w:r w:rsidRPr="00ED35A9">
        <w:rPr>
          <w:lang w:val="uk-UA"/>
        </w:rPr>
        <w:t xml:space="preserve">серед дорослих та дітей </w:t>
      </w:r>
      <w:r w:rsidRPr="00ED35A9">
        <w:rPr>
          <w:i/>
          <w:lang w:val="uk-UA"/>
        </w:rPr>
        <w:t>(42–45)</w:t>
      </w:r>
      <w:r w:rsidRPr="00ED35A9">
        <w:rPr>
          <w:lang w:val="uk-UA"/>
        </w:rPr>
        <w:t xml:space="preserve">. Складання довгострокових схем визначається вибіркою окремих препаратів, які вважаються ефективними, а також потребою комбінувати достатню кількість препаратів для максимізації імовірності </w:t>
      </w:r>
      <w:proofErr w:type="spellStart"/>
      <w:r w:rsidRPr="00ED35A9">
        <w:rPr>
          <w:lang w:val="uk-UA"/>
        </w:rPr>
        <w:t>безрецидивного</w:t>
      </w:r>
      <w:proofErr w:type="spellEnd"/>
      <w:r w:rsidRPr="00ED35A9">
        <w:rPr>
          <w:lang w:val="uk-UA"/>
        </w:rPr>
        <w:t xml:space="preserve"> </w:t>
      </w:r>
      <w:r w:rsidR="006D127C" w:rsidRPr="00ED35A9">
        <w:rPr>
          <w:rFonts w:cs="Times New Roman"/>
          <w:szCs w:val="28"/>
          <w:lang w:val="uk-UA"/>
        </w:rPr>
        <w:t xml:space="preserve">одужання </w:t>
      </w:r>
      <w:r w:rsidRPr="00ED35A9">
        <w:rPr>
          <w:lang w:val="uk-UA"/>
        </w:rPr>
        <w:t>без підвищення рівня токсичності. Схеми можуть бути стандартизованими (фіксованими) або індивідуалізованими під потреби пацієнта. Довгострокові схеми зазвичай тривають 20 міс або більше; рекомендації щодо їхньої тривалості наведено далі у розділі 3.</w:t>
      </w:r>
    </w:p>
    <w:p w:rsidR="005C312E" w:rsidRPr="00ED35A9" w:rsidRDefault="005C312E" w:rsidP="005C312E">
      <w:pPr>
        <w:rPr>
          <w:lang w:val="uk-UA"/>
        </w:rPr>
      </w:pPr>
      <w:r w:rsidRPr="00ED35A9">
        <w:rPr>
          <w:lang w:val="uk-UA"/>
        </w:rPr>
        <w:t xml:space="preserve">Перед проведенням дискусії ГРН ВООЗ </w:t>
      </w:r>
      <w:r w:rsidR="007F3460" w:rsidRPr="00ED35A9">
        <w:rPr>
          <w:lang w:val="uk-UA"/>
        </w:rPr>
        <w:t xml:space="preserve">повідомила </w:t>
      </w:r>
      <w:r w:rsidRPr="00ED35A9">
        <w:rPr>
          <w:lang w:val="uk-UA"/>
        </w:rPr>
        <w:t xml:space="preserve">про </w:t>
      </w:r>
      <w:r w:rsidR="007F3460" w:rsidRPr="00ED35A9">
        <w:rPr>
          <w:lang w:val="uk-UA"/>
        </w:rPr>
        <w:t xml:space="preserve">необхідність </w:t>
      </w:r>
      <w:r w:rsidRPr="00ED35A9">
        <w:rPr>
          <w:lang w:val="uk-UA"/>
        </w:rPr>
        <w:t xml:space="preserve">збирання даних окремих пацієнтів з МР/Риф-ТБ, з результатами лікування включно </w:t>
      </w:r>
      <w:r w:rsidRPr="00ED35A9">
        <w:rPr>
          <w:i/>
          <w:lang w:val="uk-UA"/>
        </w:rPr>
        <w:t>(46)</w:t>
      </w:r>
      <w:r w:rsidRPr="00ED35A9">
        <w:rPr>
          <w:lang w:val="uk-UA"/>
        </w:rPr>
        <w:t xml:space="preserve">. За даними </w:t>
      </w:r>
      <w:proofErr w:type="spellStart"/>
      <w:r w:rsidRPr="00ED35A9">
        <w:rPr>
          <w:lang w:val="uk-UA"/>
        </w:rPr>
        <w:t>метааналізу</w:t>
      </w:r>
      <w:proofErr w:type="spellEnd"/>
      <w:r w:rsidRPr="00ED35A9">
        <w:rPr>
          <w:lang w:val="uk-UA"/>
        </w:rPr>
        <w:t xml:space="preserve"> індивідуальних даних пацієнтів (МА ІДП), дорослих та дітей, що проходили лікування МРТБ із застосуванням довгострокових схем, було проведено порівняння ефективності результатів лікування, зокрема складу схем </w:t>
      </w:r>
      <w:r w:rsidRPr="00ED35A9">
        <w:rPr>
          <w:i/>
          <w:lang w:val="uk-UA"/>
        </w:rPr>
        <w:t>(42–44)</w:t>
      </w:r>
      <w:r w:rsidRPr="00ED35A9">
        <w:rPr>
          <w:lang w:val="uk-UA"/>
        </w:rPr>
        <w:t xml:space="preserve">. Доказова база ефективності багатьох препаратів, що застосовують у схемах лікування МРТБ, переважно спирається на дані обсерваційних досліджень, лише деякі </w:t>
      </w:r>
      <w:r w:rsidRPr="00ED35A9">
        <w:rPr>
          <w:lang w:val="uk-UA"/>
        </w:rPr>
        <w:lastRenderedPageBreak/>
        <w:t xml:space="preserve">дані було отримано з </w:t>
      </w:r>
      <w:proofErr w:type="spellStart"/>
      <w:r w:rsidRPr="00ED35A9">
        <w:rPr>
          <w:lang w:val="uk-UA"/>
        </w:rPr>
        <w:t>рандомізованих</w:t>
      </w:r>
      <w:proofErr w:type="spellEnd"/>
      <w:r w:rsidRPr="00ED35A9">
        <w:rPr>
          <w:lang w:val="uk-UA"/>
        </w:rPr>
        <w:t xml:space="preserve"> контрольованих досліджень</w:t>
      </w:r>
      <w:r w:rsidR="00CF0132" w:rsidRPr="00ED35A9">
        <w:rPr>
          <w:lang w:val="uk-UA"/>
        </w:rPr>
        <w:t xml:space="preserve"> (РКД)</w:t>
      </w:r>
      <w:r w:rsidRPr="00ED35A9">
        <w:rPr>
          <w:lang w:val="uk-UA"/>
        </w:rPr>
        <w:t xml:space="preserve">. Як наслідок, загальна достовірність доказових даних часто зазначається як низька або дуже низька. Джерела даних, використаних ГРН для відповіді на два запитання PICO цього розділу, наведено нижче (додаткові дані щодо використаних методів та планів аналізу </w:t>
      </w:r>
      <w:r w:rsidRPr="00ED35A9">
        <w:rPr>
          <w:i/>
          <w:iCs/>
          <w:lang w:val="uk-UA"/>
        </w:rPr>
        <w:t>див.</w:t>
      </w:r>
      <w:r w:rsidRPr="00ED35A9">
        <w:rPr>
          <w:lang w:val="uk-UA"/>
        </w:rPr>
        <w:t xml:space="preserve"> в онлайн-додатках 6 та 9). </w:t>
      </w:r>
    </w:p>
    <w:p w:rsidR="005C312E" w:rsidRPr="00ED35A9" w:rsidRDefault="005C312E" w:rsidP="005C312E">
      <w:pPr>
        <w:tabs>
          <w:tab w:val="left" w:pos="851"/>
        </w:tabs>
        <w:rPr>
          <w:lang w:val="uk-UA"/>
        </w:rPr>
      </w:pPr>
      <w:r w:rsidRPr="00ED35A9">
        <w:rPr>
          <w:b/>
          <w:i/>
          <w:lang w:val="uk-UA"/>
        </w:rPr>
        <w:t>Запитання PICO 2 (МР/Риф-ТБ, 2018 р.) (вибір окремих препаратів).</w:t>
      </w:r>
      <w:r w:rsidRPr="00ED35A9">
        <w:rPr>
          <w:lang w:val="uk-UA"/>
        </w:rPr>
        <w:t xml:space="preserve"> Насамперед, щоб проаналізувати ефективність або </w:t>
      </w:r>
      <w:proofErr w:type="spellStart"/>
      <w:r w:rsidRPr="00ED35A9">
        <w:rPr>
          <w:lang w:val="uk-UA"/>
        </w:rPr>
        <w:t>невдалість</w:t>
      </w:r>
      <w:proofErr w:type="spellEnd"/>
      <w:r w:rsidRPr="00ED35A9">
        <w:rPr>
          <w:lang w:val="uk-UA"/>
        </w:rPr>
        <w:t xml:space="preserve"> лікування, рецидив або смерть по окремих препаратах, використовували основний МА ІДП 2018 р., під час проведення якого було розглянуто 13 104 випадки з 53 досліджень у 40 країнах. ІДП за 2018 р. містять нові дані за останні роки з декількох країн, зокрема велику кількість даних з Південної Африки, де багато пацієнтів отримували лікування за </w:t>
      </w:r>
      <w:proofErr w:type="spellStart"/>
      <w:r w:rsidRPr="00ED35A9">
        <w:rPr>
          <w:lang w:val="uk-UA"/>
        </w:rPr>
        <w:t>бедаквілін-вмісними</w:t>
      </w:r>
      <w:proofErr w:type="spellEnd"/>
      <w:r w:rsidRPr="00ED35A9">
        <w:rPr>
          <w:lang w:val="uk-UA"/>
        </w:rPr>
        <w:t xml:space="preserve"> схемами. Далі, щоб проаналізувати небезпечні явища, </w:t>
      </w:r>
      <w:r w:rsidR="00F100E7" w:rsidRPr="00ED35A9">
        <w:rPr>
          <w:lang w:val="uk-UA"/>
        </w:rPr>
        <w:t xml:space="preserve">які </w:t>
      </w:r>
      <w:r w:rsidRPr="00ED35A9">
        <w:rPr>
          <w:lang w:val="uk-UA"/>
        </w:rPr>
        <w:t>призвели до повного припинення застосування окремого препарату у довгострокових схемах, використовува</w:t>
      </w:r>
      <w:r w:rsidR="00821900" w:rsidRPr="00ED35A9">
        <w:rPr>
          <w:lang w:val="uk-UA"/>
        </w:rPr>
        <w:t xml:space="preserve">ли </w:t>
      </w:r>
      <w:r w:rsidRPr="00ED35A9">
        <w:rPr>
          <w:lang w:val="uk-UA"/>
        </w:rPr>
        <w:t>додатков</w:t>
      </w:r>
      <w:r w:rsidR="00F100E7" w:rsidRPr="00ED35A9">
        <w:rPr>
          <w:lang w:val="uk-UA"/>
        </w:rPr>
        <w:t xml:space="preserve">у вибірку </w:t>
      </w:r>
      <w:r w:rsidRPr="00ED35A9">
        <w:rPr>
          <w:lang w:val="uk-UA"/>
        </w:rPr>
        <w:t>ІДП (5450 випадків з 17 досліджень) та дані з 10 інших досліджень, в яких повідомлял</w:t>
      </w:r>
      <w:r w:rsidR="00821900" w:rsidRPr="00ED35A9">
        <w:rPr>
          <w:lang w:val="uk-UA"/>
        </w:rPr>
        <w:t xml:space="preserve">ось </w:t>
      </w:r>
      <w:r w:rsidRPr="00ED35A9">
        <w:rPr>
          <w:lang w:val="uk-UA"/>
        </w:rPr>
        <w:t xml:space="preserve">про небезпечні явища, пов’язані лише із застосуванням </w:t>
      </w:r>
      <w:proofErr w:type="spellStart"/>
      <w:r w:rsidRPr="00ED35A9">
        <w:rPr>
          <w:lang w:val="uk-UA"/>
        </w:rPr>
        <w:t>бедаквіліну</w:t>
      </w:r>
      <w:proofErr w:type="spellEnd"/>
      <w:r w:rsidRPr="00ED35A9">
        <w:rPr>
          <w:lang w:val="uk-UA"/>
        </w:rPr>
        <w:t xml:space="preserve"> (n=130), </w:t>
      </w:r>
      <w:proofErr w:type="spellStart"/>
      <w:r w:rsidRPr="00ED35A9">
        <w:rPr>
          <w:lang w:val="uk-UA"/>
        </w:rPr>
        <w:t>лінезоліду</w:t>
      </w:r>
      <w:proofErr w:type="spellEnd"/>
      <w:r w:rsidRPr="00ED35A9">
        <w:rPr>
          <w:lang w:val="uk-UA"/>
        </w:rPr>
        <w:t xml:space="preserve"> (n=508) або </w:t>
      </w:r>
      <w:proofErr w:type="spellStart"/>
      <w:r w:rsidRPr="00ED35A9">
        <w:rPr>
          <w:lang w:val="uk-UA"/>
        </w:rPr>
        <w:t>карбапенемів</w:t>
      </w:r>
      <w:proofErr w:type="spellEnd"/>
      <w:r w:rsidRPr="00ED35A9">
        <w:rPr>
          <w:lang w:val="uk-UA"/>
        </w:rPr>
        <w:t xml:space="preserve"> (n=139). </w:t>
      </w:r>
    </w:p>
    <w:p w:rsidR="005C312E" w:rsidRPr="00ED35A9" w:rsidRDefault="005C312E" w:rsidP="005C312E">
      <w:pPr>
        <w:rPr>
          <w:lang w:val="uk-UA"/>
        </w:rPr>
      </w:pPr>
      <w:r w:rsidRPr="00ED35A9">
        <w:rPr>
          <w:lang w:val="uk-UA"/>
        </w:rPr>
        <w:t xml:space="preserve">Окремо ГРН також було проведено оцінювання неопублікованих результатів випробовування Фази ІІІ 213 для </w:t>
      </w:r>
      <w:proofErr w:type="spellStart"/>
      <w:r w:rsidRPr="00ED35A9">
        <w:rPr>
          <w:lang w:val="uk-UA"/>
        </w:rPr>
        <w:t>деламаніду</w:t>
      </w:r>
      <w:proofErr w:type="spellEnd"/>
      <w:r w:rsidRPr="00ED35A9">
        <w:rPr>
          <w:lang w:val="uk-UA"/>
        </w:rPr>
        <w:t xml:space="preserve"> </w:t>
      </w:r>
      <w:r w:rsidRPr="00ED35A9">
        <w:rPr>
          <w:i/>
          <w:lang w:val="uk-UA"/>
        </w:rPr>
        <w:t>(47)</w:t>
      </w:r>
      <w:r w:rsidRPr="00ED35A9">
        <w:rPr>
          <w:lang w:val="uk-UA"/>
        </w:rPr>
        <w:t xml:space="preserve">, даних щодо безпеки й фармакологічного впливу з неопублікованих педіатричних досліджень </w:t>
      </w:r>
      <w:proofErr w:type="spellStart"/>
      <w:r w:rsidRPr="00ED35A9">
        <w:rPr>
          <w:lang w:val="uk-UA"/>
        </w:rPr>
        <w:t>бедаквіліну</w:t>
      </w:r>
      <w:proofErr w:type="spellEnd"/>
      <w:r w:rsidRPr="00ED35A9">
        <w:rPr>
          <w:lang w:val="uk-UA"/>
        </w:rPr>
        <w:t xml:space="preserve"> (Фаза ІІ TMC207-C211 та Фаза I/II IMPAACT P1108) та </w:t>
      </w:r>
      <w:proofErr w:type="spellStart"/>
      <w:r w:rsidRPr="00ED35A9">
        <w:rPr>
          <w:lang w:val="uk-UA"/>
        </w:rPr>
        <w:t>деламаніду</w:t>
      </w:r>
      <w:proofErr w:type="spellEnd"/>
      <w:r w:rsidRPr="00ED35A9">
        <w:rPr>
          <w:lang w:val="uk-UA"/>
        </w:rPr>
        <w:t xml:space="preserve"> (Фаза I 242-12-245, Фаза I 242-12-232, Фаза II 242-12-233) (</w:t>
      </w:r>
      <w:r w:rsidRPr="00ED35A9">
        <w:rPr>
          <w:i/>
          <w:lang w:val="uk-UA"/>
        </w:rPr>
        <w:t>див.</w:t>
      </w:r>
      <w:r w:rsidRPr="00ED35A9">
        <w:rPr>
          <w:lang w:val="uk-UA"/>
        </w:rPr>
        <w:t xml:space="preserve"> онлайн-додаток 9). Додатково було проведено пошук літератури щодо результатів досліджень з лікування пацієнтів із застосуванням інших препаратів, не</w:t>
      </w:r>
      <w:r w:rsidR="00821900" w:rsidRPr="00ED35A9">
        <w:rPr>
          <w:lang w:val="uk-UA"/>
        </w:rPr>
        <w:t xml:space="preserve"> </w:t>
      </w:r>
      <w:r w:rsidRPr="00ED35A9">
        <w:rPr>
          <w:lang w:val="uk-UA"/>
        </w:rPr>
        <w:t xml:space="preserve">зазначених у настанові 2016 р. (наприклад, </w:t>
      </w:r>
      <w:proofErr w:type="spellStart"/>
      <w:r w:rsidRPr="00ED35A9">
        <w:rPr>
          <w:lang w:val="uk-UA"/>
        </w:rPr>
        <w:t>перхлозон</w:t>
      </w:r>
      <w:proofErr w:type="spellEnd"/>
      <w:r w:rsidRPr="00ED35A9">
        <w:rPr>
          <w:lang w:val="uk-UA"/>
        </w:rPr>
        <w:t xml:space="preserve">, інтерферон-гамма та </w:t>
      </w:r>
      <w:proofErr w:type="spellStart"/>
      <w:r w:rsidRPr="00ED35A9">
        <w:rPr>
          <w:lang w:val="uk-UA"/>
        </w:rPr>
        <w:t>сутезолід</w:t>
      </w:r>
      <w:proofErr w:type="spellEnd"/>
      <w:r w:rsidRPr="00ED35A9">
        <w:rPr>
          <w:lang w:val="uk-UA"/>
        </w:rPr>
        <w:t>).</w:t>
      </w:r>
    </w:p>
    <w:p w:rsidR="005C312E" w:rsidRPr="00ED35A9" w:rsidRDefault="005C312E" w:rsidP="005C312E">
      <w:pPr>
        <w:rPr>
          <w:lang w:val="uk-UA"/>
        </w:rPr>
      </w:pPr>
      <w:r w:rsidRPr="00ED35A9">
        <w:rPr>
          <w:b/>
          <w:i/>
          <w:lang w:val="uk-UA"/>
        </w:rPr>
        <w:t>Запитання PICO 3 (МР/Риф-ТБ, 2018 р.) (ймовірно ефективна кількість препаратів).</w:t>
      </w:r>
      <w:r w:rsidRPr="00ED35A9">
        <w:rPr>
          <w:lang w:val="uk-UA"/>
        </w:rPr>
        <w:t xml:space="preserve"> Для проведення аналізу щодо ефективності або невдачі лікування, виникнення рецидивів або смертельних наслідків при застосуванні оптимальної</w:t>
      </w:r>
      <w:r w:rsidR="00821900" w:rsidRPr="00ED35A9">
        <w:rPr>
          <w:lang w:val="uk-UA"/>
        </w:rPr>
        <w:t xml:space="preserve"> рекомендованої </w:t>
      </w:r>
      <w:r w:rsidRPr="00ED35A9">
        <w:rPr>
          <w:lang w:val="uk-UA"/>
        </w:rPr>
        <w:t xml:space="preserve">кількості препаратів, які можна включати до складу довгострокових схем, було </w:t>
      </w:r>
      <w:r w:rsidR="00F100E7" w:rsidRPr="00ED35A9">
        <w:rPr>
          <w:lang w:val="uk-UA"/>
        </w:rPr>
        <w:t xml:space="preserve">розглянуто </w:t>
      </w:r>
      <w:r w:rsidRPr="00ED35A9">
        <w:rPr>
          <w:lang w:val="uk-UA"/>
        </w:rPr>
        <w:t>додатков</w:t>
      </w:r>
      <w:r w:rsidR="00F100E7" w:rsidRPr="00ED35A9">
        <w:rPr>
          <w:lang w:val="uk-UA"/>
        </w:rPr>
        <w:t xml:space="preserve">у вибірку </w:t>
      </w:r>
      <w:r w:rsidRPr="00ED35A9">
        <w:rPr>
          <w:lang w:val="uk-UA"/>
        </w:rPr>
        <w:t xml:space="preserve">ІДП (8957 пацієнтів з 47 досліджень), </w:t>
      </w:r>
      <w:r w:rsidR="00F100E7" w:rsidRPr="00ED35A9">
        <w:rPr>
          <w:lang w:val="uk-UA"/>
        </w:rPr>
        <w:t xml:space="preserve">дані з якої було </w:t>
      </w:r>
      <w:r w:rsidRPr="00ED35A9">
        <w:rPr>
          <w:lang w:val="uk-UA"/>
        </w:rPr>
        <w:t>використан</w:t>
      </w:r>
      <w:r w:rsidR="00F100E7" w:rsidRPr="00ED35A9">
        <w:rPr>
          <w:lang w:val="uk-UA"/>
        </w:rPr>
        <w:t xml:space="preserve">о </w:t>
      </w:r>
      <w:r w:rsidRPr="00ED35A9">
        <w:rPr>
          <w:lang w:val="uk-UA"/>
        </w:rPr>
        <w:t xml:space="preserve">для наведеного вище запитання PICO 2 (МР/Риф-ТБ, 2018 р.). З них у 3570 пацієнтів з 16 досліджень була наявною інформація щодо дати початку й завершення застосування окремих препаратів, по яких повідомлялося про тестування медикаментозної чутливості; у 5387 пацієнтів з 31 дослідження була наявною інформація щодо окремих препаратів, застосовуваних як у схемах інтенсивної фази лікування, так і у фазі продовження, а також інформація </w:t>
      </w:r>
      <w:r w:rsidR="00821900" w:rsidRPr="00ED35A9">
        <w:rPr>
          <w:lang w:val="uk-UA"/>
        </w:rPr>
        <w:t xml:space="preserve">про </w:t>
      </w:r>
      <w:r w:rsidRPr="00ED35A9">
        <w:rPr>
          <w:lang w:val="uk-UA"/>
        </w:rPr>
        <w:t>результат</w:t>
      </w:r>
      <w:r w:rsidR="00821900" w:rsidRPr="00ED35A9">
        <w:rPr>
          <w:lang w:val="uk-UA"/>
        </w:rPr>
        <w:t xml:space="preserve">и </w:t>
      </w:r>
      <w:r w:rsidRPr="00ED35A9">
        <w:rPr>
          <w:lang w:val="uk-UA"/>
        </w:rPr>
        <w:t xml:space="preserve">тестування медикаментозної чутливості. Враховуючи, що це запитання спрямоване на визначення кількості препаратів як у інтенсивній фазі, так і у фазі продовження, пацієнтів, </w:t>
      </w:r>
      <w:r w:rsidR="00821900" w:rsidRPr="00ED35A9">
        <w:rPr>
          <w:lang w:val="uk-UA"/>
        </w:rPr>
        <w:t xml:space="preserve">які </w:t>
      </w:r>
      <w:r w:rsidRPr="00ED35A9">
        <w:rPr>
          <w:lang w:val="uk-UA"/>
        </w:rPr>
        <w:t xml:space="preserve">не отримували ін’єкційний препарат, або пацієнтів, в яких не було визначено початкову інтенсивну фазу лікування, було виключено (n=476). Пацієнтів, в яких було зазначено «вилікувані» або «лікування завершене», але лікування </w:t>
      </w:r>
      <w:r w:rsidRPr="00ED35A9">
        <w:rPr>
          <w:lang w:val="uk-UA"/>
        </w:rPr>
        <w:lastRenderedPageBreak/>
        <w:t>тривало менше 18 міс (мінімальна тривалість довгострокових схем лікування, рекомендованих ВООЗ раніше)</w:t>
      </w:r>
      <w:r w:rsidR="00821900" w:rsidRPr="00ED35A9">
        <w:rPr>
          <w:lang w:val="uk-UA"/>
        </w:rPr>
        <w:t>,</w:t>
      </w:r>
      <w:r w:rsidRPr="00ED35A9">
        <w:rPr>
          <w:lang w:val="uk-UA"/>
        </w:rPr>
        <w:t xml:space="preserve"> також було виключено (n=346). Для запитання PICO 3 (МР/Риф-ТБ, 2018 р.) у випадках, коли були доступні результати ТМЧ, препарати було визначено як «ефективні», якщо результати свідчили про чутливість, і «неефективн</w:t>
      </w:r>
      <w:r w:rsidR="00821900" w:rsidRPr="00ED35A9">
        <w:rPr>
          <w:lang w:val="uk-UA"/>
        </w:rPr>
        <w:t>і</w:t>
      </w:r>
      <w:r w:rsidRPr="00ED35A9">
        <w:rPr>
          <w:lang w:val="uk-UA"/>
        </w:rPr>
        <w:t>», якщо результати показували резистентність. За умови відсутності результатів ТМЧ, було визначено дві ситуації</w:t>
      </w:r>
      <w:r w:rsidR="00CC4EF3" w:rsidRPr="00ED35A9">
        <w:rPr>
          <w:lang w:val="uk-UA"/>
        </w:rPr>
        <w:t>.</w:t>
      </w:r>
    </w:p>
    <w:p w:rsidR="005C312E" w:rsidRPr="00ED35A9" w:rsidRDefault="005C312E" w:rsidP="005C312E">
      <w:pPr>
        <w:pStyle w:val="a7"/>
        <w:numPr>
          <w:ilvl w:val="0"/>
          <w:numId w:val="6"/>
        </w:numPr>
        <w:ind w:left="993" w:hanging="284"/>
        <w:rPr>
          <w:lang w:val="uk-UA"/>
        </w:rPr>
      </w:pPr>
      <w:r w:rsidRPr="00ED35A9">
        <w:rPr>
          <w:lang w:val="uk-UA"/>
        </w:rPr>
        <w:t xml:space="preserve">Якщо поширеність резистентності до одного препарату була &lt;10% у визначеній популяції (в одній країні або місці дослідження, якщо воно розташовувалося в тій самій країні, або загалом, якщо локальні дані були недоступними), препарат вважали ефективним. Це стосується наступних препаратів: </w:t>
      </w:r>
      <w:proofErr w:type="spellStart"/>
      <w:r w:rsidRPr="00ED35A9">
        <w:rPr>
          <w:lang w:val="uk-UA"/>
        </w:rPr>
        <w:t>теризидон</w:t>
      </w:r>
      <w:proofErr w:type="spellEnd"/>
      <w:r w:rsidRPr="00ED35A9">
        <w:rPr>
          <w:lang w:val="uk-UA"/>
        </w:rPr>
        <w:t xml:space="preserve">, </w:t>
      </w:r>
      <w:proofErr w:type="spellStart"/>
      <w:r w:rsidRPr="00ED35A9">
        <w:rPr>
          <w:lang w:val="uk-UA"/>
        </w:rPr>
        <w:t>лінезолід</w:t>
      </w:r>
      <w:proofErr w:type="spellEnd"/>
      <w:r w:rsidRPr="00ED35A9">
        <w:rPr>
          <w:lang w:val="uk-UA"/>
        </w:rPr>
        <w:t xml:space="preserve">, </w:t>
      </w:r>
      <w:proofErr w:type="spellStart"/>
      <w:r w:rsidRPr="00ED35A9">
        <w:rPr>
          <w:lang w:val="uk-UA"/>
        </w:rPr>
        <w:t>клофазимін</w:t>
      </w:r>
      <w:proofErr w:type="spellEnd"/>
      <w:r w:rsidRPr="00ED35A9">
        <w:rPr>
          <w:lang w:val="uk-UA"/>
        </w:rPr>
        <w:t xml:space="preserve">, </w:t>
      </w:r>
      <w:proofErr w:type="spellStart"/>
      <w:r w:rsidRPr="00ED35A9">
        <w:rPr>
          <w:lang w:val="uk-UA"/>
        </w:rPr>
        <w:t>бедаквілін</w:t>
      </w:r>
      <w:proofErr w:type="spellEnd"/>
      <w:r w:rsidRPr="00ED35A9">
        <w:rPr>
          <w:lang w:val="uk-UA"/>
        </w:rPr>
        <w:t xml:space="preserve">, </w:t>
      </w:r>
      <w:proofErr w:type="spellStart"/>
      <w:r w:rsidRPr="00ED35A9">
        <w:rPr>
          <w:lang w:val="uk-UA"/>
        </w:rPr>
        <w:t>карбапенеми</w:t>
      </w:r>
      <w:proofErr w:type="spellEnd"/>
      <w:r w:rsidRPr="00ED35A9">
        <w:rPr>
          <w:lang w:val="uk-UA"/>
        </w:rPr>
        <w:t xml:space="preserve"> та </w:t>
      </w:r>
      <w:proofErr w:type="spellStart"/>
      <w:r w:rsidRPr="00ED35A9">
        <w:rPr>
          <w:lang w:val="uk-UA"/>
        </w:rPr>
        <w:t>деламанід</w:t>
      </w:r>
      <w:proofErr w:type="spellEnd"/>
      <w:r w:rsidRPr="00ED35A9">
        <w:rPr>
          <w:lang w:val="uk-UA"/>
        </w:rPr>
        <w:t xml:space="preserve">. </w:t>
      </w:r>
    </w:p>
    <w:p w:rsidR="005C312E" w:rsidRPr="00ED35A9" w:rsidRDefault="005C312E" w:rsidP="005C312E">
      <w:pPr>
        <w:pStyle w:val="a7"/>
        <w:numPr>
          <w:ilvl w:val="0"/>
          <w:numId w:val="6"/>
        </w:numPr>
        <w:ind w:left="993" w:hanging="284"/>
        <w:rPr>
          <w:lang w:val="uk-UA"/>
        </w:rPr>
      </w:pPr>
      <w:r w:rsidRPr="00ED35A9">
        <w:rPr>
          <w:lang w:val="uk-UA"/>
        </w:rPr>
        <w:t xml:space="preserve">Якщо поширеність резистентності до одного препарату була ≥10% у визначеній популяції (в одній країні або місці дослідження, якщо воно розташовувалося в тій самій країні, або загалом, якщо локальні дані були недоступними), то, за відсутності результатів ТМЧ, використовували розрахункові результати ТМЧ. Якщо розрахунковий результат ТМЧ показував чутливість, препарат вважали ефективним; якщо розрахунковий результат ТМЧ показував резистентність, то препарат вважали </w:t>
      </w:r>
      <w:r w:rsidR="00CC4EF3" w:rsidRPr="00ED35A9">
        <w:rPr>
          <w:lang w:val="uk-UA"/>
        </w:rPr>
        <w:t>не</w:t>
      </w:r>
      <w:r w:rsidRPr="00ED35A9">
        <w:rPr>
          <w:lang w:val="uk-UA"/>
        </w:rPr>
        <w:t xml:space="preserve">ефективним. Це стосується наступних препаратів: </w:t>
      </w:r>
      <w:proofErr w:type="spellStart"/>
      <w:r w:rsidRPr="00ED35A9">
        <w:rPr>
          <w:lang w:val="uk-UA"/>
        </w:rPr>
        <w:t>піразинамід</w:t>
      </w:r>
      <w:proofErr w:type="spellEnd"/>
      <w:r w:rsidRPr="00ED35A9">
        <w:rPr>
          <w:lang w:val="uk-UA"/>
        </w:rPr>
        <w:t xml:space="preserve">, </w:t>
      </w:r>
      <w:proofErr w:type="spellStart"/>
      <w:r w:rsidRPr="00ED35A9">
        <w:rPr>
          <w:lang w:val="uk-UA"/>
        </w:rPr>
        <w:t>етамбутол</w:t>
      </w:r>
      <w:proofErr w:type="spellEnd"/>
      <w:r w:rsidRPr="00ED35A9">
        <w:rPr>
          <w:lang w:val="uk-UA"/>
        </w:rPr>
        <w:t xml:space="preserve">, ін’єкційні препарати другого ряду, </w:t>
      </w:r>
      <w:proofErr w:type="spellStart"/>
      <w:r w:rsidRPr="00ED35A9">
        <w:rPr>
          <w:lang w:val="uk-UA"/>
        </w:rPr>
        <w:t>фторхінолони</w:t>
      </w:r>
      <w:proofErr w:type="spellEnd"/>
      <w:r w:rsidRPr="00ED35A9">
        <w:rPr>
          <w:lang w:val="uk-UA"/>
        </w:rPr>
        <w:t xml:space="preserve">, </w:t>
      </w:r>
      <w:proofErr w:type="spellStart"/>
      <w:r w:rsidRPr="00ED35A9">
        <w:rPr>
          <w:lang w:val="uk-UA"/>
        </w:rPr>
        <w:t>парааміносаліцилова</w:t>
      </w:r>
      <w:proofErr w:type="spellEnd"/>
      <w:r w:rsidRPr="00ED35A9">
        <w:rPr>
          <w:lang w:val="uk-UA"/>
        </w:rPr>
        <w:t xml:space="preserve"> кислота, </w:t>
      </w:r>
      <w:proofErr w:type="spellStart"/>
      <w:r w:rsidRPr="00ED35A9">
        <w:rPr>
          <w:lang w:val="uk-UA"/>
        </w:rPr>
        <w:t>етіонамід</w:t>
      </w:r>
      <w:proofErr w:type="spellEnd"/>
      <w:r w:rsidRPr="00ED35A9">
        <w:rPr>
          <w:lang w:val="uk-UA"/>
        </w:rPr>
        <w:t xml:space="preserve"> або </w:t>
      </w:r>
      <w:proofErr w:type="spellStart"/>
      <w:r w:rsidRPr="00ED35A9">
        <w:rPr>
          <w:lang w:val="uk-UA"/>
        </w:rPr>
        <w:t>протіонамід</w:t>
      </w:r>
      <w:proofErr w:type="spellEnd"/>
      <w:r w:rsidRPr="00ED35A9">
        <w:rPr>
          <w:lang w:val="uk-UA"/>
        </w:rPr>
        <w:t xml:space="preserve">. Наступні препарати не входили до підрахунку кількості препаратів із ймовірною ефективністю (незалежно від будь-якого наявного результату ТМЧ): </w:t>
      </w:r>
      <w:proofErr w:type="spellStart"/>
      <w:r w:rsidRPr="00ED35A9">
        <w:rPr>
          <w:lang w:val="uk-UA"/>
        </w:rPr>
        <w:t>ізоніазид</w:t>
      </w:r>
      <w:proofErr w:type="spellEnd"/>
      <w:r w:rsidRPr="00ED35A9">
        <w:rPr>
          <w:lang w:val="uk-UA"/>
        </w:rPr>
        <w:t xml:space="preserve"> (зокрема у високих дозах), </w:t>
      </w:r>
      <w:proofErr w:type="spellStart"/>
      <w:r w:rsidRPr="00ED35A9">
        <w:rPr>
          <w:lang w:val="uk-UA"/>
        </w:rPr>
        <w:t>рифампіцин</w:t>
      </w:r>
      <w:proofErr w:type="spellEnd"/>
      <w:r w:rsidRPr="00ED35A9">
        <w:rPr>
          <w:lang w:val="uk-UA"/>
        </w:rPr>
        <w:t xml:space="preserve">, </w:t>
      </w:r>
      <w:proofErr w:type="spellStart"/>
      <w:r w:rsidRPr="00ED35A9">
        <w:rPr>
          <w:lang w:val="uk-UA"/>
        </w:rPr>
        <w:t>рифабутин</w:t>
      </w:r>
      <w:proofErr w:type="spellEnd"/>
      <w:r w:rsidRPr="00ED35A9">
        <w:rPr>
          <w:lang w:val="uk-UA"/>
        </w:rPr>
        <w:t xml:space="preserve">, </w:t>
      </w:r>
      <w:proofErr w:type="spellStart"/>
      <w:r w:rsidRPr="00ED35A9">
        <w:rPr>
          <w:lang w:val="uk-UA"/>
        </w:rPr>
        <w:t>тіоацетазон</w:t>
      </w:r>
      <w:proofErr w:type="spellEnd"/>
      <w:r w:rsidRPr="00ED35A9">
        <w:rPr>
          <w:lang w:val="uk-UA"/>
        </w:rPr>
        <w:t xml:space="preserve"> (T), </w:t>
      </w:r>
      <w:proofErr w:type="spellStart"/>
      <w:r w:rsidRPr="00ED35A9">
        <w:rPr>
          <w:lang w:val="uk-UA"/>
        </w:rPr>
        <w:t>амоксіцилін-клавуланат</w:t>
      </w:r>
      <w:proofErr w:type="spellEnd"/>
      <w:r w:rsidRPr="00ED35A9">
        <w:rPr>
          <w:lang w:val="uk-UA"/>
        </w:rPr>
        <w:t xml:space="preserve"> або </w:t>
      </w:r>
      <w:proofErr w:type="spellStart"/>
      <w:r w:rsidRPr="00ED35A9">
        <w:rPr>
          <w:lang w:val="uk-UA"/>
        </w:rPr>
        <w:t>макролідні</w:t>
      </w:r>
      <w:proofErr w:type="spellEnd"/>
      <w:r w:rsidRPr="00ED35A9">
        <w:rPr>
          <w:lang w:val="uk-UA"/>
        </w:rPr>
        <w:t xml:space="preserve"> антибіотики.</w:t>
      </w:r>
    </w:p>
    <w:p w:rsidR="005C312E" w:rsidRPr="00ED35A9" w:rsidRDefault="005C312E" w:rsidP="005C312E">
      <w:pPr>
        <w:rPr>
          <w:lang w:val="uk-UA"/>
        </w:rPr>
      </w:pPr>
      <w:r w:rsidRPr="00ED35A9">
        <w:rPr>
          <w:lang w:val="uk-UA"/>
        </w:rPr>
        <w:t xml:space="preserve">Під час перегляду доказових даних та формулювання рекомендацій ГРН було враховано, що настанова має охоплювати також і підгрупи, які не було </w:t>
      </w:r>
      <w:r w:rsidR="00CC4EF3" w:rsidRPr="00ED35A9">
        <w:rPr>
          <w:lang w:val="uk-UA"/>
        </w:rPr>
        <w:t xml:space="preserve">охоплено </w:t>
      </w:r>
      <w:r w:rsidRPr="00ED35A9">
        <w:rPr>
          <w:lang w:val="uk-UA"/>
        </w:rPr>
        <w:t xml:space="preserve">належним чином при проведенні МА ІДП 2018 р., зокрема дітей. За відсутності доказових даних щодо дітей на них екстраполювали доказові дані щодо дорослих. На основі найкращих наявних доказових даних було сконструйовано рекомендації щодо схем лікування із високим рівнем </w:t>
      </w:r>
      <w:proofErr w:type="spellStart"/>
      <w:r w:rsidRPr="00ED35A9">
        <w:rPr>
          <w:lang w:val="uk-UA"/>
        </w:rPr>
        <w:t>безрецидивного</w:t>
      </w:r>
      <w:proofErr w:type="spellEnd"/>
      <w:r w:rsidRPr="00ED35A9">
        <w:rPr>
          <w:lang w:val="uk-UA"/>
        </w:rPr>
        <w:t xml:space="preserve"> </w:t>
      </w:r>
      <w:r w:rsidR="006D127C" w:rsidRPr="00ED35A9">
        <w:rPr>
          <w:lang w:val="uk-UA"/>
        </w:rPr>
        <w:t>одужання</w:t>
      </w:r>
      <w:r w:rsidRPr="00ED35A9">
        <w:rPr>
          <w:lang w:val="uk-UA"/>
        </w:rPr>
        <w:t xml:space="preserve">, низьким рівнем ризику смертельних наслідків та появою додаткової резистентності. ГРН було враховано педіатричний МА ІДП з МРТБ по 975 клінічно </w:t>
      </w:r>
      <w:proofErr w:type="spellStart"/>
      <w:r w:rsidRPr="00ED35A9">
        <w:rPr>
          <w:lang w:val="uk-UA"/>
        </w:rPr>
        <w:t>діагностованих</w:t>
      </w:r>
      <w:proofErr w:type="spellEnd"/>
      <w:r w:rsidRPr="00ED35A9">
        <w:rPr>
          <w:lang w:val="uk-UA"/>
        </w:rPr>
        <w:t xml:space="preserve"> або </w:t>
      </w:r>
      <w:proofErr w:type="spellStart"/>
      <w:r w:rsidRPr="00ED35A9">
        <w:rPr>
          <w:lang w:val="uk-UA"/>
        </w:rPr>
        <w:t>бактеріологічно</w:t>
      </w:r>
      <w:proofErr w:type="spellEnd"/>
      <w:r w:rsidRPr="00ED35A9">
        <w:rPr>
          <w:lang w:val="uk-UA"/>
        </w:rPr>
        <w:t xml:space="preserve"> підтверджених випадках легеневого або </w:t>
      </w:r>
      <w:proofErr w:type="spellStart"/>
      <w:r w:rsidRPr="00ED35A9">
        <w:rPr>
          <w:lang w:val="uk-UA"/>
        </w:rPr>
        <w:t>позалегеневого</w:t>
      </w:r>
      <w:proofErr w:type="spellEnd"/>
      <w:r w:rsidRPr="00ED35A9">
        <w:rPr>
          <w:lang w:val="uk-UA"/>
        </w:rPr>
        <w:t xml:space="preserve"> ТБ, які використовували для визначення рекомендацій з лікування </w:t>
      </w:r>
      <w:r w:rsidR="00CC4EF3" w:rsidRPr="00ED35A9">
        <w:rPr>
          <w:lang w:val="uk-UA"/>
        </w:rPr>
        <w:t xml:space="preserve">у </w:t>
      </w:r>
      <w:r w:rsidRPr="00ED35A9">
        <w:rPr>
          <w:lang w:val="uk-UA"/>
        </w:rPr>
        <w:t xml:space="preserve">2016 р. </w:t>
      </w:r>
      <w:r w:rsidRPr="00ED35A9">
        <w:rPr>
          <w:i/>
          <w:lang w:val="uk-UA"/>
        </w:rPr>
        <w:t>(44)</w:t>
      </w:r>
      <w:r w:rsidRPr="00ED35A9">
        <w:rPr>
          <w:lang w:val="uk-UA"/>
        </w:rPr>
        <w:t>. Дітей з ТБ-ШМР було виключено з аналізу (n=36), оскільки їхні схеми лікування не вважалися порівнюваними зі схемами інших пацієнтів з МРТБ, а їхня кількість була за</w:t>
      </w:r>
      <w:r w:rsidR="00CC4EF3" w:rsidRPr="00ED35A9">
        <w:rPr>
          <w:lang w:val="uk-UA"/>
        </w:rPr>
        <w:t xml:space="preserve">надто </w:t>
      </w:r>
      <w:r w:rsidRPr="00ED35A9">
        <w:rPr>
          <w:lang w:val="uk-UA"/>
        </w:rPr>
        <w:t>низькою для проведення незалежного аналізу. На час компіляції ц</w:t>
      </w:r>
      <w:r w:rsidR="00F100E7" w:rsidRPr="00ED35A9">
        <w:rPr>
          <w:lang w:val="uk-UA"/>
        </w:rPr>
        <w:t xml:space="preserve">ієї вибірки </w:t>
      </w:r>
      <w:r w:rsidRPr="00ED35A9">
        <w:rPr>
          <w:lang w:val="uk-UA"/>
        </w:rPr>
        <w:t xml:space="preserve">даних до </w:t>
      </w:r>
      <w:r w:rsidR="00F100E7" w:rsidRPr="00ED35A9">
        <w:rPr>
          <w:lang w:val="uk-UA"/>
        </w:rPr>
        <w:t xml:space="preserve">її </w:t>
      </w:r>
      <w:r w:rsidRPr="00ED35A9">
        <w:rPr>
          <w:lang w:val="uk-UA"/>
        </w:rPr>
        <w:t xml:space="preserve">складу не входили жодні </w:t>
      </w:r>
      <w:r w:rsidR="00CF0132" w:rsidRPr="00ED35A9">
        <w:rPr>
          <w:lang w:val="uk-UA"/>
        </w:rPr>
        <w:t>РКД</w:t>
      </w:r>
      <w:r w:rsidRPr="00ED35A9">
        <w:rPr>
          <w:lang w:val="uk-UA"/>
        </w:rPr>
        <w:t>, а загальна достовірність оцінювання впливу на основі цих доказових даних вважається дуже низькою.</w:t>
      </w:r>
    </w:p>
    <w:p w:rsidR="005C312E" w:rsidRPr="00ED35A9" w:rsidRDefault="005C312E" w:rsidP="00545A89">
      <w:pPr>
        <w:spacing w:line="247" w:lineRule="auto"/>
        <w:rPr>
          <w:lang w:val="uk-UA"/>
        </w:rPr>
      </w:pPr>
      <w:bookmarkStart w:id="27" w:name="bookmark31"/>
      <w:bookmarkStart w:id="28" w:name="_Toc417570586"/>
      <w:r w:rsidRPr="00ED35A9">
        <w:rPr>
          <w:b/>
          <w:bCs/>
          <w:lang w:val="uk-UA"/>
        </w:rPr>
        <w:lastRenderedPageBreak/>
        <w:t>Коментарі</w:t>
      </w:r>
      <w:bookmarkEnd w:id="27"/>
      <w:bookmarkEnd w:id="28"/>
    </w:p>
    <w:p w:rsidR="005C312E" w:rsidRPr="00ED35A9" w:rsidRDefault="005C312E" w:rsidP="00545A89">
      <w:pPr>
        <w:spacing w:line="247" w:lineRule="auto"/>
        <w:rPr>
          <w:lang w:val="uk-UA"/>
        </w:rPr>
      </w:pPr>
      <w:r w:rsidRPr="00ED35A9">
        <w:rPr>
          <w:lang w:val="uk-UA"/>
        </w:rPr>
        <w:t>ГРН окремо було проведено оцінювання кожного препарату, який застосовували у довгострокових схемах МРТБ, у контексті впливу на результати лікування, використовуючи переважно оцінювання впливу з МА ІДП 2018 р. та випробування 213 (</w:t>
      </w:r>
      <w:proofErr w:type="spellStart"/>
      <w:r w:rsidRPr="00ED35A9">
        <w:rPr>
          <w:lang w:val="uk-UA"/>
        </w:rPr>
        <w:t>деламанід</w:t>
      </w:r>
      <w:proofErr w:type="spellEnd"/>
      <w:r w:rsidRPr="00ED35A9">
        <w:rPr>
          <w:lang w:val="uk-UA"/>
        </w:rPr>
        <w:t>) для запитання PICO 2 (МР/Риф-ТБ, 2018 р.</w:t>
      </w:r>
      <w:r w:rsidR="007F3460" w:rsidRPr="00ED35A9">
        <w:rPr>
          <w:lang w:val="uk-UA"/>
        </w:rPr>
        <w:t>) (</w:t>
      </w:r>
      <w:r w:rsidRPr="00ED35A9">
        <w:rPr>
          <w:i/>
          <w:lang w:val="uk-UA"/>
        </w:rPr>
        <w:t>див.</w:t>
      </w:r>
      <w:r w:rsidRPr="00ED35A9">
        <w:rPr>
          <w:lang w:val="uk-UA"/>
        </w:rPr>
        <w:t xml:space="preserve"> у додатках 7 та 8 відповідні підсумкові доказові дані за системою GRADE для кожного препарату, а також </w:t>
      </w:r>
      <w:r w:rsidR="007F3460" w:rsidRPr="00ED35A9">
        <w:rPr>
          <w:lang w:val="uk-UA"/>
        </w:rPr>
        <w:t xml:space="preserve">якість </w:t>
      </w:r>
      <w:r w:rsidRPr="00ED35A9">
        <w:rPr>
          <w:lang w:val="uk-UA"/>
        </w:rPr>
        <w:t>цих доказових даних). Після проведення ретельного оцінювання співвідношення переваг та ризиків було визначено рекомендації щодо кожного препарату та класифіковано їх за трьома групами (</w:t>
      </w:r>
      <w:r w:rsidRPr="00ED35A9">
        <w:rPr>
          <w:i/>
          <w:lang w:val="uk-UA"/>
        </w:rPr>
        <w:t>див.</w:t>
      </w:r>
      <w:r w:rsidRPr="00ED35A9">
        <w:rPr>
          <w:lang w:val="uk-UA"/>
        </w:rPr>
        <w:t xml:space="preserve"> таблиці 2.1–2.3):</w:t>
      </w:r>
    </w:p>
    <w:p w:rsidR="005C312E" w:rsidRPr="00ED35A9" w:rsidRDefault="005C312E" w:rsidP="00545A89">
      <w:pPr>
        <w:pStyle w:val="a7"/>
        <w:numPr>
          <w:ilvl w:val="0"/>
          <w:numId w:val="7"/>
        </w:numPr>
        <w:spacing w:line="247" w:lineRule="auto"/>
        <w:ind w:left="993" w:hanging="284"/>
        <w:rPr>
          <w:lang w:val="uk-UA"/>
        </w:rPr>
      </w:pPr>
      <w:r w:rsidRPr="00ED35A9">
        <w:rPr>
          <w:b/>
          <w:lang w:val="uk-UA"/>
        </w:rPr>
        <w:t>група A:</w:t>
      </w:r>
      <w:r w:rsidRPr="00ED35A9">
        <w:rPr>
          <w:lang w:val="uk-UA"/>
        </w:rPr>
        <w:t xml:space="preserve"> </w:t>
      </w:r>
      <w:proofErr w:type="spellStart"/>
      <w:r w:rsidRPr="00ED35A9">
        <w:rPr>
          <w:lang w:val="uk-UA"/>
        </w:rPr>
        <w:t>фторхінолони</w:t>
      </w:r>
      <w:proofErr w:type="spellEnd"/>
      <w:r w:rsidRPr="00ED35A9">
        <w:rPr>
          <w:lang w:val="uk-UA"/>
        </w:rPr>
        <w:t xml:space="preserve"> (</w:t>
      </w:r>
      <w:proofErr w:type="spellStart"/>
      <w:r w:rsidRPr="00ED35A9">
        <w:rPr>
          <w:lang w:val="uk-UA"/>
        </w:rPr>
        <w:t>левофлоксацин</w:t>
      </w:r>
      <w:proofErr w:type="spellEnd"/>
      <w:r w:rsidRPr="00ED35A9">
        <w:rPr>
          <w:lang w:val="uk-UA"/>
        </w:rPr>
        <w:t xml:space="preserve"> та </w:t>
      </w:r>
      <w:proofErr w:type="spellStart"/>
      <w:r w:rsidRPr="00ED35A9">
        <w:rPr>
          <w:lang w:val="uk-UA"/>
        </w:rPr>
        <w:t>моксіфлоксацин</w:t>
      </w:r>
      <w:proofErr w:type="spellEnd"/>
      <w:r w:rsidRPr="00ED35A9">
        <w:rPr>
          <w:lang w:val="uk-UA"/>
        </w:rPr>
        <w:t xml:space="preserve">), </w:t>
      </w:r>
      <w:proofErr w:type="spellStart"/>
      <w:r w:rsidRPr="00ED35A9">
        <w:rPr>
          <w:lang w:val="uk-UA"/>
        </w:rPr>
        <w:t>бедаквілін</w:t>
      </w:r>
      <w:proofErr w:type="spellEnd"/>
      <w:r w:rsidRPr="00ED35A9">
        <w:rPr>
          <w:lang w:val="uk-UA"/>
        </w:rPr>
        <w:t xml:space="preserve"> та </w:t>
      </w:r>
      <w:proofErr w:type="spellStart"/>
      <w:r w:rsidRPr="00ED35A9">
        <w:rPr>
          <w:lang w:val="uk-UA"/>
        </w:rPr>
        <w:t>лінезолід</w:t>
      </w:r>
      <w:proofErr w:type="spellEnd"/>
      <w:r w:rsidRPr="00ED35A9">
        <w:rPr>
          <w:lang w:val="uk-UA"/>
        </w:rPr>
        <w:t xml:space="preserve"> визнано високоефективними; наполегливо рекомендовано включати їх до всіх схем, за винятком наявності протипоказань;</w:t>
      </w:r>
    </w:p>
    <w:p w:rsidR="005C312E" w:rsidRPr="00ED35A9" w:rsidRDefault="005C312E" w:rsidP="00545A89">
      <w:pPr>
        <w:pStyle w:val="a7"/>
        <w:numPr>
          <w:ilvl w:val="0"/>
          <w:numId w:val="7"/>
        </w:numPr>
        <w:spacing w:line="247" w:lineRule="auto"/>
        <w:ind w:left="993" w:hanging="284"/>
        <w:rPr>
          <w:lang w:val="uk-UA"/>
        </w:rPr>
      </w:pPr>
      <w:r w:rsidRPr="00ED35A9">
        <w:rPr>
          <w:b/>
          <w:lang w:val="uk-UA"/>
        </w:rPr>
        <w:t>група B:</w:t>
      </w:r>
      <w:r w:rsidRPr="00ED35A9">
        <w:rPr>
          <w:lang w:val="uk-UA"/>
        </w:rPr>
        <w:t xml:space="preserve"> </w:t>
      </w:r>
      <w:proofErr w:type="spellStart"/>
      <w:r w:rsidRPr="00ED35A9">
        <w:rPr>
          <w:lang w:val="uk-UA"/>
        </w:rPr>
        <w:t>клофазимін</w:t>
      </w:r>
      <w:proofErr w:type="spellEnd"/>
      <w:r w:rsidRPr="00ED35A9">
        <w:rPr>
          <w:lang w:val="uk-UA"/>
        </w:rPr>
        <w:t xml:space="preserve"> та </w:t>
      </w:r>
      <w:proofErr w:type="spellStart"/>
      <w:r w:rsidRPr="00ED35A9">
        <w:rPr>
          <w:lang w:val="uk-UA"/>
        </w:rPr>
        <w:t>циклосерін</w:t>
      </w:r>
      <w:proofErr w:type="spellEnd"/>
      <w:r w:rsidRPr="00ED35A9">
        <w:rPr>
          <w:lang w:val="uk-UA"/>
        </w:rPr>
        <w:t xml:space="preserve"> або </w:t>
      </w:r>
      <w:proofErr w:type="spellStart"/>
      <w:r w:rsidRPr="00ED35A9">
        <w:rPr>
          <w:lang w:val="uk-UA"/>
        </w:rPr>
        <w:t>теризидон</w:t>
      </w:r>
      <w:proofErr w:type="spellEnd"/>
      <w:r w:rsidRPr="00ED35A9">
        <w:rPr>
          <w:lang w:val="uk-UA"/>
        </w:rPr>
        <w:t xml:space="preserve"> умовно рекомендовано як препарати другого вибору;</w:t>
      </w:r>
    </w:p>
    <w:p w:rsidR="005C312E" w:rsidRPr="00ED35A9" w:rsidRDefault="005C312E" w:rsidP="00545A89">
      <w:pPr>
        <w:pStyle w:val="a7"/>
        <w:numPr>
          <w:ilvl w:val="0"/>
          <w:numId w:val="7"/>
        </w:numPr>
        <w:spacing w:line="247" w:lineRule="auto"/>
        <w:ind w:left="993" w:hanging="284"/>
        <w:rPr>
          <w:lang w:val="uk-UA"/>
        </w:rPr>
      </w:pPr>
      <w:r w:rsidRPr="00ED35A9">
        <w:rPr>
          <w:b/>
          <w:lang w:val="uk-UA"/>
        </w:rPr>
        <w:t>група C:</w:t>
      </w:r>
      <w:r w:rsidRPr="00ED35A9">
        <w:rPr>
          <w:lang w:val="uk-UA"/>
        </w:rPr>
        <w:t xml:space="preserve"> усі інші препарати, які можна застосовувати, коли неможливим є застосування препаратів груп А та В; препарати групи С класифіковано за співвідношенням переваг та ризиків, які зазвичай є очікуваними при застосуванні кожного з них.</w:t>
      </w:r>
    </w:p>
    <w:p w:rsidR="005C312E" w:rsidRPr="00ED35A9" w:rsidRDefault="005C312E" w:rsidP="00545A89">
      <w:pPr>
        <w:spacing w:line="247" w:lineRule="auto"/>
        <w:rPr>
          <w:lang w:val="uk-UA"/>
        </w:rPr>
      </w:pPr>
      <w:r w:rsidRPr="00ED35A9">
        <w:rPr>
          <w:lang w:val="uk-UA"/>
        </w:rPr>
        <w:t>Інші препарати, що не входять до груп А, B та С:</w:t>
      </w:r>
    </w:p>
    <w:p w:rsidR="005C312E" w:rsidRPr="00ED35A9" w:rsidRDefault="005C312E" w:rsidP="00545A89">
      <w:pPr>
        <w:pStyle w:val="a7"/>
        <w:numPr>
          <w:ilvl w:val="0"/>
          <w:numId w:val="5"/>
        </w:numPr>
        <w:spacing w:line="247" w:lineRule="auto"/>
        <w:ind w:left="993" w:hanging="284"/>
        <w:rPr>
          <w:lang w:val="uk-UA"/>
        </w:rPr>
      </w:pPr>
      <w:proofErr w:type="spellStart"/>
      <w:r w:rsidRPr="00ED35A9">
        <w:rPr>
          <w:lang w:val="uk-UA"/>
        </w:rPr>
        <w:t>канаміцин</w:t>
      </w:r>
      <w:proofErr w:type="spellEnd"/>
      <w:r w:rsidRPr="00ED35A9">
        <w:rPr>
          <w:lang w:val="uk-UA"/>
        </w:rPr>
        <w:t xml:space="preserve"> та </w:t>
      </w:r>
      <w:proofErr w:type="spellStart"/>
      <w:r w:rsidRPr="00ED35A9">
        <w:rPr>
          <w:lang w:val="uk-UA"/>
        </w:rPr>
        <w:t>капреоміцин</w:t>
      </w:r>
      <w:proofErr w:type="spellEnd"/>
      <w:r w:rsidRPr="00ED35A9">
        <w:rPr>
          <w:lang w:val="uk-UA"/>
        </w:rPr>
        <w:t>, при застосуванні яких відзначено гірші результати лікування, не можуть бути рекомендовані для використання у схемах МРТБ;</w:t>
      </w:r>
    </w:p>
    <w:p w:rsidR="005C312E" w:rsidRPr="00ED35A9" w:rsidRDefault="005C312E" w:rsidP="00545A89">
      <w:pPr>
        <w:pStyle w:val="a7"/>
        <w:numPr>
          <w:ilvl w:val="0"/>
          <w:numId w:val="5"/>
        </w:numPr>
        <w:spacing w:line="247" w:lineRule="auto"/>
        <w:ind w:left="993" w:hanging="284"/>
        <w:rPr>
          <w:lang w:val="uk-UA"/>
        </w:rPr>
      </w:pPr>
      <w:proofErr w:type="spellStart"/>
      <w:r w:rsidRPr="00ED35A9">
        <w:rPr>
          <w:lang w:val="uk-UA"/>
        </w:rPr>
        <w:t>гатіфлоксацин</w:t>
      </w:r>
      <w:proofErr w:type="spellEnd"/>
      <w:r w:rsidR="00A144B8" w:rsidRPr="00ED35A9">
        <w:rPr>
          <w:lang w:val="uk-UA"/>
        </w:rPr>
        <w:t xml:space="preserve"> (</w:t>
      </w:r>
      <w:proofErr w:type="spellStart"/>
      <w:r w:rsidR="00A144B8" w:rsidRPr="00ED35A9">
        <w:rPr>
          <w:lang w:val="uk-UA"/>
        </w:rPr>
        <w:t>Gfx</w:t>
      </w:r>
      <w:proofErr w:type="spellEnd"/>
      <w:r w:rsidR="00A144B8" w:rsidRPr="00ED35A9">
        <w:rPr>
          <w:lang w:val="uk-UA"/>
        </w:rPr>
        <w:t>)</w:t>
      </w:r>
      <w:r w:rsidRPr="00ED35A9">
        <w:rPr>
          <w:lang w:val="uk-UA"/>
        </w:rPr>
        <w:t xml:space="preserve"> та </w:t>
      </w:r>
      <w:proofErr w:type="spellStart"/>
      <w:r w:rsidRPr="00ED35A9">
        <w:rPr>
          <w:lang w:val="uk-UA"/>
        </w:rPr>
        <w:t>ізоніазид</w:t>
      </w:r>
      <w:proofErr w:type="spellEnd"/>
      <w:r w:rsidRPr="00ED35A9">
        <w:rPr>
          <w:lang w:val="uk-UA"/>
        </w:rPr>
        <w:t xml:space="preserve"> у високих дозах застосовували для лікування дуже </w:t>
      </w:r>
      <w:r w:rsidR="007F3460" w:rsidRPr="00ED35A9">
        <w:rPr>
          <w:lang w:val="uk-UA"/>
        </w:rPr>
        <w:t xml:space="preserve">невеликої </w:t>
      </w:r>
      <w:r w:rsidRPr="00ED35A9">
        <w:rPr>
          <w:lang w:val="uk-UA"/>
        </w:rPr>
        <w:t xml:space="preserve">кількості пацієнтів, а </w:t>
      </w:r>
      <w:proofErr w:type="spellStart"/>
      <w:r w:rsidRPr="00ED35A9">
        <w:rPr>
          <w:lang w:val="uk-UA"/>
        </w:rPr>
        <w:t>тіоацетазон</w:t>
      </w:r>
      <w:proofErr w:type="spellEnd"/>
      <w:r w:rsidRPr="00ED35A9">
        <w:rPr>
          <w:lang w:val="uk-UA"/>
        </w:rPr>
        <w:t xml:space="preserve"> взагалі не застосовували; на сьогодні відсутні лікарські форми </w:t>
      </w:r>
      <w:proofErr w:type="spellStart"/>
      <w:r w:rsidRPr="00ED35A9">
        <w:rPr>
          <w:lang w:val="uk-UA"/>
        </w:rPr>
        <w:t>гатіфлоксацину</w:t>
      </w:r>
      <w:proofErr w:type="spellEnd"/>
      <w:r w:rsidRPr="00ED35A9">
        <w:rPr>
          <w:lang w:val="uk-UA"/>
        </w:rPr>
        <w:t xml:space="preserve"> гарантованої якості через їх відкликання з ринку внаслідок занепокоєння щодо виникнення </w:t>
      </w:r>
      <w:proofErr w:type="spellStart"/>
      <w:r w:rsidRPr="00ED35A9">
        <w:rPr>
          <w:lang w:val="uk-UA"/>
        </w:rPr>
        <w:t>дисглікемії</w:t>
      </w:r>
      <w:proofErr w:type="spellEnd"/>
      <w:r w:rsidRPr="00ED35A9">
        <w:rPr>
          <w:lang w:val="uk-UA"/>
        </w:rPr>
        <w:t xml:space="preserve">; </w:t>
      </w:r>
      <w:proofErr w:type="spellStart"/>
      <w:r w:rsidRPr="00ED35A9">
        <w:rPr>
          <w:lang w:val="uk-UA"/>
        </w:rPr>
        <w:t>тіоацетазон</w:t>
      </w:r>
      <w:proofErr w:type="spellEnd"/>
      <w:r w:rsidRPr="00ED35A9">
        <w:rPr>
          <w:lang w:val="uk-UA"/>
        </w:rPr>
        <w:t xml:space="preserve"> навряд чи входитиме до складу сучасних довгострокових схем, на сьогодні він відсутній у лікарських формах гарантованої якості; </w:t>
      </w:r>
      <w:proofErr w:type="spellStart"/>
      <w:r w:rsidRPr="00ED35A9">
        <w:rPr>
          <w:lang w:val="uk-UA"/>
        </w:rPr>
        <w:t>ізоніазид</w:t>
      </w:r>
      <w:proofErr w:type="spellEnd"/>
      <w:r w:rsidRPr="00ED35A9">
        <w:rPr>
          <w:lang w:val="uk-UA"/>
        </w:rPr>
        <w:t xml:space="preserve"> у високих дозах може бути застосований при лікуванні пацієнтів з підтвердженою чутливістю до </w:t>
      </w:r>
      <w:proofErr w:type="spellStart"/>
      <w:r w:rsidRPr="00ED35A9">
        <w:rPr>
          <w:lang w:val="uk-UA"/>
        </w:rPr>
        <w:t>ізоніазиду</w:t>
      </w:r>
      <w:proofErr w:type="spellEnd"/>
      <w:r w:rsidRPr="00ED35A9">
        <w:rPr>
          <w:lang w:val="uk-UA"/>
        </w:rPr>
        <w:t xml:space="preserve"> (</w:t>
      </w:r>
      <w:r w:rsidRPr="00ED35A9">
        <w:rPr>
          <w:i/>
          <w:lang w:val="uk-UA"/>
        </w:rPr>
        <w:t>див.</w:t>
      </w:r>
      <w:r w:rsidRPr="00ED35A9">
        <w:rPr>
          <w:lang w:val="uk-UA"/>
        </w:rPr>
        <w:t xml:space="preserve"> нижче частину «Зауваження щодо підгруп»);</w:t>
      </w:r>
    </w:p>
    <w:p w:rsidR="005C312E" w:rsidRPr="00545A89" w:rsidRDefault="005C312E" w:rsidP="00545A89">
      <w:pPr>
        <w:pStyle w:val="a7"/>
        <w:numPr>
          <w:ilvl w:val="0"/>
          <w:numId w:val="5"/>
        </w:numPr>
        <w:spacing w:line="247" w:lineRule="auto"/>
        <w:ind w:left="993" w:hanging="284"/>
        <w:rPr>
          <w:spacing w:val="-2"/>
          <w:lang w:val="uk-UA"/>
        </w:rPr>
      </w:pPr>
      <w:proofErr w:type="spellStart"/>
      <w:r w:rsidRPr="00545A89">
        <w:rPr>
          <w:spacing w:val="-2"/>
          <w:lang w:val="uk-UA"/>
        </w:rPr>
        <w:t>клавуланову</w:t>
      </w:r>
      <w:proofErr w:type="spellEnd"/>
      <w:r w:rsidRPr="00545A89">
        <w:rPr>
          <w:spacing w:val="-2"/>
          <w:lang w:val="uk-UA"/>
        </w:rPr>
        <w:t xml:space="preserve"> кислоту можна включати до схеми лікування МР/Риф-ТБ лише як супутній препарат до </w:t>
      </w:r>
      <w:proofErr w:type="spellStart"/>
      <w:r w:rsidRPr="00545A89">
        <w:rPr>
          <w:spacing w:val="-2"/>
          <w:lang w:val="uk-UA"/>
        </w:rPr>
        <w:t>карбапенемів</w:t>
      </w:r>
      <w:proofErr w:type="spellEnd"/>
      <w:r w:rsidRPr="00545A89">
        <w:rPr>
          <w:spacing w:val="-2"/>
          <w:lang w:val="uk-UA"/>
        </w:rPr>
        <w:t xml:space="preserve"> (</w:t>
      </w:r>
      <w:proofErr w:type="spellStart"/>
      <w:r w:rsidRPr="00545A89">
        <w:rPr>
          <w:spacing w:val="-2"/>
          <w:lang w:val="uk-UA"/>
        </w:rPr>
        <w:t>іміпенем-циластатин</w:t>
      </w:r>
      <w:r w:rsidR="00545A89">
        <w:rPr>
          <w:spacing w:val="-2"/>
          <w:lang w:val="uk-UA"/>
        </w:rPr>
        <w:t>у</w:t>
      </w:r>
      <w:proofErr w:type="spellEnd"/>
      <w:r w:rsidRPr="00545A89">
        <w:rPr>
          <w:spacing w:val="-2"/>
          <w:lang w:val="uk-UA"/>
        </w:rPr>
        <w:t xml:space="preserve"> та </w:t>
      </w:r>
      <w:proofErr w:type="spellStart"/>
      <w:r w:rsidRPr="00545A89">
        <w:rPr>
          <w:spacing w:val="-2"/>
          <w:lang w:val="uk-UA"/>
        </w:rPr>
        <w:t>меропенем</w:t>
      </w:r>
      <w:r w:rsidR="00545A89">
        <w:rPr>
          <w:spacing w:val="-2"/>
          <w:lang w:val="uk-UA"/>
        </w:rPr>
        <w:t>у</w:t>
      </w:r>
      <w:proofErr w:type="spellEnd"/>
      <w:r w:rsidRPr="00545A89">
        <w:rPr>
          <w:spacing w:val="-2"/>
          <w:lang w:val="uk-UA"/>
        </w:rPr>
        <w:t xml:space="preserve">), при цьому її слід призначати з кожною дозою </w:t>
      </w:r>
      <w:proofErr w:type="spellStart"/>
      <w:r w:rsidRPr="00545A89">
        <w:rPr>
          <w:spacing w:val="-2"/>
          <w:lang w:val="uk-UA"/>
        </w:rPr>
        <w:t>карбапенему</w:t>
      </w:r>
      <w:proofErr w:type="spellEnd"/>
      <w:r w:rsidRPr="00545A89">
        <w:rPr>
          <w:spacing w:val="-2"/>
          <w:lang w:val="uk-UA"/>
        </w:rPr>
        <w:t xml:space="preserve">, але вона не </w:t>
      </w:r>
      <w:r w:rsidR="00CC4EF3" w:rsidRPr="00545A89">
        <w:rPr>
          <w:spacing w:val="-2"/>
          <w:lang w:val="uk-UA"/>
        </w:rPr>
        <w:t xml:space="preserve">може </w:t>
      </w:r>
      <w:r w:rsidRPr="00545A89">
        <w:rPr>
          <w:spacing w:val="-2"/>
          <w:lang w:val="uk-UA"/>
        </w:rPr>
        <w:t>вважатися додатковим ефективним ПТП.</w:t>
      </w:r>
    </w:p>
    <w:p w:rsidR="005C312E" w:rsidRPr="00ED35A9" w:rsidRDefault="005C312E" w:rsidP="00545A89">
      <w:pPr>
        <w:spacing w:line="247" w:lineRule="auto"/>
        <w:rPr>
          <w:lang w:val="uk-UA"/>
        </w:rPr>
      </w:pPr>
      <w:r w:rsidRPr="00ED35A9">
        <w:rPr>
          <w:lang w:val="uk-UA"/>
        </w:rPr>
        <w:t xml:space="preserve">Надання рекомендації щодо застосування </w:t>
      </w:r>
      <w:proofErr w:type="spellStart"/>
      <w:r w:rsidRPr="00ED35A9">
        <w:rPr>
          <w:lang w:val="uk-UA"/>
        </w:rPr>
        <w:t>перхлозону</w:t>
      </w:r>
      <w:proofErr w:type="spellEnd"/>
      <w:r w:rsidRPr="00ED35A9">
        <w:rPr>
          <w:lang w:val="uk-UA"/>
        </w:rPr>
        <w:t xml:space="preserve">, інтерферону гамма або </w:t>
      </w:r>
      <w:proofErr w:type="spellStart"/>
      <w:r w:rsidRPr="00ED35A9">
        <w:rPr>
          <w:lang w:val="uk-UA"/>
        </w:rPr>
        <w:t>сутезоліду</w:t>
      </w:r>
      <w:proofErr w:type="spellEnd"/>
      <w:r w:rsidRPr="00ED35A9">
        <w:rPr>
          <w:lang w:val="uk-UA"/>
        </w:rPr>
        <w:t xml:space="preserve"> є неможливим через відсутність даних щодо фінальних результатів лікування у відповідних дослідженнях пацієнтів.</w:t>
      </w:r>
    </w:p>
    <w:p w:rsidR="005C312E" w:rsidRPr="00ED35A9" w:rsidRDefault="005C312E" w:rsidP="00545A89">
      <w:pPr>
        <w:spacing w:line="247" w:lineRule="auto"/>
        <w:rPr>
          <w:lang w:val="uk-UA"/>
        </w:rPr>
      </w:pPr>
      <w:r w:rsidRPr="00ED35A9">
        <w:rPr>
          <w:lang w:val="uk-UA"/>
        </w:rPr>
        <w:lastRenderedPageBreak/>
        <w:t xml:space="preserve">Стосовно використання </w:t>
      </w:r>
      <w:proofErr w:type="spellStart"/>
      <w:r w:rsidRPr="00ED35A9">
        <w:rPr>
          <w:lang w:val="uk-UA"/>
        </w:rPr>
        <w:t>бедаквіліну</w:t>
      </w:r>
      <w:proofErr w:type="spellEnd"/>
      <w:r w:rsidRPr="00ED35A9">
        <w:rPr>
          <w:lang w:val="uk-UA"/>
        </w:rPr>
        <w:t xml:space="preserve"> у пацієнтів молодше 18 років, враховуючи, що профілі залежності експозиція</w:t>
      </w:r>
      <w:r w:rsidR="00490568" w:rsidRPr="00ED35A9">
        <w:rPr>
          <w:lang w:val="uk-UA"/>
        </w:rPr>
        <w:t>–</w:t>
      </w:r>
      <w:r w:rsidRPr="00ED35A9">
        <w:rPr>
          <w:lang w:val="uk-UA"/>
        </w:rPr>
        <w:t xml:space="preserve">реакція (профілі ефективності) можуть бути екстрапольовані з дорослих на дітей, ГРН дійшла висновку, що дози, визначені </w:t>
      </w:r>
      <w:r w:rsidR="00D2557E" w:rsidRPr="00ED35A9">
        <w:rPr>
          <w:lang w:val="uk-UA"/>
        </w:rPr>
        <w:t xml:space="preserve">для </w:t>
      </w:r>
      <w:r w:rsidRPr="00ED35A9">
        <w:rPr>
          <w:lang w:val="uk-UA"/>
        </w:rPr>
        <w:t xml:space="preserve"> дітей та підлітків у двох дослідженнях (Фаза II TMC207-C211 та Фаза I/II IMPAACT P1108; </w:t>
      </w:r>
      <w:r w:rsidRPr="00ED35A9">
        <w:rPr>
          <w:i/>
          <w:lang w:val="uk-UA"/>
        </w:rPr>
        <w:t>див.</w:t>
      </w:r>
      <w:r w:rsidRPr="00ED35A9">
        <w:rPr>
          <w:lang w:val="uk-UA"/>
        </w:rPr>
        <w:t xml:space="preserve"> онлайн-додаток 9), не створюють такої експозиції, яка підвищить ризик неефективності лікування у пацієнтів віком 6–17 років. Ризик безпечності у дітей віком </w:t>
      </w:r>
      <w:r w:rsidR="00D2557E" w:rsidRPr="00ED35A9">
        <w:rPr>
          <w:lang w:val="uk-UA"/>
        </w:rPr>
        <w:t>від 6 </w:t>
      </w:r>
      <w:r w:rsidRPr="00ED35A9">
        <w:rPr>
          <w:lang w:val="uk-UA"/>
        </w:rPr>
        <w:t xml:space="preserve">років, залучених до випробування – всі вони мали ВІЛ-негативний статус та обмежену експозицію до інших лікарських засобів, </w:t>
      </w:r>
      <w:proofErr w:type="spellStart"/>
      <w:r w:rsidRPr="00ED35A9">
        <w:rPr>
          <w:lang w:val="uk-UA"/>
        </w:rPr>
        <w:t>пролонгуючих</w:t>
      </w:r>
      <w:proofErr w:type="spellEnd"/>
      <w:r w:rsidRPr="00ED35A9">
        <w:rPr>
          <w:lang w:val="uk-UA"/>
        </w:rPr>
        <w:t xml:space="preserve"> інтервал QT – не перевищує цього показника в дорослих. Варіабельність, пов’язана з обмеженим обсягом вибірки, не дозволяє прокоментувати залежність експозиція</w:t>
      </w:r>
      <w:r w:rsidR="00490568" w:rsidRPr="00ED35A9">
        <w:rPr>
          <w:lang w:val="uk-UA"/>
        </w:rPr>
        <w:t>–</w:t>
      </w:r>
      <w:r w:rsidRPr="00ED35A9">
        <w:rPr>
          <w:lang w:val="uk-UA"/>
        </w:rPr>
        <w:t xml:space="preserve">реакція (щодо безпечності). ГРН також дійшла висновку, що співвідношення користь/ризик щодо використання </w:t>
      </w:r>
      <w:proofErr w:type="spellStart"/>
      <w:r w:rsidRPr="00ED35A9">
        <w:rPr>
          <w:lang w:val="uk-UA"/>
        </w:rPr>
        <w:t>бедаквіліну</w:t>
      </w:r>
      <w:proofErr w:type="spellEnd"/>
      <w:r w:rsidRPr="00ED35A9">
        <w:rPr>
          <w:lang w:val="uk-UA"/>
        </w:rPr>
        <w:t xml:space="preserve"> у пацієнтів від 6 до 17 років подібні до таких показників у дорослих, але й наголосила, що перш ніж оновлювати ці рекомендації до більш наполегливих, необхідно зібрати більше даних.</w:t>
      </w:r>
    </w:p>
    <w:p w:rsidR="005C312E" w:rsidRPr="00ED35A9" w:rsidRDefault="005C312E" w:rsidP="00545A89">
      <w:pPr>
        <w:spacing w:line="247" w:lineRule="auto"/>
        <w:rPr>
          <w:lang w:val="uk-UA"/>
        </w:rPr>
      </w:pPr>
      <w:r w:rsidRPr="00ED35A9">
        <w:rPr>
          <w:lang w:val="uk-UA"/>
        </w:rPr>
        <w:t xml:space="preserve">Стосовно використання </w:t>
      </w:r>
      <w:proofErr w:type="spellStart"/>
      <w:r w:rsidRPr="00ED35A9">
        <w:rPr>
          <w:lang w:val="uk-UA"/>
        </w:rPr>
        <w:t>деламаніду</w:t>
      </w:r>
      <w:proofErr w:type="spellEnd"/>
      <w:r w:rsidRPr="00ED35A9">
        <w:rPr>
          <w:lang w:val="uk-UA"/>
        </w:rPr>
        <w:t xml:space="preserve"> у дітей віком молодше 6 років ГРН було прийнято рішення, що на основі аналізу даних у дорослих, а також даних фармакології та безпечності, екстраполювання ефективності й безпечності слід обмежити лише дітьми віком від 3 до 5 років, але не поширювати на дітей віком молодше </w:t>
      </w:r>
      <w:r w:rsidR="00CC4EF3" w:rsidRPr="00ED35A9">
        <w:rPr>
          <w:lang w:val="uk-UA"/>
        </w:rPr>
        <w:t>трьох</w:t>
      </w:r>
      <w:r w:rsidRPr="00ED35A9">
        <w:rPr>
          <w:lang w:val="uk-UA"/>
        </w:rPr>
        <w:t xml:space="preserve"> років (</w:t>
      </w:r>
      <w:r w:rsidRPr="00ED35A9">
        <w:rPr>
          <w:i/>
          <w:lang w:val="uk-UA"/>
        </w:rPr>
        <w:t>див.</w:t>
      </w:r>
      <w:r w:rsidRPr="00ED35A9">
        <w:rPr>
          <w:lang w:val="uk-UA"/>
        </w:rPr>
        <w:t xml:space="preserve"> онлайн-додаток 9). Профілі експозиції у дітей віком 3–5 років були порівнюваними з </w:t>
      </w:r>
      <w:r w:rsidR="00D2557E" w:rsidRPr="00ED35A9">
        <w:rPr>
          <w:lang w:val="uk-UA"/>
        </w:rPr>
        <w:t>такими у </w:t>
      </w:r>
      <w:r w:rsidRPr="00ED35A9">
        <w:rPr>
          <w:lang w:val="uk-UA"/>
        </w:rPr>
        <w:t xml:space="preserve">дорослих та не перевищували такі у дітей віком понад 6 років, в яких попередня ГРН, скликана ВООЗ, вже рекомендувала застосування </w:t>
      </w:r>
      <w:proofErr w:type="spellStart"/>
      <w:r w:rsidRPr="00ED35A9">
        <w:rPr>
          <w:lang w:val="uk-UA"/>
        </w:rPr>
        <w:t>деламаніду</w:t>
      </w:r>
      <w:proofErr w:type="spellEnd"/>
      <w:r w:rsidRPr="00ED35A9">
        <w:rPr>
          <w:lang w:val="uk-UA"/>
        </w:rPr>
        <w:t xml:space="preserve"> </w:t>
      </w:r>
      <w:r w:rsidRPr="00ED35A9">
        <w:rPr>
          <w:i/>
          <w:lang w:val="uk-UA"/>
        </w:rPr>
        <w:t>(4, 5)</w:t>
      </w:r>
      <w:r w:rsidRPr="00ED35A9">
        <w:rPr>
          <w:lang w:val="uk-UA"/>
        </w:rPr>
        <w:t xml:space="preserve">. На основі наданих лабораторних </w:t>
      </w:r>
      <w:r w:rsidR="00CC4EF3" w:rsidRPr="00ED35A9">
        <w:rPr>
          <w:lang w:val="uk-UA"/>
        </w:rPr>
        <w:t>і</w:t>
      </w:r>
      <w:r w:rsidRPr="00ED35A9">
        <w:rPr>
          <w:lang w:val="uk-UA"/>
        </w:rPr>
        <w:t xml:space="preserve"> кардіологічних даних не було виявлено сигналів небезпеки, відмінних від тих, які спостерігали у дітей віком 3–5 років. Проте ГРН мала певні сумніви щодо практичної можливості надання правильної дози дітям віком 3–5 років, враховуючи, що особлива лікарська форма, яку застосовували у випробуваннях (25 мг), не буде доступною у найближчому майбутньому, а наявні </w:t>
      </w:r>
      <w:r w:rsidR="00D2557E" w:rsidRPr="00ED35A9">
        <w:rPr>
          <w:lang w:val="uk-UA"/>
        </w:rPr>
        <w:t>таблетки для дорослих (50 </w:t>
      </w:r>
      <w:r w:rsidRPr="00ED35A9">
        <w:rPr>
          <w:lang w:val="uk-UA"/>
        </w:rPr>
        <w:t xml:space="preserve">мг) не є </w:t>
      </w:r>
      <w:proofErr w:type="spellStart"/>
      <w:r w:rsidRPr="00ED35A9">
        <w:rPr>
          <w:lang w:val="uk-UA"/>
        </w:rPr>
        <w:t>біоеквівалентними</w:t>
      </w:r>
      <w:proofErr w:type="spellEnd"/>
      <w:r w:rsidRPr="00ED35A9">
        <w:rPr>
          <w:lang w:val="uk-UA"/>
        </w:rPr>
        <w:t>. Таким чином, складно проводити маніпуляції з препаратом без загрози щодо його ефективності.</w:t>
      </w:r>
    </w:p>
    <w:p w:rsidR="005C312E" w:rsidRPr="00ED35A9" w:rsidRDefault="005C312E" w:rsidP="005C312E">
      <w:pPr>
        <w:spacing w:before="120" w:after="120"/>
        <w:ind w:firstLine="0"/>
        <w:jc w:val="center"/>
        <w:rPr>
          <w:b/>
          <w:vertAlign w:val="superscript"/>
          <w:lang w:val="uk-UA"/>
        </w:rPr>
      </w:pPr>
      <w:r w:rsidRPr="00ED35A9">
        <w:rPr>
          <w:b/>
          <w:lang w:val="uk-UA"/>
        </w:rPr>
        <w:t>Таблиця 2.1. Групи препаратів, рекомендованих</w:t>
      </w:r>
      <w:r w:rsidRPr="00ED35A9">
        <w:rPr>
          <w:b/>
          <w:lang w:val="uk-UA"/>
        </w:rPr>
        <w:br/>
        <w:t xml:space="preserve">до застосування у довгострокових схемах лікування </w:t>
      </w:r>
      <w:proofErr w:type="spellStart"/>
      <w:r w:rsidRPr="00ED35A9">
        <w:rPr>
          <w:b/>
          <w:lang w:val="uk-UA"/>
        </w:rPr>
        <w:t>МРТБ</w:t>
      </w:r>
      <w:r w:rsidRPr="00ED35A9">
        <w:rPr>
          <w:b/>
          <w:vertAlign w:val="superscript"/>
          <w:lang w:val="uk-UA"/>
        </w:rPr>
        <w:t>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26"/>
        <w:gridCol w:w="4074"/>
        <w:gridCol w:w="2175"/>
      </w:tblGrid>
      <w:tr w:rsidR="005C312E" w:rsidRPr="00ED35A9" w:rsidTr="00DA1848">
        <w:trPr>
          <w:trHeight w:val="20"/>
        </w:trPr>
        <w:tc>
          <w:tcPr>
            <w:tcW w:w="1667" w:type="pct"/>
            <w:shd w:val="clear" w:color="auto" w:fill="auto"/>
            <w:vAlign w:val="bottom"/>
          </w:tcPr>
          <w:p w:rsidR="005C312E" w:rsidRPr="00ED35A9" w:rsidRDefault="005C312E" w:rsidP="00DA1848">
            <w:pPr>
              <w:ind w:firstLine="0"/>
              <w:jc w:val="center"/>
              <w:rPr>
                <w:b/>
                <w:lang w:val="uk-UA"/>
              </w:rPr>
            </w:pPr>
            <w:r w:rsidRPr="00ED35A9">
              <w:rPr>
                <w:b/>
                <w:bCs/>
                <w:lang w:val="uk-UA"/>
              </w:rPr>
              <w:t>Групи препаратів</w:t>
            </w:r>
            <w:r w:rsidRPr="00ED35A9">
              <w:rPr>
                <w:b/>
                <w:bCs/>
                <w:lang w:val="uk-UA"/>
              </w:rPr>
              <w:br/>
              <w:t>та їх призначення</w:t>
            </w:r>
          </w:p>
        </w:tc>
        <w:tc>
          <w:tcPr>
            <w:tcW w:w="3333" w:type="pct"/>
            <w:gridSpan w:val="2"/>
            <w:tcBorders>
              <w:bottom w:val="single" w:sz="4" w:space="0" w:color="auto"/>
            </w:tcBorders>
            <w:shd w:val="clear" w:color="auto" w:fill="auto"/>
            <w:vAlign w:val="bottom"/>
          </w:tcPr>
          <w:p w:rsidR="005C312E" w:rsidRPr="00ED35A9" w:rsidRDefault="005C312E" w:rsidP="00DA1848">
            <w:pPr>
              <w:ind w:firstLine="0"/>
              <w:jc w:val="center"/>
              <w:rPr>
                <w:b/>
                <w:lang w:val="uk-UA"/>
              </w:rPr>
            </w:pPr>
            <w:r w:rsidRPr="00ED35A9">
              <w:rPr>
                <w:b/>
                <w:bCs/>
                <w:lang w:val="uk-UA"/>
              </w:rPr>
              <w:t>Препарат</w:t>
            </w:r>
          </w:p>
        </w:tc>
      </w:tr>
      <w:tr w:rsidR="005C312E" w:rsidRPr="00ED35A9" w:rsidTr="00DA1848">
        <w:trPr>
          <w:trHeight w:val="20"/>
        </w:trPr>
        <w:tc>
          <w:tcPr>
            <w:tcW w:w="1667" w:type="pct"/>
            <w:vMerge w:val="restart"/>
            <w:shd w:val="clear" w:color="auto" w:fill="auto"/>
          </w:tcPr>
          <w:p w:rsidR="005C312E" w:rsidRPr="00ED35A9" w:rsidRDefault="005C312E" w:rsidP="00DA1848">
            <w:pPr>
              <w:ind w:firstLine="0"/>
              <w:jc w:val="left"/>
              <w:rPr>
                <w:b/>
                <w:bCs/>
                <w:lang w:val="uk-UA"/>
              </w:rPr>
            </w:pPr>
            <w:r w:rsidRPr="00ED35A9">
              <w:rPr>
                <w:b/>
                <w:bCs/>
                <w:lang w:val="uk-UA"/>
              </w:rPr>
              <w:t>Група А</w:t>
            </w:r>
          </w:p>
          <w:p w:rsidR="005C312E" w:rsidRPr="00ED35A9" w:rsidRDefault="005C312E" w:rsidP="00DA1848">
            <w:pPr>
              <w:ind w:firstLine="0"/>
              <w:jc w:val="left"/>
              <w:rPr>
                <w:lang w:val="uk-UA"/>
              </w:rPr>
            </w:pPr>
            <w:r w:rsidRPr="00ED35A9">
              <w:rPr>
                <w:bCs/>
                <w:lang w:val="uk-UA"/>
              </w:rPr>
              <w:t>Включення всіх трьох препаратів</w:t>
            </w:r>
          </w:p>
        </w:tc>
        <w:tc>
          <w:tcPr>
            <w:tcW w:w="2173" w:type="pct"/>
            <w:tcBorders>
              <w:bottom w:val="nil"/>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левофлоксацин</w:t>
            </w:r>
            <w:proofErr w:type="spellEnd"/>
            <w:r w:rsidRPr="00ED35A9">
              <w:rPr>
                <w:lang w:val="uk-UA"/>
              </w:rPr>
              <w:t xml:space="preserve"> </w:t>
            </w:r>
            <w:r w:rsidRPr="00ED35A9">
              <w:rPr>
                <w:iCs/>
                <w:lang w:val="uk-UA"/>
              </w:rPr>
              <w:t>або</w:t>
            </w:r>
          </w:p>
        </w:tc>
        <w:tc>
          <w:tcPr>
            <w:tcW w:w="1161" w:type="pct"/>
            <w:tcBorders>
              <w:left w:val="nil"/>
              <w:bottom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Lfx</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top w:val="nil"/>
              <w:right w:val="nil"/>
            </w:tcBorders>
            <w:shd w:val="clear" w:color="auto" w:fill="auto"/>
          </w:tcPr>
          <w:p w:rsidR="005C312E" w:rsidRPr="00ED35A9" w:rsidRDefault="005C312E" w:rsidP="00DA1848">
            <w:pPr>
              <w:ind w:firstLine="0"/>
              <w:jc w:val="left"/>
              <w:rPr>
                <w:lang w:val="uk-UA"/>
              </w:rPr>
            </w:pPr>
            <w:proofErr w:type="spellStart"/>
            <w:r w:rsidRPr="00ED35A9">
              <w:rPr>
                <w:lang w:val="uk-UA"/>
              </w:rPr>
              <w:t>моксіфлоксацин</w:t>
            </w:r>
            <w:proofErr w:type="spellEnd"/>
          </w:p>
        </w:tc>
        <w:tc>
          <w:tcPr>
            <w:tcW w:w="1161" w:type="pct"/>
            <w:tcBorders>
              <w:top w:val="nil"/>
              <w:left w:val="nil"/>
            </w:tcBorders>
            <w:shd w:val="clear" w:color="auto" w:fill="auto"/>
          </w:tcPr>
          <w:p w:rsidR="005C312E" w:rsidRPr="00ED35A9" w:rsidRDefault="005C312E" w:rsidP="00DA1848">
            <w:pPr>
              <w:ind w:firstLine="0"/>
              <w:jc w:val="left"/>
              <w:rPr>
                <w:lang w:val="uk-UA"/>
              </w:rPr>
            </w:pPr>
            <w:proofErr w:type="spellStart"/>
            <w:r w:rsidRPr="00ED35A9">
              <w:rPr>
                <w:lang w:val="uk-UA"/>
              </w:rPr>
              <w:t>Mfx</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бедаквілін</w:t>
            </w:r>
            <w:r w:rsidRPr="00ED35A9">
              <w:rPr>
                <w:vertAlign w:val="superscript"/>
                <w:lang w:val="uk-UA"/>
              </w:rPr>
              <w:t>б</w:t>
            </w:r>
            <w:proofErr w:type="spellEnd"/>
            <w:r w:rsidRPr="00ED35A9">
              <w:rPr>
                <w:vertAlign w:val="superscript"/>
                <w:lang w:val="uk-UA"/>
              </w:rPr>
              <w:t>, в</w:t>
            </w:r>
          </w:p>
        </w:tc>
        <w:tc>
          <w:tcPr>
            <w:tcW w:w="1161" w:type="pct"/>
            <w:tcBorders>
              <w:lef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Bdq</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right w:val="nil"/>
            </w:tcBorders>
            <w:shd w:val="clear" w:color="auto" w:fill="auto"/>
            <w:vAlign w:val="center"/>
          </w:tcPr>
          <w:p w:rsidR="005C312E" w:rsidRPr="00ED35A9" w:rsidRDefault="005C312E" w:rsidP="00DA1848">
            <w:pPr>
              <w:ind w:firstLine="0"/>
              <w:jc w:val="left"/>
              <w:rPr>
                <w:lang w:val="uk-UA"/>
              </w:rPr>
            </w:pPr>
            <w:proofErr w:type="spellStart"/>
            <w:r w:rsidRPr="00ED35A9">
              <w:rPr>
                <w:lang w:val="uk-UA"/>
              </w:rPr>
              <w:t>лінезолід</w:t>
            </w:r>
            <w:r w:rsidRPr="00ED35A9">
              <w:rPr>
                <w:vertAlign w:val="superscript"/>
                <w:lang w:val="uk-UA"/>
              </w:rPr>
              <w:t>г</w:t>
            </w:r>
            <w:proofErr w:type="spellEnd"/>
          </w:p>
        </w:tc>
        <w:tc>
          <w:tcPr>
            <w:tcW w:w="1161" w:type="pct"/>
            <w:tcBorders>
              <w:left w:val="nil"/>
            </w:tcBorders>
            <w:shd w:val="clear" w:color="auto" w:fill="auto"/>
            <w:vAlign w:val="center"/>
          </w:tcPr>
          <w:p w:rsidR="005C312E" w:rsidRPr="00ED35A9" w:rsidRDefault="005C312E" w:rsidP="00DA1848">
            <w:pPr>
              <w:ind w:firstLine="0"/>
              <w:jc w:val="left"/>
              <w:rPr>
                <w:lang w:val="uk-UA"/>
              </w:rPr>
            </w:pPr>
            <w:proofErr w:type="spellStart"/>
            <w:r w:rsidRPr="00ED35A9">
              <w:rPr>
                <w:lang w:val="uk-UA"/>
              </w:rPr>
              <w:t>Lzd</w:t>
            </w:r>
            <w:proofErr w:type="spellEnd"/>
          </w:p>
        </w:tc>
      </w:tr>
      <w:tr w:rsidR="005C312E" w:rsidRPr="00ED35A9" w:rsidTr="00DA1848">
        <w:trPr>
          <w:trHeight w:val="20"/>
        </w:trPr>
        <w:tc>
          <w:tcPr>
            <w:tcW w:w="1667" w:type="pct"/>
            <w:vMerge w:val="restart"/>
            <w:shd w:val="clear" w:color="auto" w:fill="auto"/>
            <w:vAlign w:val="bottom"/>
          </w:tcPr>
          <w:p w:rsidR="005C312E" w:rsidRPr="00ED35A9" w:rsidRDefault="005C312E" w:rsidP="00DA1848">
            <w:pPr>
              <w:ind w:firstLine="0"/>
              <w:jc w:val="left"/>
              <w:rPr>
                <w:b/>
                <w:lang w:val="uk-UA"/>
              </w:rPr>
            </w:pPr>
            <w:r w:rsidRPr="00ED35A9">
              <w:rPr>
                <w:b/>
                <w:bCs/>
                <w:lang w:val="uk-UA"/>
              </w:rPr>
              <w:t>Група B</w:t>
            </w:r>
          </w:p>
          <w:p w:rsidR="005C312E" w:rsidRPr="00ED35A9" w:rsidRDefault="005C312E" w:rsidP="00DA1848">
            <w:pPr>
              <w:ind w:firstLine="0"/>
              <w:jc w:val="left"/>
              <w:rPr>
                <w:lang w:val="uk-UA"/>
              </w:rPr>
            </w:pPr>
            <w:r w:rsidRPr="00ED35A9">
              <w:rPr>
                <w:bCs/>
                <w:lang w:val="uk-UA"/>
              </w:rPr>
              <w:t>Додавання одного чи обох препаратів</w:t>
            </w:r>
          </w:p>
        </w:tc>
        <w:tc>
          <w:tcPr>
            <w:tcW w:w="2173" w:type="pct"/>
            <w:tcBorders>
              <w:bottom w:val="single" w:sz="4" w:space="0" w:color="auto"/>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клофазимін</w:t>
            </w:r>
            <w:proofErr w:type="spellEnd"/>
          </w:p>
        </w:tc>
        <w:tc>
          <w:tcPr>
            <w:tcW w:w="1161" w:type="pct"/>
            <w:tcBorders>
              <w:left w:val="nil"/>
              <w:bottom w:val="single" w:sz="4" w:space="0" w:color="auto"/>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Cfz</w:t>
            </w:r>
            <w:proofErr w:type="spellEnd"/>
          </w:p>
        </w:tc>
      </w:tr>
      <w:tr w:rsidR="005C312E" w:rsidRPr="00ED35A9" w:rsidTr="00DA1848">
        <w:trPr>
          <w:trHeight w:val="20"/>
        </w:trPr>
        <w:tc>
          <w:tcPr>
            <w:tcW w:w="1667" w:type="pct"/>
            <w:vMerge/>
            <w:shd w:val="clear" w:color="auto" w:fill="auto"/>
            <w:vAlign w:val="bottom"/>
          </w:tcPr>
          <w:p w:rsidR="005C312E" w:rsidRPr="00ED35A9" w:rsidRDefault="005C312E" w:rsidP="00DA1848">
            <w:pPr>
              <w:ind w:firstLine="0"/>
              <w:jc w:val="left"/>
              <w:rPr>
                <w:lang w:val="uk-UA"/>
              </w:rPr>
            </w:pPr>
          </w:p>
        </w:tc>
        <w:tc>
          <w:tcPr>
            <w:tcW w:w="2173" w:type="pct"/>
            <w:tcBorders>
              <w:bottom w:val="nil"/>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циклосерін</w:t>
            </w:r>
            <w:proofErr w:type="spellEnd"/>
            <w:r w:rsidRPr="00ED35A9">
              <w:rPr>
                <w:lang w:val="uk-UA"/>
              </w:rPr>
              <w:t xml:space="preserve"> або</w:t>
            </w:r>
          </w:p>
        </w:tc>
        <w:tc>
          <w:tcPr>
            <w:tcW w:w="1161" w:type="pct"/>
            <w:tcBorders>
              <w:left w:val="nil"/>
              <w:bottom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Cs</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top w:val="nil"/>
              <w:right w:val="nil"/>
            </w:tcBorders>
            <w:shd w:val="clear" w:color="auto" w:fill="auto"/>
          </w:tcPr>
          <w:p w:rsidR="005C312E" w:rsidRPr="00ED35A9" w:rsidRDefault="005C312E" w:rsidP="00DA1848">
            <w:pPr>
              <w:ind w:firstLine="0"/>
              <w:jc w:val="left"/>
              <w:rPr>
                <w:lang w:val="uk-UA"/>
              </w:rPr>
            </w:pPr>
            <w:proofErr w:type="spellStart"/>
            <w:r w:rsidRPr="00ED35A9">
              <w:rPr>
                <w:lang w:val="uk-UA"/>
              </w:rPr>
              <w:t>теризидон</w:t>
            </w:r>
            <w:proofErr w:type="spellEnd"/>
          </w:p>
        </w:tc>
        <w:tc>
          <w:tcPr>
            <w:tcW w:w="1161" w:type="pct"/>
            <w:tcBorders>
              <w:top w:val="nil"/>
              <w:left w:val="nil"/>
            </w:tcBorders>
            <w:shd w:val="clear" w:color="auto" w:fill="auto"/>
          </w:tcPr>
          <w:p w:rsidR="005C312E" w:rsidRPr="00ED35A9" w:rsidRDefault="005C312E" w:rsidP="00DA1848">
            <w:pPr>
              <w:ind w:firstLine="0"/>
              <w:jc w:val="left"/>
              <w:rPr>
                <w:lang w:val="uk-UA"/>
              </w:rPr>
            </w:pPr>
            <w:proofErr w:type="spellStart"/>
            <w:r w:rsidRPr="00ED35A9">
              <w:rPr>
                <w:lang w:val="uk-UA"/>
              </w:rPr>
              <w:t>Trd</w:t>
            </w:r>
            <w:proofErr w:type="spellEnd"/>
          </w:p>
        </w:tc>
      </w:tr>
      <w:tr w:rsidR="005C312E" w:rsidRPr="00ED35A9" w:rsidTr="00DA1848">
        <w:trPr>
          <w:trHeight w:val="20"/>
        </w:trPr>
        <w:tc>
          <w:tcPr>
            <w:tcW w:w="1667" w:type="pct"/>
            <w:vMerge w:val="restart"/>
            <w:shd w:val="clear" w:color="auto" w:fill="auto"/>
          </w:tcPr>
          <w:p w:rsidR="005C312E" w:rsidRPr="00ED35A9" w:rsidRDefault="005C312E" w:rsidP="00DA1848">
            <w:pPr>
              <w:ind w:firstLine="0"/>
              <w:jc w:val="left"/>
              <w:rPr>
                <w:b/>
                <w:lang w:val="uk-UA"/>
              </w:rPr>
            </w:pPr>
            <w:r w:rsidRPr="00ED35A9">
              <w:rPr>
                <w:b/>
                <w:bCs/>
                <w:lang w:val="uk-UA"/>
              </w:rPr>
              <w:lastRenderedPageBreak/>
              <w:t>Група С</w:t>
            </w:r>
          </w:p>
          <w:p w:rsidR="005C312E" w:rsidRPr="00ED35A9" w:rsidRDefault="005C312E" w:rsidP="00DA1848">
            <w:pPr>
              <w:ind w:firstLine="0"/>
              <w:jc w:val="left"/>
              <w:rPr>
                <w:lang w:val="uk-UA"/>
              </w:rPr>
            </w:pPr>
            <w:r w:rsidRPr="00ED35A9">
              <w:rPr>
                <w:bCs/>
                <w:lang w:val="uk-UA"/>
              </w:rPr>
              <w:t>Додавання для завершення складу схеми та за умови неможливості застосування препаратів груп А та B</w:t>
            </w:r>
          </w:p>
        </w:tc>
        <w:tc>
          <w:tcPr>
            <w:tcW w:w="2173" w:type="pct"/>
            <w:tcBorders>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етамбутол</w:t>
            </w:r>
            <w:proofErr w:type="spellEnd"/>
          </w:p>
        </w:tc>
        <w:tc>
          <w:tcPr>
            <w:tcW w:w="1161" w:type="pct"/>
            <w:tcBorders>
              <w:left w:val="nil"/>
            </w:tcBorders>
            <w:shd w:val="clear" w:color="auto" w:fill="auto"/>
            <w:vAlign w:val="bottom"/>
          </w:tcPr>
          <w:p w:rsidR="005C312E" w:rsidRPr="00ED35A9" w:rsidRDefault="005C312E" w:rsidP="00DA1848">
            <w:pPr>
              <w:ind w:firstLine="0"/>
              <w:jc w:val="left"/>
              <w:rPr>
                <w:lang w:val="uk-UA"/>
              </w:rPr>
            </w:pPr>
            <w:r w:rsidRPr="00ED35A9">
              <w:rPr>
                <w:lang w:val="uk-UA"/>
              </w:rPr>
              <w:t>E</w:t>
            </w:r>
          </w:p>
        </w:tc>
      </w:tr>
      <w:tr w:rsidR="005C312E" w:rsidRPr="00ED35A9" w:rsidTr="00DA1848">
        <w:trPr>
          <w:trHeight w:val="20"/>
        </w:trPr>
        <w:tc>
          <w:tcPr>
            <w:tcW w:w="1667" w:type="pct"/>
            <w:vMerge/>
            <w:shd w:val="clear" w:color="auto" w:fill="auto"/>
            <w:vAlign w:val="bottom"/>
          </w:tcPr>
          <w:p w:rsidR="005C312E" w:rsidRPr="00ED35A9" w:rsidRDefault="005C312E" w:rsidP="00DA1848">
            <w:pPr>
              <w:ind w:firstLine="0"/>
              <w:jc w:val="left"/>
              <w:rPr>
                <w:lang w:val="uk-UA"/>
              </w:rPr>
            </w:pPr>
          </w:p>
        </w:tc>
        <w:tc>
          <w:tcPr>
            <w:tcW w:w="2173" w:type="pct"/>
            <w:tcBorders>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деламанід</w:t>
            </w:r>
            <w:r w:rsidRPr="00ED35A9">
              <w:rPr>
                <w:vertAlign w:val="superscript"/>
                <w:lang w:val="uk-UA"/>
              </w:rPr>
              <w:t>в</w:t>
            </w:r>
            <w:proofErr w:type="spellEnd"/>
            <w:r w:rsidRPr="00ED35A9">
              <w:rPr>
                <w:vertAlign w:val="superscript"/>
                <w:lang w:val="uk-UA"/>
              </w:rPr>
              <w:t>, д</w:t>
            </w:r>
          </w:p>
        </w:tc>
        <w:tc>
          <w:tcPr>
            <w:tcW w:w="1161" w:type="pct"/>
            <w:tcBorders>
              <w:lef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Dim</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bottom w:val="single" w:sz="4" w:space="0" w:color="auto"/>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піразинамід</w:t>
            </w:r>
            <w:r w:rsidRPr="00ED35A9">
              <w:rPr>
                <w:vertAlign w:val="superscript"/>
                <w:lang w:val="uk-UA"/>
              </w:rPr>
              <w:t>е</w:t>
            </w:r>
            <w:proofErr w:type="spellEnd"/>
          </w:p>
        </w:tc>
        <w:tc>
          <w:tcPr>
            <w:tcW w:w="1161" w:type="pct"/>
            <w:tcBorders>
              <w:left w:val="nil"/>
              <w:bottom w:val="single" w:sz="4" w:space="0" w:color="auto"/>
            </w:tcBorders>
            <w:shd w:val="clear" w:color="auto" w:fill="auto"/>
            <w:vAlign w:val="bottom"/>
          </w:tcPr>
          <w:p w:rsidR="005C312E" w:rsidRPr="00ED35A9" w:rsidRDefault="005C312E" w:rsidP="00DA1848">
            <w:pPr>
              <w:ind w:firstLine="0"/>
              <w:jc w:val="left"/>
              <w:rPr>
                <w:lang w:val="uk-UA"/>
              </w:rPr>
            </w:pPr>
            <w:r w:rsidRPr="00ED35A9">
              <w:rPr>
                <w:lang w:val="uk-UA"/>
              </w:rPr>
              <w:t>Z</w:t>
            </w:r>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bottom w:val="nil"/>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іміпенем-циластатин</w:t>
            </w:r>
            <w:proofErr w:type="spellEnd"/>
            <w:r w:rsidRPr="00ED35A9">
              <w:rPr>
                <w:lang w:val="uk-UA"/>
              </w:rPr>
              <w:t xml:space="preserve"> </w:t>
            </w:r>
            <w:r w:rsidRPr="00ED35A9">
              <w:rPr>
                <w:iCs/>
                <w:lang w:val="uk-UA"/>
              </w:rPr>
              <w:t>або</w:t>
            </w:r>
          </w:p>
        </w:tc>
        <w:tc>
          <w:tcPr>
            <w:tcW w:w="1161" w:type="pct"/>
            <w:tcBorders>
              <w:left w:val="nil"/>
              <w:bottom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Ipm-CIn</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top w:val="nil"/>
              <w:bottom w:val="single" w:sz="4" w:space="0" w:color="auto"/>
              <w:right w:val="nil"/>
            </w:tcBorders>
            <w:shd w:val="clear" w:color="auto" w:fill="auto"/>
          </w:tcPr>
          <w:p w:rsidR="005C312E" w:rsidRPr="00ED35A9" w:rsidRDefault="005C312E" w:rsidP="00DA1848">
            <w:pPr>
              <w:ind w:firstLine="0"/>
              <w:jc w:val="left"/>
              <w:rPr>
                <w:lang w:val="uk-UA"/>
              </w:rPr>
            </w:pPr>
            <w:proofErr w:type="spellStart"/>
            <w:r w:rsidRPr="00ED35A9">
              <w:rPr>
                <w:lang w:val="uk-UA"/>
              </w:rPr>
              <w:t>меропенем</w:t>
            </w:r>
            <w:r w:rsidRPr="00ED35A9">
              <w:rPr>
                <w:vertAlign w:val="superscript"/>
                <w:lang w:val="uk-UA"/>
              </w:rPr>
              <w:t>ж</w:t>
            </w:r>
            <w:proofErr w:type="spellEnd"/>
          </w:p>
        </w:tc>
        <w:tc>
          <w:tcPr>
            <w:tcW w:w="1161" w:type="pct"/>
            <w:tcBorders>
              <w:top w:val="nil"/>
              <w:left w:val="nil"/>
              <w:bottom w:val="single" w:sz="4" w:space="0" w:color="auto"/>
            </w:tcBorders>
            <w:shd w:val="clear" w:color="auto" w:fill="auto"/>
          </w:tcPr>
          <w:p w:rsidR="005C312E" w:rsidRPr="00ED35A9" w:rsidRDefault="005C312E" w:rsidP="00DA1848">
            <w:pPr>
              <w:ind w:firstLine="0"/>
              <w:jc w:val="left"/>
              <w:rPr>
                <w:lang w:val="uk-UA"/>
              </w:rPr>
            </w:pPr>
            <w:proofErr w:type="spellStart"/>
            <w:r w:rsidRPr="00ED35A9">
              <w:rPr>
                <w:lang w:val="uk-UA"/>
              </w:rPr>
              <w:t>Mpm</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bottom w:val="nil"/>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амікацин</w:t>
            </w:r>
            <w:proofErr w:type="spellEnd"/>
          </w:p>
        </w:tc>
        <w:tc>
          <w:tcPr>
            <w:tcW w:w="1161" w:type="pct"/>
            <w:tcBorders>
              <w:left w:val="nil"/>
              <w:bottom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Am</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top w:val="nil"/>
              <w:bottom w:val="single" w:sz="4" w:space="0" w:color="auto"/>
              <w:right w:val="nil"/>
            </w:tcBorders>
            <w:shd w:val="clear" w:color="auto" w:fill="auto"/>
          </w:tcPr>
          <w:p w:rsidR="005C312E" w:rsidRPr="00ED35A9" w:rsidRDefault="005C312E" w:rsidP="00DA1848">
            <w:pPr>
              <w:ind w:firstLine="0"/>
              <w:jc w:val="left"/>
              <w:rPr>
                <w:lang w:val="uk-UA"/>
              </w:rPr>
            </w:pPr>
            <w:r w:rsidRPr="00ED35A9">
              <w:rPr>
                <w:lang w:val="uk-UA"/>
              </w:rPr>
              <w:t>(або стрептоміцин)</w:t>
            </w:r>
            <w:r w:rsidRPr="00ED35A9">
              <w:rPr>
                <w:vertAlign w:val="superscript"/>
                <w:lang w:val="uk-UA"/>
              </w:rPr>
              <w:t>з</w:t>
            </w:r>
          </w:p>
        </w:tc>
        <w:tc>
          <w:tcPr>
            <w:tcW w:w="1161" w:type="pct"/>
            <w:tcBorders>
              <w:top w:val="nil"/>
              <w:left w:val="nil"/>
              <w:bottom w:val="single" w:sz="4" w:space="0" w:color="auto"/>
            </w:tcBorders>
            <w:shd w:val="clear" w:color="auto" w:fill="auto"/>
          </w:tcPr>
          <w:p w:rsidR="005C312E" w:rsidRPr="00ED35A9" w:rsidRDefault="005C312E" w:rsidP="00DA1848">
            <w:pPr>
              <w:ind w:firstLine="0"/>
              <w:jc w:val="left"/>
              <w:rPr>
                <w:lang w:val="uk-UA"/>
              </w:rPr>
            </w:pPr>
            <w:r w:rsidRPr="00ED35A9">
              <w:rPr>
                <w:bCs/>
                <w:lang w:val="uk-UA"/>
              </w:rPr>
              <w:t>(S)</w:t>
            </w:r>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bottom w:val="nil"/>
              <w:right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етіонамід</w:t>
            </w:r>
            <w:proofErr w:type="spellEnd"/>
            <w:r w:rsidRPr="00ED35A9">
              <w:rPr>
                <w:lang w:val="uk-UA"/>
              </w:rPr>
              <w:t xml:space="preserve"> </w:t>
            </w:r>
            <w:r w:rsidRPr="00ED35A9">
              <w:rPr>
                <w:iCs/>
                <w:lang w:val="uk-UA"/>
              </w:rPr>
              <w:t>або</w:t>
            </w:r>
          </w:p>
        </w:tc>
        <w:tc>
          <w:tcPr>
            <w:tcW w:w="1161" w:type="pct"/>
            <w:tcBorders>
              <w:left w:val="nil"/>
              <w:bottom w:val="nil"/>
            </w:tcBorders>
            <w:shd w:val="clear" w:color="auto" w:fill="auto"/>
            <w:vAlign w:val="bottom"/>
          </w:tcPr>
          <w:p w:rsidR="005C312E" w:rsidRPr="00ED35A9" w:rsidRDefault="005C312E" w:rsidP="00DA1848">
            <w:pPr>
              <w:ind w:firstLine="0"/>
              <w:jc w:val="left"/>
              <w:rPr>
                <w:lang w:val="uk-UA"/>
              </w:rPr>
            </w:pPr>
            <w:proofErr w:type="spellStart"/>
            <w:r w:rsidRPr="00ED35A9">
              <w:rPr>
                <w:lang w:val="uk-UA"/>
              </w:rPr>
              <w:t>Eto</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top w:val="nil"/>
              <w:right w:val="nil"/>
            </w:tcBorders>
            <w:shd w:val="clear" w:color="auto" w:fill="auto"/>
          </w:tcPr>
          <w:p w:rsidR="005C312E" w:rsidRPr="00ED35A9" w:rsidRDefault="005C312E" w:rsidP="00DA1848">
            <w:pPr>
              <w:ind w:firstLine="0"/>
              <w:jc w:val="left"/>
              <w:rPr>
                <w:lang w:val="uk-UA"/>
              </w:rPr>
            </w:pPr>
            <w:proofErr w:type="spellStart"/>
            <w:r w:rsidRPr="00ED35A9">
              <w:rPr>
                <w:lang w:val="uk-UA"/>
              </w:rPr>
              <w:t>протіонамід</w:t>
            </w:r>
            <w:r w:rsidRPr="00ED35A9">
              <w:rPr>
                <w:vertAlign w:val="superscript"/>
                <w:lang w:val="uk-UA"/>
              </w:rPr>
              <w:t>и</w:t>
            </w:r>
            <w:proofErr w:type="spellEnd"/>
          </w:p>
        </w:tc>
        <w:tc>
          <w:tcPr>
            <w:tcW w:w="1161" w:type="pct"/>
            <w:tcBorders>
              <w:top w:val="nil"/>
              <w:left w:val="nil"/>
            </w:tcBorders>
            <w:shd w:val="clear" w:color="auto" w:fill="auto"/>
          </w:tcPr>
          <w:p w:rsidR="005C312E" w:rsidRPr="00ED35A9" w:rsidRDefault="005C312E" w:rsidP="00DA1848">
            <w:pPr>
              <w:ind w:firstLine="0"/>
              <w:jc w:val="left"/>
              <w:rPr>
                <w:lang w:val="uk-UA"/>
              </w:rPr>
            </w:pPr>
            <w:proofErr w:type="spellStart"/>
            <w:r w:rsidRPr="00ED35A9">
              <w:rPr>
                <w:lang w:val="uk-UA"/>
              </w:rPr>
              <w:t>Pto</w:t>
            </w:r>
            <w:proofErr w:type="spellEnd"/>
          </w:p>
        </w:tc>
      </w:tr>
      <w:tr w:rsidR="005C312E" w:rsidRPr="00ED35A9" w:rsidTr="00DA1848">
        <w:trPr>
          <w:trHeight w:val="20"/>
        </w:trPr>
        <w:tc>
          <w:tcPr>
            <w:tcW w:w="1667" w:type="pct"/>
            <w:vMerge/>
            <w:shd w:val="clear" w:color="auto" w:fill="auto"/>
          </w:tcPr>
          <w:p w:rsidR="005C312E" w:rsidRPr="00ED35A9" w:rsidRDefault="005C312E" w:rsidP="00DA1848">
            <w:pPr>
              <w:ind w:firstLine="0"/>
              <w:jc w:val="left"/>
              <w:rPr>
                <w:lang w:val="uk-UA"/>
              </w:rPr>
            </w:pPr>
          </w:p>
        </w:tc>
        <w:tc>
          <w:tcPr>
            <w:tcW w:w="2173" w:type="pct"/>
            <w:tcBorders>
              <w:right w:val="nil"/>
            </w:tcBorders>
            <w:shd w:val="clear" w:color="auto" w:fill="auto"/>
            <w:vAlign w:val="center"/>
          </w:tcPr>
          <w:p w:rsidR="005C312E" w:rsidRPr="00ED35A9" w:rsidRDefault="005C312E" w:rsidP="00DA1848">
            <w:pPr>
              <w:ind w:firstLine="0"/>
              <w:jc w:val="left"/>
              <w:rPr>
                <w:lang w:val="uk-UA"/>
              </w:rPr>
            </w:pPr>
            <w:proofErr w:type="spellStart"/>
            <w:r w:rsidRPr="00ED35A9">
              <w:rPr>
                <w:lang w:val="uk-UA"/>
              </w:rPr>
              <w:t>парааміносаліцилова</w:t>
            </w:r>
            <w:proofErr w:type="spellEnd"/>
            <w:r w:rsidRPr="00ED35A9">
              <w:rPr>
                <w:lang w:val="uk-UA"/>
              </w:rPr>
              <w:t xml:space="preserve"> </w:t>
            </w:r>
            <w:proofErr w:type="spellStart"/>
            <w:r w:rsidRPr="00ED35A9">
              <w:rPr>
                <w:lang w:val="uk-UA"/>
              </w:rPr>
              <w:t>кислота</w:t>
            </w:r>
            <w:r w:rsidRPr="00ED35A9">
              <w:rPr>
                <w:vertAlign w:val="superscript"/>
                <w:lang w:val="uk-UA"/>
              </w:rPr>
              <w:t>и</w:t>
            </w:r>
            <w:proofErr w:type="spellEnd"/>
          </w:p>
        </w:tc>
        <w:tc>
          <w:tcPr>
            <w:tcW w:w="1161" w:type="pct"/>
            <w:tcBorders>
              <w:left w:val="nil"/>
            </w:tcBorders>
            <w:shd w:val="clear" w:color="auto" w:fill="auto"/>
            <w:vAlign w:val="center"/>
          </w:tcPr>
          <w:p w:rsidR="005C312E" w:rsidRPr="00ED35A9" w:rsidRDefault="005C312E" w:rsidP="00DA1848">
            <w:pPr>
              <w:ind w:firstLine="0"/>
              <w:jc w:val="left"/>
              <w:rPr>
                <w:lang w:val="uk-UA"/>
              </w:rPr>
            </w:pPr>
            <w:r w:rsidRPr="00ED35A9">
              <w:rPr>
                <w:lang w:val="uk-UA"/>
              </w:rPr>
              <w:t>PAS</w:t>
            </w:r>
          </w:p>
        </w:tc>
      </w:tr>
    </w:tbl>
    <w:p w:rsidR="005C312E" w:rsidRPr="00ED35A9" w:rsidRDefault="005C312E" w:rsidP="005C312E">
      <w:pPr>
        <w:spacing w:after="120"/>
        <w:ind w:firstLine="0"/>
        <w:rPr>
          <w:sz w:val="24"/>
          <w:szCs w:val="24"/>
          <w:lang w:val="uk-UA"/>
        </w:rPr>
      </w:pPr>
      <w:r w:rsidRPr="00ED35A9">
        <w:rPr>
          <w:b/>
          <w:sz w:val="24"/>
          <w:szCs w:val="24"/>
          <w:lang w:val="uk-UA"/>
        </w:rPr>
        <w:t>Примітка.</w:t>
      </w:r>
      <w:r w:rsidRPr="00ED35A9">
        <w:rPr>
          <w:sz w:val="24"/>
          <w:szCs w:val="24"/>
          <w:lang w:val="uk-UA"/>
        </w:rPr>
        <w:t xml:space="preserve"> </w:t>
      </w:r>
      <w:proofErr w:type="spellStart"/>
      <w:r w:rsidRPr="00ED35A9">
        <w:rPr>
          <w:sz w:val="24"/>
          <w:szCs w:val="24"/>
          <w:vertAlign w:val="superscript"/>
          <w:lang w:val="uk-UA"/>
        </w:rPr>
        <w:t>а</w:t>
      </w:r>
      <w:r w:rsidRPr="00ED35A9">
        <w:rPr>
          <w:sz w:val="24"/>
          <w:szCs w:val="24"/>
          <w:lang w:val="uk-UA"/>
        </w:rPr>
        <w:t>Ця</w:t>
      </w:r>
      <w:proofErr w:type="spellEnd"/>
      <w:r w:rsidRPr="00ED35A9">
        <w:rPr>
          <w:sz w:val="24"/>
          <w:szCs w:val="24"/>
          <w:lang w:val="uk-UA"/>
        </w:rPr>
        <w:t xml:space="preserve"> таблиця стане у нагоді при розробці індивідуалізованих, довгострокових схем лікування МРТБ (склад рекомендованих короткострокових схем МРТБ переважно стандартизований; </w:t>
      </w:r>
      <w:r w:rsidRPr="00ED35A9">
        <w:rPr>
          <w:i/>
          <w:sz w:val="24"/>
          <w:szCs w:val="24"/>
          <w:lang w:val="uk-UA"/>
        </w:rPr>
        <w:t>див.</w:t>
      </w:r>
      <w:r w:rsidRPr="00ED35A9">
        <w:rPr>
          <w:sz w:val="24"/>
          <w:szCs w:val="24"/>
          <w:lang w:val="uk-UA"/>
        </w:rPr>
        <w:t xml:space="preserve"> розділ 4).</w:t>
      </w:r>
      <w:r w:rsidRPr="00ED35A9">
        <w:rPr>
          <w:bCs/>
          <w:sz w:val="24"/>
          <w:szCs w:val="24"/>
          <w:lang w:val="uk-UA"/>
        </w:rPr>
        <w:t xml:space="preserve"> </w:t>
      </w:r>
      <w:r w:rsidRPr="00ED35A9">
        <w:rPr>
          <w:sz w:val="24"/>
          <w:szCs w:val="24"/>
          <w:lang w:val="uk-UA"/>
        </w:rPr>
        <w:t xml:space="preserve">Препарати групи С наведено за низхідним порядком звичайної пріоритетності застосування. МА ІДП 2018 р. для довгострокових схем не включав пацієнтів, </w:t>
      </w:r>
      <w:r w:rsidR="00CC4EF3" w:rsidRPr="00ED35A9">
        <w:rPr>
          <w:sz w:val="24"/>
          <w:szCs w:val="24"/>
          <w:lang w:val="uk-UA"/>
        </w:rPr>
        <w:t>які</w:t>
      </w:r>
      <w:r w:rsidRPr="00ED35A9">
        <w:rPr>
          <w:sz w:val="24"/>
          <w:szCs w:val="24"/>
          <w:lang w:val="uk-UA"/>
        </w:rPr>
        <w:t xml:space="preserve"> отримували </w:t>
      </w:r>
      <w:proofErr w:type="spellStart"/>
      <w:r w:rsidRPr="00ED35A9">
        <w:rPr>
          <w:sz w:val="24"/>
          <w:szCs w:val="24"/>
          <w:lang w:val="uk-UA"/>
        </w:rPr>
        <w:t>тіоацетазон</w:t>
      </w:r>
      <w:proofErr w:type="spellEnd"/>
      <w:r w:rsidRPr="00ED35A9">
        <w:rPr>
          <w:sz w:val="24"/>
          <w:szCs w:val="24"/>
          <w:lang w:val="uk-UA"/>
        </w:rPr>
        <w:t xml:space="preserve">, та мав замало пацієнтів, що отримували </w:t>
      </w:r>
      <w:proofErr w:type="spellStart"/>
      <w:r w:rsidRPr="00ED35A9">
        <w:rPr>
          <w:sz w:val="24"/>
          <w:szCs w:val="24"/>
          <w:lang w:val="uk-UA"/>
        </w:rPr>
        <w:t>гатіфлоксацин</w:t>
      </w:r>
      <w:proofErr w:type="spellEnd"/>
      <w:r w:rsidRPr="00ED35A9">
        <w:rPr>
          <w:sz w:val="24"/>
          <w:szCs w:val="24"/>
          <w:lang w:val="uk-UA"/>
        </w:rPr>
        <w:t xml:space="preserve"> та </w:t>
      </w:r>
      <w:proofErr w:type="spellStart"/>
      <w:r w:rsidRPr="00ED35A9">
        <w:rPr>
          <w:sz w:val="24"/>
          <w:szCs w:val="24"/>
          <w:lang w:val="uk-UA"/>
        </w:rPr>
        <w:t>ізоніазид</w:t>
      </w:r>
      <w:proofErr w:type="spellEnd"/>
      <w:r w:rsidRPr="00ED35A9">
        <w:rPr>
          <w:sz w:val="24"/>
          <w:szCs w:val="24"/>
          <w:lang w:val="uk-UA"/>
        </w:rPr>
        <w:t xml:space="preserve"> у високих дозах, для проведення </w:t>
      </w:r>
      <w:r w:rsidR="00B14108" w:rsidRPr="00ED35A9">
        <w:rPr>
          <w:sz w:val="24"/>
          <w:szCs w:val="24"/>
          <w:lang w:val="uk-UA"/>
        </w:rPr>
        <w:t>виваженого</w:t>
      </w:r>
      <w:r w:rsidRPr="00ED35A9">
        <w:rPr>
          <w:sz w:val="24"/>
          <w:szCs w:val="24"/>
          <w:lang w:val="uk-UA"/>
        </w:rPr>
        <w:t xml:space="preserve"> аналізу. Надання рекомендацій щодо застосування </w:t>
      </w:r>
      <w:proofErr w:type="spellStart"/>
      <w:r w:rsidRPr="00ED35A9">
        <w:rPr>
          <w:sz w:val="24"/>
          <w:szCs w:val="24"/>
          <w:lang w:val="uk-UA"/>
        </w:rPr>
        <w:t>перхлозону</w:t>
      </w:r>
      <w:proofErr w:type="spellEnd"/>
      <w:r w:rsidRPr="00ED35A9">
        <w:rPr>
          <w:sz w:val="24"/>
          <w:szCs w:val="24"/>
          <w:lang w:val="uk-UA"/>
        </w:rPr>
        <w:t xml:space="preserve">, інтерферону гамма або </w:t>
      </w:r>
      <w:proofErr w:type="spellStart"/>
      <w:r w:rsidRPr="00ED35A9">
        <w:rPr>
          <w:sz w:val="24"/>
          <w:szCs w:val="24"/>
          <w:lang w:val="uk-UA"/>
        </w:rPr>
        <w:t>сутезоліду</w:t>
      </w:r>
      <w:proofErr w:type="spellEnd"/>
      <w:r w:rsidRPr="00ED35A9">
        <w:rPr>
          <w:sz w:val="24"/>
          <w:szCs w:val="24"/>
          <w:lang w:val="uk-UA"/>
        </w:rPr>
        <w:t xml:space="preserve"> є неможливим через відсутність даних щодо фінальних результатів лікування у відповідних дослідженнях пацієнтів </w:t>
      </w:r>
      <w:r w:rsidRPr="00ED35A9">
        <w:rPr>
          <w:bCs/>
          <w:sz w:val="24"/>
          <w:szCs w:val="24"/>
          <w:lang w:val="uk-UA"/>
        </w:rPr>
        <w:t>(</w:t>
      </w:r>
      <w:r w:rsidRPr="00ED35A9">
        <w:rPr>
          <w:bCs/>
          <w:i/>
          <w:sz w:val="24"/>
          <w:szCs w:val="24"/>
          <w:lang w:val="uk-UA"/>
        </w:rPr>
        <w:t>див.</w:t>
      </w:r>
      <w:r w:rsidRPr="00ED35A9">
        <w:rPr>
          <w:bCs/>
          <w:sz w:val="24"/>
          <w:szCs w:val="24"/>
          <w:lang w:val="uk-UA"/>
        </w:rPr>
        <w:t xml:space="preserve"> онлайн-додаток 9).</w:t>
      </w:r>
    </w:p>
    <w:p w:rsidR="005C312E" w:rsidRPr="00ED35A9" w:rsidRDefault="005C312E" w:rsidP="005C312E">
      <w:pPr>
        <w:spacing w:after="120"/>
        <w:ind w:firstLine="0"/>
        <w:rPr>
          <w:b/>
          <w:sz w:val="24"/>
          <w:szCs w:val="24"/>
          <w:lang w:val="uk-UA"/>
        </w:rPr>
      </w:pPr>
      <w:proofErr w:type="spellStart"/>
      <w:r w:rsidRPr="00ED35A9">
        <w:rPr>
          <w:sz w:val="24"/>
          <w:szCs w:val="24"/>
          <w:vertAlign w:val="superscript"/>
          <w:lang w:val="uk-UA"/>
        </w:rPr>
        <w:t>б</w:t>
      </w:r>
      <w:r w:rsidRPr="00ED35A9">
        <w:rPr>
          <w:sz w:val="24"/>
          <w:szCs w:val="24"/>
          <w:lang w:val="uk-UA"/>
        </w:rPr>
        <w:t>Доказових</w:t>
      </w:r>
      <w:proofErr w:type="spellEnd"/>
      <w:r w:rsidRPr="00ED35A9">
        <w:rPr>
          <w:sz w:val="24"/>
          <w:szCs w:val="24"/>
          <w:lang w:val="uk-UA"/>
        </w:rPr>
        <w:t xml:space="preserve"> даних щодо безпечності й ефективності застосування </w:t>
      </w:r>
      <w:proofErr w:type="spellStart"/>
      <w:r w:rsidRPr="00ED35A9">
        <w:rPr>
          <w:sz w:val="24"/>
          <w:szCs w:val="24"/>
          <w:lang w:val="uk-UA"/>
        </w:rPr>
        <w:t>бедаквіліну</w:t>
      </w:r>
      <w:proofErr w:type="spellEnd"/>
      <w:r w:rsidRPr="00ED35A9">
        <w:rPr>
          <w:sz w:val="24"/>
          <w:szCs w:val="24"/>
          <w:lang w:val="uk-UA"/>
        </w:rPr>
        <w:t xml:space="preserve"> довше 6 міс та у дітей віком до 6 років було недостатньою для проведення огляду. Застосування </w:t>
      </w:r>
      <w:proofErr w:type="spellStart"/>
      <w:r w:rsidRPr="00ED35A9">
        <w:rPr>
          <w:sz w:val="24"/>
          <w:szCs w:val="24"/>
          <w:lang w:val="uk-UA"/>
        </w:rPr>
        <w:t>бедаквіліну</w:t>
      </w:r>
      <w:proofErr w:type="spellEnd"/>
      <w:r w:rsidRPr="00ED35A9">
        <w:rPr>
          <w:sz w:val="24"/>
          <w:szCs w:val="24"/>
          <w:lang w:val="uk-UA"/>
        </w:rPr>
        <w:t xml:space="preserve"> поза цими обмеженнями має спиратися на передові практики застосування поза межами показань </w:t>
      </w:r>
      <w:r w:rsidRPr="00ED35A9">
        <w:rPr>
          <w:i/>
          <w:sz w:val="24"/>
          <w:szCs w:val="24"/>
          <w:lang w:val="uk-UA"/>
        </w:rPr>
        <w:t>(48)</w:t>
      </w:r>
      <w:r w:rsidRPr="00ED35A9">
        <w:rPr>
          <w:sz w:val="24"/>
          <w:szCs w:val="24"/>
          <w:lang w:val="uk-UA"/>
        </w:rPr>
        <w:t>.</w:t>
      </w:r>
    </w:p>
    <w:p w:rsidR="005C312E" w:rsidRPr="00ED35A9" w:rsidRDefault="005C312E" w:rsidP="005C312E">
      <w:pPr>
        <w:spacing w:after="120"/>
        <w:ind w:firstLine="0"/>
        <w:rPr>
          <w:b/>
          <w:sz w:val="24"/>
          <w:szCs w:val="24"/>
          <w:lang w:val="uk-UA"/>
        </w:rPr>
      </w:pPr>
      <w:proofErr w:type="spellStart"/>
      <w:r w:rsidRPr="00ED35A9">
        <w:rPr>
          <w:sz w:val="24"/>
          <w:szCs w:val="24"/>
          <w:vertAlign w:val="superscript"/>
          <w:lang w:val="uk-UA"/>
        </w:rPr>
        <w:t>в</w:t>
      </w:r>
      <w:r w:rsidRPr="00ED35A9">
        <w:rPr>
          <w:sz w:val="24"/>
          <w:szCs w:val="24"/>
          <w:lang w:val="uk-UA"/>
        </w:rPr>
        <w:t>Доказових</w:t>
      </w:r>
      <w:proofErr w:type="spellEnd"/>
      <w:r w:rsidRPr="00ED35A9">
        <w:rPr>
          <w:sz w:val="24"/>
          <w:szCs w:val="24"/>
          <w:lang w:val="uk-UA"/>
        </w:rPr>
        <w:t xml:space="preserve"> даних щодо супутнього застосування </w:t>
      </w:r>
      <w:proofErr w:type="spellStart"/>
      <w:r w:rsidRPr="00ED35A9">
        <w:rPr>
          <w:sz w:val="24"/>
          <w:szCs w:val="24"/>
          <w:lang w:val="uk-UA"/>
        </w:rPr>
        <w:t>бедаквіліну</w:t>
      </w:r>
      <w:proofErr w:type="spellEnd"/>
      <w:r w:rsidRPr="00ED35A9">
        <w:rPr>
          <w:sz w:val="24"/>
          <w:szCs w:val="24"/>
          <w:lang w:val="uk-UA"/>
        </w:rPr>
        <w:t xml:space="preserve"> та </w:t>
      </w:r>
      <w:proofErr w:type="spellStart"/>
      <w:r w:rsidRPr="00ED35A9">
        <w:rPr>
          <w:sz w:val="24"/>
          <w:szCs w:val="24"/>
          <w:lang w:val="uk-UA"/>
        </w:rPr>
        <w:t>деламаніду</w:t>
      </w:r>
      <w:proofErr w:type="spellEnd"/>
      <w:r w:rsidRPr="00ED35A9">
        <w:rPr>
          <w:sz w:val="24"/>
          <w:szCs w:val="24"/>
          <w:lang w:val="uk-UA"/>
        </w:rPr>
        <w:t xml:space="preserve"> було недостатньо для проведення огляду.</w:t>
      </w:r>
    </w:p>
    <w:p w:rsidR="005C312E" w:rsidRPr="00545A89" w:rsidRDefault="005C312E" w:rsidP="005C312E">
      <w:pPr>
        <w:spacing w:after="120"/>
        <w:ind w:firstLine="0"/>
        <w:rPr>
          <w:b/>
          <w:spacing w:val="2"/>
          <w:sz w:val="24"/>
          <w:szCs w:val="24"/>
          <w:lang w:val="uk-UA"/>
        </w:rPr>
      </w:pPr>
      <w:proofErr w:type="spellStart"/>
      <w:r w:rsidRPr="00545A89">
        <w:rPr>
          <w:spacing w:val="2"/>
          <w:sz w:val="24"/>
          <w:szCs w:val="24"/>
          <w:vertAlign w:val="superscript"/>
          <w:lang w:val="uk-UA"/>
        </w:rPr>
        <w:t>г</w:t>
      </w:r>
      <w:r w:rsidRPr="00545A89">
        <w:rPr>
          <w:spacing w:val="2"/>
          <w:sz w:val="24"/>
          <w:szCs w:val="24"/>
          <w:lang w:val="uk-UA"/>
        </w:rPr>
        <w:t>При</w:t>
      </w:r>
      <w:proofErr w:type="spellEnd"/>
      <w:r w:rsidRPr="00545A89">
        <w:rPr>
          <w:spacing w:val="2"/>
          <w:sz w:val="24"/>
          <w:szCs w:val="24"/>
          <w:lang w:val="uk-UA"/>
        </w:rPr>
        <w:t xml:space="preserve"> застосуванні </w:t>
      </w:r>
      <w:proofErr w:type="spellStart"/>
      <w:r w:rsidRPr="00545A89">
        <w:rPr>
          <w:spacing w:val="2"/>
          <w:sz w:val="24"/>
          <w:szCs w:val="24"/>
          <w:lang w:val="uk-UA"/>
        </w:rPr>
        <w:t>лінезоліду</w:t>
      </w:r>
      <w:proofErr w:type="spellEnd"/>
      <w:r w:rsidRPr="00545A89">
        <w:rPr>
          <w:spacing w:val="2"/>
          <w:sz w:val="24"/>
          <w:szCs w:val="24"/>
          <w:lang w:val="uk-UA"/>
        </w:rPr>
        <w:t xml:space="preserve"> протягом щонайменше 6 міс відзначено підвищення ефективності лікування, хоча застосування може бути обмежен</w:t>
      </w:r>
      <w:r w:rsidR="00B14108" w:rsidRPr="00545A89">
        <w:rPr>
          <w:spacing w:val="2"/>
          <w:sz w:val="24"/>
          <w:szCs w:val="24"/>
          <w:lang w:val="uk-UA"/>
        </w:rPr>
        <w:t>е</w:t>
      </w:r>
      <w:r w:rsidRPr="00545A89">
        <w:rPr>
          <w:spacing w:val="2"/>
          <w:sz w:val="24"/>
          <w:szCs w:val="24"/>
          <w:lang w:val="uk-UA"/>
        </w:rPr>
        <w:t xml:space="preserve"> через токсичність. Аналіз пропонує використання </w:t>
      </w:r>
      <w:proofErr w:type="spellStart"/>
      <w:r w:rsidRPr="00545A89">
        <w:rPr>
          <w:spacing w:val="2"/>
          <w:sz w:val="24"/>
          <w:szCs w:val="24"/>
          <w:lang w:val="uk-UA"/>
        </w:rPr>
        <w:t>лінезоліду</w:t>
      </w:r>
      <w:proofErr w:type="spellEnd"/>
      <w:r w:rsidRPr="00545A89">
        <w:rPr>
          <w:spacing w:val="2"/>
          <w:sz w:val="24"/>
          <w:szCs w:val="24"/>
          <w:lang w:val="uk-UA"/>
        </w:rPr>
        <w:t xml:space="preserve"> протягом усього періоду лікування для оптимізації ефекту (приблизно 70% пацієнтів, що отримували </w:t>
      </w:r>
      <w:proofErr w:type="spellStart"/>
      <w:r w:rsidRPr="00545A89">
        <w:rPr>
          <w:spacing w:val="2"/>
          <w:sz w:val="24"/>
          <w:szCs w:val="24"/>
          <w:lang w:val="uk-UA"/>
        </w:rPr>
        <w:t>лінезолід</w:t>
      </w:r>
      <w:proofErr w:type="spellEnd"/>
      <w:r w:rsidRPr="00545A89">
        <w:rPr>
          <w:spacing w:val="2"/>
          <w:sz w:val="24"/>
          <w:szCs w:val="24"/>
          <w:lang w:val="uk-UA"/>
        </w:rPr>
        <w:t>, приймали його довше 6 міс, а 30% – протягом 18 міс або всього періоду</w:t>
      </w:r>
      <w:r w:rsidR="00CC4EF3" w:rsidRPr="00545A89">
        <w:rPr>
          <w:spacing w:val="2"/>
          <w:sz w:val="24"/>
          <w:szCs w:val="24"/>
          <w:lang w:val="uk-UA"/>
        </w:rPr>
        <w:t xml:space="preserve"> лікування</w:t>
      </w:r>
      <w:r w:rsidRPr="00545A89">
        <w:rPr>
          <w:spacing w:val="2"/>
          <w:sz w:val="24"/>
          <w:szCs w:val="24"/>
          <w:lang w:val="uk-UA"/>
        </w:rPr>
        <w:t xml:space="preserve">). На основі додатково проведеного аналізу ІДП неможливо спрогнозувати наслідки раннього </w:t>
      </w:r>
      <w:r w:rsidR="00B14108" w:rsidRPr="00545A89">
        <w:rPr>
          <w:spacing w:val="2"/>
          <w:sz w:val="24"/>
          <w:szCs w:val="24"/>
          <w:lang w:val="uk-UA"/>
        </w:rPr>
        <w:t xml:space="preserve">припинення застосування </w:t>
      </w:r>
      <w:proofErr w:type="spellStart"/>
      <w:r w:rsidRPr="00545A89">
        <w:rPr>
          <w:spacing w:val="2"/>
          <w:sz w:val="24"/>
          <w:szCs w:val="24"/>
          <w:lang w:val="uk-UA"/>
        </w:rPr>
        <w:t>лінезоліду</w:t>
      </w:r>
      <w:proofErr w:type="spellEnd"/>
      <w:r w:rsidRPr="00545A89">
        <w:rPr>
          <w:spacing w:val="2"/>
          <w:sz w:val="24"/>
          <w:szCs w:val="24"/>
          <w:lang w:val="uk-UA"/>
        </w:rPr>
        <w:t>.</w:t>
      </w:r>
    </w:p>
    <w:p w:rsidR="005C312E" w:rsidRPr="00ED35A9" w:rsidRDefault="005C312E" w:rsidP="005C312E">
      <w:pPr>
        <w:spacing w:after="120"/>
        <w:ind w:firstLine="0"/>
        <w:rPr>
          <w:b/>
          <w:sz w:val="24"/>
          <w:szCs w:val="24"/>
          <w:lang w:val="uk-UA"/>
        </w:rPr>
      </w:pPr>
      <w:proofErr w:type="spellStart"/>
      <w:r w:rsidRPr="00ED35A9">
        <w:rPr>
          <w:sz w:val="24"/>
          <w:szCs w:val="24"/>
          <w:vertAlign w:val="superscript"/>
          <w:lang w:val="uk-UA"/>
        </w:rPr>
        <w:t>д</w:t>
      </w:r>
      <w:r w:rsidRPr="00ED35A9">
        <w:rPr>
          <w:sz w:val="24"/>
          <w:szCs w:val="24"/>
          <w:lang w:val="uk-UA"/>
        </w:rPr>
        <w:t>Доказових</w:t>
      </w:r>
      <w:proofErr w:type="spellEnd"/>
      <w:r w:rsidRPr="00ED35A9">
        <w:rPr>
          <w:sz w:val="24"/>
          <w:szCs w:val="24"/>
          <w:lang w:val="uk-UA"/>
        </w:rPr>
        <w:t xml:space="preserve"> даних щодо безпечності й ефективності застосування </w:t>
      </w:r>
      <w:proofErr w:type="spellStart"/>
      <w:r w:rsidRPr="00ED35A9">
        <w:rPr>
          <w:sz w:val="24"/>
          <w:szCs w:val="24"/>
          <w:lang w:val="uk-UA"/>
        </w:rPr>
        <w:t>деламаніду</w:t>
      </w:r>
      <w:proofErr w:type="spellEnd"/>
      <w:r w:rsidRPr="00ED35A9">
        <w:rPr>
          <w:sz w:val="24"/>
          <w:szCs w:val="24"/>
          <w:lang w:val="uk-UA"/>
        </w:rPr>
        <w:t xml:space="preserve"> довше 6 міс та у</w:t>
      </w:r>
      <w:r w:rsidR="00CC4EF3" w:rsidRPr="00ED35A9">
        <w:rPr>
          <w:sz w:val="24"/>
          <w:szCs w:val="24"/>
          <w:lang w:val="uk-UA"/>
        </w:rPr>
        <w:t xml:space="preserve"> пацієнтів</w:t>
      </w:r>
      <w:r w:rsidRPr="00ED35A9">
        <w:rPr>
          <w:sz w:val="24"/>
          <w:szCs w:val="24"/>
          <w:lang w:val="uk-UA"/>
        </w:rPr>
        <w:t xml:space="preserve"> віком до 3 років було недостатньо для проведення огляду. Застосування </w:t>
      </w:r>
      <w:proofErr w:type="spellStart"/>
      <w:r w:rsidRPr="00ED35A9">
        <w:rPr>
          <w:sz w:val="24"/>
          <w:szCs w:val="24"/>
          <w:lang w:val="uk-UA"/>
        </w:rPr>
        <w:t>деламаніду</w:t>
      </w:r>
      <w:proofErr w:type="spellEnd"/>
      <w:r w:rsidRPr="00ED35A9">
        <w:rPr>
          <w:sz w:val="24"/>
          <w:szCs w:val="24"/>
          <w:lang w:val="uk-UA"/>
        </w:rPr>
        <w:t xml:space="preserve"> поза цими обмеженнями має спиратися на передові практики застосування поза межами показань </w:t>
      </w:r>
      <w:r w:rsidRPr="00ED35A9">
        <w:rPr>
          <w:i/>
          <w:sz w:val="24"/>
          <w:szCs w:val="24"/>
          <w:lang w:val="uk-UA"/>
        </w:rPr>
        <w:t>(48)</w:t>
      </w:r>
      <w:r w:rsidRPr="00ED35A9">
        <w:rPr>
          <w:sz w:val="24"/>
          <w:szCs w:val="24"/>
          <w:lang w:val="uk-UA"/>
        </w:rPr>
        <w:t>.</w:t>
      </w:r>
    </w:p>
    <w:p w:rsidR="005C312E" w:rsidRPr="00ED35A9" w:rsidRDefault="005C312E" w:rsidP="005C312E">
      <w:pPr>
        <w:spacing w:after="120"/>
        <w:ind w:firstLine="0"/>
        <w:rPr>
          <w:b/>
          <w:sz w:val="24"/>
          <w:szCs w:val="24"/>
          <w:lang w:val="uk-UA"/>
        </w:rPr>
      </w:pPr>
      <w:proofErr w:type="spellStart"/>
      <w:r w:rsidRPr="00ED35A9">
        <w:rPr>
          <w:sz w:val="24"/>
          <w:szCs w:val="24"/>
          <w:vertAlign w:val="superscript"/>
          <w:lang w:val="uk-UA"/>
        </w:rPr>
        <w:t>е</w:t>
      </w:r>
      <w:r w:rsidRPr="00ED35A9">
        <w:rPr>
          <w:sz w:val="24"/>
          <w:szCs w:val="24"/>
          <w:lang w:val="uk-UA"/>
        </w:rPr>
        <w:t>Піразинамід</w:t>
      </w:r>
      <w:proofErr w:type="spellEnd"/>
      <w:r w:rsidRPr="00ED35A9">
        <w:rPr>
          <w:sz w:val="24"/>
          <w:szCs w:val="24"/>
          <w:lang w:val="uk-UA"/>
        </w:rPr>
        <w:t xml:space="preserve"> вважається ефективним препаратом лише</w:t>
      </w:r>
      <w:r w:rsidR="00B14108" w:rsidRPr="00ED35A9">
        <w:rPr>
          <w:sz w:val="24"/>
          <w:szCs w:val="24"/>
          <w:lang w:val="uk-UA"/>
        </w:rPr>
        <w:t xml:space="preserve"> за наявності результатів ТМЧ з </w:t>
      </w:r>
      <w:r w:rsidRPr="00ED35A9">
        <w:rPr>
          <w:sz w:val="24"/>
          <w:szCs w:val="24"/>
          <w:lang w:val="uk-UA"/>
        </w:rPr>
        <w:t>підтвердженням чутливості до нього.</w:t>
      </w:r>
    </w:p>
    <w:p w:rsidR="005C312E" w:rsidRPr="00ED35A9" w:rsidRDefault="005C312E" w:rsidP="005C312E">
      <w:pPr>
        <w:spacing w:after="120"/>
        <w:ind w:firstLine="0"/>
        <w:rPr>
          <w:b/>
          <w:sz w:val="24"/>
          <w:szCs w:val="24"/>
          <w:lang w:val="uk-UA"/>
        </w:rPr>
      </w:pPr>
      <w:proofErr w:type="spellStart"/>
      <w:r w:rsidRPr="00ED35A9">
        <w:rPr>
          <w:sz w:val="24"/>
          <w:szCs w:val="24"/>
          <w:vertAlign w:val="superscript"/>
          <w:lang w:val="uk-UA"/>
        </w:rPr>
        <w:t>ж</w:t>
      </w:r>
      <w:r w:rsidRPr="00ED35A9">
        <w:rPr>
          <w:sz w:val="24"/>
          <w:szCs w:val="24"/>
          <w:lang w:val="uk-UA"/>
        </w:rPr>
        <w:t>Кожну</w:t>
      </w:r>
      <w:proofErr w:type="spellEnd"/>
      <w:r w:rsidRPr="00ED35A9">
        <w:rPr>
          <w:sz w:val="24"/>
          <w:szCs w:val="24"/>
          <w:lang w:val="uk-UA"/>
        </w:rPr>
        <w:t xml:space="preserve"> дозу </w:t>
      </w:r>
      <w:proofErr w:type="spellStart"/>
      <w:r w:rsidRPr="00ED35A9">
        <w:rPr>
          <w:sz w:val="24"/>
          <w:szCs w:val="24"/>
          <w:lang w:val="uk-UA"/>
        </w:rPr>
        <w:t>іміпенем-циластатину</w:t>
      </w:r>
      <w:proofErr w:type="spellEnd"/>
      <w:r w:rsidRPr="00ED35A9">
        <w:rPr>
          <w:sz w:val="24"/>
          <w:szCs w:val="24"/>
          <w:lang w:val="uk-UA"/>
        </w:rPr>
        <w:t xml:space="preserve"> та </w:t>
      </w:r>
      <w:proofErr w:type="spellStart"/>
      <w:r w:rsidRPr="00ED35A9">
        <w:rPr>
          <w:sz w:val="24"/>
          <w:szCs w:val="24"/>
          <w:lang w:val="uk-UA"/>
        </w:rPr>
        <w:t>меропенему</w:t>
      </w:r>
      <w:proofErr w:type="spellEnd"/>
      <w:r w:rsidRPr="00ED35A9">
        <w:rPr>
          <w:sz w:val="24"/>
          <w:szCs w:val="24"/>
          <w:lang w:val="uk-UA"/>
        </w:rPr>
        <w:t xml:space="preserve"> слід призначати з </w:t>
      </w:r>
      <w:proofErr w:type="spellStart"/>
      <w:r w:rsidRPr="00ED35A9">
        <w:rPr>
          <w:sz w:val="24"/>
          <w:szCs w:val="24"/>
          <w:lang w:val="uk-UA"/>
        </w:rPr>
        <w:t>клавулановою</w:t>
      </w:r>
      <w:proofErr w:type="spellEnd"/>
      <w:r w:rsidRPr="00ED35A9">
        <w:rPr>
          <w:sz w:val="24"/>
          <w:szCs w:val="24"/>
          <w:lang w:val="uk-UA"/>
        </w:rPr>
        <w:t xml:space="preserve"> кислотою, яка доступна лише у лікарській формі в комбінації з </w:t>
      </w:r>
      <w:proofErr w:type="spellStart"/>
      <w:r w:rsidRPr="00ED35A9">
        <w:rPr>
          <w:sz w:val="24"/>
          <w:szCs w:val="24"/>
          <w:lang w:val="uk-UA"/>
        </w:rPr>
        <w:t>амоксіциліном</w:t>
      </w:r>
      <w:proofErr w:type="spellEnd"/>
      <w:r w:rsidRPr="00ED35A9">
        <w:rPr>
          <w:sz w:val="24"/>
          <w:szCs w:val="24"/>
          <w:lang w:val="uk-UA"/>
        </w:rPr>
        <w:t xml:space="preserve">. </w:t>
      </w:r>
      <w:proofErr w:type="spellStart"/>
      <w:r w:rsidRPr="00ED35A9">
        <w:rPr>
          <w:sz w:val="24"/>
          <w:szCs w:val="24"/>
          <w:lang w:val="uk-UA"/>
        </w:rPr>
        <w:t>Амоксіцилін-клавуланову</w:t>
      </w:r>
      <w:proofErr w:type="spellEnd"/>
      <w:r w:rsidRPr="00ED35A9">
        <w:rPr>
          <w:sz w:val="24"/>
          <w:szCs w:val="24"/>
          <w:lang w:val="uk-UA"/>
        </w:rPr>
        <w:t xml:space="preserve"> кислоту не вважають додатковим ефективним ПТП, її не можна призначати без </w:t>
      </w:r>
      <w:proofErr w:type="spellStart"/>
      <w:r w:rsidRPr="00ED35A9">
        <w:rPr>
          <w:sz w:val="24"/>
          <w:szCs w:val="24"/>
          <w:lang w:val="uk-UA"/>
        </w:rPr>
        <w:t>іміпенем-циластатину</w:t>
      </w:r>
      <w:proofErr w:type="spellEnd"/>
      <w:r w:rsidRPr="00ED35A9">
        <w:rPr>
          <w:sz w:val="24"/>
          <w:szCs w:val="24"/>
          <w:lang w:val="uk-UA"/>
        </w:rPr>
        <w:t xml:space="preserve"> або </w:t>
      </w:r>
      <w:proofErr w:type="spellStart"/>
      <w:r w:rsidRPr="00ED35A9">
        <w:rPr>
          <w:sz w:val="24"/>
          <w:szCs w:val="24"/>
          <w:lang w:val="uk-UA"/>
        </w:rPr>
        <w:t>меропенему</w:t>
      </w:r>
      <w:proofErr w:type="spellEnd"/>
      <w:r w:rsidRPr="00ED35A9">
        <w:rPr>
          <w:sz w:val="24"/>
          <w:szCs w:val="24"/>
          <w:lang w:val="uk-UA"/>
        </w:rPr>
        <w:t>.</w:t>
      </w:r>
    </w:p>
    <w:p w:rsidR="005C312E" w:rsidRPr="00ED35A9" w:rsidRDefault="005C312E" w:rsidP="005C312E">
      <w:pPr>
        <w:spacing w:after="120"/>
        <w:ind w:firstLine="0"/>
        <w:rPr>
          <w:b/>
          <w:sz w:val="24"/>
          <w:szCs w:val="24"/>
          <w:lang w:val="uk-UA"/>
        </w:rPr>
      </w:pPr>
      <w:proofErr w:type="spellStart"/>
      <w:r w:rsidRPr="00ED35A9">
        <w:rPr>
          <w:sz w:val="24"/>
          <w:szCs w:val="24"/>
          <w:vertAlign w:val="superscript"/>
          <w:lang w:val="uk-UA"/>
        </w:rPr>
        <w:t>з</w:t>
      </w:r>
      <w:r w:rsidRPr="00ED35A9">
        <w:rPr>
          <w:sz w:val="24"/>
          <w:szCs w:val="24"/>
          <w:lang w:val="uk-UA"/>
        </w:rPr>
        <w:t>Застосування</w:t>
      </w:r>
      <w:proofErr w:type="spellEnd"/>
      <w:r w:rsidRPr="00ED35A9">
        <w:rPr>
          <w:sz w:val="24"/>
          <w:szCs w:val="24"/>
          <w:lang w:val="uk-UA"/>
        </w:rPr>
        <w:t xml:space="preserve"> </w:t>
      </w:r>
      <w:proofErr w:type="spellStart"/>
      <w:r w:rsidRPr="00ED35A9">
        <w:rPr>
          <w:sz w:val="24"/>
          <w:szCs w:val="24"/>
          <w:lang w:val="uk-UA"/>
        </w:rPr>
        <w:t>амікацину</w:t>
      </w:r>
      <w:proofErr w:type="spellEnd"/>
      <w:r w:rsidRPr="00ED35A9">
        <w:rPr>
          <w:sz w:val="24"/>
          <w:szCs w:val="24"/>
          <w:lang w:val="uk-UA"/>
        </w:rPr>
        <w:t xml:space="preserve"> та стрептоміцину слід розглядати лише за наявності результатів ТМЧ з підтвердженням чутливості до цих препаратів, а також проводити ретельний моніторинг щодо зниження слуху із застосуванням аудіометрії. Стрептоміцин може розглядатися лише за неможливості застосування </w:t>
      </w:r>
      <w:proofErr w:type="spellStart"/>
      <w:r w:rsidRPr="00ED35A9">
        <w:rPr>
          <w:sz w:val="24"/>
          <w:szCs w:val="24"/>
          <w:lang w:val="uk-UA"/>
        </w:rPr>
        <w:t>амікацину</w:t>
      </w:r>
      <w:proofErr w:type="spellEnd"/>
      <w:r w:rsidRPr="00ED35A9">
        <w:rPr>
          <w:sz w:val="24"/>
          <w:szCs w:val="24"/>
          <w:lang w:val="uk-UA"/>
        </w:rPr>
        <w:t xml:space="preserve"> (недоступний або встановлено резистентність) та за наявності результатів ТМЧ з підтвердженням </w:t>
      </w:r>
      <w:r w:rsidRPr="00ED35A9">
        <w:rPr>
          <w:sz w:val="24"/>
          <w:szCs w:val="24"/>
          <w:lang w:val="uk-UA"/>
        </w:rPr>
        <w:lastRenderedPageBreak/>
        <w:t xml:space="preserve">чутливості до нього (резистентність до стрептоміцину неможливо виявити методами молекулярних LPA другого ряду, тому слід проводити ТМЧ за методом </w:t>
      </w:r>
      <w:proofErr w:type="spellStart"/>
      <w:r w:rsidRPr="00ED35A9">
        <w:rPr>
          <w:sz w:val="24"/>
          <w:szCs w:val="24"/>
          <w:lang w:val="uk-UA"/>
        </w:rPr>
        <w:t>фенотипування</w:t>
      </w:r>
      <w:proofErr w:type="spellEnd"/>
      <w:r w:rsidRPr="00ED35A9">
        <w:rPr>
          <w:sz w:val="24"/>
          <w:szCs w:val="24"/>
          <w:lang w:val="uk-UA"/>
        </w:rPr>
        <w:t xml:space="preserve">). </w:t>
      </w:r>
      <w:proofErr w:type="spellStart"/>
      <w:r w:rsidRPr="00ED35A9">
        <w:rPr>
          <w:sz w:val="24"/>
          <w:szCs w:val="24"/>
          <w:lang w:val="uk-UA"/>
        </w:rPr>
        <w:t>Канаміцин</w:t>
      </w:r>
      <w:proofErr w:type="spellEnd"/>
      <w:r w:rsidRPr="00ED35A9">
        <w:rPr>
          <w:sz w:val="24"/>
          <w:szCs w:val="24"/>
          <w:lang w:val="uk-UA"/>
        </w:rPr>
        <w:t xml:space="preserve"> та </w:t>
      </w:r>
      <w:proofErr w:type="spellStart"/>
      <w:r w:rsidRPr="00ED35A9">
        <w:rPr>
          <w:sz w:val="24"/>
          <w:szCs w:val="24"/>
          <w:lang w:val="uk-UA"/>
        </w:rPr>
        <w:t>капреоміцин</w:t>
      </w:r>
      <w:proofErr w:type="spellEnd"/>
      <w:r w:rsidRPr="00ED35A9">
        <w:rPr>
          <w:sz w:val="24"/>
          <w:szCs w:val="24"/>
          <w:lang w:val="uk-UA"/>
        </w:rPr>
        <w:t xml:space="preserve"> </w:t>
      </w:r>
      <w:r w:rsidR="00601915" w:rsidRPr="00ED35A9">
        <w:rPr>
          <w:sz w:val="24"/>
          <w:szCs w:val="24"/>
          <w:lang w:val="uk-UA"/>
        </w:rPr>
        <w:t xml:space="preserve">на сьогодні </w:t>
      </w:r>
      <w:r w:rsidRPr="00ED35A9">
        <w:rPr>
          <w:sz w:val="24"/>
          <w:szCs w:val="24"/>
          <w:lang w:val="uk-UA"/>
        </w:rPr>
        <w:t>не рекомендовано для застосування у схемах лікування МРТБ.</w:t>
      </w:r>
    </w:p>
    <w:p w:rsidR="005C312E" w:rsidRPr="00ED35A9" w:rsidRDefault="005C312E" w:rsidP="00545A89">
      <w:pPr>
        <w:spacing w:after="120" w:line="228" w:lineRule="auto"/>
        <w:ind w:firstLine="0"/>
        <w:rPr>
          <w:b/>
          <w:sz w:val="24"/>
          <w:szCs w:val="24"/>
          <w:lang w:val="uk-UA"/>
        </w:rPr>
      </w:pPr>
      <w:proofErr w:type="spellStart"/>
      <w:r w:rsidRPr="00ED35A9">
        <w:rPr>
          <w:sz w:val="24"/>
          <w:szCs w:val="24"/>
          <w:vertAlign w:val="superscript"/>
          <w:lang w:val="uk-UA"/>
        </w:rPr>
        <w:t>и</w:t>
      </w:r>
      <w:r w:rsidRPr="00ED35A9">
        <w:rPr>
          <w:sz w:val="24"/>
          <w:szCs w:val="24"/>
          <w:lang w:val="uk-UA"/>
        </w:rPr>
        <w:t>Ефективність</w:t>
      </w:r>
      <w:proofErr w:type="spellEnd"/>
      <w:r w:rsidRPr="00ED35A9">
        <w:rPr>
          <w:sz w:val="24"/>
          <w:szCs w:val="24"/>
          <w:lang w:val="uk-UA"/>
        </w:rPr>
        <w:t xml:space="preserve"> цих препаратів зазначено лише при застосуванні у схемах, що не містять </w:t>
      </w:r>
      <w:proofErr w:type="spellStart"/>
      <w:r w:rsidRPr="00ED35A9">
        <w:rPr>
          <w:sz w:val="24"/>
          <w:szCs w:val="24"/>
          <w:lang w:val="uk-UA"/>
        </w:rPr>
        <w:t>бедаквіліну</w:t>
      </w:r>
      <w:proofErr w:type="spellEnd"/>
      <w:r w:rsidRPr="00ED35A9">
        <w:rPr>
          <w:sz w:val="24"/>
          <w:szCs w:val="24"/>
          <w:lang w:val="uk-UA"/>
        </w:rPr>
        <w:t xml:space="preserve">, </w:t>
      </w:r>
      <w:proofErr w:type="spellStart"/>
      <w:r w:rsidRPr="00ED35A9">
        <w:rPr>
          <w:sz w:val="24"/>
          <w:szCs w:val="24"/>
          <w:lang w:val="uk-UA"/>
        </w:rPr>
        <w:t>лінезоліду</w:t>
      </w:r>
      <w:proofErr w:type="spellEnd"/>
      <w:r w:rsidRPr="00ED35A9">
        <w:rPr>
          <w:sz w:val="24"/>
          <w:szCs w:val="24"/>
          <w:lang w:val="uk-UA"/>
        </w:rPr>
        <w:t xml:space="preserve">, </w:t>
      </w:r>
      <w:proofErr w:type="spellStart"/>
      <w:r w:rsidRPr="00ED35A9">
        <w:rPr>
          <w:sz w:val="24"/>
          <w:szCs w:val="24"/>
          <w:lang w:val="uk-UA"/>
        </w:rPr>
        <w:t>клофазиміну</w:t>
      </w:r>
      <w:proofErr w:type="spellEnd"/>
      <w:r w:rsidRPr="00ED35A9">
        <w:rPr>
          <w:sz w:val="24"/>
          <w:szCs w:val="24"/>
          <w:lang w:val="uk-UA"/>
        </w:rPr>
        <w:t xml:space="preserve"> або </w:t>
      </w:r>
      <w:proofErr w:type="spellStart"/>
      <w:r w:rsidRPr="00ED35A9">
        <w:rPr>
          <w:sz w:val="24"/>
          <w:szCs w:val="24"/>
          <w:lang w:val="uk-UA"/>
        </w:rPr>
        <w:t>деламаніду</w:t>
      </w:r>
      <w:proofErr w:type="spellEnd"/>
      <w:r w:rsidRPr="00ED35A9">
        <w:rPr>
          <w:sz w:val="24"/>
          <w:szCs w:val="24"/>
          <w:lang w:val="uk-UA"/>
        </w:rPr>
        <w:t>, тому їх застосування можливе лише за відсутності інших варіантів складання схем.</w:t>
      </w:r>
    </w:p>
    <w:p w:rsidR="005C312E" w:rsidRPr="00ED35A9" w:rsidRDefault="005C312E" w:rsidP="00545A89">
      <w:pPr>
        <w:spacing w:before="120" w:after="120" w:line="228" w:lineRule="auto"/>
        <w:ind w:firstLine="0"/>
        <w:jc w:val="center"/>
        <w:rPr>
          <w:rFonts w:eastAsia="Arial"/>
          <w:b/>
          <w:vertAlign w:val="superscript"/>
          <w:lang w:val="uk-UA"/>
        </w:rPr>
      </w:pPr>
      <w:r w:rsidRPr="00ED35A9">
        <w:rPr>
          <w:rFonts w:eastAsia="Arial"/>
          <w:b/>
          <w:lang w:val="uk-UA"/>
        </w:rPr>
        <w:t>Таблиця 2.2. Відносний ризик невдачі лікування або виникнення рецидиву та смерт</w:t>
      </w:r>
      <w:r w:rsidR="00696907" w:rsidRPr="00ED35A9">
        <w:rPr>
          <w:rFonts w:eastAsia="Arial"/>
          <w:b/>
          <w:lang w:val="uk-UA"/>
        </w:rPr>
        <w:t xml:space="preserve">ельного наслідку </w:t>
      </w:r>
      <w:r w:rsidRPr="00ED35A9">
        <w:rPr>
          <w:rFonts w:eastAsia="Arial"/>
          <w:b/>
          <w:lang w:val="uk-UA"/>
        </w:rPr>
        <w:t xml:space="preserve">(на противагу </w:t>
      </w:r>
      <w:r w:rsidR="00710AA9" w:rsidRPr="00ED35A9">
        <w:rPr>
          <w:rFonts w:eastAsia="Arial"/>
          <w:b/>
          <w:lang w:val="uk-UA"/>
        </w:rPr>
        <w:t>ефективному</w:t>
      </w:r>
      <w:r w:rsidRPr="00ED35A9">
        <w:rPr>
          <w:rFonts w:eastAsia="Arial"/>
          <w:b/>
          <w:lang w:val="uk-UA"/>
        </w:rPr>
        <w:t xml:space="preserve"> лікуванню) у популяції всіх пацієнтів, яким призначено лікування </w:t>
      </w:r>
      <w:r w:rsidR="00545A89">
        <w:rPr>
          <w:rFonts w:eastAsia="Arial"/>
          <w:b/>
          <w:lang w:val="uk-UA"/>
        </w:rPr>
        <w:br/>
      </w:r>
      <w:r w:rsidRPr="00ED35A9">
        <w:rPr>
          <w:rFonts w:eastAsia="Arial"/>
          <w:b/>
          <w:lang w:val="uk-UA"/>
        </w:rPr>
        <w:t xml:space="preserve">(за даними МА ІДП 2018 р. щодо застосування довгострокових схем лікування МРТБ та даними випробування 213 щодо застосування </w:t>
      </w:r>
      <w:proofErr w:type="spellStart"/>
      <w:r w:rsidRPr="00ED35A9">
        <w:rPr>
          <w:rFonts w:eastAsia="Arial"/>
          <w:b/>
          <w:lang w:val="uk-UA"/>
        </w:rPr>
        <w:t>деламаніду</w:t>
      </w:r>
      <w:proofErr w:type="spellEnd"/>
      <w:r w:rsidRPr="00ED35A9">
        <w:rPr>
          <w:rFonts w:eastAsia="Arial"/>
          <w:b/>
          <w:lang w:val="uk-UA"/>
        </w:rPr>
        <w:t>)</w:t>
      </w:r>
      <w:r w:rsidRPr="00ED35A9">
        <w:rPr>
          <w:b/>
          <w:vertAlign w:val="superscript"/>
          <w:lang w:val="uk-UA"/>
        </w:rPr>
        <w:footnoteReference w:id="19"/>
      </w:r>
    </w:p>
    <w:tbl>
      <w:tblPr>
        <w:tblStyle w:val="a8"/>
        <w:tblW w:w="5027" w:type="pct"/>
        <w:tblInd w:w="57" w:type="dxa"/>
        <w:tblLayout w:type="fixed"/>
        <w:tblLook w:val="04A0" w:firstRow="1" w:lastRow="0" w:firstColumn="1" w:lastColumn="0" w:noHBand="0" w:noVBand="1"/>
      </w:tblPr>
      <w:tblGrid>
        <w:gridCol w:w="427"/>
        <w:gridCol w:w="1813"/>
        <w:gridCol w:w="1679"/>
        <w:gridCol w:w="1963"/>
        <w:gridCol w:w="1681"/>
        <w:gridCol w:w="1957"/>
      </w:tblGrid>
      <w:tr w:rsidR="005C312E" w:rsidRPr="00ED35A9" w:rsidTr="00DA1848">
        <w:tc>
          <w:tcPr>
            <w:tcW w:w="1176" w:type="pct"/>
            <w:gridSpan w:val="2"/>
            <w:vMerge w:val="restart"/>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Препарат</w:t>
            </w:r>
          </w:p>
        </w:tc>
        <w:tc>
          <w:tcPr>
            <w:tcW w:w="1913" w:type="pct"/>
            <w:gridSpan w:val="2"/>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 xml:space="preserve">Невдача або рецидив порівняно з </w:t>
            </w:r>
            <w:r w:rsidR="00710AA9" w:rsidRPr="00ED35A9">
              <w:rPr>
                <w:b/>
                <w:bCs/>
                <w:sz w:val="24"/>
                <w:szCs w:val="24"/>
                <w:lang w:val="uk-UA"/>
              </w:rPr>
              <w:t xml:space="preserve">ефективним </w:t>
            </w:r>
            <w:r w:rsidRPr="00ED35A9">
              <w:rPr>
                <w:b/>
                <w:bCs/>
                <w:sz w:val="24"/>
                <w:szCs w:val="24"/>
                <w:lang w:val="uk-UA"/>
              </w:rPr>
              <w:t>лікуванням</w:t>
            </w:r>
          </w:p>
        </w:tc>
        <w:tc>
          <w:tcPr>
            <w:tcW w:w="1911" w:type="pct"/>
            <w:gridSpan w:val="2"/>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Смерт</w:t>
            </w:r>
            <w:r w:rsidR="00601915" w:rsidRPr="00ED35A9">
              <w:rPr>
                <w:b/>
                <w:bCs/>
                <w:sz w:val="24"/>
                <w:szCs w:val="24"/>
                <w:lang w:val="uk-UA"/>
              </w:rPr>
              <w:t xml:space="preserve">ність </w:t>
            </w:r>
            <w:r w:rsidRPr="00ED35A9">
              <w:rPr>
                <w:b/>
                <w:bCs/>
                <w:sz w:val="24"/>
                <w:szCs w:val="24"/>
                <w:lang w:val="uk-UA"/>
              </w:rPr>
              <w:t xml:space="preserve">порівняно з </w:t>
            </w:r>
            <w:r w:rsidR="00710AA9" w:rsidRPr="00ED35A9">
              <w:rPr>
                <w:b/>
                <w:bCs/>
                <w:sz w:val="24"/>
                <w:szCs w:val="24"/>
                <w:lang w:val="uk-UA"/>
              </w:rPr>
              <w:t xml:space="preserve">ефективним </w:t>
            </w:r>
            <w:r w:rsidRPr="00ED35A9">
              <w:rPr>
                <w:b/>
                <w:bCs/>
                <w:sz w:val="24"/>
                <w:szCs w:val="24"/>
                <w:lang w:val="uk-UA"/>
              </w:rPr>
              <w:t>лікуванням</w:t>
            </w:r>
          </w:p>
        </w:tc>
      </w:tr>
      <w:tr w:rsidR="005C312E" w:rsidRPr="00ED35A9" w:rsidTr="00DA1848">
        <w:tc>
          <w:tcPr>
            <w:tcW w:w="1176" w:type="pct"/>
            <w:gridSpan w:val="2"/>
            <w:vMerge/>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p>
        </w:tc>
        <w:tc>
          <w:tcPr>
            <w:tcW w:w="882" w:type="pct"/>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Кількість пролікованих</w:t>
            </w:r>
          </w:p>
        </w:tc>
        <w:tc>
          <w:tcPr>
            <w:tcW w:w="1031" w:type="pct"/>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Скориговане співвідношення шансів (95% ДІ)</w:t>
            </w:r>
          </w:p>
        </w:tc>
        <w:tc>
          <w:tcPr>
            <w:tcW w:w="883" w:type="pct"/>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Кількість пролікованих</w:t>
            </w:r>
          </w:p>
        </w:tc>
        <w:tc>
          <w:tcPr>
            <w:tcW w:w="1028" w:type="pct"/>
            <w:tcMar>
              <w:left w:w="57" w:type="dxa"/>
              <w:right w:w="57" w:type="dxa"/>
            </w:tcMar>
            <w:vAlign w:val="center"/>
          </w:tcPr>
          <w:p w:rsidR="005C312E" w:rsidRPr="00ED35A9" w:rsidRDefault="005C312E" w:rsidP="00545A89">
            <w:pPr>
              <w:spacing w:line="228" w:lineRule="auto"/>
              <w:ind w:firstLine="0"/>
              <w:jc w:val="center"/>
              <w:rPr>
                <w:rFonts w:eastAsia="Arial"/>
                <w:sz w:val="24"/>
                <w:szCs w:val="24"/>
                <w:lang w:val="uk-UA"/>
              </w:rPr>
            </w:pPr>
            <w:r w:rsidRPr="00ED35A9">
              <w:rPr>
                <w:b/>
                <w:bCs/>
                <w:sz w:val="24"/>
                <w:szCs w:val="24"/>
                <w:lang w:val="uk-UA"/>
              </w:rPr>
              <w:t>Скориговане співвідношення шансів (95% ДІ)</w:t>
            </w:r>
          </w:p>
        </w:tc>
      </w:tr>
      <w:tr w:rsidR="005C312E" w:rsidRPr="00ED35A9" w:rsidTr="00DA1848">
        <w:tc>
          <w:tcPr>
            <w:tcW w:w="224" w:type="pct"/>
            <w:vMerge w:val="restart"/>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r w:rsidRPr="00ED35A9">
              <w:rPr>
                <w:rFonts w:eastAsia="Arial"/>
                <w:b/>
                <w:sz w:val="24"/>
                <w:szCs w:val="24"/>
                <w:lang w:val="uk-UA"/>
              </w:rPr>
              <w:t>A</w:t>
            </w:r>
          </w:p>
        </w:tc>
        <w:tc>
          <w:tcPr>
            <w:tcW w:w="952"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proofErr w:type="spellStart"/>
            <w:r w:rsidRPr="00ED35A9">
              <w:rPr>
                <w:bCs/>
                <w:sz w:val="24"/>
                <w:szCs w:val="24"/>
                <w:lang w:val="uk-UA"/>
              </w:rPr>
              <w:t>Левофлоксацин</w:t>
            </w:r>
            <w:proofErr w:type="spellEnd"/>
            <w:r w:rsidRPr="00ED35A9">
              <w:rPr>
                <w:bCs/>
                <w:sz w:val="24"/>
                <w:szCs w:val="24"/>
                <w:lang w:val="uk-UA"/>
              </w:rPr>
              <w:t xml:space="preserve"> або </w:t>
            </w:r>
            <w:proofErr w:type="spellStart"/>
            <w:r w:rsidRPr="00ED35A9">
              <w:rPr>
                <w:bCs/>
                <w:sz w:val="24"/>
                <w:szCs w:val="24"/>
                <w:lang w:val="uk-UA"/>
              </w:rPr>
              <w:t>моксіфлоксацин</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3143</w:t>
            </w:r>
          </w:p>
        </w:tc>
        <w:tc>
          <w:tcPr>
            <w:tcW w:w="1031"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0,3 (0,1–0,5)</w:t>
            </w:r>
          </w:p>
        </w:tc>
        <w:tc>
          <w:tcPr>
            <w:tcW w:w="883"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3551</w:t>
            </w:r>
          </w:p>
        </w:tc>
        <w:tc>
          <w:tcPr>
            <w:tcW w:w="1028"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0,2 (0,1–0,3)</w:t>
            </w:r>
          </w:p>
        </w:tc>
      </w:tr>
      <w:tr w:rsidR="005C312E" w:rsidRPr="00ED35A9" w:rsidTr="00DA1848">
        <w:tc>
          <w:tcPr>
            <w:tcW w:w="224" w:type="pct"/>
            <w:vMerge/>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rFonts w:eastAsia="Arial"/>
                <w:sz w:val="24"/>
                <w:szCs w:val="24"/>
                <w:lang w:val="uk-UA"/>
              </w:rPr>
            </w:pPr>
            <w:proofErr w:type="spellStart"/>
            <w:r w:rsidRPr="00ED35A9">
              <w:rPr>
                <w:bCs/>
                <w:sz w:val="24"/>
                <w:szCs w:val="24"/>
                <w:lang w:val="uk-UA"/>
              </w:rPr>
              <w:t>Бедаквілін</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1391</w:t>
            </w:r>
          </w:p>
        </w:tc>
        <w:tc>
          <w:tcPr>
            <w:tcW w:w="1031" w:type="pct"/>
            <w:tcMar>
              <w:left w:w="57" w:type="dxa"/>
              <w:right w:w="57" w:type="dxa"/>
            </w:tcMar>
            <w:vAlign w:val="bottom"/>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0,3 (0,2–0,4)</w:t>
            </w:r>
          </w:p>
        </w:tc>
        <w:tc>
          <w:tcPr>
            <w:tcW w:w="883" w:type="pct"/>
            <w:tcMar>
              <w:left w:w="57" w:type="dxa"/>
              <w:right w:w="57" w:type="dxa"/>
            </w:tcMar>
            <w:vAlign w:val="bottom"/>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1480</w:t>
            </w:r>
          </w:p>
        </w:tc>
        <w:tc>
          <w:tcPr>
            <w:tcW w:w="1028" w:type="pct"/>
            <w:tcMar>
              <w:left w:w="57" w:type="dxa"/>
              <w:right w:w="57" w:type="dxa"/>
            </w:tcMar>
            <w:vAlign w:val="bottom"/>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0,2 (0,2–0,3)</w:t>
            </w:r>
          </w:p>
        </w:tc>
      </w:tr>
      <w:tr w:rsidR="005C312E" w:rsidRPr="00ED35A9" w:rsidTr="00DA1848">
        <w:tc>
          <w:tcPr>
            <w:tcW w:w="224" w:type="pct"/>
            <w:vMerge/>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proofErr w:type="spellStart"/>
            <w:r w:rsidRPr="00ED35A9">
              <w:rPr>
                <w:bCs/>
                <w:sz w:val="24"/>
                <w:szCs w:val="24"/>
                <w:lang w:val="uk-UA"/>
              </w:rPr>
              <w:t>Лінезолід</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1216</w:t>
            </w:r>
          </w:p>
        </w:tc>
        <w:tc>
          <w:tcPr>
            <w:tcW w:w="1031"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0,3 (0,2–0,5)</w:t>
            </w:r>
          </w:p>
        </w:tc>
        <w:tc>
          <w:tcPr>
            <w:tcW w:w="883"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1286</w:t>
            </w:r>
          </w:p>
        </w:tc>
        <w:tc>
          <w:tcPr>
            <w:tcW w:w="1028" w:type="pct"/>
            <w:tcMar>
              <w:left w:w="57" w:type="dxa"/>
              <w:right w:w="57" w:type="dxa"/>
            </w:tcMar>
            <w:vAlign w:val="center"/>
          </w:tcPr>
          <w:p w:rsidR="005C312E" w:rsidRPr="00ED35A9" w:rsidRDefault="005C312E" w:rsidP="00545A89">
            <w:pPr>
              <w:spacing w:line="228" w:lineRule="auto"/>
              <w:ind w:firstLine="0"/>
              <w:jc w:val="left"/>
              <w:rPr>
                <w:rFonts w:eastAsia="Arial"/>
                <w:sz w:val="24"/>
                <w:szCs w:val="24"/>
                <w:lang w:val="uk-UA"/>
              </w:rPr>
            </w:pPr>
            <w:r w:rsidRPr="00ED35A9">
              <w:rPr>
                <w:bCs/>
                <w:sz w:val="24"/>
                <w:szCs w:val="24"/>
                <w:lang w:val="uk-UA"/>
              </w:rPr>
              <w:t>0,3 (0,2–0,3)</w:t>
            </w:r>
          </w:p>
        </w:tc>
      </w:tr>
      <w:tr w:rsidR="005C312E" w:rsidRPr="00ED35A9" w:rsidTr="00DA1848">
        <w:tc>
          <w:tcPr>
            <w:tcW w:w="224" w:type="pct"/>
            <w:vMerge w:val="restart"/>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r w:rsidRPr="00ED35A9">
              <w:rPr>
                <w:rFonts w:eastAsia="Arial"/>
                <w:b/>
                <w:sz w:val="24"/>
                <w:szCs w:val="24"/>
                <w:lang w:val="uk-UA"/>
              </w:rPr>
              <w:t>B</w:t>
            </w: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Клофазимін</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991</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0,3 (0,2–0,5)</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1096</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0,4 (0,3–0,6)</w:t>
            </w:r>
          </w:p>
        </w:tc>
      </w:tr>
      <w:tr w:rsidR="005C312E" w:rsidRPr="00ED35A9" w:rsidTr="00DA1848">
        <w:tc>
          <w:tcPr>
            <w:tcW w:w="224" w:type="pct"/>
            <w:vMerge/>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Циклосерін</w:t>
            </w:r>
            <w:proofErr w:type="spellEnd"/>
            <w:r w:rsidRPr="00ED35A9">
              <w:rPr>
                <w:bCs/>
                <w:sz w:val="24"/>
                <w:szCs w:val="24"/>
                <w:lang w:val="uk-UA"/>
              </w:rPr>
              <w:t xml:space="preserve"> або </w:t>
            </w:r>
            <w:proofErr w:type="spellStart"/>
            <w:r w:rsidRPr="00ED35A9">
              <w:rPr>
                <w:bCs/>
                <w:sz w:val="24"/>
                <w:szCs w:val="24"/>
                <w:lang w:val="uk-UA"/>
              </w:rPr>
              <w:t>теризидон</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5483</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0,6 (0,4–0,9)</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6160</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0,6 (0,5–0,8)</w:t>
            </w:r>
          </w:p>
        </w:tc>
      </w:tr>
      <w:tr w:rsidR="005C312E" w:rsidRPr="00ED35A9" w:rsidTr="00DA1848">
        <w:tc>
          <w:tcPr>
            <w:tcW w:w="224" w:type="pct"/>
            <w:vMerge w:val="restart"/>
            <w:tcMar>
              <w:left w:w="57" w:type="dxa"/>
              <w:right w:w="57" w:type="dxa"/>
            </w:tcMar>
            <w:vAlign w:val="center"/>
          </w:tcPr>
          <w:p w:rsidR="005C312E" w:rsidRPr="00ED35A9" w:rsidRDefault="005C312E" w:rsidP="00545A89">
            <w:pPr>
              <w:spacing w:line="228" w:lineRule="auto"/>
              <w:ind w:firstLine="0"/>
              <w:jc w:val="left"/>
              <w:rPr>
                <w:rFonts w:eastAsia="Arial"/>
                <w:b/>
                <w:sz w:val="24"/>
                <w:szCs w:val="24"/>
                <w:lang w:val="uk-UA"/>
              </w:rPr>
            </w:pPr>
            <w:r w:rsidRPr="00ED35A9">
              <w:rPr>
                <w:rFonts w:eastAsia="Arial"/>
                <w:b/>
                <w:sz w:val="24"/>
                <w:szCs w:val="24"/>
                <w:lang w:val="uk-UA"/>
              </w:rPr>
              <w:t>C</w:t>
            </w: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Етамбутол</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1163</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0,4 (0,1–0,3)</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1245</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0,5 (0,1–0,3)</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Деламанід</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289</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1,1 (0,4–2,8)</w:t>
            </w:r>
            <w:r w:rsidRPr="00ED35A9">
              <w:rPr>
                <w:bCs/>
                <w:sz w:val="24"/>
                <w:szCs w:val="24"/>
                <w:vertAlign w:val="superscript"/>
                <w:lang w:val="uk-UA"/>
              </w:rPr>
              <w:t>*</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290</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1,2 (0,5–3,0)</w:t>
            </w:r>
            <w:r w:rsidRPr="00ED35A9">
              <w:rPr>
                <w:bCs/>
                <w:sz w:val="24"/>
                <w:szCs w:val="24"/>
                <w:vertAlign w:val="superscript"/>
                <w:lang w:val="uk-UA"/>
              </w:rPr>
              <w:t>*</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Піразинамід</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1248</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2,7 (0,7–10,9)</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1272</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1,2 (0,1–0,3)</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Іміпенем-циластатин</w:t>
            </w:r>
            <w:proofErr w:type="spellEnd"/>
            <w:r w:rsidRPr="00ED35A9">
              <w:rPr>
                <w:bCs/>
                <w:sz w:val="24"/>
                <w:szCs w:val="24"/>
                <w:lang w:val="uk-UA"/>
              </w:rPr>
              <w:t xml:space="preserve"> або </w:t>
            </w:r>
            <w:proofErr w:type="spellStart"/>
            <w:r w:rsidRPr="00ED35A9">
              <w:rPr>
                <w:bCs/>
                <w:sz w:val="24"/>
                <w:szCs w:val="24"/>
                <w:lang w:val="uk-UA"/>
              </w:rPr>
              <w:t>меропенем</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206</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0,4 (0,2–0,7)</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204</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0,2 (0,1–0,3)</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Амікацин</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635</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0,3 (0,1–0,5)</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727</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0,7 (0,4–1,2)</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Стрептоміцин</w:t>
            </w:r>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226</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0,5 (0,1–0,3)</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238</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01 (0,0–0,4)</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Етіонамід</w:t>
            </w:r>
            <w:proofErr w:type="spellEnd"/>
            <w:r w:rsidRPr="00ED35A9">
              <w:rPr>
                <w:bCs/>
                <w:sz w:val="24"/>
                <w:szCs w:val="24"/>
                <w:lang w:val="uk-UA"/>
              </w:rPr>
              <w:t xml:space="preserve"> або </w:t>
            </w:r>
            <w:proofErr w:type="spellStart"/>
            <w:r w:rsidRPr="00ED35A9">
              <w:rPr>
                <w:bCs/>
                <w:sz w:val="24"/>
                <w:szCs w:val="24"/>
                <w:lang w:val="uk-UA"/>
              </w:rPr>
              <w:t>протіонамід</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2582</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1,6 (0,5–5,5)</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2750</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2,0 (0,8–5,3)</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b/>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Парааміноса-ліцилова</w:t>
            </w:r>
            <w:proofErr w:type="spellEnd"/>
            <w:r w:rsidRPr="00ED35A9">
              <w:rPr>
                <w:bCs/>
                <w:sz w:val="24"/>
                <w:szCs w:val="24"/>
                <w:lang w:val="uk-UA"/>
              </w:rPr>
              <w:t xml:space="preserve"> кислота</w:t>
            </w:r>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1564</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3,1 (0,1–0,3)</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1609</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1,0 (0,6–1,6)</w:t>
            </w:r>
          </w:p>
        </w:tc>
      </w:tr>
      <w:tr w:rsidR="005C312E" w:rsidRPr="00ED35A9" w:rsidTr="00DA1848">
        <w:tc>
          <w:tcPr>
            <w:tcW w:w="224" w:type="pct"/>
            <w:vMerge w:val="restart"/>
            <w:tcMar>
              <w:left w:w="57" w:type="dxa"/>
              <w:right w:w="57" w:type="dxa"/>
            </w:tcMar>
            <w:textDirection w:val="btLr"/>
          </w:tcPr>
          <w:p w:rsidR="005C312E" w:rsidRPr="00ED35A9" w:rsidRDefault="005C312E" w:rsidP="00545A89">
            <w:pPr>
              <w:spacing w:line="228" w:lineRule="auto"/>
              <w:ind w:firstLine="0"/>
              <w:jc w:val="center"/>
              <w:rPr>
                <w:rFonts w:eastAsia="Arial"/>
                <w:b/>
                <w:sz w:val="24"/>
                <w:szCs w:val="24"/>
                <w:lang w:val="uk-UA"/>
              </w:rPr>
            </w:pPr>
            <w:r w:rsidRPr="00ED35A9">
              <w:rPr>
                <w:rFonts w:eastAsia="Arial"/>
                <w:b/>
                <w:sz w:val="24"/>
                <w:szCs w:val="24"/>
                <w:lang w:val="uk-UA"/>
              </w:rPr>
              <w:t>Інші</w:t>
            </w:r>
          </w:p>
        </w:tc>
        <w:tc>
          <w:tcPr>
            <w:tcW w:w="95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Канаміцин</w:t>
            </w:r>
            <w:proofErr w:type="spellEnd"/>
          </w:p>
        </w:tc>
        <w:tc>
          <w:tcPr>
            <w:tcW w:w="882"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2946</w:t>
            </w:r>
          </w:p>
        </w:tc>
        <w:tc>
          <w:tcPr>
            <w:tcW w:w="1031"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1,9 (1,0–3,4)</w:t>
            </w:r>
          </w:p>
        </w:tc>
        <w:tc>
          <w:tcPr>
            <w:tcW w:w="883"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3269</w:t>
            </w:r>
          </w:p>
        </w:tc>
        <w:tc>
          <w:tcPr>
            <w:tcW w:w="1028" w:type="pct"/>
            <w:tcMar>
              <w:left w:w="57" w:type="dxa"/>
              <w:right w:w="57" w:type="dxa"/>
            </w:tcMar>
            <w:vAlign w:val="bottom"/>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11 (0,5–21)</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Капреоміцин</w:t>
            </w:r>
            <w:proofErr w:type="spellEnd"/>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777</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2,0 (0,1–0,5)</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826</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1,4 (0,7–2,8)</w:t>
            </w:r>
          </w:p>
        </w:tc>
      </w:tr>
      <w:tr w:rsidR="005C312E" w:rsidRPr="00ED35A9" w:rsidTr="00DA1848">
        <w:tc>
          <w:tcPr>
            <w:tcW w:w="224" w:type="pct"/>
            <w:vMerge/>
            <w:tcMar>
              <w:left w:w="57" w:type="dxa"/>
              <w:right w:w="57" w:type="dxa"/>
            </w:tcMar>
          </w:tcPr>
          <w:p w:rsidR="005C312E" w:rsidRPr="00ED35A9" w:rsidRDefault="005C312E" w:rsidP="00545A89">
            <w:pPr>
              <w:spacing w:line="228" w:lineRule="auto"/>
              <w:ind w:firstLine="0"/>
              <w:jc w:val="left"/>
              <w:rPr>
                <w:rFonts w:eastAsia="Arial"/>
                <w:sz w:val="24"/>
                <w:szCs w:val="24"/>
                <w:lang w:val="uk-UA"/>
              </w:rPr>
            </w:pPr>
          </w:p>
        </w:tc>
        <w:tc>
          <w:tcPr>
            <w:tcW w:w="95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proofErr w:type="spellStart"/>
            <w:r w:rsidRPr="00ED35A9">
              <w:rPr>
                <w:bCs/>
                <w:sz w:val="24"/>
                <w:szCs w:val="24"/>
                <w:lang w:val="uk-UA"/>
              </w:rPr>
              <w:t>Амокс</w:t>
            </w:r>
            <w:r w:rsidR="00490568" w:rsidRPr="00ED35A9">
              <w:rPr>
                <w:bCs/>
                <w:sz w:val="24"/>
                <w:szCs w:val="24"/>
                <w:lang w:val="uk-UA"/>
              </w:rPr>
              <w:t>і</w:t>
            </w:r>
            <w:r w:rsidRPr="00ED35A9">
              <w:rPr>
                <w:bCs/>
                <w:sz w:val="24"/>
                <w:szCs w:val="24"/>
                <w:lang w:val="uk-UA"/>
              </w:rPr>
              <w:t>цилін-клавуланова</w:t>
            </w:r>
            <w:proofErr w:type="spellEnd"/>
            <w:r w:rsidRPr="00ED35A9">
              <w:rPr>
                <w:bCs/>
                <w:sz w:val="24"/>
                <w:szCs w:val="24"/>
                <w:lang w:val="uk-UA"/>
              </w:rPr>
              <w:t xml:space="preserve"> кислота</w:t>
            </w:r>
          </w:p>
        </w:tc>
        <w:tc>
          <w:tcPr>
            <w:tcW w:w="882"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492</w:t>
            </w:r>
          </w:p>
        </w:tc>
        <w:tc>
          <w:tcPr>
            <w:tcW w:w="1031"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1,7 (1,0–3,0)</w:t>
            </w:r>
          </w:p>
        </w:tc>
        <w:tc>
          <w:tcPr>
            <w:tcW w:w="883"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534</w:t>
            </w:r>
          </w:p>
        </w:tc>
        <w:tc>
          <w:tcPr>
            <w:tcW w:w="1028" w:type="pct"/>
            <w:tcMar>
              <w:left w:w="57" w:type="dxa"/>
              <w:right w:w="57" w:type="dxa"/>
            </w:tcMar>
            <w:vAlign w:val="center"/>
          </w:tcPr>
          <w:p w:rsidR="005C312E" w:rsidRPr="00ED35A9" w:rsidRDefault="005C312E" w:rsidP="00545A89">
            <w:pPr>
              <w:spacing w:line="228" w:lineRule="auto"/>
              <w:ind w:firstLine="0"/>
              <w:jc w:val="left"/>
              <w:rPr>
                <w:bCs/>
                <w:sz w:val="24"/>
                <w:szCs w:val="24"/>
                <w:lang w:val="uk-UA"/>
              </w:rPr>
            </w:pPr>
            <w:r w:rsidRPr="00ED35A9">
              <w:rPr>
                <w:bCs/>
                <w:sz w:val="24"/>
                <w:szCs w:val="24"/>
                <w:lang w:val="uk-UA"/>
              </w:rPr>
              <w:t>2,2 (1,3–3,6)</w:t>
            </w:r>
          </w:p>
        </w:tc>
      </w:tr>
    </w:tbl>
    <w:p w:rsidR="005C312E" w:rsidRPr="00ED35A9" w:rsidRDefault="005C312E" w:rsidP="00545A89">
      <w:pPr>
        <w:spacing w:after="120" w:line="228" w:lineRule="auto"/>
        <w:ind w:firstLine="0"/>
        <w:rPr>
          <w:b/>
          <w:sz w:val="24"/>
          <w:szCs w:val="24"/>
          <w:lang w:val="uk-UA"/>
        </w:rPr>
      </w:pPr>
      <w:r w:rsidRPr="00ED35A9">
        <w:rPr>
          <w:b/>
          <w:sz w:val="24"/>
          <w:szCs w:val="24"/>
          <w:lang w:val="uk-UA"/>
        </w:rPr>
        <w:t>Примітка.</w:t>
      </w:r>
      <w:r w:rsidRPr="00ED35A9">
        <w:rPr>
          <w:sz w:val="24"/>
          <w:szCs w:val="24"/>
          <w:lang w:val="uk-UA"/>
        </w:rPr>
        <w:t xml:space="preserve"> </w:t>
      </w:r>
      <w:r w:rsidRPr="00ED35A9">
        <w:rPr>
          <w:sz w:val="24"/>
          <w:szCs w:val="24"/>
          <w:vertAlign w:val="superscript"/>
          <w:lang w:val="uk-UA"/>
        </w:rPr>
        <w:t>*</w:t>
      </w:r>
      <w:r w:rsidRPr="00ED35A9">
        <w:rPr>
          <w:sz w:val="24"/>
          <w:szCs w:val="24"/>
          <w:lang w:val="uk-UA"/>
        </w:rPr>
        <w:t>Значення нескоригованих коефіцієнтів ризику наведено за даними дослідників випробування 213 на 24-му місяці.</w:t>
      </w:r>
    </w:p>
    <w:p w:rsidR="005C312E" w:rsidRPr="00ED35A9" w:rsidRDefault="00B14108" w:rsidP="00545A89">
      <w:pPr>
        <w:spacing w:line="252" w:lineRule="auto"/>
        <w:rPr>
          <w:lang w:val="uk-UA"/>
        </w:rPr>
      </w:pPr>
      <w:r w:rsidRPr="00ED35A9">
        <w:rPr>
          <w:lang w:val="uk-UA"/>
        </w:rPr>
        <w:lastRenderedPageBreak/>
        <w:t>Стосовно запитання PICO </w:t>
      </w:r>
      <w:r w:rsidR="005C312E" w:rsidRPr="00ED35A9">
        <w:rPr>
          <w:lang w:val="uk-UA"/>
        </w:rPr>
        <w:t>3 (МР/Риф-ТБ, 2</w:t>
      </w:r>
      <w:r w:rsidR="00601915" w:rsidRPr="00ED35A9">
        <w:rPr>
          <w:lang w:val="uk-UA"/>
        </w:rPr>
        <w:t>0</w:t>
      </w:r>
      <w:r w:rsidR="005C312E" w:rsidRPr="00ED35A9">
        <w:rPr>
          <w:lang w:val="uk-UA"/>
        </w:rPr>
        <w:t>18 р.), дані аналізу свідчать, що при застосуванні сучасних довгострокових схем лікування МРТБ ризик невдачі лікування, виникнення рецидиву та смерт</w:t>
      </w:r>
      <w:r w:rsidR="00601915" w:rsidRPr="00ED35A9">
        <w:rPr>
          <w:lang w:val="uk-UA"/>
        </w:rPr>
        <w:t xml:space="preserve">ності </w:t>
      </w:r>
      <w:r w:rsidR="005C312E" w:rsidRPr="00ED35A9">
        <w:rPr>
          <w:lang w:val="uk-UA"/>
        </w:rPr>
        <w:t>були порівнюваними з початком лікування із застосуванням чотирьох, п’яти або шести препаратів із прогнозованою ефективністю. Також, за даними аналізу, у пацієнтів з трьома препаратами у фазі продовження – очікувана ситуація</w:t>
      </w:r>
      <w:r w:rsidR="00D05F13" w:rsidRPr="00ED35A9">
        <w:rPr>
          <w:lang w:val="uk-UA"/>
        </w:rPr>
        <w:t xml:space="preserve">, якщо </w:t>
      </w:r>
      <w:r w:rsidR="005C312E" w:rsidRPr="00ED35A9">
        <w:rPr>
          <w:lang w:val="uk-UA"/>
        </w:rPr>
        <w:t xml:space="preserve">лікування </w:t>
      </w:r>
      <w:r w:rsidR="00D05F13" w:rsidRPr="00ED35A9">
        <w:rPr>
          <w:lang w:val="uk-UA"/>
        </w:rPr>
        <w:t xml:space="preserve">починають з використання </w:t>
      </w:r>
      <w:r w:rsidR="005C312E" w:rsidRPr="00ED35A9">
        <w:rPr>
          <w:lang w:val="uk-UA"/>
        </w:rPr>
        <w:t>чотирьох препаратів та припин</w:t>
      </w:r>
      <w:r w:rsidR="00D05F13" w:rsidRPr="00ED35A9">
        <w:rPr>
          <w:lang w:val="uk-UA"/>
        </w:rPr>
        <w:t xml:space="preserve">яють </w:t>
      </w:r>
      <w:r w:rsidR="005C312E" w:rsidRPr="00ED35A9">
        <w:rPr>
          <w:lang w:val="uk-UA"/>
        </w:rPr>
        <w:t>застосування ін’єкційного препарату наприкінці інтенсивної фази</w:t>
      </w:r>
      <w:r w:rsidR="00D05F13" w:rsidRPr="00ED35A9">
        <w:rPr>
          <w:lang w:val="uk-UA"/>
        </w:rPr>
        <w:t>,</w:t>
      </w:r>
      <w:r w:rsidR="005C312E" w:rsidRPr="00ED35A9">
        <w:rPr>
          <w:lang w:val="uk-UA"/>
        </w:rPr>
        <w:t xml:space="preserve"> – відзначено не</w:t>
      </w:r>
      <w:r w:rsidR="00D05F13" w:rsidRPr="00ED35A9">
        <w:rPr>
          <w:lang w:val="uk-UA"/>
        </w:rPr>
        <w:t xml:space="preserve"> </w:t>
      </w:r>
      <w:r w:rsidR="005C312E" w:rsidRPr="00ED35A9">
        <w:rPr>
          <w:lang w:val="uk-UA"/>
        </w:rPr>
        <w:t xml:space="preserve">гірший результат, ніж у пацієнтів з чотирма препаратами у фазі продовження. Враховуючи підвищення ймовірності виникнення небажаних явищ, взаємодії препаратів та збільшення добової кількості таблеток для прийому внаслідок збільшення кількості препаратів у схемі, бажано призначати пацієнтам мінімально необхідну кількість препаратів для досягнення належного рівня </w:t>
      </w:r>
      <w:proofErr w:type="spellStart"/>
      <w:r w:rsidR="005C312E" w:rsidRPr="00ED35A9">
        <w:rPr>
          <w:lang w:val="uk-UA"/>
        </w:rPr>
        <w:t>безрецидивного</w:t>
      </w:r>
      <w:proofErr w:type="spellEnd"/>
      <w:r w:rsidR="005C312E" w:rsidRPr="00ED35A9">
        <w:rPr>
          <w:lang w:val="uk-UA"/>
        </w:rPr>
        <w:t xml:space="preserve"> </w:t>
      </w:r>
      <w:r w:rsidR="006D127C" w:rsidRPr="00ED35A9">
        <w:rPr>
          <w:lang w:val="uk-UA"/>
        </w:rPr>
        <w:t>одужання</w:t>
      </w:r>
      <w:r w:rsidR="005C312E" w:rsidRPr="00ED35A9">
        <w:rPr>
          <w:lang w:val="uk-UA"/>
        </w:rPr>
        <w:t xml:space="preserve">. При визначенні мінімальної рекомендованої кількості препаратів ГРН було враховано також аналітичні дані щодо </w:t>
      </w:r>
      <w:r w:rsidRPr="00ED35A9">
        <w:rPr>
          <w:lang w:val="uk-UA"/>
        </w:rPr>
        <w:t>вмісту ін’єкційних препаратів у </w:t>
      </w:r>
      <w:r w:rsidR="005C312E" w:rsidRPr="00ED35A9">
        <w:rPr>
          <w:lang w:val="uk-UA"/>
        </w:rPr>
        <w:t xml:space="preserve">схемах, водночас повністю усвідомлюючи, що майбутні довгострокові схеми надалі </w:t>
      </w:r>
      <w:r w:rsidRPr="00ED35A9">
        <w:rPr>
          <w:lang w:val="uk-UA"/>
        </w:rPr>
        <w:t xml:space="preserve">частіше </w:t>
      </w:r>
      <w:r w:rsidR="005C312E" w:rsidRPr="00ED35A9">
        <w:rPr>
          <w:lang w:val="uk-UA"/>
        </w:rPr>
        <w:t xml:space="preserve">будуть </w:t>
      </w:r>
      <w:proofErr w:type="spellStart"/>
      <w:r w:rsidR="005C312E" w:rsidRPr="00ED35A9">
        <w:rPr>
          <w:lang w:val="uk-UA"/>
        </w:rPr>
        <w:t>безін’єкційними</w:t>
      </w:r>
      <w:proofErr w:type="spellEnd"/>
      <w:r w:rsidR="005C312E" w:rsidRPr="00ED35A9">
        <w:rPr>
          <w:lang w:val="uk-UA"/>
        </w:rPr>
        <w:t xml:space="preserve">. Крім того, було важливо врахувати ситуації, коли припиняють застосування більше ніж одного препарату після перших місяців лікування через показання (застосування </w:t>
      </w:r>
      <w:proofErr w:type="spellStart"/>
      <w:r w:rsidR="005C312E" w:rsidRPr="00ED35A9">
        <w:rPr>
          <w:lang w:val="uk-UA"/>
        </w:rPr>
        <w:t>бедаквіліну</w:t>
      </w:r>
      <w:proofErr w:type="spellEnd"/>
      <w:r w:rsidR="005C312E" w:rsidRPr="00ED35A9">
        <w:rPr>
          <w:lang w:val="uk-UA"/>
        </w:rPr>
        <w:t xml:space="preserve"> та </w:t>
      </w:r>
      <w:proofErr w:type="spellStart"/>
      <w:r w:rsidR="005C312E" w:rsidRPr="00ED35A9">
        <w:rPr>
          <w:lang w:val="uk-UA"/>
        </w:rPr>
        <w:t>деламаніду</w:t>
      </w:r>
      <w:proofErr w:type="spellEnd"/>
      <w:r w:rsidR="005C312E" w:rsidRPr="00ED35A9">
        <w:rPr>
          <w:lang w:val="uk-UA"/>
        </w:rPr>
        <w:t xml:space="preserve"> зазвичай припиняють через 6 міс після початку лікування) або переносність (особливо </w:t>
      </w:r>
      <w:proofErr w:type="spellStart"/>
      <w:r w:rsidR="005C312E" w:rsidRPr="00ED35A9">
        <w:rPr>
          <w:lang w:val="uk-UA"/>
        </w:rPr>
        <w:t>лінезолід</w:t>
      </w:r>
      <w:proofErr w:type="spellEnd"/>
      <w:r w:rsidR="005C312E" w:rsidRPr="00ED35A9">
        <w:rPr>
          <w:lang w:val="uk-UA"/>
        </w:rPr>
        <w:t xml:space="preserve">; таблиця 2.3), внаслідок чого більшу свою тривалість схема міститиме на два ключові препарати менше, ніж на початку. Проте, за даними аналізу ІДП 2018 р., відзначено 300 випадків лікування із задокументованою інформацією щодо тривалості застосування </w:t>
      </w:r>
      <w:proofErr w:type="spellStart"/>
      <w:r w:rsidR="005C312E" w:rsidRPr="00ED35A9">
        <w:rPr>
          <w:lang w:val="uk-UA"/>
        </w:rPr>
        <w:t>лінезоліду</w:t>
      </w:r>
      <w:proofErr w:type="spellEnd"/>
      <w:r w:rsidR="005C312E" w:rsidRPr="00ED35A9">
        <w:rPr>
          <w:lang w:val="uk-UA"/>
        </w:rPr>
        <w:t xml:space="preserve"> щонайменше протягом одного місяця в дозі переважно 600 мг/добу. Близько 30% осіб отримували </w:t>
      </w:r>
      <w:proofErr w:type="spellStart"/>
      <w:r w:rsidR="005C312E" w:rsidRPr="00ED35A9">
        <w:rPr>
          <w:lang w:val="uk-UA"/>
        </w:rPr>
        <w:t>лінезолід</w:t>
      </w:r>
      <w:proofErr w:type="spellEnd"/>
      <w:r w:rsidR="005C312E" w:rsidRPr="00ED35A9">
        <w:rPr>
          <w:lang w:val="uk-UA"/>
        </w:rPr>
        <w:t xml:space="preserve"> лише </w:t>
      </w:r>
      <w:r w:rsidRPr="00ED35A9">
        <w:rPr>
          <w:lang w:val="uk-UA"/>
        </w:rPr>
        <w:br/>
      </w:r>
      <w:r w:rsidR="005C312E" w:rsidRPr="00ED35A9">
        <w:rPr>
          <w:lang w:val="uk-UA"/>
        </w:rPr>
        <w:t xml:space="preserve">1–3 міс, проте понад 30% отримували його більше 18 міс, і ці пацієнти мали найнижчі показники </w:t>
      </w:r>
      <w:r w:rsidR="00710AA9" w:rsidRPr="00ED35A9">
        <w:rPr>
          <w:lang w:val="uk-UA"/>
        </w:rPr>
        <w:t xml:space="preserve">неефективності </w:t>
      </w:r>
      <w:r w:rsidR="005C312E" w:rsidRPr="00ED35A9">
        <w:rPr>
          <w:lang w:val="uk-UA"/>
        </w:rPr>
        <w:t xml:space="preserve">лікування, втрати з-під нагляду та смертності. За даними графіку тривалості застосування </w:t>
      </w:r>
      <w:proofErr w:type="spellStart"/>
      <w:r w:rsidR="005C312E" w:rsidRPr="00ED35A9">
        <w:rPr>
          <w:lang w:val="uk-UA"/>
        </w:rPr>
        <w:t>лінезоліду</w:t>
      </w:r>
      <w:proofErr w:type="spellEnd"/>
      <w:r w:rsidR="005C312E" w:rsidRPr="00ED35A9">
        <w:rPr>
          <w:lang w:val="uk-UA"/>
        </w:rPr>
        <w:t xml:space="preserve"> та </w:t>
      </w:r>
      <w:r w:rsidR="00710AA9" w:rsidRPr="00ED35A9">
        <w:rPr>
          <w:lang w:val="uk-UA"/>
        </w:rPr>
        <w:t>неефективності</w:t>
      </w:r>
      <w:r w:rsidR="005C312E" w:rsidRPr="00ED35A9">
        <w:rPr>
          <w:lang w:val="uk-UA"/>
        </w:rPr>
        <w:t xml:space="preserve"> лікування, оптимальна тривалість використання становила близько 20 міс, що відповідає загальній тривалості довгострокової схеми лікування МРТБ (хоча такий аналіз не враховує систематичну похибку виживаності, коли пацієнти, що пройшли повний курс лікування, більш ймовірно матимуть успішний результат, враховуючи смертельні випадки та втрату з-під нагляду, які відбулися раніше). Чітку залежність між виникненням такого типу небезпечних явищ та тривалістю застосування визначити неможливо, хоча у деяких випадках було зареєстровано виникнення оптичної невропатії, щодо якої є дані про асоціацію з довготерміновим застосуванням </w:t>
      </w:r>
      <w:proofErr w:type="spellStart"/>
      <w:r w:rsidR="005C312E" w:rsidRPr="00ED35A9">
        <w:rPr>
          <w:lang w:val="uk-UA"/>
        </w:rPr>
        <w:t>лінезоліду</w:t>
      </w:r>
      <w:proofErr w:type="spellEnd"/>
      <w:r w:rsidR="005C312E" w:rsidRPr="00ED35A9">
        <w:rPr>
          <w:lang w:val="uk-UA"/>
        </w:rPr>
        <w:t xml:space="preserve"> </w:t>
      </w:r>
      <w:r w:rsidR="005C312E" w:rsidRPr="00ED35A9">
        <w:rPr>
          <w:i/>
          <w:lang w:val="uk-UA"/>
        </w:rPr>
        <w:t>(49)</w:t>
      </w:r>
      <w:r w:rsidR="005C312E" w:rsidRPr="00ED35A9">
        <w:rPr>
          <w:lang w:val="uk-UA"/>
        </w:rPr>
        <w:t>, тоді як гематологічну токсичність реєстрували незалежно від тривалості застосування.</w:t>
      </w:r>
    </w:p>
    <w:p w:rsidR="005C312E" w:rsidRPr="00ED35A9" w:rsidRDefault="005C312E" w:rsidP="00545A89">
      <w:pPr>
        <w:spacing w:before="120" w:after="120" w:line="252" w:lineRule="auto"/>
        <w:ind w:firstLine="0"/>
        <w:jc w:val="center"/>
        <w:rPr>
          <w:b/>
          <w:vertAlign w:val="superscript"/>
          <w:lang w:val="uk-UA"/>
        </w:rPr>
      </w:pPr>
      <w:r w:rsidRPr="00ED35A9">
        <w:rPr>
          <w:b/>
          <w:lang w:val="uk-UA"/>
        </w:rPr>
        <w:lastRenderedPageBreak/>
        <w:t>Таблиця 2.3. СНЯ у пацієнтів на довгострокових</w:t>
      </w:r>
      <w:r w:rsidRPr="00ED35A9">
        <w:rPr>
          <w:b/>
          <w:lang w:val="uk-UA"/>
        </w:rPr>
        <w:br/>
        <w:t>схемах лікування МРТБ</w:t>
      </w:r>
      <w:r w:rsidRPr="00ED35A9">
        <w:rPr>
          <w:b/>
          <w:vertAlign w:val="superscript"/>
          <w:lang w:val="uk-UA"/>
        </w:rPr>
        <w:t>*</w:t>
      </w:r>
    </w:p>
    <w:tbl>
      <w:tblPr>
        <w:tblStyle w:val="a8"/>
        <w:tblW w:w="0" w:type="auto"/>
        <w:tblInd w:w="108" w:type="dxa"/>
        <w:tblLook w:val="04A0" w:firstRow="1" w:lastRow="0" w:firstColumn="1" w:lastColumn="0" w:noHBand="0" w:noVBand="1"/>
      </w:tblPr>
      <w:tblGrid>
        <w:gridCol w:w="4395"/>
        <w:gridCol w:w="2409"/>
        <w:gridCol w:w="2552"/>
      </w:tblGrid>
      <w:tr w:rsidR="005C312E" w:rsidRPr="00ED35A9" w:rsidTr="00DA1848">
        <w:tc>
          <w:tcPr>
            <w:tcW w:w="4395" w:type="dxa"/>
            <w:vMerge w:val="restart"/>
            <w:vAlign w:val="center"/>
          </w:tcPr>
          <w:p w:rsidR="005C312E" w:rsidRPr="00ED35A9" w:rsidRDefault="005C312E" w:rsidP="00545A89">
            <w:pPr>
              <w:spacing w:line="252" w:lineRule="auto"/>
              <w:ind w:firstLine="0"/>
              <w:jc w:val="center"/>
              <w:rPr>
                <w:lang w:val="uk-UA"/>
              </w:rPr>
            </w:pPr>
            <w:r w:rsidRPr="00ED35A9">
              <w:rPr>
                <w:rStyle w:val="Bodytext2105ptBold2"/>
                <w:rFonts w:ascii="Times New Roman" w:hAnsi="Times New Roman" w:cs="Times New Roman"/>
                <w:sz w:val="28"/>
                <w:szCs w:val="28"/>
                <w:lang w:val="uk-UA"/>
              </w:rPr>
              <w:t>Препарат</w:t>
            </w:r>
          </w:p>
        </w:tc>
        <w:tc>
          <w:tcPr>
            <w:tcW w:w="4961" w:type="dxa"/>
            <w:gridSpan w:val="2"/>
            <w:vAlign w:val="center"/>
          </w:tcPr>
          <w:p w:rsidR="005C312E" w:rsidRPr="00ED35A9" w:rsidRDefault="005C312E" w:rsidP="00545A89">
            <w:pPr>
              <w:spacing w:line="252" w:lineRule="auto"/>
              <w:ind w:firstLine="0"/>
              <w:jc w:val="center"/>
              <w:rPr>
                <w:lang w:val="uk-UA"/>
              </w:rPr>
            </w:pPr>
            <w:r w:rsidRPr="00ED35A9">
              <w:rPr>
                <w:rStyle w:val="Bodytext2105ptBold2"/>
                <w:rFonts w:ascii="Times New Roman" w:hAnsi="Times New Roman" w:cs="Times New Roman"/>
                <w:sz w:val="28"/>
                <w:szCs w:val="28"/>
                <w:lang w:val="uk-UA"/>
              </w:rPr>
              <w:t>Абсолютний ризик СНЯ</w:t>
            </w:r>
          </w:p>
        </w:tc>
      </w:tr>
      <w:tr w:rsidR="005C312E" w:rsidRPr="00ED35A9" w:rsidTr="00DA1848">
        <w:tc>
          <w:tcPr>
            <w:tcW w:w="4395" w:type="dxa"/>
            <w:vMerge/>
            <w:vAlign w:val="center"/>
          </w:tcPr>
          <w:p w:rsidR="005C312E" w:rsidRPr="00ED35A9" w:rsidRDefault="005C312E" w:rsidP="00545A89">
            <w:pPr>
              <w:spacing w:line="252" w:lineRule="auto"/>
              <w:ind w:firstLine="0"/>
              <w:jc w:val="center"/>
              <w:rPr>
                <w:lang w:val="uk-UA"/>
              </w:rPr>
            </w:pPr>
          </w:p>
        </w:tc>
        <w:tc>
          <w:tcPr>
            <w:tcW w:w="2409" w:type="dxa"/>
            <w:vAlign w:val="center"/>
          </w:tcPr>
          <w:p w:rsidR="005C312E" w:rsidRPr="00ED35A9" w:rsidRDefault="005C312E" w:rsidP="00545A89">
            <w:pPr>
              <w:spacing w:line="252" w:lineRule="auto"/>
              <w:ind w:firstLine="0"/>
              <w:jc w:val="center"/>
              <w:rPr>
                <w:lang w:val="uk-UA"/>
              </w:rPr>
            </w:pPr>
            <w:r w:rsidRPr="00ED35A9">
              <w:rPr>
                <w:rStyle w:val="Bodytext2105ptBold2"/>
                <w:rFonts w:ascii="Times New Roman" w:hAnsi="Times New Roman" w:cs="Times New Roman"/>
                <w:sz w:val="28"/>
                <w:szCs w:val="28"/>
                <w:lang w:val="uk-UA"/>
              </w:rPr>
              <w:t>Медіана, %</w:t>
            </w:r>
          </w:p>
        </w:tc>
        <w:tc>
          <w:tcPr>
            <w:tcW w:w="2552" w:type="dxa"/>
            <w:vAlign w:val="center"/>
          </w:tcPr>
          <w:p w:rsidR="005C312E" w:rsidRPr="00ED35A9" w:rsidRDefault="005C312E" w:rsidP="00545A89">
            <w:pPr>
              <w:spacing w:line="252" w:lineRule="auto"/>
              <w:ind w:firstLine="0"/>
              <w:jc w:val="center"/>
              <w:rPr>
                <w:lang w:val="uk-UA"/>
              </w:rPr>
            </w:pPr>
            <w:r w:rsidRPr="00ED35A9">
              <w:rPr>
                <w:rStyle w:val="Bodytext2105ptBold2"/>
                <w:rFonts w:ascii="Times New Roman" w:hAnsi="Times New Roman" w:cs="Times New Roman"/>
                <w:sz w:val="28"/>
                <w:szCs w:val="28"/>
                <w:lang w:val="uk-UA"/>
              </w:rPr>
              <w:t>95% ДІ</w:t>
            </w:r>
          </w:p>
        </w:tc>
      </w:tr>
      <w:tr w:rsidR="005C312E" w:rsidRPr="00ED35A9" w:rsidTr="00DA1848">
        <w:tc>
          <w:tcPr>
            <w:tcW w:w="4395" w:type="dxa"/>
          </w:tcPr>
          <w:p w:rsidR="005C312E" w:rsidRPr="00ED35A9" w:rsidRDefault="005C312E" w:rsidP="00545A89">
            <w:pPr>
              <w:spacing w:line="252" w:lineRule="auto"/>
              <w:ind w:firstLine="0"/>
              <w:jc w:val="left"/>
              <w:rPr>
                <w:lang w:val="uk-UA"/>
              </w:rPr>
            </w:pPr>
            <w:proofErr w:type="spellStart"/>
            <w:r w:rsidRPr="00ED35A9">
              <w:rPr>
                <w:lang w:val="uk-UA"/>
              </w:rPr>
              <w:t>Бедаквілін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2,4</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0,7; 7,6</w:t>
            </w:r>
          </w:p>
        </w:tc>
      </w:tr>
      <w:tr w:rsidR="005C312E" w:rsidRPr="00ED35A9" w:rsidTr="00DA1848">
        <w:tc>
          <w:tcPr>
            <w:tcW w:w="4395" w:type="dxa"/>
          </w:tcPr>
          <w:p w:rsidR="005C312E" w:rsidRPr="00ED35A9" w:rsidRDefault="005C312E" w:rsidP="00545A89">
            <w:pPr>
              <w:spacing w:line="252" w:lineRule="auto"/>
              <w:ind w:firstLine="0"/>
              <w:jc w:val="left"/>
              <w:rPr>
                <w:lang w:val="uk-UA"/>
              </w:rPr>
            </w:pPr>
            <w:proofErr w:type="spellStart"/>
            <w:r w:rsidRPr="00ED35A9">
              <w:rPr>
                <w:lang w:val="uk-UA"/>
              </w:rPr>
              <w:t>Моксіфлоксацин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2,9</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1,4; 5,6</w:t>
            </w:r>
          </w:p>
        </w:tc>
      </w:tr>
      <w:tr w:rsidR="005C312E" w:rsidRPr="00ED35A9" w:rsidTr="00DA1848">
        <w:tc>
          <w:tcPr>
            <w:tcW w:w="4395" w:type="dxa"/>
            <w:vAlign w:val="bottom"/>
          </w:tcPr>
          <w:p w:rsidR="005C312E" w:rsidRPr="00ED35A9" w:rsidRDefault="005C312E" w:rsidP="00545A89">
            <w:pPr>
              <w:spacing w:line="252" w:lineRule="auto"/>
              <w:ind w:firstLine="0"/>
              <w:jc w:val="left"/>
              <w:rPr>
                <w:i/>
                <w:lang w:val="uk-UA"/>
              </w:rPr>
            </w:pPr>
            <w:proofErr w:type="spellStart"/>
            <w:r w:rsidRPr="00ED35A9">
              <w:rPr>
                <w:i/>
                <w:lang w:val="uk-UA"/>
              </w:rPr>
              <w:t>Амоксіцилін-клавуланова</w:t>
            </w:r>
            <w:proofErr w:type="spellEnd"/>
            <w:r w:rsidRPr="00ED35A9">
              <w:rPr>
                <w:i/>
                <w:lang w:val="uk-UA"/>
              </w:rPr>
              <w:t xml:space="preserve"> кислота</w:t>
            </w:r>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3,0</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1,5; 5,8</w:t>
            </w:r>
          </w:p>
        </w:tc>
      </w:tr>
      <w:tr w:rsidR="005C312E" w:rsidRPr="00ED35A9" w:rsidTr="00DA1848">
        <w:tc>
          <w:tcPr>
            <w:tcW w:w="4395" w:type="dxa"/>
          </w:tcPr>
          <w:p w:rsidR="005C312E" w:rsidRPr="00ED35A9" w:rsidRDefault="005C312E" w:rsidP="00545A89">
            <w:pPr>
              <w:spacing w:line="252" w:lineRule="auto"/>
              <w:ind w:firstLine="0"/>
              <w:jc w:val="left"/>
              <w:rPr>
                <w:lang w:val="uk-UA"/>
              </w:rPr>
            </w:pPr>
            <w:proofErr w:type="spellStart"/>
            <w:r w:rsidRPr="00ED35A9">
              <w:rPr>
                <w:lang w:val="uk-UA"/>
              </w:rPr>
              <w:t>Клофазимін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3,6</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1,3; 8,6</w:t>
            </w:r>
          </w:p>
        </w:tc>
      </w:tr>
      <w:tr w:rsidR="005C312E" w:rsidRPr="00ED35A9" w:rsidTr="00DA1848">
        <w:tc>
          <w:tcPr>
            <w:tcW w:w="4395" w:type="dxa"/>
          </w:tcPr>
          <w:p w:rsidR="005C312E" w:rsidRPr="00ED35A9" w:rsidRDefault="005C312E" w:rsidP="00545A89">
            <w:pPr>
              <w:spacing w:line="252" w:lineRule="auto"/>
              <w:ind w:firstLine="0"/>
              <w:jc w:val="left"/>
              <w:rPr>
                <w:lang w:val="uk-UA"/>
              </w:rPr>
            </w:pPr>
            <w:proofErr w:type="spellStart"/>
            <w:r w:rsidRPr="00ED35A9">
              <w:rPr>
                <w:lang w:val="uk-UA"/>
              </w:rPr>
              <w:t>Етамбутол</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4,0</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2,4; 6,8</w:t>
            </w:r>
          </w:p>
        </w:tc>
      </w:tr>
      <w:tr w:rsidR="005C312E" w:rsidRPr="00ED35A9" w:rsidTr="00DA1848">
        <w:tc>
          <w:tcPr>
            <w:tcW w:w="4395" w:type="dxa"/>
          </w:tcPr>
          <w:p w:rsidR="005C312E" w:rsidRPr="00ED35A9" w:rsidRDefault="005C312E" w:rsidP="00545A89">
            <w:pPr>
              <w:spacing w:line="252" w:lineRule="auto"/>
              <w:ind w:firstLine="0"/>
              <w:jc w:val="left"/>
              <w:rPr>
                <w:lang w:val="uk-UA"/>
              </w:rPr>
            </w:pPr>
            <w:proofErr w:type="spellStart"/>
            <w:r w:rsidRPr="00ED35A9">
              <w:rPr>
                <w:lang w:val="uk-UA"/>
              </w:rPr>
              <w:t>Левофлоксацин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4,1</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1,9; 8,8</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r w:rsidRPr="00ED35A9">
              <w:rPr>
                <w:lang w:val="uk-UA"/>
              </w:rPr>
              <w:t>Стрептоміцин</w:t>
            </w:r>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4,5</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2,3; 8,8</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Циклосерін</w:t>
            </w:r>
            <w:proofErr w:type="spellEnd"/>
            <w:r w:rsidRPr="00ED35A9">
              <w:rPr>
                <w:lang w:val="uk-UA"/>
              </w:rPr>
              <w:t>/</w:t>
            </w:r>
            <w:proofErr w:type="spellStart"/>
            <w:r w:rsidRPr="00ED35A9">
              <w:rPr>
                <w:lang w:val="uk-UA"/>
              </w:rPr>
              <w:t>теризидон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7,8</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5,8; 10,9</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i/>
                <w:lang w:val="uk-UA"/>
              </w:rPr>
              <w:t>Капреоміцин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8,4</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5,7; 12,2</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Піразинамід</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8,8</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5,6; 13,2</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Етіонамід</w:t>
            </w:r>
            <w:proofErr w:type="spellEnd"/>
            <w:r w:rsidRPr="00ED35A9">
              <w:rPr>
                <w:lang w:val="uk-UA"/>
              </w:rPr>
              <w:t>/</w:t>
            </w:r>
            <w:proofErr w:type="spellStart"/>
            <w:r w:rsidRPr="00ED35A9">
              <w:rPr>
                <w:lang w:val="uk-UA"/>
              </w:rPr>
              <w:t>протіонамід</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9,5</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6,5; 14,5</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Амікацин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10,3</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6,6; 17,0</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i/>
                <w:lang w:val="uk-UA"/>
              </w:rPr>
              <w:t>Канаміцин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10,8</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7,2; 16,1</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Парааміносаліцилова</w:t>
            </w:r>
            <w:proofErr w:type="spellEnd"/>
            <w:r w:rsidRPr="00ED35A9">
              <w:rPr>
                <w:lang w:val="uk-UA"/>
              </w:rPr>
              <w:t xml:space="preserve"> кислота</w:t>
            </w:r>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14,3</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10,1; 20,7</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i/>
                <w:lang w:val="uk-UA"/>
              </w:rPr>
              <w:t>Тіоацетазон</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14,6</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4,9; 37,6</w:t>
            </w:r>
          </w:p>
        </w:tc>
      </w:tr>
      <w:tr w:rsidR="005C312E" w:rsidRPr="00ED35A9" w:rsidTr="00DA1848">
        <w:tc>
          <w:tcPr>
            <w:tcW w:w="4395" w:type="dxa"/>
            <w:vAlign w:val="bottom"/>
          </w:tcPr>
          <w:p w:rsidR="005C312E" w:rsidRPr="00ED35A9" w:rsidRDefault="005C312E" w:rsidP="00545A89">
            <w:pPr>
              <w:spacing w:line="252" w:lineRule="auto"/>
              <w:ind w:firstLine="0"/>
              <w:jc w:val="left"/>
              <w:rPr>
                <w:lang w:val="uk-UA"/>
              </w:rPr>
            </w:pPr>
            <w:proofErr w:type="spellStart"/>
            <w:r w:rsidRPr="00ED35A9">
              <w:rPr>
                <w:lang w:val="uk-UA"/>
              </w:rPr>
              <w:t>Лінезолід</w:t>
            </w:r>
            <w:proofErr w:type="spellEnd"/>
          </w:p>
        </w:tc>
        <w:tc>
          <w:tcPr>
            <w:tcW w:w="2409" w:type="dxa"/>
            <w:vAlign w:val="bottom"/>
          </w:tcPr>
          <w:p w:rsidR="005C312E" w:rsidRPr="00ED35A9" w:rsidRDefault="005C312E" w:rsidP="00545A89">
            <w:pPr>
              <w:spacing w:line="252" w:lineRule="auto"/>
              <w:ind w:firstLine="0"/>
              <w:jc w:val="left"/>
              <w:rPr>
                <w:lang w:val="uk-UA"/>
              </w:rPr>
            </w:pPr>
            <w:r w:rsidRPr="00ED35A9">
              <w:rPr>
                <w:lang w:val="uk-UA"/>
              </w:rPr>
              <w:t>17,2</w:t>
            </w:r>
          </w:p>
        </w:tc>
        <w:tc>
          <w:tcPr>
            <w:tcW w:w="2552" w:type="dxa"/>
            <w:vAlign w:val="bottom"/>
          </w:tcPr>
          <w:p w:rsidR="005C312E" w:rsidRPr="00ED35A9" w:rsidRDefault="005C312E" w:rsidP="00545A89">
            <w:pPr>
              <w:spacing w:line="252" w:lineRule="auto"/>
              <w:ind w:firstLine="0"/>
              <w:jc w:val="left"/>
              <w:rPr>
                <w:lang w:val="uk-UA"/>
              </w:rPr>
            </w:pPr>
            <w:r w:rsidRPr="00ED35A9">
              <w:rPr>
                <w:lang w:val="uk-UA"/>
              </w:rPr>
              <w:t>10,1; 27,0</w:t>
            </w:r>
          </w:p>
        </w:tc>
      </w:tr>
    </w:tbl>
    <w:p w:rsidR="005C312E" w:rsidRPr="00ED35A9" w:rsidRDefault="005C312E" w:rsidP="00545A89">
      <w:pPr>
        <w:spacing w:after="120" w:line="252" w:lineRule="auto"/>
        <w:ind w:firstLine="0"/>
        <w:rPr>
          <w:sz w:val="24"/>
          <w:szCs w:val="24"/>
          <w:lang w:val="uk-UA"/>
        </w:rPr>
      </w:pPr>
      <w:r w:rsidRPr="00ED35A9">
        <w:rPr>
          <w:b/>
          <w:sz w:val="24"/>
          <w:szCs w:val="24"/>
          <w:lang w:val="uk-UA"/>
        </w:rPr>
        <w:t>Примітка.</w:t>
      </w:r>
      <w:r w:rsidRPr="00ED35A9">
        <w:rPr>
          <w:sz w:val="24"/>
          <w:szCs w:val="24"/>
          <w:lang w:val="uk-UA"/>
        </w:rPr>
        <w:t xml:space="preserve"> </w:t>
      </w:r>
      <w:r w:rsidRPr="00ED35A9">
        <w:rPr>
          <w:sz w:val="24"/>
          <w:szCs w:val="24"/>
          <w:vertAlign w:val="superscript"/>
          <w:lang w:val="uk-UA"/>
        </w:rPr>
        <w:t>*</w:t>
      </w:r>
      <w:r w:rsidRPr="00ED35A9">
        <w:rPr>
          <w:sz w:val="24"/>
          <w:szCs w:val="24"/>
          <w:lang w:val="uk-UA"/>
        </w:rPr>
        <w:t xml:space="preserve">З мережевого </w:t>
      </w:r>
      <w:proofErr w:type="spellStart"/>
      <w:r w:rsidRPr="00ED35A9">
        <w:rPr>
          <w:sz w:val="24"/>
          <w:szCs w:val="24"/>
          <w:lang w:val="uk-UA"/>
        </w:rPr>
        <w:t>метааналізу</w:t>
      </w:r>
      <w:proofErr w:type="spellEnd"/>
      <w:r w:rsidRPr="00ED35A9">
        <w:rPr>
          <w:sz w:val="24"/>
          <w:szCs w:val="24"/>
          <w:lang w:val="uk-UA"/>
        </w:rPr>
        <w:t xml:space="preserve"> на основі підгруп («</w:t>
      </w:r>
      <w:proofErr w:type="spellStart"/>
      <w:r w:rsidRPr="00ED35A9">
        <w:rPr>
          <w:sz w:val="24"/>
          <w:szCs w:val="24"/>
          <w:lang w:val="uk-UA"/>
        </w:rPr>
        <w:t>arm-based</w:t>
      </w:r>
      <w:proofErr w:type="spellEnd"/>
      <w:r w:rsidRPr="00ED35A9">
        <w:rPr>
          <w:sz w:val="24"/>
          <w:szCs w:val="24"/>
          <w:lang w:val="uk-UA"/>
        </w:rPr>
        <w:t xml:space="preserve"> </w:t>
      </w:r>
      <w:proofErr w:type="spellStart"/>
      <w:r w:rsidRPr="00ED35A9">
        <w:rPr>
          <w:sz w:val="24"/>
          <w:szCs w:val="24"/>
          <w:lang w:val="uk-UA"/>
        </w:rPr>
        <w:t>network</w:t>
      </w:r>
      <w:proofErr w:type="spellEnd"/>
      <w:r w:rsidRPr="00ED35A9">
        <w:rPr>
          <w:sz w:val="24"/>
          <w:szCs w:val="24"/>
          <w:lang w:val="uk-UA"/>
        </w:rPr>
        <w:t xml:space="preserve">») для </w:t>
      </w:r>
      <w:r w:rsidR="00D05F13" w:rsidRPr="00ED35A9">
        <w:rPr>
          <w:sz w:val="24"/>
          <w:szCs w:val="24"/>
          <w:lang w:val="uk-UA"/>
        </w:rPr>
        <w:t xml:space="preserve">додаткової </w:t>
      </w:r>
      <w:r w:rsidRPr="00ED35A9">
        <w:rPr>
          <w:sz w:val="24"/>
          <w:szCs w:val="24"/>
          <w:lang w:val="uk-UA"/>
        </w:rPr>
        <w:t>вибірки ІДП 2016 р., в яких були повідо</w:t>
      </w:r>
      <w:r w:rsidR="00B14108" w:rsidRPr="00ED35A9">
        <w:rPr>
          <w:sz w:val="24"/>
          <w:szCs w:val="24"/>
          <w:lang w:val="uk-UA"/>
        </w:rPr>
        <w:t>млення про небезпечні явища, що </w:t>
      </w:r>
      <w:r w:rsidRPr="00ED35A9">
        <w:rPr>
          <w:sz w:val="24"/>
          <w:szCs w:val="24"/>
          <w:lang w:val="uk-UA"/>
        </w:rPr>
        <w:t xml:space="preserve">призвели до припинення застосування ПТП (27 досліджень) або класифікації до СНЯ 3–5-го ступеня (3 дослідження). Кількість даних для оцінювання ризиків застосування </w:t>
      </w:r>
      <w:proofErr w:type="spellStart"/>
      <w:r w:rsidRPr="00ED35A9">
        <w:rPr>
          <w:sz w:val="24"/>
          <w:szCs w:val="24"/>
          <w:lang w:val="uk-UA"/>
        </w:rPr>
        <w:t>деламаніду</w:t>
      </w:r>
      <w:proofErr w:type="spellEnd"/>
      <w:r w:rsidRPr="00ED35A9">
        <w:rPr>
          <w:sz w:val="24"/>
          <w:szCs w:val="24"/>
          <w:lang w:val="uk-UA"/>
        </w:rPr>
        <w:t xml:space="preserve">, </w:t>
      </w:r>
      <w:proofErr w:type="spellStart"/>
      <w:r w:rsidRPr="00ED35A9">
        <w:rPr>
          <w:sz w:val="24"/>
          <w:szCs w:val="24"/>
          <w:lang w:val="uk-UA"/>
        </w:rPr>
        <w:t>іміпенем-циластатину</w:t>
      </w:r>
      <w:proofErr w:type="spellEnd"/>
      <w:r w:rsidRPr="00ED35A9">
        <w:rPr>
          <w:sz w:val="24"/>
          <w:szCs w:val="24"/>
          <w:lang w:val="uk-UA"/>
        </w:rPr>
        <w:t xml:space="preserve"> та </w:t>
      </w:r>
      <w:proofErr w:type="spellStart"/>
      <w:r w:rsidRPr="00ED35A9">
        <w:rPr>
          <w:sz w:val="24"/>
          <w:szCs w:val="24"/>
          <w:lang w:val="uk-UA"/>
        </w:rPr>
        <w:t>меропенему</w:t>
      </w:r>
      <w:proofErr w:type="spellEnd"/>
      <w:r w:rsidRPr="00ED35A9">
        <w:rPr>
          <w:sz w:val="24"/>
          <w:szCs w:val="24"/>
          <w:lang w:val="uk-UA"/>
        </w:rPr>
        <w:t xml:space="preserve"> була недостатньою. Препарати, що не входять до груп А, В або С, виділено курсивом.</w:t>
      </w:r>
    </w:p>
    <w:p w:rsidR="005C312E" w:rsidRPr="00545A89" w:rsidRDefault="005C312E" w:rsidP="00545A89">
      <w:pPr>
        <w:spacing w:line="252" w:lineRule="auto"/>
        <w:rPr>
          <w:spacing w:val="2"/>
          <w:lang w:val="uk-UA"/>
        </w:rPr>
      </w:pPr>
      <w:r w:rsidRPr="00545A89">
        <w:rPr>
          <w:spacing w:val="2"/>
          <w:lang w:val="uk-UA"/>
        </w:rPr>
        <w:t xml:space="preserve">У висновках ГРН рекомендовано, за можливості, складати схеми з усіх трьох препаратів групи А та щонайменше одного препарату групи В, починаючи лікування </w:t>
      </w:r>
      <w:r w:rsidR="007D0358" w:rsidRPr="00545A89">
        <w:rPr>
          <w:spacing w:val="2"/>
          <w:lang w:val="uk-UA"/>
        </w:rPr>
        <w:t xml:space="preserve">мінімум </w:t>
      </w:r>
      <w:r w:rsidRPr="00545A89">
        <w:rPr>
          <w:spacing w:val="2"/>
          <w:lang w:val="uk-UA"/>
        </w:rPr>
        <w:t xml:space="preserve">з чотирьох ПТП з прогнозованою ефективністю та </w:t>
      </w:r>
      <w:r w:rsidR="007D0358" w:rsidRPr="00545A89">
        <w:rPr>
          <w:spacing w:val="2"/>
          <w:lang w:val="uk-UA"/>
        </w:rPr>
        <w:t xml:space="preserve">використовуючи </w:t>
      </w:r>
      <w:r w:rsidRPr="00545A89">
        <w:rPr>
          <w:spacing w:val="2"/>
          <w:lang w:val="uk-UA"/>
        </w:rPr>
        <w:t xml:space="preserve">у лікуванні принаймні три препарати після припинення </w:t>
      </w:r>
      <w:r w:rsidR="007D0358" w:rsidRPr="00545A89">
        <w:rPr>
          <w:spacing w:val="2"/>
          <w:lang w:val="uk-UA"/>
        </w:rPr>
        <w:t xml:space="preserve">застосування </w:t>
      </w:r>
      <w:proofErr w:type="spellStart"/>
      <w:r w:rsidRPr="00545A89">
        <w:rPr>
          <w:spacing w:val="2"/>
          <w:lang w:val="uk-UA"/>
        </w:rPr>
        <w:t>бедаквіліну</w:t>
      </w:r>
      <w:proofErr w:type="spellEnd"/>
      <w:r w:rsidRPr="00545A89">
        <w:rPr>
          <w:spacing w:val="2"/>
          <w:lang w:val="uk-UA"/>
        </w:rPr>
        <w:t xml:space="preserve">. Якщо застосовують лише один або два препарати групи А, слід включити обидва препарати групи В. Якщо схема не може бути складена лише з препаратів груп А та В, то для доповнення слід додати препарати групи С. У пацієнтів, що мають прогнозований ризик припинення застосування двох препаратів групи А до завершення лікування (наприклад, наявність супутніх захворювань, що може призвести до дострокового припинення застосування </w:t>
      </w:r>
      <w:proofErr w:type="spellStart"/>
      <w:r w:rsidRPr="00545A89">
        <w:rPr>
          <w:spacing w:val="2"/>
          <w:lang w:val="uk-UA"/>
        </w:rPr>
        <w:t>бедаквіліну</w:t>
      </w:r>
      <w:proofErr w:type="spellEnd"/>
      <w:r w:rsidRPr="00545A89">
        <w:rPr>
          <w:spacing w:val="2"/>
          <w:lang w:val="uk-UA"/>
        </w:rPr>
        <w:t xml:space="preserve"> та </w:t>
      </w:r>
      <w:proofErr w:type="spellStart"/>
      <w:r w:rsidRPr="00545A89">
        <w:rPr>
          <w:spacing w:val="2"/>
          <w:lang w:val="uk-UA"/>
        </w:rPr>
        <w:t>лінезоліду</w:t>
      </w:r>
      <w:proofErr w:type="spellEnd"/>
      <w:r w:rsidRPr="00545A89">
        <w:rPr>
          <w:spacing w:val="2"/>
          <w:lang w:val="uk-UA"/>
        </w:rPr>
        <w:t xml:space="preserve"> через ризики для здоров’я), рекомендовано починати лікування за схемою з п’ят</w:t>
      </w:r>
      <w:r w:rsidR="007D0358" w:rsidRPr="00545A89">
        <w:rPr>
          <w:spacing w:val="2"/>
          <w:lang w:val="uk-UA"/>
        </w:rPr>
        <w:t xml:space="preserve">и </w:t>
      </w:r>
      <w:r w:rsidRPr="00545A89">
        <w:rPr>
          <w:spacing w:val="2"/>
          <w:lang w:val="uk-UA"/>
        </w:rPr>
        <w:t xml:space="preserve">ефективних препаратів замість чотирьох. Очікується, що такі </w:t>
      </w:r>
      <w:r w:rsidR="00B14108" w:rsidRPr="00545A89">
        <w:rPr>
          <w:spacing w:val="2"/>
          <w:lang w:val="uk-UA"/>
        </w:rPr>
        <w:t>рекомендації</w:t>
      </w:r>
      <w:r w:rsidRPr="00545A89">
        <w:rPr>
          <w:spacing w:val="2"/>
          <w:lang w:val="uk-UA"/>
        </w:rPr>
        <w:t xml:space="preserve"> застосовуватимуться до п</w:t>
      </w:r>
      <w:r w:rsidR="00545A89">
        <w:rPr>
          <w:spacing w:val="2"/>
          <w:lang w:val="uk-UA"/>
        </w:rPr>
        <w:t>ереважної більшості пацієнтів з </w:t>
      </w:r>
      <w:r w:rsidRPr="00545A89">
        <w:rPr>
          <w:spacing w:val="2"/>
          <w:lang w:val="uk-UA"/>
        </w:rPr>
        <w:t xml:space="preserve">МРТБ, зокрема до осіб з додатковою резистентністю до </w:t>
      </w:r>
      <w:proofErr w:type="spellStart"/>
      <w:r w:rsidRPr="00545A89">
        <w:rPr>
          <w:spacing w:val="2"/>
          <w:lang w:val="uk-UA"/>
        </w:rPr>
        <w:t>фторхінолонів</w:t>
      </w:r>
      <w:proofErr w:type="spellEnd"/>
      <w:r w:rsidRPr="00545A89">
        <w:rPr>
          <w:spacing w:val="2"/>
          <w:lang w:val="uk-UA"/>
        </w:rPr>
        <w:t xml:space="preserve"> або інших препаратів. </w:t>
      </w:r>
    </w:p>
    <w:p w:rsidR="005C312E" w:rsidRPr="00ED35A9" w:rsidRDefault="005C312E" w:rsidP="005C312E">
      <w:pPr>
        <w:rPr>
          <w:lang w:val="uk-UA"/>
        </w:rPr>
      </w:pPr>
      <w:bookmarkStart w:id="29" w:name="bookmark32"/>
      <w:bookmarkStart w:id="30" w:name="_Toc417570587"/>
      <w:r w:rsidRPr="00ED35A9">
        <w:rPr>
          <w:b/>
          <w:bCs/>
          <w:lang w:val="uk-UA"/>
        </w:rPr>
        <w:lastRenderedPageBreak/>
        <w:t>Зауваження щодо підгруп</w:t>
      </w:r>
      <w:bookmarkEnd w:id="29"/>
      <w:bookmarkEnd w:id="30"/>
    </w:p>
    <w:p w:rsidR="005C312E" w:rsidRPr="00ED35A9" w:rsidRDefault="005C312E" w:rsidP="005C312E">
      <w:pPr>
        <w:rPr>
          <w:lang w:val="uk-UA"/>
        </w:rPr>
      </w:pPr>
      <w:r w:rsidRPr="00ED35A9">
        <w:rPr>
          <w:b/>
          <w:i/>
          <w:lang w:val="uk-UA"/>
        </w:rPr>
        <w:t>МР/Риф-ТБ окремо або з додатковою резистентністю.</w:t>
      </w:r>
      <w:r w:rsidRPr="00ED35A9">
        <w:rPr>
          <w:lang w:val="uk-UA"/>
        </w:rPr>
        <w:t xml:space="preserve"> Більш тривале застосування схеми ймовірніше буде ефективним, якщо її склад визначено на основі надійних даних щодо чутливості до препарату. Створення довгострокових схем лікування у пацієнтів з МР/Риф-ТБ за наявності додаткової резистентності (зокрема ТБ-ШМР) виконується подібно до такого в інших пацієнтів з МРТБ. Бажано, щоб всі пацієнти з МРТБ проходили тестування</w:t>
      </w:r>
      <w:r w:rsidR="007D0358" w:rsidRPr="00ED35A9">
        <w:rPr>
          <w:lang w:val="uk-UA"/>
        </w:rPr>
        <w:t>,</w:t>
      </w:r>
      <w:r w:rsidRPr="00ED35A9">
        <w:rPr>
          <w:lang w:val="uk-UA"/>
        </w:rPr>
        <w:t xml:space="preserve"> як мінімум</w:t>
      </w:r>
      <w:r w:rsidR="007D0358" w:rsidRPr="00ED35A9">
        <w:rPr>
          <w:lang w:val="uk-UA"/>
        </w:rPr>
        <w:t>,</w:t>
      </w:r>
      <w:r w:rsidRPr="00ED35A9">
        <w:rPr>
          <w:lang w:val="uk-UA"/>
        </w:rPr>
        <w:t xml:space="preserve"> на резистентність до </w:t>
      </w:r>
      <w:proofErr w:type="spellStart"/>
      <w:r w:rsidRPr="00ED35A9">
        <w:rPr>
          <w:lang w:val="uk-UA"/>
        </w:rPr>
        <w:t>фторхінолонів</w:t>
      </w:r>
      <w:proofErr w:type="spellEnd"/>
      <w:r w:rsidRPr="00ED35A9">
        <w:rPr>
          <w:lang w:val="uk-UA"/>
        </w:rPr>
        <w:t xml:space="preserve"> перед початком лікування МРТБ. Якщо розглядається варіант застосування скороченої схеми або схеми з </w:t>
      </w:r>
      <w:proofErr w:type="spellStart"/>
      <w:r w:rsidRPr="00ED35A9">
        <w:rPr>
          <w:lang w:val="uk-UA"/>
        </w:rPr>
        <w:t>амікацином</w:t>
      </w:r>
      <w:proofErr w:type="spellEnd"/>
      <w:r w:rsidRPr="00ED35A9">
        <w:rPr>
          <w:lang w:val="uk-UA"/>
        </w:rPr>
        <w:t xml:space="preserve">, слід провести швидке тестування для ін’єкційних препаратів другого ряду. Проведення інших тестів на резистентність до таких препаратів, як </w:t>
      </w:r>
      <w:proofErr w:type="spellStart"/>
      <w:r w:rsidRPr="00ED35A9">
        <w:rPr>
          <w:lang w:val="uk-UA"/>
        </w:rPr>
        <w:t>бедаквілін</w:t>
      </w:r>
      <w:proofErr w:type="spellEnd"/>
      <w:r w:rsidRPr="00ED35A9">
        <w:rPr>
          <w:lang w:val="uk-UA"/>
        </w:rPr>
        <w:t xml:space="preserve">, </w:t>
      </w:r>
      <w:proofErr w:type="spellStart"/>
      <w:r w:rsidRPr="00ED35A9">
        <w:rPr>
          <w:lang w:val="uk-UA"/>
        </w:rPr>
        <w:t>деламанід</w:t>
      </w:r>
      <w:proofErr w:type="spellEnd"/>
      <w:r w:rsidRPr="00ED35A9">
        <w:rPr>
          <w:lang w:val="uk-UA"/>
        </w:rPr>
        <w:t xml:space="preserve">, </w:t>
      </w:r>
      <w:proofErr w:type="spellStart"/>
      <w:r w:rsidRPr="00ED35A9">
        <w:rPr>
          <w:lang w:val="uk-UA"/>
        </w:rPr>
        <w:t>лінезолід</w:t>
      </w:r>
      <w:proofErr w:type="spellEnd"/>
      <w:r w:rsidRPr="00ED35A9">
        <w:rPr>
          <w:lang w:val="uk-UA"/>
        </w:rPr>
        <w:t xml:space="preserve">, </w:t>
      </w:r>
      <w:proofErr w:type="spellStart"/>
      <w:r w:rsidRPr="00ED35A9">
        <w:rPr>
          <w:lang w:val="uk-UA"/>
        </w:rPr>
        <w:t>піразинамід</w:t>
      </w:r>
      <w:proofErr w:type="spellEnd"/>
      <w:r w:rsidRPr="00ED35A9">
        <w:rPr>
          <w:lang w:val="uk-UA"/>
        </w:rPr>
        <w:t xml:space="preserve">, та визначення подібних мутацій, найчастіше пов’язаних з резистентністю до </w:t>
      </w:r>
      <w:proofErr w:type="spellStart"/>
      <w:r w:rsidRPr="00ED35A9">
        <w:rPr>
          <w:lang w:val="uk-UA"/>
        </w:rPr>
        <w:t>ізоніазиду</w:t>
      </w:r>
      <w:proofErr w:type="spellEnd"/>
      <w:r w:rsidRPr="00ED35A9">
        <w:rPr>
          <w:lang w:val="uk-UA"/>
        </w:rPr>
        <w:t xml:space="preserve"> та </w:t>
      </w:r>
      <w:proofErr w:type="spellStart"/>
      <w:r w:rsidRPr="00ED35A9">
        <w:rPr>
          <w:lang w:val="uk-UA"/>
        </w:rPr>
        <w:t>етіонаміду</w:t>
      </w:r>
      <w:proofErr w:type="spellEnd"/>
      <w:r w:rsidRPr="00ED35A9">
        <w:rPr>
          <w:lang w:val="uk-UA"/>
        </w:rPr>
        <w:t>/</w:t>
      </w:r>
      <w:proofErr w:type="spellStart"/>
      <w:r w:rsidRPr="00ED35A9">
        <w:rPr>
          <w:lang w:val="uk-UA"/>
        </w:rPr>
        <w:t>протіонаміду</w:t>
      </w:r>
      <w:proofErr w:type="spellEnd"/>
      <w:r w:rsidRPr="00ED35A9">
        <w:rPr>
          <w:lang w:val="uk-UA"/>
        </w:rPr>
        <w:t xml:space="preserve">, теж можуть допомогти під час вибору схеми (наприклад, виключення короткострокової схеми) та її складу. На сьогодні немає затверджених швидких тестів для визначення резистентності до </w:t>
      </w:r>
      <w:proofErr w:type="spellStart"/>
      <w:r w:rsidRPr="00ED35A9">
        <w:rPr>
          <w:lang w:val="uk-UA"/>
        </w:rPr>
        <w:t>піразинаміду</w:t>
      </w:r>
      <w:proofErr w:type="spellEnd"/>
      <w:r w:rsidRPr="00ED35A9">
        <w:rPr>
          <w:lang w:val="uk-UA"/>
        </w:rPr>
        <w:t xml:space="preserve">, а проведення ТМЧ за методом </w:t>
      </w:r>
      <w:proofErr w:type="spellStart"/>
      <w:r w:rsidRPr="00ED35A9">
        <w:rPr>
          <w:lang w:val="uk-UA"/>
        </w:rPr>
        <w:t>фенотипування</w:t>
      </w:r>
      <w:proofErr w:type="spellEnd"/>
      <w:r w:rsidRPr="00ED35A9">
        <w:rPr>
          <w:lang w:val="uk-UA"/>
        </w:rPr>
        <w:t xml:space="preserve"> може потребувати декількох тижнів до появи надійного результату, і таким чином рішення щодо включення або заміни </w:t>
      </w:r>
      <w:proofErr w:type="spellStart"/>
      <w:r w:rsidRPr="00ED35A9">
        <w:rPr>
          <w:lang w:val="uk-UA"/>
        </w:rPr>
        <w:t>піразинаміду</w:t>
      </w:r>
      <w:proofErr w:type="spellEnd"/>
      <w:r w:rsidRPr="00ED35A9">
        <w:rPr>
          <w:lang w:val="uk-UA"/>
        </w:rPr>
        <w:t xml:space="preserve"> може відтермінувати початок лікування на декілька тижнів. В багатьох випадках результати ТМЧ до інших препаратів, </w:t>
      </w:r>
      <w:r w:rsidR="007D0358" w:rsidRPr="00ED35A9">
        <w:rPr>
          <w:lang w:val="uk-UA"/>
        </w:rPr>
        <w:t xml:space="preserve">які </w:t>
      </w:r>
      <w:r w:rsidRPr="00ED35A9">
        <w:rPr>
          <w:lang w:val="uk-UA"/>
        </w:rPr>
        <w:t>часто застосовують при лікуванні МРТБ, не є достатньо надійними для визначення складу схеми. Через це можуть знадобитись інші складові для визначення ймовірної ефективності (</w:t>
      </w:r>
      <w:r w:rsidRPr="00ED35A9">
        <w:rPr>
          <w:i/>
          <w:lang w:val="uk-UA"/>
        </w:rPr>
        <w:t>див.</w:t>
      </w:r>
      <w:r w:rsidRPr="00ED35A9">
        <w:rPr>
          <w:lang w:val="uk-UA"/>
        </w:rPr>
        <w:t xml:space="preserve"> частину «</w:t>
      </w:r>
      <w:r w:rsidR="0002616A" w:rsidRPr="00ED35A9">
        <w:rPr>
          <w:lang w:val="uk-UA"/>
        </w:rPr>
        <w:t>Впровадження рекомендацій</w:t>
      </w:r>
      <w:r w:rsidRPr="00ED35A9">
        <w:rPr>
          <w:lang w:val="uk-UA"/>
        </w:rPr>
        <w:t xml:space="preserve">»). Якщо протитуберкульозні програми ще не мають </w:t>
      </w:r>
      <w:r w:rsidR="00B14108" w:rsidRPr="00ED35A9">
        <w:rPr>
          <w:lang w:val="uk-UA"/>
        </w:rPr>
        <w:t>можливості</w:t>
      </w:r>
      <w:r w:rsidRPr="00ED35A9">
        <w:rPr>
          <w:lang w:val="uk-UA"/>
        </w:rPr>
        <w:t xml:space="preserve"> проводити ТМЧ, необхідно швидко її нарощувати, та докласти зусиль для забезпечення доступу до затверджених швидких молекулярних тестів. Поки не з’явиться можливість проведення ТМЧ до препаратів другого ряду, зокрема до </w:t>
      </w:r>
      <w:proofErr w:type="spellStart"/>
      <w:r w:rsidRPr="00ED35A9">
        <w:rPr>
          <w:lang w:val="uk-UA"/>
        </w:rPr>
        <w:t>бедаквіліну</w:t>
      </w:r>
      <w:proofErr w:type="spellEnd"/>
      <w:r w:rsidRPr="00ED35A9">
        <w:rPr>
          <w:lang w:val="uk-UA"/>
        </w:rPr>
        <w:t xml:space="preserve">, </w:t>
      </w:r>
      <w:proofErr w:type="spellStart"/>
      <w:r w:rsidRPr="00ED35A9">
        <w:rPr>
          <w:lang w:val="uk-UA"/>
        </w:rPr>
        <w:t>лінезоліду</w:t>
      </w:r>
      <w:proofErr w:type="spellEnd"/>
      <w:r w:rsidRPr="00ED35A9">
        <w:rPr>
          <w:lang w:val="uk-UA"/>
        </w:rPr>
        <w:t xml:space="preserve"> та </w:t>
      </w:r>
      <w:proofErr w:type="spellStart"/>
      <w:r w:rsidRPr="00ED35A9">
        <w:rPr>
          <w:lang w:val="uk-UA"/>
        </w:rPr>
        <w:t>клофазиміну</w:t>
      </w:r>
      <w:proofErr w:type="spellEnd"/>
      <w:r w:rsidRPr="00ED35A9">
        <w:rPr>
          <w:lang w:val="uk-UA"/>
        </w:rPr>
        <w:t xml:space="preserve">, рішення щодо лікування мають покладатися на ймовірність резистентності до препаратів, визначену на основі клінічної історії пацієнта та даних епіднагляду </w:t>
      </w:r>
      <w:r w:rsidR="007D0358" w:rsidRPr="00ED35A9">
        <w:rPr>
          <w:lang w:val="uk-UA"/>
        </w:rPr>
        <w:t>в</w:t>
      </w:r>
      <w:r w:rsidRPr="00ED35A9">
        <w:rPr>
          <w:lang w:val="uk-UA"/>
        </w:rPr>
        <w:t xml:space="preserve"> країні або регіон</w:t>
      </w:r>
      <w:r w:rsidR="007D0358" w:rsidRPr="00ED35A9">
        <w:rPr>
          <w:lang w:val="uk-UA"/>
        </w:rPr>
        <w:t>і</w:t>
      </w:r>
      <w:r w:rsidRPr="00ED35A9">
        <w:rPr>
          <w:lang w:val="uk-UA"/>
        </w:rPr>
        <w:t>.</w:t>
      </w:r>
    </w:p>
    <w:p w:rsidR="005C312E" w:rsidRPr="00ED35A9" w:rsidRDefault="005C312E" w:rsidP="005C312E">
      <w:pPr>
        <w:rPr>
          <w:lang w:val="uk-UA"/>
        </w:rPr>
      </w:pPr>
      <w:r w:rsidRPr="00ED35A9">
        <w:rPr>
          <w:b/>
          <w:i/>
          <w:lang w:val="uk-UA"/>
        </w:rPr>
        <w:t>Риф-ТБ.</w:t>
      </w:r>
      <w:r w:rsidRPr="00ED35A9">
        <w:rPr>
          <w:lang w:val="uk-UA"/>
        </w:rPr>
        <w:t xml:space="preserve"> Пацієнти (діти або дорослі) без резистентності до </w:t>
      </w:r>
      <w:proofErr w:type="spellStart"/>
      <w:r w:rsidRPr="00ED35A9">
        <w:rPr>
          <w:lang w:val="uk-UA"/>
        </w:rPr>
        <w:t>ізоніазиду</w:t>
      </w:r>
      <w:proofErr w:type="spellEnd"/>
      <w:r w:rsidRPr="00ED35A9">
        <w:rPr>
          <w:lang w:val="uk-UA"/>
        </w:rPr>
        <w:t xml:space="preserve"> мають проходити лікування за рекомендованою схемою для МРТБ: довгостроковою схемою лікування МРТБ із додаванням </w:t>
      </w:r>
      <w:proofErr w:type="spellStart"/>
      <w:r w:rsidRPr="00ED35A9">
        <w:rPr>
          <w:lang w:val="uk-UA"/>
        </w:rPr>
        <w:t>ізоніазиду</w:t>
      </w:r>
      <w:proofErr w:type="spellEnd"/>
      <w:r w:rsidRPr="00ED35A9">
        <w:rPr>
          <w:lang w:val="uk-UA"/>
        </w:rPr>
        <w:t xml:space="preserve"> або короткостроковою схемою лікування МРТБ у відповідних пацієнтів (</w:t>
      </w:r>
      <w:r w:rsidRPr="00ED35A9">
        <w:rPr>
          <w:i/>
          <w:lang w:val="uk-UA"/>
        </w:rPr>
        <w:t>див.</w:t>
      </w:r>
      <w:r w:rsidRPr="00ED35A9">
        <w:rPr>
          <w:lang w:val="uk-UA"/>
        </w:rPr>
        <w:t xml:space="preserve"> також розділ 4). Хоча </w:t>
      </w:r>
      <w:proofErr w:type="spellStart"/>
      <w:r w:rsidRPr="00ED35A9">
        <w:rPr>
          <w:lang w:val="uk-UA"/>
        </w:rPr>
        <w:t>ізоніазид</w:t>
      </w:r>
      <w:proofErr w:type="spellEnd"/>
      <w:r w:rsidRPr="00ED35A9">
        <w:rPr>
          <w:lang w:val="uk-UA"/>
        </w:rPr>
        <w:t xml:space="preserve"> у високих дозах не входить до груп А–С через рідкісність його застосування у сучасних довгострокових схемах для лікування дорослих з МР/Риф-ТБ, його все </w:t>
      </w:r>
      <w:r w:rsidR="007D0358" w:rsidRPr="00ED35A9">
        <w:rPr>
          <w:lang w:val="uk-UA"/>
        </w:rPr>
        <w:t xml:space="preserve">ж </w:t>
      </w:r>
      <w:r w:rsidR="00B14108" w:rsidRPr="00ED35A9">
        <w:rPr>
          <w:lang w:val="uk-UA"/>
        </w:rPr>
        <w:t xml:space="preserve">таки </w:t>
      </w:r>
      <w:r w:rsidRPr="00ED35A9">
        <w:rPr>
          <w:lang w:val="uk-UA"/>
        </w:rPr>
        <w:t xml:space="preserve">можна застосовувати у пацієнтів із підтвердженою чутливістю або за наявності мутацій, які зазвичай не призводять до повної резистентності до </w:t>
      </w:r>
      <w:proofErr w:type="spellStart"/>
      <w:r w:rsidRPr="00ED35A9">
        <w:rPr>
          <w:lang w:val="uk-UA"/>
        </w:rPr>
        <w:t>ізоніазиду</w:t>
      </w:r>
      <w:proofErr w:type="spellEnd"/>
      <w:r w:rsidRPr="00ED35A9">
        <w:rPr>
          <w:lang w:val="uk-UA"/>
        </w:rPr>
        <w:t xml:space="preserve">. За даними огляду доказових даних ВООЗ 2016 р., </w:t>
      </w:r>
      <w:proofErr w:type="spellStart"/>
      <w:r w:rsidRPr="00ED35A9">
        <w:rPr>
          <w:lang w:val="uk-UA"/>
        </w:rPr>
        <w:t>ізоніазид</w:t>
      </w:r>
      <w:proofErr w:type="spellEnd"/>
      <w:r w:rsidRPr="00ED35A9">
        <w:rPr>
          <w:lang w:val="uk-UA"/>
        </w:rPr>
        <w:t xml:space="preserve"> у високих дозах є важливим компонентом педіатричних схем, і на основі цих даних </w:t>
      </w:r>
      <w:proofErr w:type="spellStart"/>
      <w:r w:rsidRPr="00ED35A9">
        <w:rPr>
          <w:lang w:val="uk-UA"/>
        </w:rPr>
        <w:t>проекстрапольовано</w:t>
      </w:r>
      <w:proofErr w:type="spellEnd"/>
      <w:r w:rsidRPr="00ED35A9">
        <w:rPr>
          <w:lang w:val="uk-UA"/>
        </w:rPr>
        <w:t xml:space="preserve"> його застосування у дорослих </w:t>
      </w:r>
      <w:r w:rsidRPr="00ED35A9">
        <w:rPr>
          <w:i/>
          <w:lang w:val="uk-UA"/>
        </w:rPr>
        <w:t>(44)</w:t>
      </w:r>
      <w:r w:rsidRPr="00ED35A9">
        <w:rPr>
          <w:lang w:val="uk-UA"/>
        </w:rPr>
        <w:t>.</w:t>
      </w:r>
      <w:r w:rsidRPr="00ED35A9">
        <w:rPr>
          <w:rStyle w:val="Bodytext2Italic"/>
          <w:rFonts w:cs="Times New Roman"/>
          <w:szCs w:val="28"/>
          <w:lang w:val="uk-UA"/>
        </w:rPr>
        <w:t xml:space="preserve"> </w:t>
      </w:r>
      <w:r w:rsidRPr="00ED35A9">
        <w:rPr>
          <w:lang w:val="uk-UA"/>
        </w:rPr>
        <w:t>У цьому ан</w:t>
      </w:r>
      <w:r w:rsidR="00B14108" w:rsidRPr="00ED35A9">
        <w:rPr>
          <w:lang w:val="uk-UA"/>
        </w:rPr>
        <w:t xml:space="preserve">алізі застосування </w:t>
      </w:r>
      <w:proofErr w:type="spellStart"/>
      <w:r w:rsidR="00B14108" w:rsidRPr="00ED35A9">
        <w:rPr>
          <w:lang w:val="uk-UA"/>
        </w:rPr>
        <w:t>ізоніазиду</w:t>
      </w:r>
      <w:proofErr w:type="spellEnd"/>
      <w:r w:rsidR="00B14108" w:rsidRPr="00ED35A9">
        <w:rPr>
          <w:lang w:val="uk-UA"/>
        </w:rPr>
        <w:t xml:space="preserve"> у </w:t>
      </w:r>
      <w:r w:rsidRPr="00ED35A9">
        <w:rPr>
          <w:lang w:val="uk-UA"/>
        </w:rPr>
        <w:t>високих дозах призводило до успіху лікування у дітей із підтвердженим МРТБ (</w:t>
      </w:r>
      <w:proofErr w:type="spellStart"/>
      <w:r w:rsidRPr="00ED35A9">
        <w:rPr>
          <w:lang w:val="uk-UA"/>
        </w:rPr>
        <w:t>aOR</w:t>
      </w:r>
      <w:proofErr w:type="spellEnd"/>
      <w:r w:rsidRPr="00ED35A9">
        <w:rPr>
          <w:lang w:val="uk-UA"/>
        </w:rPr>
        <w:t xml:space="preserve"> 5,9; 95% ДІ 1,7–20,5; p=0,007).</w:t>
      </w:r>
    </w:p>
    <w:p w:rsidR="005C312E" w:rsidRPr="00ED35A9" w:rsidRDefault="005C312E" w:rsidP="005C312E">
      <w:pPr>
        <w:rPr>
          <w:lang w:val="uk-UA"/>
        </w:rPr>
      </w:pPr>
      <w:r w:rsidRPr="00ED35A9">
        <w:rPr>
          <w:b/>
          <w:i/>
          <w:lang w:val="uk-UA"/>
        </w:rPr>
        <w:lastRenderedPageBreak/>
        <w:t>Діти.</w:t>
      </w:r>
      <w:r w:rsidRPr="00ED35A9">
        <w:rPr>
          <w:lang w:val="uk-UA"/>
        </w:rPr>
        <w:t xml:space="preserve"> При проведенні огляду ІДП 2018 р. на довгострокових схемах переважно було охоплено дорослих пацієнтів, лише 181 пацієнт з 13 104 (1,4%) був молодше 15 років. Проте рекомендації ВООЗ щодо застосування довгострокових схем лікування МРТБ придатні для дітей так само, як і для дорослих. Більшість препаратів, що застосовують у довгострокових схемах, входили до схеми лікування МРТБ протягом тривалого часу у подібних комбінаціях як для дорослих, так і для дітей. ГРН рекомендовано застосування </w:t>
      </w:r>
      <w:proofErr w:type="spellStart"/>
      <w:r w:rsidRPr="00ED35A9">
        <w:rPr>
          <w:lang w:val="uk-UA"/>
        </w:rPr>
        <w:t>бедаквіліну</w:t>
      </w:r>
      <w:proofErr w:type="spellEnd"/>
      <w:r w:rsidRPr="00ED35A9">
        <w:rPr>
          <w:lang w:val="uk-UA"/>
        </w:rPr>
        <w:t xml:space="preserve"> у дітей віком від 6 років, а </w:t>
      </w:r>
      <w:proofErr w:type="spellStart"/>
      <w:r w:rsidRPr="00ED35A9">
        <w:rPr>
          <w:lang w:val="uk-UA"/>
        </w:rPr>
        <w:t>деламаніду</w:t>
      </w:r>
      <w:proofErr w:type="spellEnd"/>
      <w:r w:rsidRPr="00ED35A9">
        <w:rPr>
          <w:lang w:val="uk-UA"/>
        </w:rPr>
        <w:t xml:space="preserve"> – від 3 років (</w:t>
      </w:r>
      <w:r w:rsidRPr="00ED35A9">
        <w:rPr>
          <w:i/>
          <w:lang w:val="uk-UA"/>
        </w:rPr>
        <w:t>див.</w:t>
      </w:r>
      <w:r w:rsidRPr="00ED35A9">
        <w:rPr>
          <w:lang w:val="uk-UA"/>
        </w:rPr>
        <w:t xml:space="preserve"> раніше у цьому розділі частину «Коментарі»). Відтворити експозицію </w:t>
      </w:r>
      <w:proofErr w:type="spellStart"/>
      <w:r w:rsidRPr="00ED35A9">
        <w:rPr>
          <w:lang w:val="uk-UA"/>
        </w:rPr>
        <w:t>деламаніду</w:t>
      </w:r>
      <w:proofErr w:type="spellEnd"/>
      <w:r w:rsidRPr="00ED35A9">
        <w:rPr>
          <w:lang w:val="uk-UA"/>
        </w:rPr>
        <w:t xml:space="preserve">, досягнуту в дослідженні з тестування спеціальних таблеток із дозуванням 25 мг у дітей віком 3–5 років, ймовірно буде складно, зважаючи на те, що така лікарська форма не є </w:t>
      </w:r>
      <w:proofErr w:type="spellStart"/>
      <w:r w:rsidRPr="00ED35A9">
        <w:rPr>
          <w:lang w:val="uk-UA"/>
        </w:rPr>
        <w:t>біоеквівалентною</w:t>
      </w:r>
      <w:proofErr w:type="spellEnd"/>
      <w:r w:rsidRPr="00ED35A9">
        <w:rPr>
          <w:lang w:val="uk-UA"/>
        </w:rPr>
        <w:t xml:space="preserve"> </w:t>
      </w:r>
      <w:proofErr w:type="spellStart"/>
      <w:r w:rsidRPr="00ED35A9">
        <w:rPr>
          <w:lang w:val="uk-UA"/>
        </w:rPr>
        <w:t>таблетованому</w:t>
      </w:r>
      <w:proofErr w:type="spellEnd"/>
      <w:r w:rsidRPr="00ED35A9">
        <w:rPr>
          <w:lang w:val="uk-UA"/>
        </w:rPr>
        <w:t xml:space="preserve"> </w:t>
      </w:r>
      <w:proofErr w:type="spellStart"/>
      <w:r w:rsidRPr="00ED35A9">
        <w:rPr>
          <w:lang w:val="uk-UA"/>
        </w:rPr>
        <w:t>деламаніду</w:t>
      </w:r>
      <w:proofErr w:type="spellEnd"/>
      <w:r w:rsidRPr="00ED35A9">
        <w:rPr>
          <w:lang w:val="uk-UA"/>
        </w:rPr>
        <w:t xml:space="preserve"> із дозуванням 50 мг для дорослих, а це єдина форма, доступна в передбачуваному майбутньому (</w:t>
      </w:r>
      <w:r w:rsidRPr="00ED35A9">
        <w:rPr>
          <w:i/>
          <w:lang w:val="uk-UA"/>
        </w:rPr>
        <w:t>див.</w:t>
      </w:r>
      <w:r w:rsidRPr="00ED35A9">
        <w:rPr>
          <w:lang w:val="uk-UA"/>
        </w:rPr>
        <w:t xml:space="preserve"> документи, на основі яких було розроблено оновлення настанови 2018 р., у додатку 9). Також існують побоювання, що таблетка для дорослих може кришитися під час спроб її розділити, а вміст її надзвичайно гіркий та неприємний. Також розділення, </w:t>
      </w:r>
      <w:proofErr w:type="spellStart"/>
      <w:r w:rsidRPr="00ED35A9">
        <w:rPr>
          <w:lang w:val="uk-UA"/>
        </w:rPr>
        <w:t>роз</w:t>
      </w:r>
      <w:r w:rsidR="007D0358" w:rsidRPr="00ED35A9">
        <w:rPr>
          <w:lang w:val="uk-UA"/>
        </w:rPr>
        <w:t>ч</w:t>
      </w:r>
      <w:r w:rsidRPr="00ED35A9">
        <w:rPr>
          <w:lang w:val="uk-UA"/>
        </w:rPr>
        <w:t>авлювання</w:t>
      </w:r>
      <w:proofErr w:type="spellEnd"/>
      <w:r w:rsidRPr="00ED35A9">
        <w:rPr>
          <w:lang w:val="uk-UA"/>
        </w:rPr>
        <w:t xml:space="preserve"> або розчин таблетки із дозуванням 50 мг може змінювати її </w:t>
      </w:r>
      <w:proofErr w:type="spellStart"/>
      <w:r w:rsidRPr="00ED35A9">
        <w:rPr>
          <w:lang w:val="uk-UA"/>
        </w:rPr>
        <w:t>біоеквівалентність</w:t>
      </w:r>
      <w:proofErr w:type="spellEnd"/>
      <w:r w:rsidRPr="00ED35A9">
        <w:rPr>
          <w:lang w:val="uk-UA"/>
        </w:rPr>
        <w:t xml:space="preserve">. </w:t>
      </w:r>
      <w:proofErr w:type="spellStart"/>
      <w:r w:rsidRPr="00ED35A9">
        <w:rPr>
          <w:lang w:val="uk-UA"/>
        </w:rPr>
        <w:t>Деламанід</w:t>
      </w:r>
      <w:proofErr w:type="spellEnd"/>
      <w:r w:rsidRPr="00ED35A9">
        <w:rPr>
          <w:lang w:val="uk-UA"/>
        </w:rPr>
        <w:t xml:space="preserve"> піддається окисленню і тепловому впливу, тому зберігання фрагментів таблетки для пізнішого використання ймовірно спричинить отримання меншого обсягу активної речовини із невизначеними продуктами окислення. Уникання </w:t>
      </w:r>
      <w:proofErr w:type="spellStart"/>
      <w:r w:rsidRPr="00ED35A9">
        <w:rPr>
          <w:lang w:val="uk-UA"/>
        </w:rPr>
        <w:t>ін’єкційно-вмісних</w:t>
      </w:r>
      <w:proofErr w:type="spellEnd"/>
      <w:r w:rsidRPr="00ED35A9">
        <w:rPr>
          <w:lang w:val="uk-UA"/>
        </w:rPr>
        <w:t xml:space="preserve"> схем </w:t>
      </w:r>
      <w:r w:rsidR="007D0358" w:rsidRPr="00ED35A9">
        <w:rPr>
          <w:lang w:val="uk-UA"/>
        </w:rPr>
        <w:t xml:space="preserve">є </w:t>
      </w:r>
      <w:r w:rsidRPr="00ED35A9">
        <w:rPr>
          <w:lang w:val="uk-UA"/>
        </w:rPr>
        <w:t>особливо актуальн</w:t>
      </w:r>
      <w:r w:rsidR="007D0358" w:rsidRPr="00ED35A9">
        <w:rPr>
          <w:lang w:val="uk-UA"/>
        </w:rPr>
        <w:t xml:space="preserve">им </w:t>
      </w:r>
      <w:r w:rsidRPr="00ED35A9">
        <w:rPr>
          <w:lang w:val="uk-UA"/>
        </w:rPr>
        <w:t xml:space="preserve">при лікуванні дітей, зокрема дітей наймолодшого віку з легким перебігом захворювання, що визначається відсутністю недостатності харчування, серйозних форм </w:t>
      </w:r>
      <w:proofErr w:type="spellStart"/>
      <w:r w:rsidRPr="00ED35A9">
        <w:rPr>
          <w:lang w:val="uk-UA"/>
        </w:rPr>
        <w:t>позалегеневого</w:t>
      </w:r>
      <w:proofErr w:type="spellEnd"/>
      <w:r w:rsidRPr="00ED35A9">
        <w:rPr>
          <w:lang w:val="uk-UA"/>
        </w:rPr>
        <w:t xml:space="preserve"> захворювання, кавітації на радіографії грудної кліт</w:t>
      </w:r>
      <w:r w:rsidR="00236DCB" w:rsidRPr="00ED35A9">
        <w:rPr>
          <w:lang w:val="uk-UA"/>
        </w:rPr>
        <w:t>к</w:t>
      </w:r>
      <w:r w:rsidRPr="00ED35A9">
        <w:rPr>
          <w:lang w:val="uk-UA"/>
        </w:rPr>
        <w:t xml:space="preserve">и або ВІЛ-інфекції. Втрата слуху може </w:t>
      </w:r>
      <w:proofErr w:type="spellStart"/>
      <w:r w:rsidRPr="00ED35A9">
        <w:rPr>
          <w:lang w:val="uk-UA"/>
        </w:rPr>
        <w:t>незворотно</w:t>
      </w:r>
      <w:proofErr w:type="spellEnd"/>
      <w:r w:rsidRPr="00ED35A9">
        <w:rPr>
          <w:lang w:val="uk-UA"/>
        </w:rPr>
        <w:t xml:space="preserve"> вплинути на набуття мовлення та здатність навчатися у школі, тому впродовж застосування </w:t>
      </w:r>
      <w:proofErr w:type="spellStart"/>
      <w:r w:rsidRPr="00ED35A9">
        <w:rPr>
          <w:lang w:val="uk-UA"/>
        </w:rPr>
        <w:t>амікацину</w:t>
      </w:r>
      <w:proofErr w:type="spellEnd"/>
      <w:r w:rsidRPr="00ED35A9">
        <w:rPr>
          <w:lang w:val="uk-UA"/>
        </w:rPr>
        <w:t xml:space="preserve"> або стрептоміцину у дітей дуже важливим є проведення регулярної аудіометрії (рекомендації 2018 р., переважно спрямовані на дорослих).</w:t>
      </w:r>
    </w:p>
    <w:p w:rsidR="005C312E" w:rsidRPr="00ED35A9" w:rsidRDefault="005C312E" w:rsidP="005C312E">
      <w:pPr>
        <w:rPr>
          <w:lang w:val="uk-UA"/>
        </w:rPr>
      </w:pPr>
      <w:proofErr w:type="spellStart"/>
      <w:r w:rsidRPr="00ED35A9">
        <w:rPr>
          <w:b/>
          <w:i/>
          <w:lang w:val="uk-UA"/>
        </w:rPr>
        <w:t>Позалегеневий</w:t>
      </w:r>
      <w:proofErr w:type="spellEnd"/>
      <w:r w:rsidRPr="00ED35A9">
        <w:rPr>
          <w:b/>
          <w:i/>
          <w:lang w:val="uk-UA"/>
        </w:rPr>
        <w:t xml:space="preserve"> ТБ і туберкульозний менінгіт. </w:t>
      </w:r>
      <w:r w:rsidRPr="00ED35A9">
        <w:rPr>
          <w:lang w:val="uk-UA"/>
        </w:rPr>
        <w:t xml:space="preserve">Рекомендації ВООЗ щодо довгострокових схем при лікуванні МРТБ стосуються також і пацієнтів з </w:t>
      </w:r>
      <w:proofErr w:type="spellStart"/>
      <w:r w:rsidRPr="00ED35A9">
        <w:rPr>
          <w:lang w:val="uk-UA"/>
        </w:rPr>
        <w:t>позалегеневим</w:t>
      </w:r>
      <w:proofErr w:type="spellEnd"/>
      <w:r w:rsidRPr="00ED35A9">
        <w:rPr>
          <w:lang w:val="uk-UA"/>
        </w:rPr>
        <w:t xml:space="preserve"> захворюванням. Може виникнути потреба у корекції залежно від специфіки локалізації захворювання. Лікування МР/Риф-ТБ менінгіту найкраще визначати за ТМЧ штаму інфекції з урахуванням характеристик ПТП, що </w:t>
      </w:r>
      <w:r w:rsidR="007234EB" w:rsidRPr="00ED35A9">
        <w:rPr>
          <w:lang w:val="uk-UA"/>
        </w:rPr>
        <w:t>проходять</w:t>
      </w:r>
      <w:r w:rsidRPr="00ED35A9">
        <w:rPr>
          <w:lang w:val="uk-UA"/>
        </w:rPr>
        <w:t xml:space="preserve"> </w:t>
      </w:r>
      <w:proofErr w:type="spellStart"/>
      <w:r w:rsidRPr="00ED35A9">
        <w:rPr>
          <w:lang w:val="uk-UA"/>
        </w:rPr>
        <w:t>гематоенцефалічний</w:t>
      </w:r>
      <w:proofErr w:type="spellEnd"/>
      <w:r w:rsidRPr="00ED35A9">
        <w:rPr>
          <w:lang w:val="uk-UA"/>
        </w:rPr>
        <w:t xml:space="preserve"> бар’єр. </w:t>
      </w:r>
      <w:proofErr w:type="spellStart"/>
      <w:r w:rsidRPr="00ED35A9">
        <w:rPr>
          <w:lang w:val="uk-UA"/>
        </w:rPr>
        <w:t>Левофлоксацин</w:t>
      </w:r>
      <w:proofErr w:type="spellEnd"/>
      <w:r w:rsidRPr="00ED35A9">
        <w:rPr>
          <w:lang w:val="uk-UA"/>
        </w:rPr>
        <w:t xml:space="preserve"> та </w:t>
      </w:r>
      <w:proofErr w:type="spellStart"/>
      <w:r w:rsidRPr="00ED35A9">
        <w:rPr>
          <w:lang w:val="uk-UA"/>
        </w:rPr>
        <w:t>моксіфлоксацин</w:t>
      </w:r>
      <w:proofErr w:type="spellEnd"/>
      <w:r w:rsidRPr="00ED35A9">
        <w:rPr>
          <w:lang w:val="uk-UA"/>
        </w:rPr>
        <w:t xml:space="preserve"> добре проникають до центральної нервової системи (ЦНС) </w:t>
      </w:r>
      <w:r w:rsidRPr="00ED35A9">
        <w:rPr>
          <w:i/>
          <w:lang w:val="uk-UA"/>
        </w:rPr>
        <w:t>(50)</w:t>
      </w:r>
      <w:r w:rsidRPr="00ED35A9">
        <w:rPr>
          <w:lang w:val="uk-UA"/>
        </w:rPr>
        <w:t xml:space="preserve">, так само як і </w:t>
      </w:r>
      <w:proofErr w:type="spellStart"/>
      <w:r w:rsidRPr="00ED35A9">
        <w:rPr>
          <w:lang w:val="uk-UA"/>
        </w:rPr>
        <w:t>етіонамід</w:t>
      </w:r>
      <w:proofErr w:type="spellEnd"/>
      <w:r w:rsidRPr="00ED35A9">
        <w:rPr>
          <w:lang w:val="uk-UA"/>
        </w:rPr>
        <w:t>/</w:t>
      </w:r>
      <w:proofErr w:type="spellStart"/>
      <w:r w:rsidRPr="00ED35A9">
        <w:rPr>
          <w:lang w:val="uk-UA"/>
        </w:rPr>
        <w:t>протіонамід</w:t>
      </w:r>
      <w:proofErr w:type="spellEnd"/>
      <w:r w:rsidRPr="00ED35A9">
        <w:rPr>
          <w:lang w:val="uk-UA"/>
        </w:rPr>
        <w:t xml:space="preserve">, </w:t>
      </w:r>
      <w:proofErr w:type="spellStart"/>
      <w:r w:rsidRPr="00ED35A9">
        <w:rPr>
          <w:lang w:val="uk-UA"/>
        </w:rPr>
        <w:t>циклосерін</w:t>
      </w:r>
      <w:proofErr w:type="spellEnd"/>
      <w:r w:rsidRPr="00ED35A9">
        <w:rPr>
          <w:lang w:val="uk-UA"/>
        </w:rPr>
        <w:t>/</w:t>
      </w:r>
      <w:proofErr w:type="spellStart"/>
      <w:r w:rsidRPr="00ED35A9">
        <w:rPr>
          <w:lang w:val="uk-UA"/>
        </w:rPr>
        <w:t>теризидон</w:t>
      </w:r>
      <w:proofErr w:type="spellEnd"/>
      <w:r w:rsidRPr="00ED35A9">
        <w:rPr>
          <w:lang w:val="uk-UA"/>
        </w:rPr>
        <w:t xml:space="preserve">, </w:t>
      </w:r>
      <w:proofErr w:type="spellStart"/>
      <w:r w:rsidRPr="00ED35A9">
        <w:rPr>
          <w:lang w:val="uk-UA"/>
        </w:rPr>
        <w:t>лінезолід</w:t>
      </w:r>
      <w:proofErr w:type="spellEnd"/>
      <w:r w:rsidRPr="00ED35A9">
        <w:rPr>
          <w:lang w:val="uk-UA"/>
        </w:rPr>
        <w:t xml:space="preserve"> та </w:t>
      </w:r>
      <w:proofErr w:type="spellStart"/>
      <w:r w:rsidRPr="00ED35A9">
        <w:rPr>
          <w:lang w:val="uk-UA"/>
        </w:rPr>
        <w:t>іміпенем-циластатин</w:t>
      </w:r>
      <w:proofErr w:type="spellEnd"/>
      <w:r w:rsidRPr="00ED35A9">
        <w:rPr>
          <w:lang w:val="uk-UA"/>
        </w:rPr>
        <w:t xml:space="preserve"> </w:t>
      </w:r>
      <w:r w:rsidRPr="00ED35A9">
        <w:rPr>
          <w:i/>
          <w:lang w:val="uk-UA"/>
        </w:rPr>
        <w:t>(51, 52)</w:t>
      </w:r>
      <w:r w:rsidRPr="00ED35A9">
        <w:rPr>
          <w:lang w:val="uk-UA"/>
        </w:rPr>
        <w:t xml:space="preserve">. Судомні напади можуть бути більш поширеним явищем у дітей із менінгітом при лікуванні </w:t>
      </w:r>
      <w:proofErr w:type="spellStart"/>
      <w:r w:rsidRPr="00ED35A9">
        <w:rPr>
          <w:lang w:val="uk-UA"/>
        </w:rPr>
        <w:t>іміпенем-циластатином</w:t>
      </w:r>
      <w:proofErr w:type="spellEnd"/>
      <w:r w:rsidRPr="00ED35A9">
        <w:rPr>
          <w:lang w:val="uk-UA"/>
        </w:rPr>
        <w:t xml:space="preserve"> (для випадків менінгіту у дітей більш пріоритетним є застосування </w:t>
      </w:r>
      <w:proofErr w:type="spellStart"/>
      <w:r w:rsidRPr="00ED35A9">
        <w:rPr>
          <w:lang w:val="uk-UA"/>
        </w:rPr>
        <w:t>меропенему</w:t>
      </w:r>
      <w:proofErr w:type="spellEnd"/>
      <w:r w:rsidRPr="00ED35A9">
        <w:rPr>
          <w:lang w:val="uk-UA"/>
        </w:rPr>
        <w:t xml:space="preserve">). </w:t>
      </w:r>
      <w:proofErr w:type="spellStart"/>
      <w:r w:rsidRPr="00ED35A9">
        <w:rPr>
          <w:lang w:val="uk-UA"/>
        </w:rPr>
        <w:t>Ізоніазид</w:t>
      </w:r>
      <w:proofErr w:type="spellEnd"/>
      <w:r w:rsidRPr="00ED35A9">
        <w:rPr>
          <w:lang w:val="uk-UA"/>
        </w:rPr>
        <w:t xml:space="preserve"> у високих дозах та </w:t>
      </w:r>
      <w:proofErr w:type="spellStart"/>
      <w:r w:rsidRPr="00ED35A9">
        <w:rPr>
          <w:lang w:val="uk-UA"/>
        </w:rPr>
        <w:t>піразинамід</w:t>
      </w:r>
      <w:proofErr w:type="spellEnd"/>
      <w:r w:rsidRPr="00ED35A9">
        <w:rPr>
          <w:lang w:val="uk-UA"/>
        </w:rPr>
        <w:t xml:space="preserve"> також можуть досягати терапевтичних рівнів у спинномозковій рідині, і є еф</w:t>
      </w:r>
      <w:r w:rsidR="00C31005" w:rsidRPr="00ED35A9">
        <w:rPr>
          <w:lang w:val="uk-UA"/>
        </w:rPr>
        <w:t>е</w:t>
      </w:r>
      <w:r w:rsidRPr="00ED35A9">
        <w:rPr>
          <w:lang w:val="uk-UA"/>
        </w:rPr>
        <w:t xml:space="preserve">ктивними за умови чутливості штамів; </w:t>
      </w:r>
      <w:proofErr w:type="spellStart"/>
      <w:r w:rsidRPr="00ED35A9">
        <w:rPr>
          <w:lang w:val="uk-UA"/>
        </w:rPr>
        <w:t>парааміносаліцилова</w:t>
      </w:r>
      <w:proofErr w:type="spellEnd"/>
      <w:r w:rsidRPr="00ED35A9">
        <w:rPr>
          <w:lang w:val="uk-UA"/>
        </w:rPr>
        <w:t xml:space="preserve"> кислота та </w:t>
      </w:r>
      <w:proofErr w:type="spellStart"/>
      <w:r w:rsidRPr="00ED35A9">
        <w:rPr>
          <w:lang w:val="uk-UA"/>
        </w:rPr>
        <w:t>етамбутол</w:t>
      </w:r>
      <w:proofErr w:type="spellEnd"/>
      <w:r w:rsidRPr="00ED35A9">
        <w:rPr>
          <w:lang w:val="uk-UA"/>
        </w:rPr>
        <w:t xml:space="preserve"> не проникають належним чином до ЦНС і не </w:t>
      </w:r>
      <w:r w:rsidRPr="00ED35A9">
        <w:rPr>
          <w:lang w:val="uk-UA"/>
        </w:rPr>
        <w:lastRenderedPageBreak/>
        <w:t xml:space="preserve">вважаються ефективними препаратами для лікування МРТБ менінгіту. </w:t>
      </w:r>
      <w:proofErr w:type="spellStart"/>
      <w:r w:rsidRPr="00ED35A9">
        <w:rPr>
          <w:lang w:val="uk-UA"/>
        </w:rPr>
        <w:t>Амікацин</w:t>
      </w:r>
      <w:proofErr w:type="spellEnd"/>
      <w:r w:rsidRPr="00ED35A9">
        <w:rPr>
          <w:lang w:val="uk-UA"/>
        </w:rPr>
        <w:t xml:space="preserve"> та стрептоміцин проникають до ЦНС лише за наявності запалення оболонок мозку. Існує незначна кількість даних щодо проникнення </w:t>
      </w:r>
      <w:proofErr w:type="spellStart"/>
      <w:r w:rsidRPr="00ED35A9">
        <w:rPr>
          <w:lang w:val="uk-UA"/>
        </w:rPr>
        <w:t>клофазиміну</w:t>
      </w:r>
      <w:proofErr w:type="spellEnd"/>
      <w:r w:rsidRPr="00ED35A9">
        <w:rPr>
          <w:lang w:val="uk-UA"/>
        </w:rPr>
        <w:t xml:space="preserve">, </w:t>
      </w:r>
      <w:proofErr w:type="spellStart"/>
      <w:r w:rsidRPr="00ED35A9">
        <w:rPr>
          <w:lang w:val="uk-UA"/>
        </w:rPr>
        <w:t>бедаквіліну</w:t>
      </w:r>
      <w:proofErr w:type="spellEnd"/>
      <w:r w:rsidRPr="00ED35A9">
        <w:rPr>
          <w:lang w:val="uk-UA"/>
        </w:rPr>
        <w:t xml:space="preserve"> або </w:t>
      </w:r>
      <w:proofErr w:type="spellStart"/>
      <w:r w:rsidRPr="00ED35A9">
        <w:rPr>
          <w:lang w:val="uk-UA"/>
        </w:rPr>
        <w:t>деламаніду</w:t>
      </w:r>
      <w:proofErr w:type="spellEnd"/>
      <w:r w:rsidRPr="00ED35A9">
        <w:rPr>
          <w:lang w:val="uk-UA"/>
        </w:rPr>
        <w:t xml:space="preserve"> до ЦНС.</w:t>
      </w:r>
    </w:p>
    <w:p w:rsidR="005C312E" w:rsidRPr="00ED35A9" w:rsidRDefault="005C312E" w:rsidP="005C312E">
      <w:pPr>
        <w:rPr>
          <w:color w:val="000000" w:themeColor="text1"/>
          <w:lang w:val="uk-UA"/>
        </w:rPr>
      </w:pPr>
      <w:r w:rsidRPr="00ED35A9">
        <w:rPr>
          <w:b/>
          <w:i/>
          <w:color w:val="000000" w:themeColor="text1"/>
          <w:lang w:val="uk-UA"/>
        </w:rPr>
        <w:t>Вагітність.</w:t>
      </w:r>
      <w:r w:rsidRPr="00ED35A9">
        <w:rPr>
          <w:color w:val="000000" w:themeColor="text1"/>
          <w:lang w:val="uk-UA"/>
        </w:rPr>
        <w:t xml:space="preserve"> Застосування </w:t>
      </w:r>
      <w:proofErr w:type="spellStart"/>
      <w:r w:rsidRPr="00ED35A9">
        <w:rPr>
          <w:color w:val="000000" w:themeColor="text1"/>
          <w:lang w:val="uk-UA"/>
        </w:rPr>
        <w:t>амікацину</w:t>
      </w:r>
      <w:proofErr w:type="spellEnd"/>
      <w:r w:rsidRPr="00ED35A9">
        <w:rPr>
          <w:color w:val="000000" w:themeColor="text1"/>
          <w:lang w:val="uk-UA"/>
        </w:rPr>
        <w:t xml:space="preserve">, стрептоміцину, </w:t>
      </w:r>
      <w:proofErr w:type="spellStart"/>
      <w:r w:rsidRPr="00ED35A9">
        <w:rPr>
          <w:color w:val="000000" w:themeColor="text1"/>
          <w:lang w:val="uk-UA"/>
        </w:rPr>
        <w:t>протіонаміду</w:t>
      </w:r>
      <w:proofErr w:type="spellEnd"/>
      <w:r w:rsidRPr="00ED35A9">
        <w:rPr>
          <w:color w:val="000000" w:themeColor="text1"/>
          <w:lang w:val="uk-UA"/>
        </w:rPr>
        <w:t xml:space="preserve"> та </w:t>
      </w:r>
      <w:proofErr w:type="spellStart"/>
      <w:r w:rsidRPr="00ED35A9">
        <w:rPr>
          <w:color w:val="000000" w:themeColor="text1"/>
          <w:lang w:val="uk-UA"/>
        </w:rPr>
        <w:t>етіонаміду</w:t>
      </w:r>
      <w:proofErr w:type="spellEnd"/>
      <w:r w:rsidRPr="00ED35A9">
        <w:rPr>
          <w:color w:val="000000" w:themeColor="text1"/>
          <w:lang w:val="uk-UA"/>
        </w:rPr>
        <w:t xml:space="preserve"> зазвичай протипоказано при вагітності. Після змін, внесених до оновленої настанови 2018 р., очкується більш обмежене застосування цих препаратів у майбутніх довгострокових схемах. Дані щодо безпеки застосування </w:t>
      </w:r>
      <w:proofErr w:type="spellStart"/>
      <w:r w:rsidRPr="00ED35A9">
        <w:rPr>
          <w:color w:val="000000" w:themeColor="text1"/>
          <w:lang w:val="uk-UA"/>
        </w:rPr>
        <w:t>бедаквіліну</w:t>
      </w:r>
      <w:proofErr w:type="spellEnd"/>
      <w:r w:rsidRPr="00ED35A9">
        <w:rPr>
          <w:color w:val="000000" w:themeColor="text1"/>
          <w:lang w:val="uk-UA"/>
        </w:rPr>
        <w:t xml:space="preserve"> й </w:t>
      </w:r>
      <w:proofErr w:type="spellStart"/>
      <w:r w:rsidRPr="00ED35A9">
        <w:rPr>
          <w:color w:val="000000" w:themeColor="text1"/>
          <w:lang w:val="uk-UA"/>
        </w:rPr>
        <w:t>деламаніду</w:t>
      </w:r>
      <w:proofErr w:type="spellEnd"/>
      <w:r w:rsidRPr="00ED35A9">
        <w:rPr>
          <w:color w:val="000000" w:themeColor="text1"/>
          <w:lang w:val="uk-UA"/>
        </w:rPr>
        <w:t xml:space="preserve"> під час вагітності та грудного </w:t>
      </w:r>
      <w:r w:rsidR="00C31005" w:rsidRPr="00ED35A9">
        <w:rPr>
          <w:color w:val="000000" w:themeColor="text1"/>
          <w:lang w:val="uk-UA"/>
        </w:rPr>
        <w:t xml:space="preserve">вигодовування </w:t>
      </w:r>
      <w:r w:rsidRPr="00ED35A9">
        <w:rPr>
          <w:color w:val="000000" w:themeColor="text1"/>
          <w:lang w:val="uk-UA"/>
        </w:rPr>
        <w:t>є обмеженими. В таких випадках рекомендовано індивідуалізувати довгострокову схему, включивши до її складу компоненти з більш визначеним профілем безпечності застосування. Результати лікування, вагітності та післяродовий нагляд за вродженими аномаліями мають ретельно документуватися, оскільки це допом</w:t>
      </w:r>
      <w:r w:rsidR="008E33EA" w:rsidRPr="00ED35A9">
        <w:rPr>
          <w:color w:val="000000" w:themeColor="text1"/>
          <w:lang w:val="uk-UA"/>
        </w:rPr>
        <w:t>а</w:t>
      </w:r>
      <w:r w:rsidR="00B14108" w:rsidRPr="00ED35A9">
        <w:rPr>
          <w:color w:val="000000" w:themeColor="text1"/>
          <w:lang w:val="uk-UA"/>
        </w:rPr>
        <w:t xml:space="preserve">гатиме </w:t>
      </w:r>
      <w:r w:rsidRPr="00ED35A9">
        <w:rPr>
          <w:color w:val="000000" w:themeColor="text1"/>
          <w:lang w:val="uk-UA"/>
        </w:rPr>
        <w:t>у визначенні майбутніх рекомендацій щодо лікування МРТБ при вагітності.</w:t>
      </w:r>
    </w:p>
    <w:p w:rsidR="005C312E" w:rsidRPr="00545A89" w:rsidRDefault="005C312E" w:rsidP="005C312E">
      <w:pPr>
        <w:rPr>
          <w:spacing w:val="-2"/>
          <w:lang w:val="uk-UA"/>
        </w:rPr>
      </w:pPr>
      <w:r w:rsidRPr="00545A89">
        <w:rPr>
          <w:b/>
          <w:i/>
          <w:spacing w:val="-2"/>
          <w:lang w:val="uk-UA"/>
        </w:rPr>
        <w:t>ВІЛ-інфекція.</w:t>
      </w:r>
      <w:r w:rsidRPr="00545A89">
        <w:rPr>
          <w:spacing w:val="-2"/>
          <w:lang w:val="uk-UA"/>
        </w:rPr>
        <w:t xml:space="preserve"> Склад схеми лікування МРТБ зазвичай істотно не відрізняється для людей, які живуть із ВІЛ (ЛЖВ). Проявивши уважність, можна уникнути небагатьох взаємодій між препаратами (наприклад, </w:t>
      </w:r>
      <w:proofErr w:type="spellStart"/>
      <w:r w:rsidRPr="00545A89">
        <w:rPr>
          <w:spacing w:val="-2"/>
          <w:lang w:val="uk-UA"/>
        </w:rPr>
        <w:t>бедаквіліну</w:t>
      </w:r>
      <w:proofErr w:type="spellEnd"/>
      <w:r w:rsidRPr="00545A89">
        <w:rPr>
          <w:spacing w:val="-2"/>
          <w:lang w:val="uk-UA"/>
        </w:rPr>
        <w:t xml:space="preserve"> та </w:t>
      </w:r>
      <w:proofErr w:type="spellStart"/>
      <w:r w:rsidRPr="00545A89">
        <w:rPr>
          <w:spacing w:val="-2"/>
          <w:lang w:val="uk-UA"/>
        </w:rPr>
        <w:t>ефавіренцу</w:t>
      </w:r>
      <w:proofErr w:type="spellEnd"/>
      <w:r w:rsidRPr="00545A89">
        <w:rPr>
          <w:spacing w:val="-2"/>
          <w:lang w:val="uk-UA"/>
        </w:rPr>
        <w:t xml:space="preserve">) </w:t>
      </w:r>
      <w:r w:rsidRPr="00545A89">
        <w:rPr>
          <w:i/>
          <w:spacing w:val="-2"/>
          <w:lang w:val="uk-UA"/>
        </w:rPr>
        <w:t>(35)</w:t>
      </w:r>
      <w:r w:rsidRPr="00545A89">
        <w:rPr>
          <w:spacing w:val="-2"/>
          <w:lang w:val="uk-UA"/>
        </w:rPr>
        <w:t xml:space="preserve">. </w:t>
      </w:r>
      <w:proofErr w:type="spellStart"/>
      <w:r w:rsidRPr="00545A89">
        <w:rPr>
          <w:spacing w:val="-2"/>
          <w:lang w:val="uk-UA"/>
        </w:rPr>
        <w:t>Тіоацетазон</w:t>
      </w:r>
      <w:proofErr w:type="spellEnd"/>
      <w:r w:rsidRPr="00545A89">
        <w:rPr>
          <w:spacing w:val="-2"/>
          <w:lang w:val="uk-UA"/>
        </w:rPr>
        <w:t xml:space="preserve">, який </w:t>
      </w:r>
      <w:r w:rsidR="001A7367" w:rsidRPr="00545A89">
        <w:rPr>
          <w:spacing w:val="-2"/>
          <w:lang w:val="uk-UA"/>
        </w:rPr>
        <w:t xml:space="preserve">на сьогодні вже не </w:t>
      </w:r>
      <w:r w:rsidRPr="00545A89">
        <w:rPr>
          <w:spacing w:val="-2"/>
          <w:lang w:val="uk-UA"/>
        </w:rPr>
        <w:t>рекомендован</w:t>
      </w:r>
      <w:r w:rsidR="001A7367" w:rsidRPr="00545A89">
        <w:rPr>
          <w:spacing w:val="-2"/>
          <w:lang w:val="uk-UA"/>
        </w:rPr>
        <w:t xml:space="preserve">о </w:t>
      </w:r>
      <w:r w:rsidRPr="00545A89">
        <w:rPr>
          <w:spacing w:val="-2"/>
          <w:lang w:val="uk-UA"/>
        </w:rPr>
        <w:t xml:space="preserve">для застосування, не слід призначати пацієнтам із позитивним або невідомим ВІЛ-статусом через ризик виникнення синдрому </w:t>
      </w:r>
      <w:proofErr w:type="spellStart"/>
      <w:r w:rsidRPr="00545A89">
        <w:rPr>
          <w:spacing w:val="-2"/>
          <w:lang w:val="uk-UA"/>
        </w:rPr>
        <w:t>Стівенса</w:t>
      </w:r>
      <w:proofErr w:type="spellEnd"/>
      <w:r w:rsidRPr="00545A89">
        <w:rPr>
          <w:spacing w:val="-2"/>
          <w:lang w:val="uk-UA"/>
        </w:rPr>
        <w:t xml:space="preserve">–Джонсона </w:t>
      </w:r>
      <w:r w:rsidR="001A7367" w:rsidRPr="00545A89">
        <w:rPr>
          <w:spacing w:val="-2"/>
          <w:lang w:val="uk-UA"/>
        </w:rPr>
        <w:t>і</w:t>
      </w:r>
      <w:r w:rsidRPr="00545A89">
        <w:rPr>
          <w:spacing w:val="-2"/>
          <w:lang w:val="uk-UA"/>
        </w:rPr>
        <w:t xml:space="preserve"> токсичного епідермального </w:t>
      </w:r>
      <w:proofErr w:type="spellStart"/>
      <w:r w:rsidRPr="00545A89">
        <w:rPr>
          <w:spacing w:val="-2"/>
          <w:lang w:val="uk-UA"/>
        </w:rPr>
        <w:t>некролізу</w:t>
      </w:r>
      <w:proofErr w:type="spellEnd"/>
      <w:r w:rsidRPr="00545A89">
        <w:rPr>
          <w:spacing w:val="-2"/>
          <w:lang w:val="uk-UA"/>
        </w:rPr>
        <w:t xml:space="preserve"> у ЛЖВ. У </w:t>
      </w:r>
      <w:r w:rsidR="008E33EA" w:rsidRPr="00545A89">
        <w:rPr>
          <w:spacing w:val="-2"/>
          <w:lang w:val="uk-UA"/>
        </w:rPr>
        <w:t>поодиноких</w:t>
      </w:r>
      <w:r w:rsidRPr="00545A89">
        <w:rPr>
          <w:spacing w:val="-2"/>
          <w:lang w:val="uk-UA"/>
        </w:rPr>
        <w:t xml:space="preserve"> випадках, коли </w:t>
      </w:r>
      <w:proofErr w:type="spellStart"/>
      <w:r w:rsidRPr="00545A89">
        <w:rPr>
          <w:spacing w:val="-2"/>
          <w:lang w:val="uk-UA"/>
        </w:rPr>
        <w:t>тіоацетазон</w:t>
      </w:r>
      <w:proofErr w:type="spellEnd"/>
      <w:r w:rsidRPr="00545A89">
        <w:rPr>
          <w:spacing w:val="-2"/>
          <w:lang w:val="uk-UA"/>
        </w:rPr>
        <w:t xml:space="preserve"> вважається частиною лікування, наявність ВІЛ-інфекції має бути належним чином виключено.</w:t>
      </w:r>
    </w:p>
    <w:p w:rsidR="005C312E" w:rsidRPr="00ED35A9" w:rsidRDefault="0002616A" w:rsidP="005C312E">
      <w:pPr>
        <w:rPr>
          <w:lang w:val="uk-UA"/>
        </w:rPr>
      </w:pPr>
      <w:r w:rsidRPr="00ED35A9">
        <w:rPr>
          <w:b/>
          <w:bCs/>
          <w:lang w:val="uk-UA"/>
        </w:rPr>
        <w:t>Впровадження рекомендацій</w:t>
      </w:r>
    </w:p>
    <w:p w:rsidR="005C312E" w:rsidRPr="00ED35A9" w:rsidRDefault="005C312E" w:rsidP="005C312E">
      <w:pPr>
        <w:rPr>
          <w:lang w:val="uk-UA"/>
        </w:rPr>
      </w:pPr>
      <w:r w:rsidRPr="00ED35A9">
        <w:rPr>
          <w:lang w:val="uk-UA"/>
        </w:rPr>
        <w:t xml:space="preserve">Нові рекомендації свідчать про істотні зміни у попередніх підходах до лікування МР/Риф-ТБ. Призначення повністю пероральних схем має стати пріоритетним у більшості пацієнтів, оскільки ін’єкційні препарати більш не вважають пріоритетними для планування довгострокових схем лікування МРТБ. Повномасштабна реалізація лікування МРТБ у програмних умовах є практично здійсненною, що продемонстровано глобальним розширенням використання стандартизованих та індивідуалізованих схем лікування МРТБ у країнах із низьким, середнім та високим рівнем доходу по всьому світу, зокрема протягом останнього десятиріччя </w:t>
      </w:r>
      <w:r w:rsidRPr="00ED35A9">
        <w:rPr>
          <w:i/>
          <w:lang w:val="uk-UA"/>
        </w:rPr>
        <w:t>(41)</w:t>
      </w:r>
      <w:r w:rsidRPr="00ED35A9">
        <w:rPr>
          <w:lang w:val="uk-UA"/>
        </w:rPr>
        <w:t xml:space="preserve">. Хоча у поточну редакцію настанови </w:t>
      </w:r>
      <w:proofErr w:type="spellStart"/>
      <w:r w:rsidRPr="00ED35A9">
        <w:rPr>
          <w:lang w:val="uk-UA"/>
        </w:rPr>
        <w:t>внесено</w:t>
      </w:r>
      <w:proofErr w:type="spellEnd"/>
      <w:r w:rsidRPr="00ED35A9">
        <w:rPr>
          <w:lang w:val="uk-UA"/>
        </w:rPr>
        <w:t xml:space="preserve"> важливі зміни щодо груп препаратів та складу довгострокових схем лікування МРТБ, виникнення не</w:t>
      </w:r>
      <w:r w:rsidR="001A7367" w:rsidRPr="00ED35A9">
        <w:rPr>
          <w:lang w:val="uk-UA"/>
        </w:rPr>
        <w:t>з</w:t>
      </w:r>
      <w:r w:rsidRPr="00ED35A9">
        <w:rPr>
          <w:lang w:val="uk-UA"/>
        </w:rPr>
        <w:t xml:space="preserve">доланних складнощів при практичному впровадженні цих рекомендацій не очікується. Зміни у вартості схем та необхідність забезпечення ресурсів згідно нових вимог щодо моніторингу можуть вплинути на швидкість впровадження нових рекомендацій у програми, проте вони не мають заважати покращенню доступу до </w:t>
      </w:r>
      <w:proofErr w:type="spellStart"/>
      <w:r w:rsidRPr="00ED35A9">
        <w:rPr>
          <w:lang w:val="uk-UA"/>
        </w:rPr>
        <w:t>життєво</w:t>
      </w:r>
      <w:proofErr w:type="spellEnd"/>
      <w:r w:rsidRPr="00ED35A9">
        <w:rPr>
          <w:lang w:val="uk-UA"/>
        </w:rPr>
        <w:t xml:space="preserve"> необхідного лікування для більшої кількості пацієнтів. Всі рекомендовані для застосування препарати доступні через GDF</w:t>
      </w:r>
      <w:r w:rsidR="00D13BD5" w:rsidRPr="00ED35A9">
        <w:rPr>
          <w:lang w:val="uk-UA"/>
        </w:rPr>
        <w:t xml:space="preserve">, </w:t>
      </w:r>
      <w:r w:rsidRPr="00ED35A9">
        <w:rPr>
          <w:lang w:val="uk-UA"/>
        </w:rPr>
        <w:t xml:space="preserve">більшість </w:t>
      </w:r>
      <w:r w:rsidR="00D13BD5" w:rsidRPr="00ED35A9">
        <w:rPr>
          <w:lang w:val="uk-UA"/>
        </w:rPr>
        <w:t xml:space="preserve">з </w:t>
      </w:r>
      <w:r w:rsidR="001A7367" w:rsidRPr="00ED35A9">
        <w:rPr>
          <w:lang w:val="uk-UA"/>
        </w:rPr>
        <w:t xml:space="preserve">них </w:t>
      </w:r>
      <w:r w:rsidR="00D13BD5" w:rsidRPr="00ED35A9">
        <w:rPr>
          <w:lang w:val="uk-UA"/>
        </w:rPr>
        <w:t xml:space="preserve">також </w:t>
      </w:r>
      <w:r w:rsidRPr="00ED35A9">
        <w:rPr>
          <w:lang w:val="uk-UA"/>
        </w:rPr>
        <w:t>доступн</w:t>
      </w:r>
      <w:r w:rsidR="00D13BD5" w:rsidRPr="00ED35A9">
        <w:rPr>
          <w:lang w:val="uk-UA"/>
        </w:rPr>
        <w:t xml:space="preserve">а </w:t>
      </w:r>
      <w:r w:rsidRPr="00ED35A9">
        <w:rPr>
          <w:lang w:val="uk-UA"/>
        </w:rPr>
        <w:t xml:space="preserve">у </w:t>
      </w:r>
      <w:r w:rsidR="00D13BD5" w:rsidRPr="00ED35A9">
        <w:rPr>
          <w:lang w:val="uk-UA"/>
        </w:rPr>
        <w:t xml:space="preserve">вигляді </w:t>
      </w:r>
      <w:proofErr w:type="spellStart"/>
      <w:r w:rsidRPr="00ED35A9">
        <w:rPr>
          <w:lang w:val="uk-UA"/>
        </w:rPr>
        <w:t>генерик</w:t>
      </w:r>
      <w:r w:rsidR="00D13BD5" w:rsidRPr="00ED35A9">
        <w:rPr>
          <w:lang w:val="uk-UA"/>
        </w:rPr>
        <w:t>ів</w:t>
      </w:r>
      <w:proofErr w:type="spellEnd"/>
      <w:r w:rsidR="00D13BD5" w:rsidRPr="00ED35A9">
        <w:rPr>
          <w:lang w:val="uk-UA"/>
        </w:rPr>
        <w:t xml:space="preserve"> з підтвердженою </w:t>
      </w:r>
      <w:r w:rsidRPr="00ED35A9">
        <w:rPr>
          <w:lang w:val="uk-UA"/>
        </w:rPr>
        <w:t>як</w:t>
      </w:r>
      <w:r w:rsidR="00D13BD5" w:rsidRPr="00ED35A9">
        <w:rPr>
          <w:lang w:val="uk-UA"/>
        </w:rPr>
        <w:t>істю та за доступною ціною</w:t>
      </w:r>
      <w:r w:rsidRPr="00ED35A9">
        <w:rPr>
          <w:lang w:val="uk-UA"/>
        </w:rPr>
        <w:t xml:space="preserve">. </w:t>
      </w:r>
      <w:proofErr w:type="spellStart"/>
      <w:r w:rsidRPr="00ED35A9">
        <w:rPr>
          <w:lang w:val="uk-UA"/>
        </w:rPr>
        <w:t>Бедаквілін</w:t>
      </w:r>
      <w:proofErr w:type="spellEnd"/>
      <w:r w:rsidRPr="00ED35A9">
        <w:rPr>
          <w:lang w:val="uk-UA"/>
        </w:rPr>
        <w:t xml:space="preserve"> вже доступний останні декілька років через донорську програму (до березня 2019 р.), а для країн з низьким рівнем </w:t>
      </w:r>
      <w:r w:rsidRPr="00ED35A9">
        <w:rPr>
          <w:lang w:val="uk-UA"/>
        </w:rPr>
        <w:lastRenderedPageBreak/>
        <w:t xml:space="preserve">доходів існує домовленість з виробником щодо зниження цін. За винятком </w:t>
      </w:r>
      <w:proofErr w:type="spellStart"/>
      <w:r w:rsidRPr="00ED35A9">
        <w:rPr>
          <w:lang w:val="uk-UA"/>
        </w:rPr>
        <w:t>карбапенемів</w:t>
      </w:r>
      <w:proofErr w:type="spellEnd"/>
      <w:r w:rsidRPr="00ED35A9">
        <w:rPr>
          <w:lang w:val="uk-UA"/>
        </w:rPr>
        <w:t xml:space="preserve"> та </w:t>
      </w:r>
      <w:proofErr w:type="spellStart"/>
      <w:r w:rsidRPr="00ED35A9">
        <w:rPr>
          <w:lang w:val="uk-UA"/>
        </w:rPr>
        <w:t>бедаквіліну</w:t>
      </w:r>
      <w:proofErr w:type="spellEnd"/>
      <w:r w:rsidRPr="00ED35A9">
        <w:rPr>
          <w:lang w:val="uk-UA"/>
        </w:rPr>
        <w:t xml:space="preserve"> для дітей, останній </w:t>
      </w:r>
      <w:r w:rsidR="001A7367" w:rsidRPr="00ED35A9">
        <w:rPr>
          <w:lang w:val="uk-UA"/>
        </w:rPr>
        <w:t>«</w:t>
      </w:r>
      <w:r w:rsidRPr="00ED35A9">
        <w:rPr>
          <w:lang w:val="uk-UA"/>
        </w:rPr>
        <w:t>Орієнтовний перелік основних лікарських засобів</w:t>
      </w:r>
      <w:r w:rsidR="001A7367" w:rsidRPr="00ED35A9">
        <w:rPr>
          <w:lang w:val="uk-UA"/>
        </w:rPr>
        <w:t>»</w:t>
      </w:r>
      <w:r w:rsidRPr="00ED35A9">
        <w:rPr>
          <w:lang w:val="uk-UA"/>
        </w:rPr>
        <w:t xml:space="preserve">, розроблений ВООЗ (2017), включає всі препарати, необхідні для довгострокових схем. У серпні 2018 р. ВООЗ спільно з основними технічними та фінансовими партнерами створили </w:t>
      </w:r>
      <w:r w:rsidRPr="00ED35A9">
        <w:rPr>
          <w:iCs/>
          <w:lang w:val="uk-UA"/>
        </w:rPr>
        <w:t>Робочу групу на підтримку переходу країн до нових рекомендацій з лікування МРТБ</w:t>
      </w:r>
      <w:r w:rsidRPr="00ED35A9">
        <w:rPr>
          <w:lang w:val="uk-UA"/>
        </w:rPr>
        <w:t xml:space="preserve">, яка розпочала роботу з розробки та </w:t>
      </w:r>
      <w:r w:rsidR="001A7367" w:rsidRPr="00ED35A9">
        <w:rPr>
          <w:lang w:val="uk-UA"/>
        </w:rPr>
        <w:t>впровадження ресурсу у </w:t>
      </w:r>
      <w:r w:rsidRPr="00ED35A9">
        <w:rPr>
          <w:lang w:val="uk-UA"/>
        </w:rPr>
        <w:t>формі відповідей на част</w:t>
      </w:r>
      <w:r w:rsidR="001A7367" w:rsidRPr="00ED35A9">
        <w:rPr>
          <w:lang w:val="uk-UA"/>
        </w:rPr>
        <w:t xml:space="preserve">о виникаючі </w:t>
      </w:r>
      <w:r w:rsidRPr="00ED35A9">
        <w:rPr>
          <w:lang w:val="uk-UA"/>
        </w:rPr>
        <w:t xml:space="preserve">запитання </w:t>
      </w:r>
      <w:r w:rsidRPr="00ED35A9">
        <w:rPr>
          <w:i/>
          <w:iCs/>
          <w:lang w:val="uk-UA"/>
        </w:rPr>
        <w:t>(53)</w:t>
      </w:r>
      <w:r w:rsidRPr="00ED35A9">
        <w:rPr>
          <w:iCs/>
          <w:lang w:val="uk-UA"/>
        </w:rPr>
        <w:t xml:space="preserve">. </w:t>
      </w:r>
      <w:r w:rsidRPr="00ED35A9">
        <w:rPr>
          <w:lang w:val="uk-UA"/>
        </w:rPr>
        <w:t xml:space="preserve">Робоча група виступає ініціатором щодо впровадження реформ, необхідних країнам для прийняття та реалізації нових настанов і рекомендацій, зокрема щодо підтримки перегляду планів закупівлі, підготовки та розширення можливостей лікарів, </w:t>
      </w:r>
      <w:proofErr w:type="spellStart"/>
      <w:r w:rsidRPr="00ED35A9">
        <w:rPr>
          <w:lang w:val="uk-UA"/>
        </w:rPr>
        <w:t>медсестер</w:t>
      </w:r>
      <w:proofErr w:type="spellEnd"/>
      <w:r w:rsidRPr="00ED35A9">
        <w:rPr>
          <w:lang w:val="uk-UA"/>
        </w:rPr>
        <w:t>, лабораторних працівників, фармацевтів та інших медпрацівників.</w:t>
      </w:r>
    </w:p>
    <w:p w:rsidR="005C312E" w:rsidRPr="00ED35A9" w:rsidRDefault="005C312E" w:rsidP="005C312E">
      <w:pPr>
        <w:rPr>
          <w:lang w:val="uk-UA"/>
        </w:rPr>
      </w:pPr>
      <w:r w:rsidRPr="00ED35A9">
        <w:rPr>
          <w:lang w:val="uk-UA"/>
        </w:rPr>
        <w:t xml:space="preserve">Дана настанова наголошує на важливості рекомендації попереднього видання, яка полягає в тому, що в усіх пацієнтів необхідно проводити тестування штаму МР/Риф-ТБ на чутливість до препаратів, запланованих до включення у схему, для забезпечення максимальної ефективності лікування. Доступ до швидкого діагностичного тестування, яке може надійно визначити резистентність до </w:t>
      </w:r>
      <w:proofErr w:type="spellStart"/>
      <w:r w:rsidRPr="00ED35A9">
        <w:rPr>
          <w:lang w:val="uk-UA"/>
        </w:rPr>
        <w:t>фторхінолонів</w:t>
      </w:r>
      <w:proofErr w:type="spellEnd"/>
      <w:r w:rsidRPr="00ED35A9">
        <w:rPr>
          <w:lang w:val="uk-UA"/>
        </w:rPr>
        <w:t xml:space="preserve"> та </w:t>
      </w:r>
      <w:proofErr w:type="spellStart"/>
      <w:r w:rsidRPr="00ED35A9">
        <w:rPr>
          <w:lang w:val="uk-UA"/>
        </w:rPr>
        <w:t>амікацину</w:t>
      </w:r>
      <w:proofErr w:type="spellEnd"/>
      <w:r w:rsidRPr="00ED35A9">
        <w:rPr>
          <w:lang w:val="uk-UA"/>
        </w:rPr>
        <w:t xml:space="preserve">, допоможе клініцистам у вирішенні питання щодо можливості застосування у пацієнта короткострокових схем лікування МРТБ та визначення, які саме препарати мають входити до довгострокової схеми лікування МРТБ (для цього можна використовувати </w:t>
      </w:r>
      <w:r w:rsidRPr="00ED35A9">
        <w:rPr>
          <w:rFonts w:eastAsia="Arial"/>
          <w:szCs w:val="28"/>
          <w:lang w:val="uk-UA"/>
        </w:rPr>
        <w:t xml:space="preserve">дослідження резистентності генотипу </w:t>
      </w:r>
      <w:proofErr w:type="spellStart"/>
      <w:r w:rsidRPr="00ED35A9">
        <w:rPr>
          <w:rFonts w:eastAsia="Arial"/>
          <w:i/>
          <w:szCs w:val="28"/>
          <w:lang w:val="uk-UA"/>
        </w:rPr>
        <w:t>Mycobacterium</w:t>
      </w:r>
      <w:proofErr w:type="spellEnd"/>
      <w:r w:rsidRPr="00ED35A9">
        <w:rPr>
          <w:rFonts w:eastAsia="Arial"/>
          <w:i/>
          <w:szCs w:val="28"/>
          <w:lang w:val="uk-UA"/>
        </w:rPr>
        <w:t xml:space="preserve"> </w:t>
      </w:r>
      <w:proofErr w:type="spellStart"/>
      <w:r w:rsidRPr="00ED35A9">
        <w:rPr>
          <w:rFonts w:eastAsia="Arial"/>
          <w:i/>
          <w:szCs w:val="28"/>
          <w:lang w:val="uk-UA"/>
        </w:rPr>
        <w:t>tuberculosis</w:t>
      </w:r>
      <w:proofErr w:type="spellEnd"/>
      <w:r w:rsidRPr="00ED35A9">
        <w:rPr>
          <w:rFonts w:eastAsia="Arial"/>
          <w:szCs w:val="28"/>
          <w:lang w:val="uk-UA"/>
        </w:rPr>
        <w:t xml:space="preserve"> до препаратів другого ряду – </w:t>
      </w:r>
      <w:proofErr w:type="spellStart"/>
      <w:r w:rsidRPr="00ED35A9">
        <w:rPr>
          <w:lang w:val="uk-UA"/>
        </w:rPr>
        <w:t>GenoType</w:t>
      </w:r>
      <w:proofErr w:type="spellEnd"/>
      <w:r w:rsidRPr="00ED35A9">
        <w:rPr>
          <w:lang w:val="uk-UA"/>
        </w:rPr>
        <w:t xml:space="preserve"> </w:t>
      </w:r>
      <w:proofErr w:type="spellStart"/>
      <w:r w:rsidRPr="00ED35A9">
        <w:rPr>
          <w:lang w:val="uk-UA"/>
        </w:rPr>
        <w:t>MTBDRsl</w:t>
      </w:r>
      <w:proofErr w:type="spellEnd"/>
      <w:r w:rsidRPr="00ED35A9">
        <w:rPr>
          <w:lang w:val="uk-UA"/>
        </w:rPr>
        <w:t xml:space="preserve"> LPA). </w:t>
      </w:r>
      <w:proofErr w:type="spellStart"/>
      <w:r w:rsidRPr="00ED35A9">
        <w:rPr>
          <w:lang w:val="uk-UA"/>
        </w:rPr>
        <w:t>GenoType</w:t>
      </w:r>
      <w:proofErr w:type="spellEnd"/>
      <w:r w:rsidRPr="00ED35A9">
        <w:rPr>
          <w:lang w:val="uk-UA"/>
        </w:rPr>
        <w:t xml:space="preserve"> </w:t>
      </w:r>
      <w:proofErr w:type="spellStart"/>
      <w:r w:rsidRPr="00ED35A9">
        <w:rPr>
          <w:lang w:val="uk-UA"/>
        </w:rPr>
        <w:t>MTBDRsl</w:t>
      </w:r>
      <w:proofErr w:type="spellEnd"/>
      <w:r w:rsidRPr="00ED35A9">
        <w:rPr>
          <w:lang w:val="uk-UA"/>
        </w:rPr>
        <w:t xml:space="preserve"> можна використовувати у дітей та дорослих </w:t>
      </w:r>
      <w:r w:rsidR="001A7367" w:rsidRPr="00ED35A9">
        <w:rPr>
          <w:lang w:val="uk-UA"/>
        </w:rPr>
        <w:t xml:space="preserve">в якості як </w:t>
      </w:r>
      <w:r w:rsidRPr="00ED35A9">
        <w:rPr>
          <w:lang w:val="uk-UA"/>
        </w:rPr>
        <w:t>прям</w:t>
      </w:r>
      <w:r w:rsidR="001A7367" w:rsidRPr="00ED35A9">
        <w:rPr>
          <w:lang w:val="uk-UA"/>
        </w:rPr>
        <w:t>ого</w:t>
      </w:r>
      <w:r w:rsidRPr="00ED35A9">
        <w:rPr>
          <w:lang w:val="uk-UA"/>
        </w:rPr>
        <w:t>, так і непрям</w:t>
      </w:r>
      <w:r w:rsidR="001A7367" w:rsidRPr="00ED35A9">
        <w:rPr>
          <w:lang w:val="uk-UA"/>
        </w:rPr>
        <w:t xml:space="preserve">ого </w:t>
      </w:r>
      <w:r w:rsidRPr="00ED35A9">
        <w:rPr>
          <w:lang w:val="uk-UA"/>
        </w:rPr>
        <w:t>тест</w:t>
      </w:r>
      <w:r w:rsidR="001A7367" w:rsidRPr="00ED35A9">
        <w:rPr>
          <w:lang w:val="uk-UA"/>
        </w:rPr>
        <w:t>у</w:t>
      </w:r>
      <w:r w:rsidRPr="00ED35A9">
        <w:rPr>
          <w:lang w:val="uk-UA"/>
        </w:rPr>
        <w:t xml:space="preserve"> (для </w:t>
      </w:r>
      <w:proofErr w:type="spellStart"/>
      <w:r w:rsidRPr="00ED35A9">
        <w:rPr>
          <w:lang w:val="uk-UA"/>
        </w:rPr>
        <w:t>позалегеневих</w:t>
      </w:r>
      <w:proofErr w:type="spellEnd"/>
      <w:r w:rsidRPr="00ED35A9">
        <w:rPr>
          <w:lang w:val="uk-UA"/>
        </w:rPr>
        <w:t xml:space="preserve"> зразків). Тоді як мутації, що спричинюють виникнення резистентності до </w:t>
      </w:r>
      <w:proofErr w:type="spellStart"/>
      <w:r w:rsidRPr="00ED35A9">
        <w:rPr>
          <w:lang w:val="uk-UA"/>
        </w:rPr>
        <w:t>фторхінолонів</w:t>
      </w:r>
      <w:proofErr w:type="spellEnd"/>
      <w:r w:rsidRPr="00ED35A9">
        <w:rPr>
          <w:lang w:val="uk-UA"/>
        </w:rPr>
        <w:t xml:space="preserve">, виявлені за результатами аналізу </w:t>
      </w:r>
      <w:proofErr w:type="spellStart"/>
      <w:r w:rsidRPr="00ED35A9">
        <w:rPr>
          <w:lang w:val="uk-UA"/>
        </w:rPr>
        <w:t>MTBDRsl</w:t>
      </w:r>
      <w:proofErr w:type="spellEnd"/>
      <w:r w:rsidRPr="00ED35A9">
        <w:rPr>
          <w:lang w:val="uk-UA"/>
        </w:rPr>
        <w:t xml:space="preserve">, мають високий рівень кореляції з </w:t>
      </w:r>
      <w:proofErr w:type="spellStart"/>
      <w:r w:rsidRPr="00ED35A9">
        <w:rPr>
          <w:lang w:val="uk-UA"/>
        </w:rPr>
        <w:t>фенотиповою</w:t>
      </w:r>
      <w:proofErr w:type="spellEnd"/>
      <w:r w:rsidRPr="00ED35A9">
        <w:rPr>
          <w:lang w:val="uk-UA"/>
        </w:rPr>
        <w:t xml:space="preserve"> резистентністю до </w:t>
      </w:r>
      <w:proofErr w:type="spellStart"/>
      <w:r w:rsidRPr="00ED35A9">
        <w:rPr>
          <w:lang w:val="uk-UA"/>
        </w:rPr>
        <w:t>офлоксацину</w:t>
      </w:r>
      <w:proofErr w:type="spellEnd"/>
      <w:r w:rsidRPr="00ED35A9">
        <w:rPr>
          <w:lang w:val="uk-UA"/>
        </w:rPr>
        <w:t xml:space="preserve"> та </w:t>
      </w:r>
      <w:proofErr w:type="spellStart"/>
      <w:r w:rsidRPr="00ED35A9">
        <w:rPr>
          <w:lang w:val="uk-UA"/>
        </w:rPr>
        <w:t>левофлоксацину</w:t>
      </w:r>
      <w:proofErr w:type="spellEnd"/>
      <w:r w:rsidRPr="00ED35A9">
        <w:rPr>
          <w:lang w:val="uk-UA"/>
        </w:rPr>
        <w:t xml:space="preserve">, кореляція з </w:t>
      </w:r>
      <w:proofErr w:type="spellStart"/>
      <w:r w:rsidRPr="00ED35A9">
        <w:rPr>
          <w:lang w:val="uk-UA"/>
        </w:rPr>
        <w:t>моксіфлоксацином</w:t>
      </w:r>
      <w:proofErr w:type="spellEnd"/>
      <w:r w:rsidRPr="00ED35A9">
        <w:rPr>
          <w:lang w:val="uk-UA"/>
        </w:rPr>
        <w:t xml:space="preserve"> (та </w:t>
      </w:r>
      <w:proofErr w:type="spellStart"/>
      <w:r w:rsidRPr="00ED35A9">
        <w:rPr>
          <w:lang w:val="uk-UA"/>
        </w:rPr>
        <w:t>гатіфлоксацином</w:t>
      </w:r>
      <w:proofErr w:type="spellEnd"/>
      <w:r w:rsidRPr="00ED35A9">
        <w:rPr>
          <w:lang w:val="uk-UA"/>
        </w:rPr>
        <w:t xml:space="preserve">) є менш вираженою, а включення </w:t>
      </w:r>
      <w:proofErr w:type="spellStart"/>
      <w:r w:rsidRPr="00ED35A9">
        <w:rPr>
          <w:lang w:val="uk-UA"/>
        </w:rPr>
        <w:t>моксіфлоксацину</w:t>
      </w:r>
      <w:proofErr w:type="spellEnd"/>
      <w:r w:rsidRPr="00ED35A9">
        <w:rPr>
          <w:lang w:val="uk-UA"/>
        </w:rPr>
        <w:t xml:space="preserve"> до схеми лікування МРТБ краще визначати за результатами ТМЧ, проведеного методом </w:t>
      </w:r>
      <w:proofErr w:type="spellStart"/>
      <w:r w:rsidRPr="00ED35A9">
        <w:rPr>
          <w:lang w:val="uk-UA"/>
        </w:rPr>
        <w:t>фенотипування</w:t>
      </w:r>
      <w:proofErr w:type="spellEnd"/>
      <w:r w:rsidRPr="00ED35A9">
        <w:rPr>
          <w:lang w:val="uk-UA"/>
        </w:rPr>
        <w:t>. При впровадженні нових рекомендацій з розробки схем дуже важливим є одночасне підвищення доступу до ТМЧ для препаратів, щодо яких є надійні методи</w:t>
      </w:r>
      <w:r w:rsidR="008E33EA" w:rsidRPr="00ED35A9">
        <w:rPr>
          <w:lang w:val="uk-UA"/>
        </w:rPr>
        <w:t xml:space="preserve"> тестування</w:t>
      </w:r>
      <w:r w:rsidRPr="00ED35A9">
        <w:rPr>
          <w:lang w:val="uk-UA"/>
        </w:rPr>
        <w:t xml:space="preserve">, а також розроблення та поширення ТМЧ для новіших препаратів. З іншого боку, потенційно </w:t>
      </w:r>
      <w:proofErr w:type="spellStart"/>
      <w:r w:rsidRPr="00ED35A9">
        <w:rPr>
          <w:lang w:val="uk-UA"/>
        </w:rPr>
        <w:t>життєво</w:t>
      </w:r>
      <w:proofErr w:type="spellEnd"/>
      <w:r w:rsidRPr="00ED35A9">
        <w:rPr>
          <w:lang w:val="uk-UA"/>
        </w:rPr>
        <w:t xml:space="preserve"> необхідне лікування не слід </w:t>
      </w:r>
      <w:proofErr w:type="spellStart"/>
      <w:r w:rsidRPr="00ED35A9">
        <w:rPr>
          <w:lang w:val="uk-UA"/>
        </w:rPr>
        <w:t>відтерміновувати</w:t>
      </w:r>
      <w:proofErr w:type="spellEnd"/>
      <w:r w:rsidRPr="00ED35A9">
        <w:rPr>
          <w:lang w:val="uk-UA"/>
        </w:rPr>
        <w:t xml:space="preserve"> на момент очікування всіх результатів ТМЧ. Емпіричне лікування за схемою, що має високу прогнозовану ефективність, необхідно розпочинати одразу, і вносити в нього корективи у міру появи результатів ТМЧ.</w:t>
      </w:r>
    </w:p>
    <w:p w:rsidR="005C312E" w:rsidRPr="00ED35A9" w:rsidRDefault="005C312E" w:rsidP="005C312E">
      <w:pPr>
        <w:rPr>
          <w:lang w:val="uk-UA"/>
        </w:rPr>
      </w:pPr>
      <w:r w:rsidRPr="00ED35A9">
        <w:rPr>
          <w:lang w:val="uk-UA"/>
        </w:rPr>
        <w:t xml:space="preserve">Одним із важливих спостережень під час проведення МА ІДП 2018 р. для довгострокових схем є те, що коли за результатом ТМЧ визначено резистентність до препарату, краще цей препарат замінити. Це стосується також і лікарських засобів, </w:t>
      </w:r>
      <w:r w:rsidR="008E33EA" w:rsidRPr="00ED35A9">
        <w:rPr>
          <w:lang w:val="uk-UA"/>
        </w:rPr>
        <w:t xml:space="preserve">що </w:t>
      </w:r>
      <w:r w:rsidRPr="00ED35A9">
        <w:rPr>
          <w:lang w:val="uk-UA"/>
        </w:rPr>
        <w:t>за будь-яким застосованим методом ТМЧ визначен</w:t>
      </w:r>
      <w:r w:rsidR="008E33EA" w:rsidRPr="00ED35A9">
        <w:rPr>
          <w:lang w:val="uk-UA"/>
        </w:rPr>
        <w:t xml:space="preserve">і які </w:t>
      </w:r>
      <w:r w:rsidRPr="00ED35A9">
        <w:rPr>
          <w:lang w:val="uk-UA"/>
        </w:rPr>
        <w:t>ненадійні</w:t>
      </w:r>
      <w:r w:rsidR="008E33EA" w:rsidRPr="00ED35A9">
        <w:rPr>
          <w:lang w:val="uk-UA"/>
        </w:rPr>
        <w:t xml:space="preserve"> у контексті </w:t>
      </w:r>
      <w:r w:rsidRPr="00ED35A9">
        <w:rPr>
          <w:lang w:val="uk-UA"/>
        </w:rPr>
        <w:t xml:space="preserve">прийняття клінічних рішень. Хоча результати ТМЧ є важливими для визначення більш ефективного лікування, для ряду компонентів схем вони будуть неоднозначними (наприклад, для </w:t>
      </w:r>
      <w:proofErr w:type="spellStart"/>
      <w:r w:rsidRPr="00ED35A9">
        <w:rPr>
          <w:lang w:val="uk-UA"/>
        </w:rPr>
        <w:lastRenderedPageBreak/>
        <w:t>циклосеріну</w:t>
      </w:r>
      <w:proofErr w:type="spellEnd"/>
      <w:r w:rsidRPr="00ED35A9">
        <w:rPr>
          <w:lang w:val="uk-UA"/>
        </w:rPr>
        <w:t xml:space="preserve">, стрептоміцину, </w:t>
      </w:r>
      <w:proofErr w:type="spellStart"/>
      <w:r w:rsidRPr="00ED35A9">
        <w:rPr>
          <w:lang w:val="uk-UA"/>
        </w:rPr>
        <w:t>етамбутолу</w:t>
      </w:r>
      <w:proofErr w:type="spellEnd"/>
      <w:r w:rsidRPr="00ED35A9">
        <w:rPr>
          <w:lang w:val="uk-UA"/>
        </w:rPr>
        <w:t xml:space="preserve">). </w:t>
      </w:r>
      <w:r w:rsidR="001A7367" w:rsidRPr="00ED35A9">
        <w:rPr>
          <w:lang w:val="uk-UA"/>
        </w:rPr>
        <w:t xml:space="preserve">Показник </w:t>
      </w:r>
      <w:r w:rsidRPr="00ED35A9">
        <w:rPr>
          <w:lang w:val="uk-UA"/>
        </w:rPr>
        <w:t>«</w:t>
      </w:r>
      <w:r w:rsidR="001A7367" w:rsidRPr="00ED35A9">
        <w:rPr>
          <w:lang w:val="uk-UA"/>
        </w:rPr>
        <w:t xml:space="preserve">ймовірність </w:t>
      </w:r>
      <w:r w:rsidRPr="00ED35A9">
        <w:rPr>
          <w:lang w:val="uk-UA"/>
        </w:rPr>
        <w:t xml:space="preserve">ефективності» зазвичай оцінюють у програмних умовах, спираючись на один або декілька наступних факторів: 1) підтверджена чутливість у конкретного пацієнта; 2) підтверджена чутливість у можливого джерела інфікування; 3) відсутність резистентності до іншого препарату, що утворює перехресну резистентність із визначеними лікарськими засобами; 4) рідкість застосування препарату у визначеному регіоні (ймовірно, через низькі рівні медикаментозної резистентності за даними епіднагляду); 5) препарат раніше не застосовували у схемі невдалого лікування конкретного пацієнта. За наявності неоднозначного прогнозу щодо ефективності застосування певного препарату, його все одно можна включати до схеми, проте варто ставити його додатковим до цільової кількості необхідних препаратів, враховуючи дані клінічного порівняння щодо переваг додавання препарату над ризиком виникнення додаткової токсичності, кількості таблеток або інших недоліків. Планування схеми вимагає врахування відносних переваг та ризиків для конкретного пацієнта, зокрема взаємодії між препаратами (наприклад, пріоритетність застосування </w:t>
      </w:r>
      <w:proofErr w:type="spellStart"/>
      <w:r w:rsidRPr="00ED35A9">
        <w:rPr>
          <w:lang w:val="uk-UA"/>
        </w:rPr>
        <w:t>левофлоксацину</w:t>
      </w:r>
      <w:proofErr w:type="spellEnd"/>
      <w:r w:rsidRPr="00ED35A9">
        <w:rPr>
          <w:lang w:val="uk-UA"/>
        </w:rPr>
        <w:t xml:space="preserve"> над </w:t>
      </w:r>
      <w:proofErr w:type="spellStart"/>
      <w:r w:rsidRPr="00ED35A9">
        <w:rPr>
          <w:lang w:val="uk-UA"/>
        </w:rPr>
        <w:t>моксіфлоксацином</w:t>
      </w:r>
      <w:proofErr w:type="spellEnd"/>
      <w:r w:rsidRPr="00ED35A9">
        <w:rPr>
          <w:lang w:val="uk-UA"/>
        </w:rPr>
        <w:t xml:space="preserve"> для обмеження ризику сукупного подовження інтервалу QT).</w:t>
      </w:r>
    </w:p>
    <w:p w:rsidR="005C312E" w:rsidRPr="00ED35A9" w:rsidRDefault="005C312E" w:rsidP="005C312E">
      <w:pPr>
        <w:rPr>
          <w:lang w:val="uk-UA"/>
        </w:rPr>
      </w:pPr>
      <w:r w:rsidRPr="00ED35A9">
        <w:rPr>
          <w:lang w:val="uk-UA"/>
        </w:rPr>
        <w:t xml:space="preserve">Очікується, що більшість пацієнтів можуть проходити лікування на початку із застосуванням схеми з чотирьох ефективних препаратів, застосування одного з яких – зазвичай </w:t>
      </w:r>
      <w:proofErr w:type="spellStart"/>
      <w:r w:rsidRPr="00ED35A9">
        <w:rPr>
          <w:lang w:val="uk-UA"/>
        </w:rPr>
        <w:t>бедаквіліну</w:t>
      </w:r>
      <w:proofErr w:type="spellEnd"/>
      <w:r w:rsidRPr="00ED35A9">
        <w:rPr>
          <w:lang w:val="uk-UA"/>
        </w:rPr>
        <w:t xml:space="preserve"> – буде припинено на </w:t>
      </w:r>
      <w:r w:rsidR="008E33EA" w:rsidRPr="00ED35A9">
        <w:rPr>
          <w:lang w:val="uk-UA"/>
        </w:rPr>
        <w:br/>
      </w:r>
      <w:r w:rsidRPr="00ED35A9">
        <w:rPr>
          <w:lang w:val="uk-UA"/>
        </w:rPr>
        <w:t xml:space="preserve">6-му місяці. Оскільки необхідною є наявність у схемі принаймні трьох ефективних препаратів після припинення застосування </w:t>
      </w:r>
      <w:proofErr w:type="spellStart"/>
      <w:r w:rsidRPr="00ED35A9">
        <w:rPr>
          <w:lang w:val="uk-UA"/>
        </w:rPr>
        <w:t>бедаквіліну</w:t>
      </w:r>
      <w:proofErr w:type="spellEnd"/>
      <w:r w:rsidRPr="00ED35A9">
        <w:rPr>
          <w:lang w:val="uk-UA"/>
        </w:rPr>
        <w:t xml:space="preserve"> через 6 міс, у разі припинення застосування ще одного препарату через токсичність, його слід замінити іншим препаратом. Препарат </w:t>
      </w:r>
      <w:r w:rsidR="001A7367" w:rsidRPr="00ED35A9">
        <w:rPr>
          <w:lang w:val="uk-UA"/>
        </w:rPr>
        <w:t xml:space="preserve">для </w:t>
      </w:r>
      <w:r w:rsidRPr="00ED35A9">
        <w:rPr>
          <w:lang w:val="uk-UA"/>
        </w:rPr>
        <w:t>замін</w:t>
      </w:r>
      <w:r w:rsidR="001A7367" w:rsidRPr="00ED35A9">
        <w:rPr>
          <w:lang w:val="uk-UA"/>
        </w:rPr>
        <w:t xml:space="preserve">и </w:t>
      </w:r>
      <w:r w:rsidRPr="00ED35A9">
        <w:rPr>
          <w:lang w:val="uk-UA"/>
        </w:rPr>
        <w:t xml:space="preserve">обирають або з групи В (за винятком випадків, коли і </w:t>
      </w:r>
      <w:proofErr w:type="spellStart"/>
      <w:r w:rsidRPr="00ED35A9">
        <w:rPr>
          <w:lang w:val="uk-UA"/>
        </w:rPr>
        <w:t>клофазимін</w:t>
      </w:r>
      <w:proofErr w:type="spellEnd"/>
      <w:r w:rsidRPr="00ED35A9">
        <w:rPr>
          <w:lang w:val="uk-UA"/>
        </w:rPr>
        <w:t xml:space="preserve">, і </w:t>
      </w:r>
      <w:proofErr w:type="spellStart"/>
      <w:r w:rsidRPr="00ED35A9">
        <w:rPr>
          <w:lang w:val="uk-UA"/>
        </w:rPr>
        <w:t>циклосерін</w:t>
      </w:r>
      <w:proofErr w:type="spellEnd"/>
      <w:r w:rsidRPr="00ED35A9">
        <w:rPr>
          <w:lang w:val="uk-UA"/>
        </w:rPr>
        <w:t>/</w:t>
      </w:r>
      <w:proofErr w:type="spellStart"/>
      <w:r w:rsidRPr="00ED35A9">
        <w:rPr>
          <w:lang w:val="uk-UA"/>
        </w:rPr>
        <w:t>теризидон</w:t>
      </w:r>
      <w:proofErr w:type="spellEnd"/>
      <w:r w:rsidRPr="00ED35A9">
        <w:rPr>
          <w:lang w:val="uk-UA"/>
        </w:rPr>
        <w:t xml:space="preserve"> вже включено), або з групи С. Вибір препарату з групи С визначається порядком ранжування препаратів та індивідуальними характеристиками пацієнта й місцевими умовами. В окремих ситуаціях може бути доцільним починати з п’яти препаратів замість чотирьох для попередження необхідності проведення заміни препарату після початку лікування, а саме: 1) застосування двох з чотирьох препаратів ймовірно буде припинено до кінця лікування, наприклад, </w:t>
      </w:r>
      <w:proofErr w:type="spellStart"/>
      <w:r w:rsidRPr="00ED35A9">
        <w:rPr>
          <w:lang w:val="uk-UA"/>
        </w:rPr>
        <w:t>бедаквілін</w:t>
      </w:r>
      <w:r w:rsidR="008E33EA" w:rsidRPr="00ED35A9">
        <w:rPr>
          <w:lang w:val="uk-UA"/>
        </w:rPr>
        <w:t>у</w:t>
      </w:r>
      <w:proofErr w:type="spellEnd"/>
      <w:r w:rsidRPr="00ED35A9">
        <w:rPr>
          <w:lang w:val="uk-UA"/>
        </w:rPr>
        <w:t xml:space="preserve"> </w:t>
      </w:r>
      <w:r w:rsidR="008E33EA" w:rsidRPr="00ED35A9">
        <w:rPr>
          <w:lang w:val="uk-UA"/>
        </w:rPr>
        <w:t xml:space="preserve">– </w:t>
      </w:r>
      <w:r w:rsidRPr="00ED35A9">
        <w:rPr>
          <w:lang w:val="uk-UA"/>
        </w:rPr>
        <w:t xml:space="preserve">через 6 міс, а </w:t>
      </w:r>
      <w:proofErr w:type="spellStart"/>
      <w:r w:rsidRPr="00ED35A9">
        <w:rPr>
          <w:lang w:val="uk-UA"/>
        </w:rPr>
        <w:t>лінезолід</w:t>
      </w:r>
      <w:r w:rsidR="008E33EA" w:rsidRPr="00ED35A9">
        <w:rPr>
          <w:lang w:val="uk-UA"/>
        </w:rPr>
        <w:t>у</w:t>
      </w:r>
      <w:proofErr w:type="spellEnd"/>
      <w:r w:rsidRPr="00ED35A9">
        <w:rPr>
          <w:lang w:val="uk-UA"/>
        </w:rPr>
        <w:t xml:space="preserve"> – достроково через токсичність; 2) </w:t>
      </w:r>
      <w:r w:rsidR="006A48D5" w:rsidRPr="00ED35A9">
        <w:rPr>
          <w:lang w:val="uk-UA"/>
        </w:rPr>
        <w:t xml:space="preserve">відсутність надійного ТМЧ для одного або </w:t>
      </w:r>
      <w:r w:rsidR="008E33EA" w:rsidRPr="00ED35A9">
        <w:rPr>
          <w:lang w:val="uk-UA"/>
        </w:rPr>
        <w:t>де</w:t>
      </w:r>
      <w:r w:rsidR="006A48D5" w:rsidRPr="00ED35A9">
        <w:rPr>
          <w:lang w:val="uk-UA"/>
        </w:rPr>
        <w:t>кількох препаратів схеми, проте за досвідом загальний рівень резистентності до цього препарату у популяції є високим</w:t>
      </w:r>
      <w:r w:rsidRPr="00ED35A9">
        <w:rPr>
          <w:lang w:val="uk-UA"/>
        </w:rPr>
        <w:t xml:space="preserve">; 3) препарати, що входять до схеми, малоймовірно призведуть до </w:t>
      </w:r>
      <w:r w:rsidR="006D127C" w:rsidRPr="00ED35A9">
        <w:rPr>
          <w:lang w:val="uk-UA"/>
        </w:rPr>
        <w:t>одужання</w:t>
      </w:r>
      <w:r w:rsidRPr="00ED35A9">
        <w:rPr>
          <w:lang w:val="uk-UA"/>
        </w:rPr>
        <w:t xml:space="preserve"> (наприклад, лише два препарати з групи А та В входять до схеми лікування).</w:t>
      </w:r>
    </w:p>
    <w:p w:rsidR="005C312E" w:rsidRPr="00ED35A9" w:rsidRDefault="005C312E" w:rsidP="00165108">
      <w:pPr>
        <w:spacing w:line="233" w:lineRule="auto"/>
        <w:rPr>
          <w:lang w:val="uk-UA"/>
        </w:rPr>
      </w:pPr>
      <w:r w:rsidRPr="00ED35A9">
        <w:rPr>
          <w:lang w:val="uk-UA"/>
        </w:rPr>
        <w:t xml:space="preserve">Враховуючи умовний характер рекомендацій щодо використання короткострокової схеми лікування МРТБ, може знадобитися індивідуальний підхід у прийнятті рішення спільно медпрацівником та пацієнтом про застосування довгострокової схеми лікування, навіть якщо пацієнту вже призначено лікування МРТБ за скороченою схемою. Наприклад, за наявності неоднозначних результатів ТМЧ або відсутності доступу до LPA другого ряду; недоступність </w:t>
      </w:r>
      <w:proofErr w:type="spellStart"/>
      <w:r w:rsidRPr="00ED35A9">
        <w:rPr>
          <w:lang w:val="uk-UA"/>
        </w:rPr>
        <w:t>клофазиміну</w:t>
      </w:r>
      <w:proofErr w:type="spellEnd"/>
      <w:r w:rsidRPr="00ED35A9">
        <w:rPr>
          <w:lang w:val="uk-UA"/>
        </w:rPr>
        <w:t xml:space="preserve"> або іншого компоненту; пріоритетність </w:t>
      </w:r>
      <w:r w:rsidRPr="00ED35A9">
        <w:rPr>
          <w:lang w:val="uk-UA"/>
        </w:rPr>
        <w:lastRenderedPageBreak/>
        <w:t xml:space="preserve">застосування </w:t>
      </w:r>
      <w:proofErr w:type="spellStart"/>
      <w:r w:rsidRPr="00ED35A9">
        <w:rPr>
          <w:lang w:val="uk-UA"/>
        </w:rPr>
        <w:t>безін’єкційної</w:t>
      </w:r>
      <w:proofErr w:type="spellEnd"/>
      <w:r w:rsidRPr="00ED35A9">
        <w:rPr>
          <w:lang w:val="uk-UA"/>
        </w:rPr>
        <w:t xml:space="preserve"> схеми або необхідність через стан пацієнта розпочинати лікування до завершення початкового тестування. Якщо прийнято рішення про неможливість застосування короткострокової схеми лікування МРТБ, дані пацієнта необхідно повторно оцінити щодо можливості призначення довгострокової схеми лікува</w:t>
      </w:r>
      <w:r w:rsidR="008E33EA" w:rsidRPr="00ED35A9">
        <w:rPr>
          <w:lang w:val="uk-UA"/>
        </w:rPr>
        <w:t>ння МРТБ. Зазвичай, пацієнта, в </w:t>
      </w:r>
      <w:r w:rsidRPr="00ED35A9">
        <w:rPr>
          <w:lang w:val="uk-UA"/>
        </w:rPr>
        <w:t xml:space="preserve">якого </w:t>
      </w:r>
      <w:r w:rsidR="001A7367" w:rsidRPr="00ED35A9">
        <w:rPr>
          <w:lang w:val="uk-UA"/>
        </w:rPr>
        <w:t>роз</w:t>
      </w:r>
      <w:r w:rsidRPr="00ED35A9">
        <w:rPr>
          <w:lang w:val="uk-UA"/>
        </w:rPr>
        <w:t>почато застосування короткострокової схеми лікування МРТБ, можна потім перевести на довгострокову схему, якщо в цьому виникне потреба. Проте, пацієнтів, що знаходилися на довгостроковій схемі чотири тижні, зазвичай не можна переводити на короткострокову схему.</w:t>
      </w:r>
    </w:p>
    <w:p w:rsidR="005C312E" w:rsidRPr="00ED35A9" w:rsidRDefault="005C312E" w:rsidP="00165108">
      <w:pPr>
        <w:spacing w:line="233" w:lineRule="auto"/>
        <w:rPr>
          <w:lang w:val="uk-UA"/>
        </w:rPr>
      </w:pPr>
      <w:r w:rsidRPr="00ED35A9">
        <w:rPr>
          <w:lang w:val="uk-UA"/>
        </w:rPr>
        <w:t xml:space="preserve">При оновленні даних рекомендацій також було змінено дозування на основі маси тіла для препаратів, що застосовують для лікування </w:t>
      </w:r>
      <w:r w:rsidR="001A7367" w:rsidRPr="00ED35A9">
        <w:rPr>
          <w:lang w:val="uk-UA"/>
        </w:rPr>
        <w:t>МРТБ у </w:t>
      </w:r>
      <w:r w:rsidRPr="00ED35A9">
        <w:rPr>
          <w:lang w:val="uk-UA"/>
        </w:rPr>
        <w:t>дітей та дорослих (</w:t>
      </w:r>
      <w:r w:rsidRPr="00ED35A9">
        <w:rPr>
          <w:i/>
          <w:lang w:val="uk-UA"/>
        </w:rPr>
        <w:t>див.</w:t>
      </w:r>
      <w:r w:rsidRPr="00ED35A9">
        <w:rPr>
          <w:lang w:val="uk-UA"/>
        </w:rPr>
        <w:t xml:space="preserve"> Додаток 2). Дозування було оновлено на основі досвіду як членів ГРН, так і даних, отриманих при проведенні консультацій з</w:t>
      </w:r>
      <w:r w:rsidR="001A7367" w:rsidRPr="00ED35A9">
        <w:rPr>
          <w:lang w:val="uk-UA"/>
        </w:rPr>
        <w:t> </w:t>
      </w:r>
      <w:r w:rsidRPr="00ED35A9">
        <w:rPr>
          <w:lang w:val="uk-UA"/>
        </w:rPr>
        <w:t xml:space="preserve">іншими спеціалістами різних галузей. Вони ґрунтуються на найновіших даних щодо оптимального застосування цих препаратів </w:t>
      </w:r>
      <w:r w:rsidRPr="00ED35A9">
        <w:rPr>
          <w:i/>
          <w:lang w:val="uk-UA"/>
        </w:rPr>
        <w:t>(54)</w:t>
      </w:r>
      <w:r w:rsidRPr="00ED35A9">
        <w:rPr>
          <w:lang w:val="uk-UA"/>
        </w:rPr>
        <w:t xml:space="preserve">. Рекомендовано максимально дотримуватись визначених </w:t>
      </w:r>
      <w:proofErr w:type="spellStart"/>
      <w:r w:rsidRPr="00ED35A9">
        <w:rPr>
          <w:lang w:val="uk-UA"/>
        </w:rPr>
        <w:t>дозувань</w:t>
      </w:r>
      <w:proofErr w:type="spellEnd"/>
      <w:r w:rsidRPr="00ED35A9">
        <w:rPr>
          <w:lang w:val="uk-UA"/>
        </w:rPr>
        <w:t xml:space="preserve">. Маніпуляції з таблетками (розділення, </w:t>
      </w:r>
      <w:proofErr w:type="spellStart"/>
      <w:r w:rsidRPr="00ED35A9">
        <w:rPr>
          <w:lang w:val="uk-UA"/>
        </w:rPr>
        <w:t>роз</w:t>
      </w:r>
      <w:r w:rsidR="001A7367" w:rsidRPr="00ED35A9">
        <w:rPr>
          <w:lang w:val="uk-UA"/>
        </w:rPr>
        <w:t>ч</w:t>
      </w:r>
      <w:r w:rsidRPr="00ED35A9">
        <w:rPr>
          <w:lang w:val="uk-UA"/>
        </w:rPr>
        <w:t>авлювання</w:t>
      </w:r>
      <w:proofErr w:type="spellEnd"/>
      <w:r w:rsidRPr="00ED35A9">
        <w:rPr>
          <w:lang w:val="uk-UA"/>
        </w:rPr>
        <w:t xml:space="preserve">, розчинення у воді) за рамками показань мають бути зведені до мінімуму через порушення </w:t>
      </w:r>
      <w:proofErr w:type="spellStart"/>
      <w:r w:rsidRPr="00ED35A9">
        <w:rPr>
          <w:lang w:val="uk-UA"/>
        </w:rPr>
        <w:t>біодоступності</w:t>
      </w:r>
      <w:proofErr w:type="spellEnd"/>
      <w:r w:rsidRPr="00ED35A9">
        <w:rPr>
          <w:vertAlign w:val="superscript"/>
          <w:lang w:val="uk-UA"/>
        </w:rPr>
        <w:footnoteReference w:id="20"/>
      </w:r>
      <w:r w:rsidRPr="00ED35A9">
        <w:rPr>
          <w:lang w:val="uk-UA"/>
        </w:rPr>
        <w:t>.</w:t>
      </w:r>
    </w:p>
    <w:p w:rsidR="005C312E" w:rsidRPr="00ED35A9" w:rsidRDefault="005C312E" w:rsidP="00165108">
      <w:pPr>
        <w:spacing w:line="233" w:lineRule="auto"/>
        <w:rPr>
          <w:lang w:val="uk-UA"/>
        </w:rPr>
      </w:pPr>
      <w:r w:rsidRPr="00ED35A9">
        <w:rPr>
          <w:b/>
          <w:bCs/>
          <w:lang w:val="uk-UA"/>
        </w:rPr>
        <w:t>Моніторинг та оцінювання</w:t>
      </w:r>
    </w:p>
    <w:p w:rsidR="005C312E" w:rsidRPr="00ED35A9" w:rsidRDefault="005C312E" w:rsidP="00165108">
      <w:pPr>
        <w:spacing w:line="233" w:lineRule="auto"/>
        <w:rPr>
          <w:lang w:val="uk-UA"/>
        </w:rPr>
      </w:pPr>
      <w:r w:rsidRPr="00ED35A9">
        <w:rPr>
          <w:lang w:val="uk-UA"/>
        </w:rPr>
        <w:t xml:space="preserve">Пацієнти на довгострокових схемах лікування МРТБ мають проходити моніторинг безпеки та реакції на лікування із належним плануванням проведення надійного клінічного та лабораторного тестування </w:t>
      </w:r>
      <w:r w:rsidRPr="00ED35A9">
        <w:rPr>
          <w:i/>
          <w:lang w:val="uk-UA"/>
        </w:rPr>
        <w:t>(7, 11)</w:t>
      </w:r>
      <w:r w:rsidRPr="00ED35A9">
        <w:rPr>
          <w:lang w:val="uk-UA"/>
        </w:rPr>
        <w:t xml:space="preserve">. До пацієнтів на будь-яких типах схем лікування МРТБ слід застосовувати систему ВООЗ з проведення </w:t>
      </w:r>
      <w:r w:rsidRPr="00ED35A9">
        <w:rPr>
          <w:rFonts w:eastAsia="Arial" w:cs="Times New Roman"/>
          <w:szCs w:val="28"/>
          <w:lang w:val="uk-UA"/>
        </w:rPr>
        <w:t>активн</w:t>
      </w:r>
      <w:r w:rsidRPr="00ED35A9">
        <w:rPr>
          <w:rFonts w:eastAsia="Arial"/>
          <w:szCs w:val="28"/>
          <w:lang w:val="uk-UA"/>
        </w:rPr>
        <w:t xml:space="preserve">ого </w:t>
      </w:r>
      <w:r w:rsidRPr="00ED35A9">
        <w:rPr>
          <w:rFonts w:eastAsia="Arial" w:cs="Times New Roman"/>
          <w:szCs w:val="28"/>
          <w:lang w:val="uk-UA"/>
        </w:rPr>
        <w:t>моніторинг</w:t>
      </w:r>
      <w:r w:rsidRPr="00ED35A9">
        <w:rPr>
          <w:rFonts w:eastAsia="Arial"/>
          <w:szCs w:val="28"/>
          <w:lang w:val="uk-UA"/>
        </w:rPr>
        <w:t>у</w:t>
      </w:r>
      <w:r w:rsidRPr="00ED35A9">
        <w:rPr>
          <w:rFonts w:eastAsia="Arial" w:cs="Times New Roman"/>
          <w:szCs w:val="28"/>
          <w:lang w:val="uk-UA"/>
        </w:rPr>
        <w:t xml:space="preserve"> </w:t>
      </w:r>
      <w:r w:rsidRPr="00ED35A9">
        <w:rPr>
          <w:rFonts w:eastAsia="Arial"/>
          <w:szCs w:val="28"/>
          <w:lang w:val="uk-UA"/>
        </w:rPr>
        <w:t xml:space="preserve">та </w:t>
      </w:r>
      <w:r w:rsidRPr="00ED35A9">
        <w:rPr>
          <w:rFonts w:eastAsia="Arial" w:cs="Times New Roman"/>
          <w:szCs w:val="28"/>
          <w:lang w:val="uk-UA"/>
        </w:rPr>
        <w:t xml:space="preserve">управління безпекою </w:t>
      </w:r>
      <w:r w:rsidR="006D00C8" w:rsidRPr="00ED35A9">
        <w:rPr>
          <w:rFonts w:eastAsia="Arial" w:cs="Times New Roman"/>
          <w:szCs w:val="28"/>
          <w:lang w:val="uk-UA"/>
        </w:rPr>
        <w:t xml:space="preserve">застосування </w:t>
      </w:r>
      <w:r w:rsidRPr="00ED35A9">
        <w:rPr>
          <w:rFonts w:eastAsia="Arial" w:cs="Times New Roman"/>
          <w:szCs w:val="28"/>
          <w:lang w:val="uk-UA"/>
        </w:rPr>
        <w:t xml:space="preserve">протитуберкульозних препаратів </w:t>
      </w:r>
      <w:r w:rsidRPr="00ED35A9">
        <w:rPr>
          <w:rFonts w:eastAsia="Arial"/>
          <w:szCs w:val="28"/>
          <w:lang w:val="uk-UA"/>
        </w:rPr>
        <w:t>(</w:t>
      </w:r>
      <w:proofErr w:type="spellStart"/>
      <w:r w:rsidRPr="00ED35A9">
        <w:rPr>
          <w:lang w:val="uk-UA"/>
        </w:rPr>
        <w:t>aDSM</w:t>
      </w:r>
      <w:proofErr w:type="spellEnd"/>
      <w:r w:rsidRPr="00ED35A9">
        <w:rPr>
          <w:lang w:val="uk-UA"/>
        </w:rPr>
        <w:t>) для забезпечення належних заходів щодо моніторингу та швидкого реагування на небезпечні явища – паралельно з моніторингом результатів лікування. Може знадобитись проведення електрокардіографії, якщо у перспективі очікується впровадження більшої кількості схем із застосуванням двох або трьох препаратів, що ймовірно подовжують інтервал QT при одночасному використанні. Коли до схеми включають певні препарати, необхідно також забезпечити доступність аудіометрії та спеціальних біохімічних тестів. Лікування під час вагітності із після</w:t>
      </w:r>
      <w:r w:rsidR="001A7367" w:rsidRPr="00ED35A9">
        <w:rPr>
          <w:lang w:val="uk-UA"/>
        </w:rPr>
        <w:t xml:space="preserve">пологовим </w:t>
      </w:r>
      <w:r w:rsidRPr="00ED35A9">
        <w:rPr>
          <w:lang w:val="uk-UA"/>
        </w:rPr>
        <w:t>наглядом за вродженими аномаліями допоможе визначити майбутні рекомендації щодо лікування МРТБ при вагітності.</w:t>
      </w:r>
    </w:p>
    <w:p w:rsidR="005C312E" w:rsidRPr="00ED35A9" w:rsidRDefault="005C312E" w:rsidP="00165108">
      <w:pPr>
        <w:spacing w:after="120" w:line="233" w:lineRule="auto"/>
        <w:rPr>
          <w:lang w:val="uk-UA"/>
        </w:rPr>
      </w:pPr>
      <w:r w:rsidRPr="00ED35A9">
        <w:rPr>
          <w:lang w:val="uk-UA"/>
        </w:rPr>
        <w:t xml:space="preserve">В оновленій настанові 2018 р. наведено окрему рекомендацію із застосування </w:t>
      </w:r>
      <w:proofErr w:type="spellStart"/>
      <w:r w:rsidRPr="00ED35A9">
        <w:rPr>
          <w:lang w:val="uk-UA"/>
        </w:rPr>
        <w:t>культурального</w:t>
      </w:r>
      <w:proofErr w:type="spellEnd"/>
      <w:r w:rsidRPr="00ED35A9">
        <w:rPr>
          <w:lang w:val="uk-UA"/>
        </w:rPr>
        <w:t xml:space="preserve"> дослідження та мікроскопії для моніторингу бактеріологічної реакції під час лікування (</w:t>
      </w:r>
      <w:r w:rsidRPr="00ED35A9">
        <w:rPr>
          <w:i/>
          <w:lang w:val="uk-UA"/>
        </w:rPr>
        <w:t>див.</w:t>
      </w:r>
      <w:r w:rsidRPr="00ED35A9">
        <w:rPr>
          <w:lang w:val="uk-UA"/>
        </w:rPr>
        <w:t xml:space="preserve"> розділ 5 щодо запитання PICO 7). Протягом останнього десятиріччя проведено стандартизацію системи епіднагляду за бактеріологічним статусом, медикаментозною резистентністю та результатами лікування </w:t>
      </w:r>
      <w:r w:rsidRPr="00ED35A9">
        <w:rPr>
          <w:i/>
          <w:lang w:val="uk-UA"/>
        </w:rPr>
        <w:t>(12, 13)</w:t>
      </w:r>
      <w:r w:rsidRPr="00ED35A9">
        <w:rPr>
          <w:lang w:val="uk-UA"/>
        </w:rPr>
        <w:t xml:space="preserve">. Систематичний моніторинг виявлення небезпечних явищ під час та після завершення лікування було впроваджено у </w:t>
      </w:r>
      <w:r w:rsidR="001A7367" w:rsidRPr="00ED35A9">
        <w:rPr>
          <w:lang w:val="uk-UA"/>
        </w:rPr>
        <w:t>проти</w:t>
      </w:r>
      <w:r w:rsidRPr="00ED35A9">
        <w:rPr>
          <w:lang w:val="uk-UA"/>
        </w:rPr>
        <w:t xml:space="preserve">туберкульозні програми нещодавно, і його </w:t>
      </w:r>
      <w:r w:rsidR="00490568" w:rsidRPr="00ED35A9">
        <w:rPr>
          <w:lang w:val="uk-UA"/>
        </w:rPr>
        <w:t xml:space="preserve">вдосконалення </w:t>
      </w:r>
      <w:r w:rsidRPr="00ED35A9">
        <w:rPr>
          <w:lang w:val="uk-UA"/>
        </w:rPr>
        <w:t>у багатьох країнах ще триває. Загалом у світ</w:t>
      </w:r>
      <w:r w:rsidR="00490568" w:rsidRPr="00ED35A9">
        <w:rPr>
          <w:lang w:val="uk-UA"/>
        </w:rPr>
        <w:t>і</w:t>
      </w:r>
      <w:r w:rsidRPr="00ED35A9">
        <w:rPr>
          <w:lang w:val="uk-UA"/>
        </w:rPr>
        <w:t xml:space="preserve"> </w:t>
      </w:r>
      <w:r w:rsidRPr="00ED35A9">
        <w:rPr>
          <w:lang w:val="uk-UA"/>
        </w:rPr>
        <w:lastRenderedPageBreak/>
        <w:t xml:space="preserve">обґрунтування впровадження моніторингу переважно визначається частим використанням нових або перепрофільованих препаратів у схемах лікування МРТБ, подекуди у комбінаціях, щодо яких є обмежений досвід застосування. </w:t>
      </w:r>
      <w:r w:rsidR="00490568" w:rsidRPr="00ED35A9">
        <w:rPr>
          <w:lang w:val="uk-UA"/>
        </w:rPr>
        <w:t xml:space="preserve">Лише невелика кількість </w:t>
      </w:r>
      <w:r w:rsidRPr="00ED35A9">
        <w:rPr>
          <w:lang w:val="uk-UA"/>
        </w:rPr>
        <w:t>програм на постійній та стандартизованій основі збира</w:t>
      </w:r>
      <w:r w:rsidR="006D00C8" w:rsidRPr="00ED35A9">
        <w:rPr>
          <w:lang w:val="uk-UA"/>
        </w:rPr>
        <w:t xml:space="preserve">є </w:t>
      </w:r>
      <w:r w:rsidRPr="00ED35A9">
        <w:rPr>
          <w:lang w:val="uk-UA"/>
        </w:rPr>
        <w:t xml:space="preserve">дані щодо небажаних явищ таким чином, щоб їх можна було використовувати для надійного порівняння ефекту між схемами </w:t>
      </w:r>
      <w:r w:rsidR="00490568" w:rsidRPr="00ED35A9">
        <w:rPr>
          <w:lang w:val="uk-UA"/>
        </w:rPr>
        <w:t xml:space="preserve">в одній або декількох </w:t>
      </w:r>
      <w:r w:rsidRPr="00ED35A9">
        <w:rPr>
          <w:lang w:val="uk-UA"/>
        </w:rPr>
        <w:t>країна</w:t>
      </w:r>
      <w:r w:rsidR="00490568" w:rsidRPr="00ED35A9">
        <w:rPr>
          <w:lang w:val="uk-UA"/>
        </w:rPr>
        <w:t>х</w:t>
      </w:r>
      <w:r w:rsidRPr="00ED35A9">
        <w:rPr>
          <w:lang w:val="uk-UA"/>
        </w:rPr>
        <w:t xml:space="preserve">. На противагу цьому, дані щодо стандартних підходів нагляду за медикаментозною резистентністю шляхом проведення постійного моніторингу діагностичних ТМЧ (зокрема з використанням </w:t>
      </w:r>
      <w:proofErr w:type="spellStart"/>
      <w:r w:rsidRPr="00ED35A9">
        <w:rPr>
          <w:lang w:val="uk-UA"/>
        </w:rPr>
        <w:t>секвенування</w:t>
      </w:r>
      <w:proofErr w:type="spellEnd"/>
      <w:r w:rsidRPr="00ED35A9">
        <w:rPr>
          <w:lang w:val="uk-UA"/>
        </w:rPr>
        <w:t xml:space="preserve">) </w:t>
      </w:r>
      <w:r w:rsidRPr="00ED35A9">
        <w:rPr>
          <w:i/>
          <w:lang w:val="uk-UA"/>
        </w:rPr>
        <w:t>(55)</w:t>
      </w:r>
      <w:r w:rsidRPr="00ED35A9">
        <w:rPr>
          <w:lang w:val="uk-UA"/>
        </w:rPr>
        <w:t xml:space="preserve"> та проведення щорічного підсумовування результатів лікування за когортами пацієнтів були опубліковані у нормативних документах ВООЗ вже багато років тому </w:t>
      </w:r>
      <w:r w:rsidRPr="00ED35A9">
        <w:rPr>
          <w:i/>
          <w:lang w:val="uk-UA"/>
        </w:rPr>
        <w:t>(56)</w:t>
      </w:r>
      <w:r w:rsidRPr="00ED35A9">
        <w:rPr>
          <w:lang w:val="uk-UA"/>
        </w:rPr>
        <w:t xml:space="preserve">. Постійна пропаганда </w:t>
      </w:r>
      <w:r w:rsidR="00490568" w:rsidRPr="00ED35A9">
        <w:rPr>
          <w:lang w:val="uk-UA"/>
        </w:rPr>
        <w:t xml:space="preserve">більш широкого </w:t>
      </w:r>
      <w:r w:rsidRPr="00ED35A9">
        <w:rPr>
          <w:lang w:val="uk-UA"/>
        </w:rPr>
        <w:t xml:space="preserve">застосування ТМЧ для препаратів, по яких існують надійні методи дослідження, а також розвиток інших методів дослідження для новіших лікарських засобів, зокрема використання </w:t>
      </w:r>
      <w:proofErr w:type="spellStart"/>
      <w:r w:rsidRPr="00ED35A9">
        <w:rPr>
          <w:lang w:val="uk-UA"/>
        </w:rPr>
        <w:t>секвенування</w:t>
      </w:r>
      <w:proofErr w:type="spellEnd"/>
      <w:r w:rsidRPr="00ED35A9">
        <w:rPr>
          <w:lang w:val="uk-UA"/>
        </w:rPr>
        <w:t>, стануть важливим супутником рекомендацій щодо лікування у цій настанові.</w:t>
      </w:r>
    </w:p>
    <w:tbl>
      <w:tblPr>
        <w:tblStyle w:val="a8"/>
        <w:tblW w:w="0" w:type="auto"/>
        <w:tblInd w:w="108" w:type="dxa"/>
        <w:shd w:val="clear" w:color="auto" w:fill="DEEAF6" w:themeFill="accent1" w:themeFillTint="33"/>
        <w:tblLook w:val="04A0" w:firstRow="1" w:lastRow="0" w:firstColumn="1" w:lastColumn="0" w:noHBand="0" w:noVBand="1"/>
      </w:tblPr>
      <w:tblGrid>
        <w:gridCol w:w="9356"/>
      </w:tblGrid>
      <w:tr w:rsidR="005C312E" w:rsidRPr="00ED35A9" w:rsidTr="00DA1848">
        <w:tc>
          <w:tcPr>
            <w:tcW w:w="9356" w:type="dxa"/>
            <w:shd w:val="clear" w:color="auto" w:fill="DEEAF6" w:themeFill="accent1" w:themeFillTint="33"/>
          </w:tcPr>
          <w:p w:rsidR="005C312E" w:rsidRPr="00ED35A9" w:rsidRDefault="005C312E" w:rsidP="00165108">
            <w:pPr>
              <w:spacing w:before="120" w:after="120" w:line="233" w:lineRule="auto"/>
              <w:ind w:firstLine="0"/>
              <w:jc w:val="center"/>
              <w:rPr>
                <w:b/>
                <w:bCs/>
                <w:szCs w:val="22"/>
                <w:lang w:val="uk-UA"/>
              </w:rPr>
            </w:pPr>
            <w:r w:rsidRPr="00ED35A9">
              <w:rPr>
                <w:b/>
                <w:bCs/>
                <w:szCs w:val="22"/>
                <w:lang w:val="uk-UA"/>
              </w:rPr>
              <w:t>Підтримка пацієнтів</w:t>
            </w:r>
          </w:p>
          <w:p w:rsidR="005C312E" w:rsidRPr="00ED35A9" w:rsidRDefault="005C312E" w:rsidP="00165108">
            <w:pPr>
              <w:spacing w:after="120" w:line="233" w:lineRule="auto"/>
              <w:ind w:firstLine="0"/>
              <w:rPr>
                <w:lang w:val="uk-UA"/>
              </w:rPr>
            </w:pPr>
            <w:r w:rsidRPr="00ED35A9">
              <w:rPr>
                <w:lang w:val="uk-UA"/>
              </w:rPr>
              <w:t xml:space="preserve">ГРН наголошує на важливості надання підтримки пацієнтам для завершення призначеного лікування. Високий рівень успіху, досягнутий в обох підгрупах випробування Фази ІІІ для </w:t>
            </w:r>
            <w:proofErr w:type="spellStart"/>
            <w:r w:rsidRPr="00ED35A9">
              <w:rPr>
                <w:lang w:val="uk-UA"/>
              </w:rPr>
              <w:t>деламаніду</w:t>
            </w:r>
            <w:proofErr w:type="spellEnd"/>
            <w:r w:rsidRPr="00ED35A9">
              <w:rPr>
                <w:lang w:val="uk-UA"/>
              </w:rPr>
              <w:t xml:space="preserve"> (</w:t>
            </w:r>
            <w:r w:rsidRPr="00ED35A9">
              <w:rPr>
                <w:i/>
                <w:lang w:val="uk-UA"/>
              </w:rPr>
              <w:t>див.</w:t>
            </w:r>
            <w:r w:rsidRPr="00ED35A9">
              <w:rPr>
                <w:lang w:val="uk-UA"/>
              </w:rPr>
              <w:t xml:space="preserve"> підсумок доказових таблиць для оновлення 2018 р. в онлайн-додатку 7), свідчить про критичну важливість забезпечення прихильності до прийому препаратів й утримання на ньому задля зменшення кількості випадків невдачі лікування та зведення до мінімуму показників смертності. Перед початком лікування МРТБ усі пацієнти належним чином мають бути </w:t>
            </w:r>
            <w:proofErr w:type="spellStart"/>
            <w:r w:rsidRPr="00ED35A9">
              <w:rPr>
                <w:lang w:val="uk-UA"/>
              </w:rPr>
              <w:t>проконсультовані</w:t>
            </w:r>
            <w:proofErr w:type="spellEnd"/>
            <w:r w:rsidRPr="00ED35A9">
              <w:rPr>
                <w:lang w:val="uk-UA"/>
              </w:rPr>
              <w:t xml:space="preserve"> та поінформовані щодо можливості брати участь у прийнятті рішень щодо свого лікування. Довідкові матеріали для пацієнтів мають відбивати нові зміни для надання їм відповідної інформації щодо варіантів лікування, потенційних ризиків та переваг. Соціальна підтримка для створення прихильності до лікування є дуже важливою в контексті забезпечення пацієнт-орієнтованого підходу до надання допомоги. Впровадження системи </w:t>
            </w:r>
            <w:proofErr w:type="spellStart"/>
            <w:r w:rsidRPr="00ED35A9">
              <w:rPr>
                <w:lang w:val="uk-UA"/>
              </w:rPr>
              <w:t>aDSM</w:t>
            </w:r>
            <w:proofErr w:type="spellEnd"/>
            <w:r w:rsidRPr="00ED35A9">
              <w:rPr>
                <w:lang w:val="uk-UA"/>
              </w:rPr>
              <w:t xml:space="preserve"> при будь-якому лікуванні МРТБ є стандартом догляду, який рекомендовано застосовувати для покращення раннього виявлення медикаментозних ускладнень, а також для отримання </w:t>
            </w:r>
            <w:r w:rsidR="006D00C8" w:rsidRPr="00ED35A9">
              <w:rPr>
                <w:lang w:val="uk-UA"/>
              </w:rPr>
              <w:t xml:space="preserve">вичерпної </w:t>
            </w:r>
            <w:r w:rsidRPr="00ED35A9">
              <w:rPr>
                <w:lang w:val="uk-UA"/>
              </w:rPr>
              <w:t xml:space="preserve">інформації щодо безпечного застосування препаратів у глобальному сенсі. Слід також забезпечити рівність у питаннях охорони здоров’я, попереджуючи ситуації, коли застосування схем із додатковими витратами для пацієнта та служб надання допомоги (наприклад, дорожчі лікарські засоби чи спеціалізовані послуги) порушують баланс рівності надання цих послуг на користь тих осіб та служб, що мають кращі ресурси, за рахунок більш </w:t>
            </w:r>
            <w:proofErr w:type="spellStart"/>
            <w:r w:rsidRPr="00ED35A9">
              <w:rPr>
                <w:lang w:val="uk-UA"/>
              </w:rPr>
              <w:t>маргіналізованих</w:t>
            </w:r>
            <w:proofErr w:type="spellEnd"/>
            <w:r w:rsidRPr="00ED35A9">
              <w:rPr>
                <w:lang w:val="uk-UA"/>
              </w:rPr>
              <w:t xml:space="preserve"> груп населення. Системи охорони здоров’я мають прагнути гарантувати доступ до лікування відповідно до потреби та незалежно від рівнів доходу</w:t>
            </w:r>
            <w:r w:rsidR="00490568" w:rsidRPr="00ED35A9">
              <w:rPr>
                <w:lang w:val="uk-UA"/>
              </w:rPr>
              <w:t xml:space="preserve"> та соціального статусу</w:t>
            </w:r>
            <w:r w:rsidRPr="00ED35A9">
              <w:rPr>
                <w:lang w:val="uk-UA"/>
              </w:rPr>
              <w:t>.</w:t>
            </w:r>
          </w:p>
        </w:tc>
      </w:tr>
    </w:tbl>
    <w:p w:rsidR="004B5B7F" w:rsidRPr="00ED35A9" w:rsidRDefault="004B5B7F" w:rsidP="000E0B10">
      <w:pPr>
        <w:rPr>
          <w:rFonts w:cs="Times New Roman"/>
          <w:szCs w:val="28"/>
          <w:lang w:val="uk-UA"/>
        </w:rPr>
      </w:pPr>
      <w:r w:rsidRPr="00ED35A9">
        <w:rPr>
          <w:rFonts w:cs="Times New Roman"/>
          <w:szCs w:val="28"/>
          <w:lang w:val="uk-UA"/>
        </w:rPr>
        <w:br w:type="page"/>
      </w:r>
    </w:p>
    <w:p w:rsidR="002A379D" w:rsidRPr="00ED35A9" w:rsidRDefault="002A379D" w:rsidP="002A379D">
      <w:pPr>
        <w:pStyle w:val="2"/>
        <w:rPr>
          <w:lang w:val="uk-UA"/>
        </w:rPr>
      </w:pPr>
      <w:bookmarkStart w:id="31" w:name="_Toc18416321"/>
      <w:bookmarkStart w:id="32" w:name="bookmark41"/>
      <w:bookmarkStart w:id="33" w:name="_Toc417570595"/>
      <w:bookmarkEnd w:id="23"/>
      <w:bookmarkEnd w:id="24"/>
      <w:r w:rsidRPr="00ED35A9">
        <w:rPr>
          <w:lang w:val="uk-UA"/>
        </w:rPr>
        <w:lastRenderedPageBreak/>
        <w:t xml:space="preserve">Розділ 3. Тривалість довгострокових схем лікування </w:t>
      </w:r>
      <w:proofErr w:type="spellStart"/>
      <w:r w:rsidR="00271F59" w:rsidRPr="00ED35A9">
        <w:rPr>
          <w:lang w:val="uk-UA"/>
        </w:rPr>
        <w:t>мультирезистентного</w:t>
      </w:r>
      <w:proofErr w:type="spellEnd"/>
      <w:r w:rsidR="00271F59" w:rsidRPr="00ED35A9">
        <w:rPr>
          <w:lang w:val="uk-UA"/>
        </w:rPr>
        <w:t xml:space="preserve"> туберкульозу</w:t>
      </w:r>
      <w:bookmarkEnd w:id="31"/>
    </w:p>
    <w:tbl>
      <w:tblPr>
        <w:tblStyle w:val="a8"/>
        <w:tblW w:w="0" w:type="auto"/>
        <w:tblInd w:w="108" w:type="dxa"/>
        <w:shd w:val="clear" w:color="auto" w:fill="DEEAF6" w:themeFill="accent1" w:themeFillTint="33"/>
        <w:tblLook w:val="04A0" w:firstRow="1" w:lastRow="0" w:firstColumn="1" w:lastColumn="0" w:noHBand="0" w:noVBand="1"/>
      </w:tblPr>
      <w:tblGrid>
        <w:gridCol w:w="9356"/>
      </w:tblGrid>
      <w:tr w:rsidR="002A379D" w:rsidRPr="00850C2F" w:rsidTr="00821900">
        <w:tc>
          <w:tcPr>
            <w:tcW w:w="9356" w:type="dxa"/>
            <w:shd w:val="clear" w:color="auto" w:fill="DEEAF6" w:themeFill="accent1" w:themeFillTint="33"/>
          </w:tcPr>
          <w:p w:rsidR="002A379D" w:rsidRPr="00ED35A9" w:rsidRDefault="002A379D" w:rsidP="00821900">
            <w:pPr>
              <w:spacing w:before="120" w:after="120"/>
              <w:ind w:firstLine="0"/>
              <w:jc w:val="center"/>
              <w:rPr>
                <w:szCs w:val="28"/>
                <w:lang w:val="uk-UA"/>
              </w:rPr>
            </w:pPr>
            <w:bookmarkStart w:id="34" w:name="bookmark36"/>
            <w:bookmarkStart w:id="35" w:name="_Toc417570591"/>
            <w:r w:rsidRPr="00ED35A9">
              <w:rPr>
                <w:b/>
                <w:szCs w:val="28"/>
                <w:lang w:val="uk-UA"/>
              </w:rPr>
              <w:t>Рекомендації</w:t>
            </w:r>
          </w:p>
          <w:p w:rsidR="002A379D" w:rsidRPr="00ED35A9" w:rsidRDefault="002A379D" w:rsidP="00821900">
            <w:pPr>
              <w:spacing w:after="120"/>
              <w:ind w:firstLine="0"/>
              <w:rPr>
                <w:szCs w:val="28"/>
                <w:lang w:val="uk-UA"/>
              </w:rPr>
            </w:pPr>
            <w:r w:rsidRPr="00ED35A9">
              <w:rPr>
                <w:szCs w:val="28"/>
                <w:lang w:val="uk-UA"/>
              </w:rPr>
              <w:t>3.1. Для пацієнтів з МР/Риф-ТБ на довгострокових схемах за більшості випадків рекомендовано загальну тривалість лікування протягом 18–20 міс; тривалість лікування можна варіювати відповідно до реакції пацієнта на лікування (умовна рекомендація, дуже низька якість доказових даних).</w:t>
            </w:r>
          </w:p>
          <w:p w:rsidR="002A379D" w:rsidRPr="00ED35A9" w:rsidRDefault="002A379D" w:rsidP="00821900">
            <w:pPr>
              <w:spacing w:after="120"/>
              <w:ind w:firstLine="0"/>
              <w:rPr>
                <w:szCs w:val="28"/>
                <w:lang w:val="uk-UA"/>
              </w:rPr>
            </w:pPr>
            <w:r w:rsidRPr="00ED35A9">
              <w:rPr>
                <w:szCs w:val="28"/>
                <w:lang w:val="uk-UA"/>
              </w:rPr>
              <w:t xml:space="preserve">3.2. Для пацієнтів з МР/Риф-ТБ на довгострокових схемах </w:t>
            </w:r>
            <w:r w:rsidR="00672FC9" w:rsidRPr="00ED35A9">
              <w:rPr>
                <w:szCs w:val="28"/>
                <w:lang w:val="uk-UA"/>
              </w:rPr>
              <w:t xml:space="preserve">у </w:t>
            </w:r>
            <w:r w:rsidRPr="00ED35A9">
              <w:rPr>
                <w:szCs w:val="28"/>
                <w:lang w:val="uk-UA"/>
              </w:rPr>
              <w:t xml:space="preserve">більшості випадків після визначення </w:t>
            </w:r>
            <w:proofErr w:type="spellStart"/>
            <w:r w:rsidRPr="00ED35A9">
              <w:rPr>
                <w:szCs w:val="28"/>
                <w:lang w:val="uk-UA"/>
              </w:rPr>
              <w:t>культуральної</w:t>
            </w:r>
            <w:proofErr w:type="spellEnd"/>
            <w:r w:rsidRPr="00ED35A9">
              <w:rPr>
                <w:szCs w:val="28"/>
                <w:lang w:val="uk-UA"/>
              </w:rPr>
              <w:t xml:space="preserve"> конверсії рекомендована загальна тривалість лікування становить 15–17 міс; тривалість можна варіювати відповідно до реакції пацієнта на лікування (умовна рекомендація, дуже низька якість доказових даних).</w:t>
            </w:r>
          </w:p>
          <w:p w:rsidR="002A379D" w:rsidRPr="00ED35A9" w:rsidRDefault="002A379D" w:rsidP="00821900">
            <w:pPr>
              <w:spacing w:after="120"/>
              <w:ind w:firstLine="0"/>
              <w:rPr>
                <w:szCs w:val="28"/>
                <w:lang w:val="uk-UA"/>
              </w:rPr>
            </w:pPr>
            <w:r w:rsidRPr="00ED35A9">
              <w:rPr>
                <w:szCs w:val="28"/>
                <w:lang w:val="uk-UA"/>
              </w:rPr>
              <w:t xml:space="preserve">3.3. Для пацієнтів з МР/Риф-ТБ на довгострокових схемах із застосуванням </w:t>
            </w:r>
            <w:proofErr w:type="spellStart"/>
            <w:r w:rsidRPr="00ED35A9">
              <w:rPr>
                <w:szCs w:val="28"/>
                <w:lang w:val="uk-UA"/>
              </w:rPr>
              <w:t>амікацину</w:t>
            </w:r>
            <w:proofErr w:type="spellEnd"/>
            <w:r w:rsidRPr="00ED35A9">
              <w:rPr>
                <w:szCs w:val="28"/>
                <w:lang w:val="uk-UA"/>
              </w:rPr>
              <w:t xml:space="preserve"> або стрептоміцину за більшості випадків рекомендовано проведення інтенсивної фази лікування протягом 6–7 міс; тривалість можна варіювати відповідно до реакції пацієнта на лікування (умовна рекомендація, дуже низька якість доказових даних).</w:t>
            </w:r>
          </w:p>
        </w:tc>
      </w:tr>
    </w:tbl>
    <w:p w:rsidR="002A379D" w:rsidRPr="00ED35A9" w:rsidRDefault="002A379D" w:rsidP="002A379D">
      <w:pPr>
        <w:spacing w:before="120"/>
        <w:rPr>
          <w:b/>
          <w:szCs w:val="28"/>
          <w:lang w:val="uk-UA"/>
        </w:rPr>
      </w:pPr>
      <w:bookmarkStart w:id="36" w:name="bookmark37"/>
      <w:bookmarkEnd w:id="34"/>
      <w:bookmarkEnd w:id="35"/>
      <w:r w:rsidRPr="00ED35A9">
        <w:rPr>
          <w:b/>
          <w:szCs w:val="28"/>
          <w:lang w:val="uk-UA"/>
        </w:rPr>
        <w:t>Обґрунтування та доказові дані</w:t>
      </w:r>
      <w:bookmarkEnd w:id="36"/>
    </w:p>
    <w:p w:rsidR="002A379D" w:rsidRPr="00ED35A9" w:rsidRDefault="002A379D" w:rsidP="002A379D">
      <w:pPr>
        <w:spacing w:after="120"/>
        <w:rPr>
          <w:szCs w:val="28"/>
          <w:lang w:val="uk-UA"/>
        </w:rPr>
      </w:pPr>
      <w:r w:rsidRPr="00ED35A9">
        <w:rPr>
          <w:szCs w:val="28"/>
          <w:lang w:val="uk-UA"/>
        </w:rPr>
        <w:t>Цей розділ охоплює схеми лікування МРТБ більшої тривалості, ніж короткострокові схеми лікування МРТБ протягом 9–12 міс, розглянуті у розділі 4. Рекомендації цього розділу дають відповідь на три запитання PICO (</w:t>
      </w:r>
      <w:r w:rsidRPr="00ED35A9">
        <w:rPr>
          <w:i/>
          <w:szCs w:val="28"/>
          <w:lang w:val="uk-UA"/>
        </w:rPr>
        <w:t>див.</w:t>
      </w:r>
      <w:r w:rsidRPr="00ED35A9">
        <w:rPr>
          <w:szCs w:val="28"/>
          <w:lang w:val="uk-UA"/>
        </w:rPr>
        <w:t xml:space="preserve"> Додаток 1):</w:t>
      </w:r>
    </w:p>
    <w:tbl>
      <w:tblPr>
        <w:tblStyle w:val="a8"/>
        <w:tblW w:w="0" w:type="auto"/>
        <w:tblInd w:w="108" w:type="dxa"/>
        <w:tblLook w:val="04A0" w:firstRow="1" w:lastRow="0" w:firstColumn="1" w:lastColumn="0" w:noHBand="0" w:noVBand="1"/>
      </w:tblPr>
      <w:tblGrid>
        <w:gridCol w:w="9356"/>
      </w:tblGrid>
      <w:tr w:rsidR="002A379D" w:rsidRPr="00850C2F" w:rsidTr="00821900">
        <w:tc>
          <w:tcPr>
            <w:tcW w:w="9356" w:type="dxa"/>
          </w:tcPr>
          <w:p w:rsidR="002A379D" w:rsidRPr="00ED35A9" w:rsidRDefault="002A379D" w:rsidP="006D00C8">
            <w:pPr>
              <w:tabs>
                <w:tab w:val="left" w:pos="5672"/>
              </w:tabs>
              <w:spacing w:before="120"/>
              <w:ind w:firstLine="0"/>
              <w:rPr>
                <w:b/>
                <w:i/>
                <w:szCs w:val="28"/>
                <w:lang w:val="uk-UA"/>
              </w:rPr>
            </w:pPr>
            <w:r w:rsidRPr="00ED35A9">
              <w:rPr>
                <w:b/>
                <w:i/>
                <w:szCs w:val="28"/>
                <w:lang w:val="uk-UA"/>
              </w:rPr>
              <w:t>Запита</w:t>
            </w:r>
            <w:r w:rsidR="006D00C8" w:rsidRPr="00ED35A9">
              <w:rPr>
                <w:b/>
                <w:i/>
                <w:szCs w:val="28"/>
                <w:lang w:val="uk-UA"/>
              </w:rPr>
              <w:t>ння PICO 5 (МР/Риф-ТБ, 2018 р.)</w:t>
            </w:r>
          </w:p>
          <w:p w:rsidR="002A379D" w:rsidRPr="00ED35A9" w:rsidRDefault="002A379D" w:rsidP="00821900">
            <w:pPr>
              <w:spacing w:after="120"/>
              <w:ind w:firstLine="0"/>
              <w:rPr>
                <w:szCs w:val="28"/>
                <w:lang w:val="uk-UA"/>
              </w:rPr>
            </w:pPr>
            <w:r w:rsidRPr="00ED35A9">
              <w:rPr>
                <w:szCs w:val="28"/>
                <w:lang w:val="uk-UA"/>
              </w:rPr>
              <w:t>Якою повинна бути загальна тривалість лікування у пацієнтів з МР/Риф-ТБ на довгострокових схемах, складених відповідно до рекомендацій ВООЗ, для досягнення безпечного покращення результатів лікування – коротше чи довше двадцяти місяців?</w:t>
            </w:r>
          </w:p>
          <w:p w:rsidR="002A379D" w:rsidRPr="00ED35A9" w:rsidRDefault="002A379D" w:rsidP="00821900">
            <w:pPr>
              <w:ind w:firstLine="0"/>
              <w:rPr>
                <w:b/>
                <w:i/>
                <w:szCs w:val="28"/>
                <w:lang w:val="uk-UA"/>
              </w:rPr>
            </w:pPr>
            <w:r w:rsidRPr="00ED35A9">
              <w:rPr>
                <w:b/>
                <w:i/>
                <w:szCs w:val="28"/>
                <w:lang w:val="uk-UA"/>
              </w:rPr>
              <w:t>Запита</w:t>
            </w:r>
            <w:r w:rsidR="006D00C8" w:rsidRPr="00ED35A9">
              <w:rPr>
                <w:b/>
                <w:i/>
                <w:szCs w:val="28"/>
                <w:lang w:val="uk-UA"/>
              </w:rPr>
              <w:t>ння PICO 6 (МР/Риф-ТБ, 2018 р.)</w:t>
            </w:r>
          </w:p>
          <w:p w:rsidR="002A379D" w:rsidRPr="00ED35A9" w:rsidRDefault="002A379D" w:rsidP="00821900">
            <w:pPr>
              <w:spacing w:after="120"/>
              <w:ind w:firstLine="0"/>
              <w:rPr>
                <w:szCs w:val="28"/>
                <w:lang w:val="uk-UA"/>
              </w:rPr>
            </w:pPr>
            <w:r w:rsidRPr="00ED35A9">
              <w:rPr>
                <w:szCs w:val="28"/>
                <w:lang w:val="uk-UA"/>
              </w:rPr>
              <w:t xml:space="preserve">Якою повинна бути мінімальна тривалість лікування після </w:t>
            </w:r>
            <w:proofErr w:type="spellStart"/>
            <w:r w:rsidRPr="00ED35A9">
              <w:rPr>
                <w:szCs w:val="28"/>
                <w:lang w:val="uk-UA"/>
              </w:rPr>
              <w:t>культуральної</w:t>
            </w:r>
            <w:proofErr w:type="spellEnd"/>
            <w:r w:rsidRPr="00ED35A9">
              <w:rPr>
                <w:szCs w:val="28"/>
                <w:lang w:val="uk-UA"/>
              </w:rPr>
              <w:t xml:space="preserve"> конверсії у пацієнтів з МР/Риф-ТБ на довгострокових схемах, складених відповідно до рекомендацій ВООЗ, для отримання найкращих результатів лікування?</w:t>
            </w:r>
          </w:p>
          <w:p w:rsidR="002A379D" w:rsidRPr="00ED35A9" w:rsidRDefault="002A379D" w:rsidP="00821900">
            <w:pPr>
              <w:ind w:firstLine="0"/>
              <w:rPr>
                <w:b/>
                <w:i/>
                <w:szCs w:val="28"/>
                <w:lang w:val="uk-UA"/>
              </w:rPr>
            </w:pPr>
            <w:r w:rsidRPr="00ED35A9">
              <w:rPr>
                <w:b/>
                <w:i/>
                <w:szCs w:val="28"/>
                <w:lang w:val="uk-UA"/>
              </w:rPr>
              <w:t>Запита</w:t>
            </w:r>
            <w:r w:rsidR="006D00C8" w:rsidRPr="00ED35A9">
              <w:rPr>
                <w:b/>
                <w:i/>
                <w:szCs w:val="28"/>
                <w:lang w:val="uk-UA"/>
              </w:rPr>
              <w:t>ння PICO 4 (МР/Риф-ТБ, 2018 р.)</w:t>
            </w:r>
          </w:p>
          <w:p w:rsidR="002A379D" w:rsidRPr="00ED35A9" w:rsidRDefault="002A379D" w:rsidP="00821900">
            <w:pPr>
              <w:spacing w:after="120"/>
              <w:ind w:firstLine="0"/>
              <w:rPr>
                <w:szCs w:val="28"/>
                <w:lang w:val="uk-UA"/>
              </w:rPr>
            </w:pPr>
            <w:r w:rsidRPr="00ED35A9">
              <w:rPr>
                <w:szCs w:val="28"/>
                <w:lang w:val="uk-UA"/>
              </w:rPr>
              <w:t>Чи безпечним є покращення результатів лікування у пацієнтів з МР/Риф-ТБ на довгострокових схемах, складених відповідно до рекомендацій ВООЗ, при тривалості інтенсивної фази менше або більше восьми місяців?</w:t>
            </w:r>
          </w:p>
        </w:tc>
      </w:tr>
    </w:tbl>
    <w:p w:rsidR="002A379D" w:rsidRPr="00ED35A9" w:rsidRDefault="002A379D" w:rsidP="002A379D">
      <w:pPr>
        <w:spacing w:before="120"/>
        <w:rPr>
          <w:szCs w:val="28"/>
          <w:lang w:val="uk-UA"/>
        </w:rPr>
      </w:pPr>
      <w:r w:rsidRPr="00ED35A9">
        <w:rPr>
          <w:szCs w:val="28"/>
          <w:lang w:val="uk-UA"/>
        </w:rPr>
        <w:t>Дані рекомендації оновлюють рекомендації настанови ВООЗ 2011 р. (</w:t>
      </w:r>
      <w:r w:rsidRPr="00ED35A9">
        <w:rPr>
          <w:i/>
          <w:szCs w:val="28"/>
          <w:lang w:val="uk-UA"/>
        </w:rPr>
        <w:t>див.</w:t>
      </w:r>
      <w:r w:rsidRPr="00ED35A9">
        <w:rPr>
          <w:szCs w:val="28"/>
          <w:lang w:val="uk-UA"/>
        </w:rPr>
        <w:t xml:space="preserve"> «Визначення основних термінів» для пояснення терміну «інтенсивна фаза»). У 2011 р. для більшості пацієнтів з МРТБ було рекомендовано тривалість інтенсивної фази лікування у 8 міс, а для пацієнтів, які раніше не </w:t>
      </w:r>
      <w:r w:rsidRPr="00ED35A9">
        <w:rPr>
          <w:szCs w:val="28"/>
          <w:lang w:val="uk-UA"/>
        </w:rPr>
        <w:lastRenderedPageBreak/>
        <w:t>проходили лікування, – загальну тривалість лікування протягом 20 міс, проте ця рекомендація була умовною та змінюваною залежно від реакції пацієнта на лікування.</w:t>
      </w:r>
    </w:p>
    <w:p w:rsidR="002A379D" w:rsidRPr="00ED35A9" w:rsidRDefault="002A379D" w:rsidP="002A379D">
      <w:pPr>
        <w:rPr>
          <w:szCs w:val="28"/>
          <w:lang w:val="uk-UA"/>
        </w:rPr>
      </w:pPr>
      <w:r w:rsidRPr="00ED35A9">
        <w:rPr>
          <w:szCs w:val="28"/>
          <w:lang w:val="uk-UA"/>
        </w:rPr>
        <w:t>Під час проведення МА ІДП 2018 р. було проаналізовано додаткову вибірку, до якої входили 13 104 пацієнти з</w:t>
      </w:r>
      <w:r w:rsidR="00672FC9" w:rsidRPr="00ED35A9">
        <w:rPr>
          <w:szCs w:val="28"/>
          <w:lang w:val="uk-UA"/>
        </w:rPr>
        <w:t xml:space="preserve"> 53 досліджень, проведених у 40 </w:t>
      </w:r>
      <w:r w:rsidRPr="00ED35A9">
        <w:rPr>
          <w:szCs w:val="28"/>
          <w:lang w:val="uk-UA"/>
        </w:rPr>
        <w:t>країнах, щодо ризику не</w:t>
      </w:r>
      <w:r w:rsidR="00710AA9" w:rsidRPr="00ED35A9">
        <w:rPr>
          <w:szCs w:val="28"/>
          <w:lang w:val="uk-UA"/>
        </w:rPr>
        <w:t xml:space="preserve">ефективного </w:t>
      </w:r>
      <w:r w:rsidRPr="00ED35A9">
        <w:rPr>
          <w:szCs w:val="28"/>
          <w:lang w:val="uk-UA"/>
        </w:rPr>
        <w:t>лікування та виникнення рецидиву порівняно з успіхом, асоційованим із різною тривалістю лікування у наведених вище трьох рекомендаціях (</w:t>
      </w:r>
      <w:r w:rsidRPr="00ED35A9">
        <w:rPr>
          <w:i/>
          <w:szCs w:val="28"/>
          <w:lang w:val="uk-UA"/>
        </w:rPr>
        <w:t>див.</w:t>
      </w:r>
      <w:r w:rsidRPr="00ED35A9">
        <w:rPr>
          <w:szCs w:val="28"/>
          <w:lang w:val="uk-UA"/>
        </w:rPr>
        <w:t xml:space="preserve"> онлайн-додатки 7 та 8 щодо таблиць GRADE, додаток 9 щодо плану аналізу). У пацієнтів відстежували частоту виникнення рецидиву, і вона була відносно малою. Далі наведено три додаткові вибірки ІДП.</w:t>
      </w:r>
    </w:p>
    <w:p w:rsidR="002A379D" w:rsidRPr="007D6764" w:rsidRDefault="002A379D" w:rsidP="002A379D">
      <w:pPr>
        <w:rPr>
          <w:spacing w:val="2"/>
          <w:szCs w:val="28"/>
          <w:lang w:val="uk-UA"/>
        </w:rPr>
      </w:pPr>
      <w:r w:rsidRPr="007D6764">
        <w:rPr>
          <w:spacing w:val="2"/>
          <w:szCs w:val="28"/>
          <w:lang w:val="uk-UA"/>
        </w:rPr>
        <w:t xml:space="preserve">Доказові дані щодо первинного аналізу, використані для </w:t>
      </w:r>
      <w:r w:rsidRPr="007D6764">
        <w:rPr>
          <w:i/>
          <w:spacing w:val="2"/>
          <w:szCs w:val="28"/>
          <w:lang w:val="uk-UA"/>
        </w:rPr>
        <w:t>запитання PICO 5 (МР/Риф-ТБ, 2018 р.)</w:t>
      </w:r>
      <w:r w:rsidRPr="007D6764">
        <w:rPr>
          <w:spacing w:val="2"/>
          <w:szCs w:val="28"/>
          <w:lang w:val="uk-UA"/>
        </w:rPr>
        <w:t>, було взято з додаткової вибірки у 6356 пацієнтів з 51 обсерваційного дослідження. За 6356 ІДП, 5352 пацієнтів проходили лікування за індивідуалізов</w:t>
      </w:r>
      <w:r w:rsidR="00672FC9" w:rsidRPr="007D6764">
        <w:rPr>
          <w:spacing w:val="2"/>
          <w:szCs w:val="28"/>
          <w:lang w:val="uk-UA"/>
        </w:rPr>
        <w:t>аними схемами лікування МРТБ, а </w:t>
      </w:r>
      <w:r w:rsidRPr="007D6764">
        <w:rPr>
          <w:spacing w:val="2"/>
          <w:szCs w:val="28"/>
          <w:lang w:val="uk-UA"/>
        </w:rPr>
        <w:t xml:space="preserve">1004 – за стандартизованими схемами. Із загальної кількості основних ІДП у 13 104 пацієнтів 6748 було виключено з наступних причин: втрата з-під нагляду (n=2261), смертельні наслідки (n=2043), відсутність інформації щодо тривалості лікування (n=230), кількість ймовірно ефективних препаратів була менше п’яти або менше чотирьох плюс </w:t>
      </w:r>
      <w:proofErr w:type="spellStart"/>
      <w:r w:rsidRPr="007D6764">
        <w:rPr>
          <w:spacing w:val="2"/>
          <w:szCs w:val="28"/>
          <w:lang w:val="uk-UA"/>
        </w:rPr>
        <w:t>піразинамід</w:t>
      </w:r>
      <w:proofErr w:type="spellEnd"/>
      <w:r w:rsidRPr="007D6764">
        <w:rPr>
          <w:spacing w:val="2"/>
          <w:szCs w:val="28"/>
          <w:lang w:val="uk-UA"/>
        </w:rPr>
        <w:t xml:space="preserve"> (n=2072), тривалість лікування була менше 6 міс (n=52), тривалість лікування була понад 36 міс (n=90).</w:t>
      </w:r>
    </w:p>
    <w:p w:rsidR="002A379D" w:rsidRPr="00ED35A9" w:rsidRDefault="002A379D" w:rsidP="002A379D">
      <w:pPr>
        <w:rPr>
          <w:szCs w:val="28"/>
          <w:lang w:val="uk-UA"/>
        </w:rPr>
      </w:pPr>
      <w:r w:rsidRPr="00ED35A9">
        <w:rPr>
          <w:szCs w:val="28"/>
          <w:lang w:val="uk-UA"/>
        </w:rPr>
        <w:t xml:space="preserve">Доказові дані, використані для </w:t>
      </w:r>
      <w:r w:rsidRPr="00ED35A9">
        <w:rPr>
          <w:i/>
          <w:szCs w:val="28"/>
          <w:lang w:val="uk-UA"/>
        </w:rPr>
        <w:t>запитання PICO 6 (МР/Риф-ТБ, 2018 р.)</w:t>
      </w:r>
      <w:r w:rsidRPr="00ED35A9">
        <w:rPr>
          <w:szCs w:val="28"/>
          <w:lang w:val="uk-UA"/>
        </w:rPr>
        <w:t xml:space="preserve">, було взято з додаткової вибірки у 4175 пацієнтів з 39 обсерваційних досліджень. Усі з 4175 пацієнтів, крім 3, були на індивідуалізованих схемах. З основного набору даних було виключено 8929 записів з наступних причин: втрата з-під нагляду (n=2261), смертельні наслідки (n=2043), відсутність інформації щодо тривалості лікування (n=230), відсутність інформації щодо </w:t>
      </w:r>
      <w:proofErr w:type="spellStart"/>
      <w:r w:rsidRPr="00ED35A9">
        <w:rPr>
          <w:szCs w:val="28"/>
          <w:lang w:val="uk-UA"/>
        </w:rPr>
        <w:t>культурального</w:t>
      </w:r>
      <w:proofErr w:type="spellEnd"/>
      <w:r w:rsidRPr="00ED35A9">
        <w:rPr>
          <w:szCs w:val="28"/>
          <w:lang w:val="uk-UA"/>
        </w:rPr>
        <w:t xml:space="preserve"> дослідження (n=1945), негативний результат </w:t>
      </w:r>
      <w:proofErr w:type="spellStart"/>
      <w:r w:rsidRPr="00ED35A9">
        <w:rPr>
          <w:szCs w:val="28"/>
          <w:lang w:val="uk-UA"/>
        </w:rPr>
        <w:t>культурального</w:t>
      </w:r>
      <w:proofErr w:type="spellEnd"/>
      <w:r w:rsidRPr="00ED35A9">
        <w:rPr>
          <w:szCs w:val="28"/>
          <w:lang w:val="uk-UA"/>
        </w:rPr>
        <w:t xml:space="preserve"> дослідження (n=754), відсутність у пацієнта конверсії культури (n=426), кількість ймовірно ефективних препаратів була менше п’яти або менше чотирьох плюс </w:t>
      </w:r>
      <w:proofErr w:type="spellStart"/>
      <w:r w:rsidRPr="00ED35A9">
        <w:rPr>
          <w:szCs w:val="28"/>
          <w:lang w:val="uk-UA"/>
        </w:rPr>
        <w:t>піразинамід</w:t>
      </w:r>
      <w:proofErr w:type="spellEnd"/>
      <w:r w:rsidRPr="00ED35A9">
        <w:rPr>
          <w:szCs w:val="28"/>
          <w:lang w:val="uk-UA"/>
        </w:rPr>
        <w:t xml:space="preserve"> (n=1215), тривалість лікування була менше 6 міс (n=4), тривалість лікування була понад 36 міс (n=49), конверсія культури після лікування (n=2).</w:t>
      </w:r>
    </w:p>
    <w:p w:rsidR="002A379D" w:rsidRPr="00ED35A9" w:rsidRDefault="002A379D" w:rsidP="002A379D">
      <w:pPr>
        <w:rPr>
          <w:szCs w:val="28"/>
          <w:lang w:val="uk-UA"/>
        </w:rPr>
      </w:pPr>
      <w:r w:rsidRPr="00ED35A9">
        <w:rPr>
          <w:szCs w:val="28"/>
          <w:lang w:val="uk-UA"/>
        </w:rPr>
        <w:t xml:space="preserve">Для відповіді на </w:t>
      </w:r>
      <w:r w:rsidRPr="00ED35A9">
        <w:rPr>
          <w:i/>
          <w:szCs w:val="28"/>
          <w:lang w:val="uk-UA"/>
        </w:rPr>
        <w:t>запитання PICO 4 (МР/Риф-ТБ, 2018 р.)</w:t>
      </w:r>
      <w:r w:rsidRPr="00ED35A9">
        <w:rPr>
          <w:szCs w:val="28"/>
          <w:lang w:val="uk-UA"/>
        </w:rPr>
        <w:t xml:space="preserve"> необхідно було проаналізувати різну тривалість інтенсивної фази лікування. Для первинного аналізу використано додаткову вибірку у 3750 пацієнтів з 42 обсерваційних досліджень; з них 2720 пацієнтів проходили лікування МРТБ за індивідуалізованими схемами, а 1030 – за стандартизованими. Із загальної кількості основних ІДП у 13 104 пацієнтів 9354 було виключено з наступних причин: втрата з-під нагляду (n=2261), смертельні наслідки (n=2043), не отримували ін’єкційну форму (n=1094), відсутність інформації щодо тривалості ін’єкційної фази лікування (n=2341), кількість ймовірно ефективних препаратів була менше п’яти або менше чотирьох плюс </w:t>
      </w:r>
      <w:proofErr w:type="spellStart"/>
      <w:r w:rsidRPr="00ED35A9">
        <w:rPr>
          <w:szCs w:val="28"/>
          <w:lang w:val="uk-UA"/>
        </w:rPr>
        <w:t>піразинамід</w:t>
      </w:r>
      <w:proofErr w:type="spellEnd"/>
      <w:r w:rsidRPr="00ED35A9">
        <w:rPr>
          <w:szCs w:val="28"/>
          <w:lang w:val="uk-UA"/>
        </w:rPr>
        <w:t xml:space="preserve"> (n=1450), тривалість ін’єкційної фази була понад 20 міс (n=165). </w:t>
      </w:r>
    </w:p>
    <w:p w:rsidR="002A379D" w:rsidRPr="00ED35A9" w:rsidRDefault="002A379D" w:rsidP="007D6764">
      <w:pPr>
        <w:spacing w:line="233" w:lineRule="auto"/>
        <w:rPr>
          <w:b/>
          <w:szCs w:val="28"/>
          <w:lang w:val="uk-UA"/>
        </w:rPr>
      </w:pPr>
      <w:bookmarkStart w:id="37" w:name="bookmark38"/>
      <w:bookmarkStart w:id="38" w:name="_Toc417570592"/>
      <w:r w:rsidRPr="00ED35A9">
        <w:rPr>
          <w:b/>
          <w:szCs w:val="28"/>
          <w:lang w:val="uk-UA"/>
        </w:rPr>
        <w:lastRenderedPageBreak/>
        <w:t>Зауваження щодо підгруп</w:t>
      </w:r>
      <w:bookmarkEnd w:id="37"/>
      <w:bookmarkEnd w:id="38"/>
    </w:p>
    <w:p w:rsidR="002A379D" w:rsidRPr="00ED35A9" w:rsidRDefault="002A379D" w:rsidP="007D6764">
      <w:pPr>
        <w:spacing w:line="233" w:lineRule="auto"/>
        <w:rPr>
          <w:szCs w:val="28"/>
          <w:lang w:val="uk-UA"/>
        </w:rPr>
      </w:pPr>
      <w:r w:rsidRPr="00ED35A9">
        <w:rPr>
          <w:b/>
          <w:szCs w:val="28"/>
          <w:lang w:val="uk-UA"/>
        </w:rPr>
        <w:t>МР/Риф-ТБ окремо або з додатковою резистентністю.</w:t>
      </w:r>
      <w:r w:rsidRPr="00ED35A9">
        <w:rPr>
          <w:szCs w:val="28"/>
          <w:lang w:val="uk-UA"/>
        </w:rPr>
        <w:t xml:space="preserve"> Під час проведення аналізу для трьох запитань PICO у цьому розділі не виявлено загальних даних щодо невдачі лікування або виникнення рецидивів під час порівняння пацієнтів з МРТБ за наявності або відсутності додаткової резистентності до препаратів другого ряду, зокрема ТБ-ШМР. Для пацієнтів з</w:t>
      </w:r>
      <w:r w:rsidR="00672FC9" w:rsidRPr="00ED35A9">
        <w:rPr>
          <w:szCs w:val="28"/>
          <w:lang w:val="uk-UA"/>
        </w:rPr>
        <w:t> </w:t>
      </w:r>
      <w:r w:rsidRPr="00ED35A9">
        <w:rPr>
          <w:szCs w:val="28"/>
          <w:lang w:val="uk-UA"/>
        </w:rPr>
        <w:t xml:space="preserve">резистентністю до </w:t>
      </w:r>
      <w:proofErr w:type="spellStart"/>
      <w:r w:rsidRPr="00ED35A9">
        <w:rPr>
          <w:szCs w:val="28"/>
          <w:lang w:val="uk-UA"/>
        </w:rPr>
        <w:t>амікацину</w:t>
      </w:r>
      <w:proofErr w:type="spellEnd"/>
      <w:r w:rsidRPr="00ED35A9">
        <w:rPr>
          <w:szCs w:val="28"/>
          <w:lang w:val="uk-UA"/>
        </w:rPr>
        <w:t xml:space="preserve"> та стрептоміцину рекомендація 3.3 не застосовується. Тривалість лікування може становити понад 20 міс у пацієнтів з МР/Риф-ТБ із додатковою резистентністю, залежно від клінічної реакції на лікування.</w:t>
      </w:r>
    </w:p>
    <w:p w:rsidR="002A379D" w:rsidRPr="00ED35A9" w:rsidRDefault="002A379D" w:rsidP="007D6764">
      <w:pPr>
        <w:spacing w:line="233" w:lineRule="auto"/>
        <w:rPr>
          <w:szCs w:val="28"/>
          <w:lang w:val="uk-UA"/>
        </w:rPr>
      </w:pPr>
      <w:r w:rsidRPr="00ED35A9">
        <w:rPr>
          <w:b/>
          <w:szCs w:val="28"/>
          <w:lang w:val="uk-UA"/>
        </w:rPr>
        <w:t xml:space="preserve">Пацієнти на схемах без </w:t>
      </w:r>
      <w:proofErr w:type="spellStart"/>
      <w:r w:rsidRPr="00ED35A9">
        <w:rPr>
          <w:b/>
          <w:szCs w:val="28"/>
          <w:lang w:val="uk-UA"/>
        </w:rPr>
        <w:t>амікацину</w:t>
      </w:r>
      <w:proofErr w:type="spellEnd"/>
      <w:r w:rsidRPr="00ED35A9">
        <w:rPr>
          <w:b/>
          <w:szCs w:val="28"/>
          <w:lang w:val="uk-UA"/>
        </w:rPr>
        <w:t>/стрептоміцину.</w:t>
      </w:r>
      <w:r w:rsidRPr="00ED35A9">
        <w:rPr>
          <w:szCs w:val="28"/>
          <w:lang w:val="uk-UA"/>
        </w:rPr>
        <w:t xml:space="preserve"> Для пацієнтів на схемах, що не містять ін’єкційних препаратів у інтенсивній фазі, рекомендація 3.3 не застосовується, а тривалість лікування визначається за рекомендаціями щодо загальної тривалості та періоду після визначення </w:t>
      </w:r>
      <w:proofErr w:type="spellStart"/>
      <w:r w:rsidRPr="00ED35A9">
        <w:rPr>
          <w:szCs w:val="28"/>
          <w:lang w:val="uk-UA"/>
        </w:rPr>
        <w:t>культуральної</w:t>
      </w:r>
      <w:proofErr w:type="spellEnd"/>
      <w:r w:rsidRPr="00ED35A9">
        <w:rPr>
          <w:szCs w:val="28"/>
          <w:lang w:val="uk-UA"/>
        </w:rPr>
        <w:t xml:space="preserve"> конверсії (наприклад, рекомендації 3.1 та 3.2). За прогнозами, у майбутньому такий підхід застосовуватиметься до все більшої кількості пацієнтів, які проходитимуть лікування лише за пероральними схемами. За даними </w:t>
      </w:r>
      <w:proofErr w:type="spellStart"/>
      <w:r w:rsidRPr="00ED35A9">
        <w:rPr>
          <w:szCs w:val="28"/>
          <w:lang w:val="uk-UA"/>
        </w:rPr>
        <w:t>метааналізу</w:t>
      </w:r>
      <w:proofErr w:type="spellEnd"/>
      <w:r w:rsidRPr="00ED35A9">
        <w:rPr>
          <w:szCs w:val="28"/>
          <w:lang w:val="uk-UA"/>
        </w:rPr>
        <w:t xml:space="preserve">, на основі якого сформульовано рекомендацію 3.3, якщо </w:t>
      </w:r>
      <w:proofErr w:type="spellStart"/>
      <w:r w:rsidRPr="00ED35A9">
        <w:rPr>
          <w:szCs w:val="28"/>
          <w:lang w:val="uk-UA"/>
        </w:rPr>
        <w:t>бедаквілін</w:t>
      </w:r>
      <w:proofErr w:type="spellEnd"/>
      <w:r w:rsidRPr="00ED35A9">
        <w:rPr>
          <w:szCs w:val="28"/>
          <w:lang w:val="uk-UA"/>
        </w:rPr>
        <w:t xml:space="preserve"> або інші препарати (наприклад, </w:t>
      </w:r>
      <w:proofErr w:type="spellStart"/>
      <w:r w:rsidRPr="00ED35A9">
        <w:rPr>
          <w:szCs w:val="28"/>
          <w:lang w:val="uk-UA"/>
        </w:rPr>
        <w:t>лінезолід</w:t>
      </w:r>
      <w:proofErr w:type="spellEnd"/>
      <w:r w:rsidRPr="00ED35A9">
        <w:rPr>
          <w:szCs w:val="28"/>
          <w:lang w:val="uk-UA"/>
        </w:rPr>
        <w:t xml:space="preserve">, </w:t>
      </w:r>
      <w:proofErr w:type="spellStart"/>
      <w:r w:rsidRPr="00ED35A9">
        <w:rPr>
          <w:szCs w:val="28"/>
          <w:lang w:val="uk-UA"/>
        </w:rPr>
        <w:t>деламанід</w:t>
      </w:r>
      <w:proofErr w:type="spellEnd"/>
      <w:r w:rsidRPr="00ED35A9">
        <w:rPr>
          <w:szCs w:val="28"/>
          <w:lang w:val="uk-UA"/>
        </w:rPr>
        <w:t>) застосовують лише на початковому етапі лікування, цей період не є тотожнім «інтенсивній фазі», якщо не призначено супутній ін’єкційний препарат.</w:t>
      </w:r>
    </w:p>
    <w:p w:rsidR="002A379D" w:rsidRPr="00ED35A9" w:rsidRDefault="002A379D" w:rsidP="007D6764">
      <w:pPr>
        <w:spacing w:line="233" w:lineRule="auto"/>
        <w:rPr>
          <w:spacing w:val="2"/>
          <w:szCs w:val="28"/>
          <w:lang w:val="uk-UA"/>
        </w:rPr>
      </w:pPr>
      <w:r w:rsidRPr="00ED35A9">
        <w:rPr>
          <w:b/>
          <w:spacing w:val="2"/>
          <w:szCs w:val="28"/>
          <w:lang w:val="uk-UA"/>
        </w:rPr>
        <w:t>Особи з екстенсивним ТБ.</w:t>
      </w:r>
      <w:r w:rsidRPr="00ED35A9">
        <w:rPr>
          <w:spacing w:val="2"/>
          <w:szCs w:val="28"/>
          <w:lang w:val="uk-UA"/>
        </w:rPr>
        <w:t xml:space="preserve"> Тривалість лікування після визначення </w:t>
      </w:r>
      <w:proofErr w:type="spellStart"/>
      <w:r w:rsidRPr="00ED35A9">
        <w:rPr>
          <w:spacing w:val="2"/>
          <w:szCs w:val="28"/>
          <w:lang w:val="uk-UA"/>
        </w:rPr>
        <w:t>культуральної</w:t>
      </w:r>
      <w:proofErr w:type="spellEnd"/>
      <w:r w:rsidRPr="00ED35A9">
        <w:rPr>
          <w:spacing w:val="2"/>
          <w:szCs w:val="28"/>
          <w:lang w:val="uk-UA"/>
        </w:rPr>
        <w:t xml:space="preserve"> конверсії може бути модифікована відповідно до реакції пацієнта на терапію (наприклад, </w:t>
      </w:r>
      <w:proofErr w:type="spellStart"/>
      <w:r w:rsidRPr="00ED35A9">
        <w:rPr>
          <w:spacing w:val="2"/>
          <w:szCs w:val="28"/>
          <w:lang w:val="uk-UA"/>
        </w:rPr>
        <w:t>культуральна</w:t>
      </w:r>
      <w:proofErr w:type="spellEnd"/>
      <w:r w:rsidRPr="00ED35A9">
        <w:rPr>
          <w:spacing w:val="2"/>
          <w:szCs w:val="28"/>
          <w:lang w:val="uk-UA"/>
        </w:rPr>
        <w:t xml:space="preserve"> конверсія до другого місяця лікування) та інших факторів ризику невдачі лікування або виникнення рецидиву. Це необхідно враховувати при лікуванні пацієнтів з екстенсивним ТБ.</w:t>
      </w:r>
    </w:p>
    <w:p w:rsidR="002A379D" w:rsidRPr="00ED35A9" w:rsidRDefault="002A379D" w:rsidP="007D6764">
      <w:pPr>
        <w:spacing w:line="233" w:lineRule="auto"/>
        <w:rPr>
          <w:szCs w:val="28"/>
          <w:lang w:val="uk-UA"/>
        </w:rPr>
      </w:pPr>
      <w:r w:rsidRPr="00ED35A9">
        <w:rPr>
          <w:b/>
          <w:szCs w:val="28"/>
          <w:lang w:val="uk-UA"/>
        </w:rPr>
        <w:t>Діти.</w:t>
      </w:r>
      <w:r w:rsidRPr="00ED35A9">
        <w:rPr>
          <w:szCs w:val="28"/>
          <w:lang w:val="uk-UA"/>
        </w:rPr>
        <w:t xml:space="preserve"> Дані рекомендації також стосуються лікування дітей. Призначення </w:t>
      </w:r>
      <w:proofErr w:type="spellStart"/>
      <w:r w:rsidRPr="00ED35A9">
        <w:rPr>
          <w:szCs w:val="28"/>
          <w:lang w:val="uk-UA"/>
        </w:rPr>
        <w:t>амікацину</w:t>
      </w:r>
      <w:proofErr w:type="spellEnd"/>
      <w:r w:rsidRPr="00ED35A9">
        <w:rPr>
          <w:szCs w:val="28"/>
          <w:lang w:val="uk-UA"/>
        </w:rPr>
        <w:t xml:space="preserve"> або стрептоміцину у дітей слід використовувати лише як крайню міру, коли відсутні інші варіанти лікування, тестування підтверджує чутливість та є можливість проведення моніторингу </w:t>
      </w:r>
      <w:proofErr w:type="spellStart"/>
      <w:r w:rsidRPr="00ED35A9">
        <w:rPr>
          <w:szCs w:val="28"/>
          <w:lang w:val="uk-UA"/>
        </w:rPr>
        <w:t>ототоксичності</w:t>
      </w:r>
      <w:proofErr w:type="spellEnd"/>
      <w:r w:rsidRPr="00ED35A9">
        <w:rPr>
          <w:szCs w:val="28"/>
          <w:lang w:val="uk-UA"/>
        </w:rPr>
        <w:t xml:space="preserve"> й </w:t>
      </w:r>
      <w:proofErr w:type="spellStart"/>
      <w:r w:rsidRPr="00ED35A9">
        <w:rPr>
          <w:szCs w:val="28"/>
          <w:lang w:val="uk-UA"/>
        </w:rPr>
        <w:t>нефротоксичності</w:t>
      </w:r>
      <w:proofErr w:type="spellEnd"/>
      <w:r w:rsidRPr="00ED35A9">
        <w:rPr>
          <w:szCs w:val="28"/>
          <w:lang w:val="uk-UA"/>
        </w:rPr>
        <w:t xml:space="preserve">. Враховуючи, що у педіатричній віковій групі більшість пацієнтів можуть бути </w:t>
      </w:r>
      <w:proofErr w:type="spellStart"/>
      <w:r w:rsidRPr="00ED35A9">
        <w:rPr>
          <w:szCs w:val="28"/>
          <w:lang w:val="uk-UA"/>
        </w:rPr>
        <w:t>діагностовані</w:t>
      </w:r>
      <w:proofErr w:type="spellEnd"/>
      <w:r w:rsidRPr="00ED35A9">
        <w:rPr>
          <w:szCs w:val="28"/>
          <w:lang w:val="uk-UA"/>
        </w:rPr>
        <w:t xml:space="preserve"> лише клінічно або мати </w:t>
      </w:r>
      <w:proofErr w:type="spellStart"/>
      <w:r w:rsidRPr="00ED35A9">
        <w:rPr>
          <w:szCs w:val="28"/>
          <w:lang w:val="uk-UA"/>
        </w:rPr>
        <w:t>позалегеневу</w:t>
      </w:r>
      <w:proofErr w:type="spellEnd"/>
      <w:r w:rsidRPr="00ED35A9">
        <w:rPr>
          <w:szCs w:val="28"/>
          <w:lang w:val="uk-UA"/>
        </w:rPr>
        <w:t xml:space="preserve"> форму захворювання, тривалість лікування переважно визначається рекомендацією 3.1 залежно від реакції на лікування. Для дітей з нетяжк</w:t>
      </w:r>
      <w:r w:rsidR="00C9737D" w:rsidRPr="00ED35A9">
        <w:rPr>
          <w:szCs w:val="28"/>
          <w:lang w:val="uk-UA"/>
        </w:rPr>
        <w:t xml:space="preserve">ою формою </w:t>
      </w:r>
      <w:r w:rsidRPr="00ED35A9">
        <w:rPr>
          <w:szCs w:val="28"/>
          <w:lang w:val="uk-UA"/>
        </w:rPr>
        <w:t>захворювання</w:t>
      </w:r>
      <w:r w:rsidR="00C9737D" w:rsidRPr="00ED35A9">
        <w:rPr>
          <w:szCs w:val="28"/>
          <w:lang w:val="uk-UA"/>
        </w:rPr>
        <w:t xml:space="preserve"> </w:t>
      </w:r>
      <w:r w:rsidRPr="00ED35A9">
        <w:rPr>
          <w:szCs w:val="28"/>
          <w:lang w:val="uk-UA"/>
        </w:rPr>
        <w:t>можна розглянути скорочення загальної тривалості лікування до 18 міс (</w:t>
      </w:r>
      <w:r w:rsidRPr="00ED35A9">
        <w:rPr>
          <w:i/>
          <w:szCs w:val="28"/>
          <w:lang w:val="uk-UA"/>
        </w:rPr>
        <w:t>див.</w:t>
      </w:r>
      <w:r w:rsidRPr="00ED35A9">
        <w:rPr>
          <w:szCs w:val="28"/>
          <w:lang w:val="uk-UA"/>
        </w:rPr>
        <w:t xml:space="preserve"> «Визначення основних термінів» щодо ступеня тяжкості захворювання).</w:t>
      </w:r>
    </w:p>
    <w:p w:rsidR="002A379D" w:rsidRPr="00ED35A9" w:rsidRDefault="002A379D" w:rsidP="007D6764">
      <w:pPr>
        <w:spacing w:line="233" w:lineRule="auto"/>
        <w:rPr>
          <w:szCs w:val="28"/>
          <w:lang w:val="uk-UA"/>
        </w:rPr>
      </w:pPr>
      <w:r w:rsidRPr="00ED35A9">
        <w:rPr>
          <w:b/>
          <w:szCs w:val="28"/>
          <w:lang w:val="uk-UA"/>
        </w:rPr>
        <w:t>Вагітні жінки.</w:t>
      </w:r>
      <w:r w:rsidRPr="00ED35A9">
        <w:rPr>
          <w:szCs w:val="28"/>
          <w:lang w:val="uk-UA"/>
        </w:rPr>
        <w:t xml:space="preserve"> Через потенціальний ризик виникнення </w:t>
      </w:r>
      <w:proofErr w:type="spellStart"/>
      <w:r w:rsidRPr="00ED35A9">
        <w:rPr>
          <w:szCs w:val="28"/>
          <w:lang w:val="uk-UA"/>
        </w:rPr>
        <w:t>тератогенного</w:t>
      </w:r>
      <w:proofErr w:type="spellEnd"/>
      <w:r w:rsidRPr="00ED35A9">
        <w:rPr>
          <w:szCs w:val="28"/>
          <w:lang w:val="uk-UA"/>
        </w:rPr>
        <w:t xml:space="preserve"> ефекту ін’єкційні препарати зазвичай протипоказані вагітним жінкам, і, таким чином, рекомендація 3.3 є неактуальною для цієї підгрупи.</w:t>
      </w:r>
    </w:p>
    <w:p w:rsidR="002A379D" w:rsidRPr="00ED35A9" w:rsidRDefault="002A379D" w:rsidP="007D6764">
      <w:pPr>
        <w:spacing w:line="233" w:lineRule="auto"/>
        <w:rPr>
          <w:szCs w:val="28"/>
          <w:lang w:val="uk-UA"/>
        </w:rPr>
      </w:pPr>
      <w:proofErr w:type="spellStart"/>
      <w:r w:rsidRPr="00ED35A9">
        <w:rPr>
          <w:b/>
          <w:szCs w:val="28"/>
          <w:lang w:val="uk-UA"/>
        </w:rPr>
        <w:t>Позалегеневий</w:t>
      </w:r>
      <w:proofErr w:type="spellEnd"/>
      <w:r w:rsidRPr="00ED35A9">
        <w:rPr>
          <w:b/>
          <w:szCs w:val="28"/>
          <w:lang w:val="uk-UA"/>
        </w:rPr>
        <w:t xml:space="preserve"> ТБ та </w:t>
      </w:r>
      <w:proofErr w:type="spellStart"/>
      <w:r w:rsidRPr="00ED35A9">
        <w:rPr>
          <w:b/>
          <w:szCs w:val="28"/>
          <w:lang w:val="uk-UA"/>
        </w:rPr>
        <w:t>культурально</w:t>
      </w:r>
      <w:proofErr w:type="spellEnd"/>
      <w:r w:rsidRPr="00ED35A9">
        <w:rPr>
          <w:b/>
          <w:szCs w:val="28"/>
          <w:lang w:val="uk-UA"/>
        </w:rPr>
        <w:t>-негативний ТБ.</w:t>
      </w:r>
      <w:r w:rsidRPr="00ED35A9">
        <w:rPr>
          <w:szCs w:val="28"/>
          <w:lang w:val="uk-UA"/>
        </w:rPr>
        <w:t xml:space="preserve"> </w:t>
      </w:r>
      <w:proofErr w:type="spellStart"/>
      <w:r w:rsidRPr="00ED35A9">
        <w:rPr>
          <w:szCs w:val="28"/>
          <w:lang w:val="uk-UA"/>
        </w:rPr>
        <w:t>Позалегеневий</w:t>
      </w:r>
      <w:proofErr w:type="spellEnd"/>
      <w:r w:rsidRPr="00ED35A9">
        <w:rPr>
          <w:szCs w:val="28"/>
          <w:lang w:val="uk-UA"/>
        </w:rPr>
        <w:t xml:space="preserve"> МР/Риф-ТБ зазвичай піддається лікуванню із застосуванням подібної комбінації препаратів та тривалості, </w:t>
      </w:r>
      <w:r w:rsidR="00672FC9" w:rsidRPr="00ED35A9">
        <w:rPr>
          <w:szCs w:val="28"/>
          <w:lang w:val="uk-UA"/>
        </w:rPr>
        <w:t>як і</w:t>
      </w:r>
      <w:r w:rsidRPr="00ED35A9">
        <w:rPr>
          <w:szCs w:val="28"/>
          <w:lang w:val="uk-UA"/>
        </w:rPr>
        <w:t xml:space="preserve"> для лікування ТБ легень (</w:t>
      </w:r>
      <w:r w:rsidRPr="00ED35A9">
        <w:rPr>
          <w:i/>
          <w:szCs w:val="28"/>
          <w:lang w:val="uk-UA"/>
        </w:rPr>
        <w:t>див.</w:t>
      </w:r>
      <w:r w:rsidRPr="00ED35A9">
        <w:rPr>
          <w:szCs w:val="28"/>
          <w:lang w:val="uk-UA"/>
        </w:rPr>
        <w:t xml:space="preserve"> також Розділ 2 щодо специфічних препаратів для лікування туберкульозного менінгіту). Особам із </w:t>
      </w:r>
      <w:proofErr w:type="spellStart"/>
      <w:r w:rsidRPr="00ED35A9">
        <w:rPr>
          <w:szCs w:val="28"/>
          <w:lang w:val="uk-UA"/>
        </w:rPr>
        <w:t>культурально</w:t>
      </w:r>
      <w:proofErr w:type="spellEnd"/>
      <w:r w:rsidRPr="00ED35A9">
        <w:rPr>
          <w:szCs w:val="28"/>
          <w:lang w:val="uk-UA"/>
        </w:rPr>
        <w:t xml:space="preserve">-негативним ТБ може знадобитись інша </w:t>
      </w:r>
      <w:r w:rsidRPr="00ED35A9">
        <w:rPr>
          <w:szCs w:val="28"/>
          <w:lang w:val="uk-UA"/>
        </w:rPr>
        <w:lastRenderedPageBreak/>
        <w:t xml:space="preserve">тривалість лікування, тому рекомендація 3.2 є неактуальною для цієї групи пацієнтів. У таких випадках рекомендовано загальну тривалість лікування 18–20 міс із проведенням моніторингу щодо ефективності лікування не за результатами бактеріологічного дослідження, а за іншими клінічними показниками. Отримання негативного результату </w:t>
      </w:r>
      <w:proofErr w:type="spellStart"/>
      <w:r w:rsidRPr="00ED35A9">
        <w:rPr>
          <w:szCs w:val="28"/>
          <w:lang w:val="uk-UA"/>
        </w:rPr>
        <w:t>культурального</w:t>
      </w:r>
      <w:proofErr w:type="spellEnd"/>
      <w:r w:rsidRPr="00ED35A9">
        <w:rPr>
          <w:szCs w:val="28"/>
          <w:lang w:val="uk-UA"/>
        </w:rPr>
        <w:t xml:space="preserve"> дослідження може бути наслідком не істинно негативних показників мокротиння, а неналежним чином проведеного дослідження, що наголошує на важливості надійного забезпечення якості надання лабораторних послуг.</w:t>
      </w:r>
    </w:p>
    <w:p w:rsidR="002A379D" w:rsidRPr="00ED35A9" w:rsidRDefault="002A379D" w:rsidP="007D6764">
      <w:pPr>
        <w:spacing w:line="233" w:lineRule="auto"/>
        <w:rPr>
          <w:b/>
          <w:szCs w:val="28"/>
          <w:lang w:val="uk-UA"/>
        </w:rPr>
      </w:pPr>
      <w:r w:rsidRPr="00ED35A9">
        <w:rPr>
          <w:b/>
          <w:szCs w:val="28"/>
          <w:lang w:val="uk-UA"/>
        </w:rPr>
        <w:t>Впровадження рекомендацій</w:t>
      </w:r>
    </w:p>
    <w:p w:rsidR="002A379D" w:rsidRPr="00ED35A9" w:rsidRDefault="002A379D" w:rsidP="007D6764">
      <w:pPr>
        <w:spacing w:line="233" w:lineRule="auto"/>
        <w:rPr>
          <w:szCs w:val="28"/>
          <w:lang w:val="uk-UA"/>
        </w:rPr>
      </w:pPr>
      <w:r w:rsidRPr="00ED35A9">
        <w:rPr>
          <w:szCs w:val="28"/>
          <w:lang w:val="uk-UA"/>
        </w:rPr>
        <w:t xml:space="preserve">До пацієнтів з позитивними результатами </w:t>
      </w:r>
      <w:proofErr w:type="spellStart"/>
      <w:r w:rsidRPr="00ED35A9">
        <w:rPr>
          <w:szCs w:val="28"/>
          <w:lang w:val="uk-UA"/>
        </w:rPr>
        <w:t>культурального</w:t>
      </w:r>
      <w:proofErr w:type="spellEnd"/>
      <w:r w:rsidRPr="00ED35A9">
        <w:rPr>
          <w:szCs w:val="28"/>
          <w:lang w:val="uk-UA"/>
        </w:rPr>
        <w:t xml:space="preserve"> дослідження на початку лікування, що приймають </w:t>
      </w:r>
      <w:proofErr w:type="spellStart"/>
      <w:r w:rsidRPr="00ED35A9">
        <w:rPr>
          <w:szCs w:val="28"/>
          <w:lang w:val="uk-UA"/>
        </w:rPr>
        <w:t>амікацин</w:t>
      </w:r>
      <w:proofErr w:type="spellEnd"/>
      <w:r w:rsidRPr="00ED35A9">
        <w:rPr>
          <w:szCs w:val="28"/>
          <w:lang w:val="uk-UA"/>
        </w:rPr>
        <w:t xml:space="preserve"> або стрептоміцин, застосовують всі три рекомендації. Для пацієнтів виключно на пероральних схемах лікування МРТБ тривалість лікування визначається за рекомендаціями щодо загальної тривалості та періоду після визначення </w:t>
      </w:r>
      <w:proofErr w:type="spellStart"/>
      <w:r w:rsidRPr="00ED35A9">
        <w:rPr>
          <w:szCs w:val="28"/>
          <w:lang w:val="uk-UA"/>
        </w:rPr>
        <w:t>культуральної</w:t>
      </w:r>
      <w:proofErr w:type="spellEnd"/>
      <w:r w:rsidRPr="00ED35A9">
        <w:rPr>
          <w:szCs w:val="28"/>
          <w:lang w:val="uk-UA"/>
        </w:rPr>
        <w:t xml:space="preserve"> конверсії (рекомендації 3.1 та 3.2 відповідно). Щодо загальної тривалості лікування пацієнтів із негативними результатами бактеріологічного дослідження та пацієнтів з більшістю форм </w:t>
      </w:r>
      <w:proofErr w:type="spellStart"/>
      <w:r w:rsidRPr="00ED35A9">
        <w:rPr>
          <w:szCs w:val="28"/>
          <w:lang w:val="uk-UA"/>
        </w:rPr>
        <w:t>позалегеневого</w:t>
      </w:r>
      <w:proofErr w:type="spellEnd"/>
      <w:r w:rsidRPr="00ED35A9">
        <w:rPr>
          <w:szCs w:val="28"/>
          <w:lang w:val="uk-UA"/>
        </w:rPr>
        <w:t xml:space="preserve"> ТБ застосовують лише рекомендацію 3.1.</w:t>
      </w:r>
    </w:p>
    <w:p w:rsidR="002A379D" w:rsidRPr="007D6764" w:rsidRDefault="002A379D" w:rsidP="007D6764">
      <w:pPr>
        <w:spacing w:line="233" w:lineRule="auto"/>
        <w:rPr>
          <w:spacing w:val="-2"/>
          <w:szCs w:val="28"/>
          <w:lang w:val="uk-UA"/>
        </w:rPr>
      </w:pPr>
      <w:r w:rsidRPr="007D6764">
        <w:rPr>
          <w:spacing w:val="-2"/>
          <w:szCs w:val="28"/>
          <w:lang w:val="uk-UA"/>
        </w:rPr>
        <w:t xml:space="preserve">Національні протитуберкульозні програми можуть самостійно вирішувати, що практичніше застосовувати для належного проведення моніторингу загальної реалізації програми: фіксовану тривалість інтенсивної фази (наприклад, 6 міс), загальну тривалість лікування (наприклад, 20 міс) або період після визначення </w:t>
      </w:r>
      <w:proofErr w:type="spellStart"/>
      <w:r w:rsidRPr="007D6764">
        <w:rPr>
          <w:spacing w:val="-2"/>
          <w:szCs w:val="28"/>
          <w:lang w:val="uk-UA"/>
        </w:rPr>
        <w:t>культуральної</w:t>
      </w:r>
      <w:proofErr w:type="spellEnd"/>
      <w:r w:rsidRPr="007D6764">
        <w:rPr>
          <w:spacing w:val="-2"/>
          <w:szCs w:val="28"/>
          <w:lang w:val="uk-UA"/>
        </w:rPr>
        <w:t xml:space="preserve"> конверсії (наприклад, 16 міс). Згідно умовних рекомендацій, </w:t>
      </w:r>
      <w:r w:rsidR="00672FC9" w:rsidRPr="007D6764">
        <w:rPr>
          <w:spacing w:val="-2"/>
          <w:szCs w:val="28"/>
          <w:lang w:val="uk-UA"/>
        </w:rPr>
        <w:t xml:space="preserve">у </w:t>
      </w:r>
      <w:r w:rsidRPr="007D6764">
        <w:rPr>
          <w:spacing w:val="-2"/>
          <w:szCs w:val="28"/>
          <w:lang w:val="uk-UA"/>
        </w:rPr>
        <w:t xml:space="preserve">певних </w:t>
      </w:r>
      <w:proofErr w:type="spellStart"/>
      <w:r w:rsidR="00672FC9" w:rsidRPr="007D6764">
        <w:rPr>
          <w:spacing w:val="-2"/>
          <w:szCs w:val="28"/>
          <w:lang w:val="uk-UA"/>
        </w:rPr>
        <w:t>ситуаціяї</w:t>
      </w:r>
      <w:proofErr w:type="spellEnd"/>
      <w:r w:rsidR="00672FC9" w:rsidRPr="007D6764">
        <w:rPr>
          <w:spacing w:val="-2"/>
          <w:szCs w:val="28"/>
          <w:lang w:val="uk-UA"/>
        </w:rPr>
        <w:t xml:space="preserve"> </w:t>
      </w:r>
      <w:r w:rsidRPr="007D6764">
        <w:rPr>
          <w:spacing w:val="-2"/>
          <w:szCs w:val="28"/>
          <w:lang w:val="uk-UA"/>
        </w:rPr>
        <w:t>(наприклад, тривалий позитивний статус мокротиння)</w:t>
      </w:r>
      <w:r w:rsidR="00672FC9" w:rsidRPr="007D6764">
        <w:rPr>
          <w:spacing w:val="-2"/>
          <w:szCs w:val="28"/>
          <w:lang w:val="uk-UA"/>
        </w:rPr>
        <w:t xml:space="preserve"> </w:t>
      </w:r>
      <w:r w:rsidRPr="007D6764">
        <w:rPr>
          <w:spacing w:val="-2"/>
          <w:szCs w:val="28"/>
          <w:lang w:val="uk-UA"/>
        </w:rPr>
        <w:t xml:space="preserve">може виникнути потреба у подовженні інтенсивної фази. У випадку виникнення токсичності, асоційованої з ін’єкційним препаратом, виникає потреба у перегляді схеми, а фаза продовження має починатися з відкоригованої схеми лікування. Схеми, які істотно відрізняються від рекомендованих за складом та тривалістю застосування (наприклад, 9-місячна схема, що складається з препаратів груп А та В; </w:t>
      </w:r>
      <w:r w:rsidRPr="007D6764">
        <w:rPr>
          <w:i/>
          <w:spacing w:val="-2"/>
          <w:szCs w:val="28"/>
          <w:lang w:val="uk-UA"/>
        </w:rPr>
        <w:t>див.</w:t>
      </w:r>
      <w:r w:rsidRPr="007D6764">
        <w:rPr>
          <w:spacing w:val="-2"/>
          <w:szCs w:val="28"/>
          <w:lang w:val="uk-UA"/>
        </w:rPr>
        <w:t xml:space="preserve"> також Розділ 4), можна розглядати в умовах операційного дослідження.</w:t>
      </w:r>
    </w:p>
    <w:p w:rsidR="002A379D" w:rsidRPr="00ED35A9" w:rsidRDefault="00814849" w:rsidP="007D6764">
      <w:pPr>
        <w:spacing w:line="233" w:lineRule="auto"/>
        <w:rPr>
          <w:szCs w:val="28"/>
          <w:lang w:val="uk-UA"/>
        </w:rPr>
      </w:pPr>
      <w:r w:rsidRPr="00ED35A9">
        <w:rPr>
          <w:color w:val="000000"/>
          <w:sz w:val="27"/>
          <w:szCs w:val="27"/>
          <w:shd w:val="clear" w:color="auto" w:fill="FFFFFF"/>
          <w:lang w:val="uk-UA"/>
        </w:rPr>
        <w:t xml:space="preserve">Застосування </w:t>
      </w:r>
      <w:proofErr w:type="spellStart"/>
      <w:r w:rsidRPr="00ED35A9">
        <w:rPr>
          <w:color w:val="000000"/>
          <w:sz w:val="27"/>
          <w:szCs w:val="27"/>
          <w:shd w:val="clear" w:color="auto" w:fill="FFFFFF"/>
          <w:lang w:val="uk-UA"/>
        </w:rPr>
        <w:t>бедаквіліну</w:t>
      </w:r>
      <w:proofErr w:type="spellEnd"/>
      <w:r w:rsidRPr="00ED35A9">
        <w:rPr>
          <w:color w:val="000000"/>
          <w:sz w:val="27"/>
          <w:szCs w:val="27"/>
          <w:shd w:val="clear" w:color="auto" w:fill="FFFFFF"/>
          <w:lang w:val="uk-UA"/>
        </w:rPr>
        <w:t xml:space="preserve"> та </w:t>
      </w:r>
      <w:proofErr w:type="spellStart"/>
      <w:r w:rsidRPr="00ED35A9">
        <w:rPr>
          <w:color w:val="000000"/>
          <w:sz w:val="27"/>
          <w:szCs w:val="27"/>
          <w:shd w:val="clear" w:color="auto" w:fill="FFFFFF"/>
          <w:lang w:val="uk-UA"/>
        </w:rPr>
        <w:t>деламаніду</w:t>
      </w:r>
      <w:proofErr w:type="spellEnd"/>
      <w:r w:rsidRPr="00ED35A9">
        <w:rPr>
          <w:color w:val="000000"/>
          <w:sz w:val="27"/>
          <w:szCs w:val="27"/>
          <w:shd w:val="clear" w:color="auto" w:fill="FFFFFF"/>
          <w:lang w:val="uk-UA"/>
        </w:rPr>
        <w:t xml:space="preserve"> протягом 6 міс, що зазвичай рекомендовано даною настановою, показує, як дані лікарські засоби використовувались згідно до більшості перевірених даних про пацієнтів, що відповідає рекомендаціям, які виробники подали до регуляторних органів </w:t>
      </w:r>
      <w:r w:rsidR="002A379D" w:rsidRPr="00ED35A9">
        <w:rPr>
          <w:i/>
          <w:szCs w:val="28"/>
          <w:lang w:val="uk-UA"/>
        </w:rPr>
        <w:t>(57–59)</w:t>
      </w:r>
      <w:r w:rsidR="002A379D" w:rsidRPr="00ED35A9">
        <w:rPr>
          <w:szCs w:val="28"/>
          <w:lang w:val="uk-UA"/>
        </w:rPr>
        <w:t>. Призначення поза межами рекомендованої тривалості застосування вирішується прогр</w:t>
      </w:r>
      <w:r w:rsidR="00672FC9" w:rsidRPr="00ED35A9">
        <w:rPr>
          <w:szCs w:val="28"/>
          <w:lang w:val="uk-UA"/>
        </w:rPr>
        <w:t>амою у кожному окремому випадку</w:t>
      </w:r>
      <w:r w:rsidR="002A379D" w:rsidRPr="00ED35A9">
        <w:rPr>
          <w:szCs w:val="28"/>
          <w:lang w:val="uk-UA"/>
        </w:rPr>
        <w:t xml:space="preserve"> і вважається застосуванням поза межами показань </w:t>
      </w:r>
      <w:r w:rsidR="002A379D" w:rsidRPr="00ED35A9">
        <w:rPr>
          <w:i/>
          <w:szCs w:val="28"/>
          <w:lang w:val="uk-UA"/>
        </w:rPr>
        <w:t>(48)</w:t>
      </w:r>
      <w:r w:rsidR="002A379D" w:rsidRPr="00ED35A9">
        <w:rPr>
          <w:szCs w:val="28"/>
          <w:lang w:val="uk-UA"/>
        </w:rPr>
        <w:t xml:space="preserve">. Важливо пам’ятати, що на відміну від </w:t>
      </w:r>
      <w:proofErr w:type="spellStart"/>
      <w:r w:rsidR="002A379D" w:rsidRPr="00ED35A9">
        <w:rPr>
          <w:szCs w:val="28"/>
          <w:lang w:val="uk-UA"/>
        </w:rPr>
        <w:t>бедаквіліну</w:t>
      </w:r>
      <w:proofErr w:type="spellEnd"/>
      <w:r w:rsidR="002A379D" w:rsidRPr="00ED35A9">
        <w:rPr>
          <w:szCs w:val="28"/>
          <w:lang w:val="uk-UA"/>
        </w:rPr>
        <w:t xml:space="preserve"> та </w:t>
      </w:r>
      <w:proofErr w:type="spellStart"/>
      <w:r w:rsidR="002A379D" w:rsidRPr="00ED35A9">
        <w:rPr>
          <w:szCs w:val="28"/>
          <w:lang w:val="uk-UA"/>
        </w:rPr>
        <w:t>деламаніду</w:t>
      </w:r>
      <w:proofErr w:type="spellEnd"/>
      <w:r w:rsidR="002A379D" w:rsidRPr="00ED35A9">
        <w:rPr>
          <w:szCs w:val="28"/>
          <w:lang w:val="uk-UA"/>
        </w:rPr>
        <w:t xml:space="preserve">, деякі інші препарати, які входять до схем лікування МРТБ (наприклад, </w:t>
      </w:r>
      <w:proofErr w:type="spellStart"/>
      <w:r w:rsidR="002A379D" w:rsidRPr="00ED35A9">
        <w:rPr>
          <w:szCs w:val="28"/>
          <w:lang w:val="uk-UA"/>
        </w:rPr>
        <w:t>фторхінолони</w:t>
      </w:r>
      <w:proofErr w:type="spellEnd"/>
      <w:r w:rsidR="002A379D" w:rsidRPr="00ED35A9">
        <w:rPr>
          <w:szCs w:val="28"/>
          <w:lang w:val="uk-UA"/>
        </w:rPr>
        <w:t xml:space="preserve">, </w:t>
      </w:r>
      <w:proofErr w:type="spellStart"/>
      <w:r w:rsidR="002A379D" w:rsidRPr="00ED35A9">
        <w:rPr>
          <w:szCs w:val="28"/>
          <w:lang w:val="uk-UA"/>
        </w:rPr>
        <w:t>клофазимін</w:t>
      </w:r>
      <w:proofErr w:type="spellEnd"/>
      <w:r w:rsidR="002A379D" w:rsidRPr="00ED35A9">
        <w:rPr>
          <w:szCs w:val="28"/>
          <w:lang w:val="uk-UA"/>
        </w:rPr>
        <w:t xml:space="preserve">), використовуються за межами свого основного призначення, а рекомендований термін застосування у схемах лікування МРТБ часто є набагато тривалішим, ніж запропоновано при основному призначенні. Інші препарати можуть потребувати коротшої тривалості застосування, оскільки тривале призначення пов’язано із виникненням токсичності (особливо це стосується </w:t>
      </w:r>
      <w:proofErr w:type="spellStart"/>
      <w:r w:rsidR="002A379D" w:rsidRPr="00ED35A9">
        <w:rPr>
          <w:szCs w:val="28"/>
          <w:lang w:val="uk-UA"/>
        </w:rPr>
        <w:t>лінезоліду</w:t>
      </w:r>
      <w:proofErr w:type="spellEnd"/>
      <w:r w:rsidR="002A379D" w:rsidRPr="00ED35A9">
        <w:rPr>
          <w:szCs w:val="28"/>
          <w:lang w:val="uk-UA"/>
        </w:rPr>
        <w:t>).</w:t>
      </w:r>
    </w:p>
    <w:p w:rsidR="002A379D" w:rsidRPr="00ED35A9" w:rsidRDefault="002A379D" w:rsidP="002A379D">
      <w:pPr>
        <w:rPr>
          <w:szCs w:val="28"/>
          <w:lang w:val="uk-UA"/>
        </w:rPr>
      </w:pPr>
      <w:r w:rsidRPr="00ED35A9">
        <w:rPr>
          <w:szCs w:val="28"/>
          <w:lang w:val="uk-UA"/>
        </w:rPr>
        <w:lastRenderedPageBreak/>
        <w:t xml:space="preserve">В деяких країнах відзначено труднощі, пов’язані із впровадженням та забезпеченням якості </w:t>
      </w:r>
      <w:proofErr w:type="spellStart"/>
      <w:r w:rsidRPr="00ED35A9">
        <w:rPr>
          <w:szCs w:val="28"/>
          <w:lang w:val="uk-UA"/>
        </w:rPr>
        <w:t>культурального</w:t>
      </w:r>
      <w:proofErr w:type="spellEnd"/>
      <w:r w:rsidRPr="00ED35A9">
        <w:rPr>
          <w:szCs w:val="28"/>
          <w:lang w:val="uk-UA"/>
        </w:rPr>
        <w:t xml:space="preserve"> </w:t>
      </w:r>
      <w:r w:rsidR="00062299" w:rsidRPr="00ED35A9">
        <w:rPr>
          <w:rFonts w:cs="Times New Roman"/>
          <w:szCs w:val="28"/>
          <w:lang w:val="uk-UA"/>
        </w:rPr>
        <w:t xml:space="preserve">дослідження </w:t>
      </w:r>
      <w:r w:rsidRPr="00ED35A9">
        <w:rPr>
          <w:szCs w:val="28"/>
          <w:lang w:val="uk-UA"/>
        </w:rPr>
        <w:t xml:space="preserve">мокротиння, що впливає на дану рекомендацію, оскільки вона покладається на доступність такого дослідження. Ефективність мікроскопії та посіву також залежить від якості зразку мокротиння, тож для отримання </w:t>
      </w:r>
      <w:proofErr w:type="spellStart"/>
      <w:r w:rsidRPr="00ED35A9">
        <w:rPr>
          <w:szCs w:val="28"/>
          <w:lang w:val="uk-UA"/>
        </w:rPr>
        <w:t>валідного</w:t>
      </w:r>
      <w:proofErr w:type="spellEnd"/>
      <w:r w:rsidRPr="00ED35A9">
        <w:rPr>
          <w:szCs w:val="28"/>
          <w:lang w:val="uk-UA"/>
        </w:rPr>
        <w:t xml:space="preserve"> результату </w:t>
      </w:r>
      <w:proofErr w:type="spellStart"/>
      <w:r w:rsidRPr="00ED35A9">
        <w:rPr>
          <w:szCs w:val="28"/>
          <w:lang w:val="uk-UA"/>
        </w:rPr>
        <w:t>культурального</w:t>
      </w:r>
      <w:proofErr w:type="spellEnd"/>
      <w:r w:rsidRPr="00ED35A9">
        <w:rPr>
          <w:szCs w:val="28"/>
          <w:lang w:val="uk-UA"/>
        </w:rPr>
        <w:t xml:space="preserve"> дослідження необхідно приділяти особлив</w:t>
      </w:r>
      <w:r w:rsidR="00672FC9" w:rsidRPr="00ED35A9">
        <w:rPr>
          <w:szCs w:val="28"/>
          <w:lang w:val="uk-UA"/>
        </w:rPr>
        <w:t xml:space="preserve">у </w:t>
      </w:r>
      <w:r w:rsidRPr="00ED35A9">
        <w:rPr>
          <w:szCs w:val="28"/>
          <w:lang w:val="uk-UA"/>
        </w:rPr>
        <w:t>уваг</w:t>
      </w:r>
      <w:r w:rsidR="00672FC9" w:rsidRPr="00ED35A9">
        <w:rPr>
          <w:szCs w:val="28"/>
          <w:lang w:val="uk-UA"/>
        </w:rPr>
        <w:t xml:space="preserve">у </w:t>
      </w:r>
      <w:r w:rsidRPr="00ED35A9">
        <w:rPr>
          <w:szCs w:val="28"/>
          <w:lang w:val="uk-UA"/>
        </w:rPr>
        <w:t>отриманн</w:t>
      </w:r>
      <w:r w:rsidR="00672FC9" w:rsidRPr="00ED35A9">
        <w:rPr>
          <w:szCs w:val="28"/>
          <w:lang w:val="uk-UA"/>
        </w:rPr>
        <w:t xml:space="preserve">ю </w:t>
      </w:r>
      <w:r w:rsidRPr="00ED35A9">
        <w:rPr>
          <w:szCs w:val="28"/>
          <w:lang w:val="uk-UA"/>
        </w:rPr>
        <w:t>належних зразків та транспортуванн</w:t>
      </w:r>
      <w:r w:rsidR="00672FC9" w:rsidRPr="00ED35A9">
        <w:rPr>
          <w:szCs w:val="28"/>
          <w:lang w:val="uk-UA"/>
        </w:rPr>
        <w:t xml:space="preserve">ю </w:t>
      </w:r>
      <w:r w:rsidRPr="00ED35A9">
        <w:rPr>
          <w:szCs w:val="28"/>
          <w:lang w:val="uk-UA"/>
        </w:rPr>
        <w:t>їх до лабораторії відповідно до стандартних процедур з підтримки життєздатності мікобактерії ТБ.</w:t>
      </w:r>
    </w:p>
    <w:p w:rsidR="002A379D" w:rsidRPr="00ED35A9" w:rsidRDefault="002A379D" w:rsidP="002A379D">
      <w:pPr>
        <w:rPr>
          <w:szCs w:val="28"/>
          <w:lang w:val="uk-UA"/>
        </w:rPr>
      </w:pPr>
      <w:r w:rsidRPr="00ED35A9">
        <w:rPr>
          <w:szCs w:val="28"/>
          <w:lang w:val="uk-UA"/>
        </w:rPr>
        <w:t xml:space="preserve">Для підвищення </w:t>
      </w:r>
      <w:r w:rsidR="00672FC9" w:rsidRPr="00ED35A9">
        <w:rPr>
          <w:szCs w:val="28"/>
          <w:lang w:val="uk-UA"/>
        </w:rPr>
        <w:t>й</w:t>
      </w:r>
      <w:r w:rsidRPr="00ED35A9">
        <w:rPr>
          <w:szCs w:val="28"/>
          <w:lang w:val="uk-UA"/>
        </w:rPr>
        <w:t>мовірності успіху лікування важливим є запобігання перериван</w:t>
      </w:r>
      <w:r w:rsidR="00672FC9" w:rsidRPr="00ED35A9">
        <w:rPr>
          <w:szCs w:val="28"/>
          <w:lang w:val="uk-UA"/>
        </w:rPr>
        <w:t xml:space="preserve">ням </w:t>
      </w:r>
      <w:r w:rsidRPr="00ED35A9">
        <w:rPr>
          <w:szCs w:val="28"/>
          <w:lang w:val="uk-UA"/>
        </w:rPr>
        <w:t xml:space="preserve">лікування. Для покращення утримання на лікуванні може знадобитися впровадження заходів з посилення прихильності пацієнта до лікування шляхом надання допомоги у відвіданні </w:t>
      </w:r>
      <w:proofErr w:type="spellStart"/>
      <w:r w:rsidRPr="00ED35A9">
        <w:rPr>
          <w:szCs w:val="28"/>
          <w:lang w:val="uk-UA"/>
        </w:rPr>
        <w:t>медзакладів</w:t>
      </w:r>
      <w:proofErr w:type="spellEnd"/>
      <w:r w:rsidRPr="00ED35A9">
        <w:rPr>
          <w:szCs w:val="28"/>
          <w:lang w:val="uk-UA"/>
        </w:rPr>
        <w:t xml:space="preserve">, візитів медпрацівників до місця проживання пацієнта або за допомогою цифрових технологій для щоденного спілкування </w:t>
      </w:r>
      <w:r w:rsidRPr="00ED35A9">
        <w:rPr>
          <w:i/>
          <w:szCs w:val="28"/>
          <w:lang w:val="uk-UA"/>
        </w:rPr>
        <w:t>(29)</w:t>
      </w:r>
      <w:r w:rsidRPr="00ED35A9">
        <w:rPr>
          <w:szCs w:val="28"/>
          <w:lang w:val="uk-UA"/>
        </w:rPr>
        <w:t xml:space="preserve">. Пацієнти, що отримують препарати в ін’єкційній формі, потребують щоденної кваліфікованої допомоги медпрацівника, або навіть госпіталізації на перші місяці, для виконання </w:t>
      </w:r>
      <w:proofErr w:type="spellStart"/>
      <w:r w:rsidRPr="00ED35A9">
        <w:rPr>
          <w:szCs w:val="28"/>
          <w:lang w:val="uk-UA"/>
        </w:rPr>
        <w:t>внутрішньом’язових</w:t>
      </w:r>
      <w:proofErr w:type="spellEnd"/>
      <w:r w:rsidRPr="00ED35A9">
        <w:rPr>
          <w:szCs w:val="28"/>
          <w:lang w:val="uk-UA"/>
        </w:rPr>
        <w:t xml:space="preserve"> ін’єкцій.</w:t>
      </w:r>
    </w:p>
    <w:p w:rsidR="002A379D" w:rsidRPr="00ED35A9" w:rsidRDefault="002A379D" w:rsidP="002A379D">
      <w:pPr>
        <w:rPr>
          <w:b/>
          <w:szCs w:val="28"/>
          <w:lang w:val="uk-UA"/>
        </w:rPr>
      </w:pPr>
      <w:r w:rsidRPr="00ED35A9">
        <w:rPr>
          <w:b/>
          <w:szCs w:val="28"/>
          <w:lang w:val="uk-UA"/>
        </w:rPr>
        <w:t>Моніторинг та оцінювання</w:t>
      </w:r>
    </w:p>
    <w:p w:rsidR="002A379D" w:rsidRPr="00ED35A9" w:rsidRDefault="002A379D" w:rsidP="002A379D">
      <w:pPr>
        <w:rPr>
          <w:szCs w:val="28"/>
          <w:lang w:val="uk-UA"/>
        </w:rPr>
      </w:pPr>
      <w:r w:rsidRPr="00ED35A9">
        <w:rPr>
          <w:szCs w:val="28"/>
          <w:lang w:val="uk-UA"/>
        </w:rPr>
        <w:t xml:space="preserve">У пацієнтів на довгострокових схемах лікування МРТБ слід проводити моніторинг щодо безпечності, </w:t>
      </w:r>
      <w:r w:rsidR="00710AA9" w:rsidRPr="00ED35A9">
        <w:rPr>
          <w:szCs w:val="28"/>
          <w:lang w:val="uk-UA"/>
        </w:rPr>
        <w:t xml:space="preserve">ефективності </w:t>
      </w:r>
      <w:r w:rsidRPr="00ED35A9">
        <w:rPr>
          <w:szCs w:val="28"/>
          <w:lang w:val="uk-UA"/>
        </w:rPr>
        <w:t>або не</w:t>
      </w:r>
      <w:r w:rsidR="00710AA9" w:rsidRPr="00ED35A9">
        <w:rPr>
          <w:szCs w:val="28"/>
          <w:lang w:val="uk-UA"/>
        </w:rPr>
        <w:t xml:space="preserve">ефективності </w:t>
      </w:r>
      <w:r w:rsidRPr="00ED35A9">
        <w:rPr>
          <w:szCs w:val="28"/>
          <w:lang w:val="uk-UA"/>
        </w:rPr>
        <w:t xml:space="preserve">лікування, використовуючи надійні клінічні та лабораторні дослідження </w:t>
      </w:r>
      <w:r w:rsidRPr="00ED35A9">
        <w:rPr>
          <w:i/>
          <w:szCs w:val="28"/>
          <w:lang w:val="uk-UA"/>
        </w:rPr>
        <w:t>(7, 11)</w:t>
      </w:r>
      <w:r w:rsidRPr="00ED35A9">
        <w:rPr>
          <w:szCs w:val="28"/>
          <w:lang w:val="uk-UA"/>
        </w:rPr>
        <w:t>. Моніторинг реакції на лікування та виникнення токсичності слід проводити за допомогою регулярного опитування, медичного огляду, радіографічного обстеження грудної кліт</w:t>
      </w:r>
      <w:r w:rsidR="00236DCB" w:rsidRPr="00ED35A9">
        <w:rPr>
          <w:szCs w:val="28"/>
          <w:lang w:val="uk-UA"/>
        </w:rPr>
        <w:t>к</w:t>
      </w:r>
      <w:r w:rsidRPr="00ED35A9">
        <w:rPr>
          <w:szCs w:val="28"/>
          <w:lang w:val="uk-UA"/>
        </w:rPr>
        <w:t xml:space="preserve">и, проведення спеціальних досліджень, зокрема аудіометрії, тестів щодо гостроти зору, електрокардіографії та лабораторного моніторингу. Використання мікроскопії мокротиння або </w:t>
      </w:r>
      <w:proofErr w:type="spellStart"/>
      <w:r w:rsidRPr="00ED35A9">
        <w:rPr>
          <w:szCs w:val="28"/>
          <w:lang w:val="uk-UA"/>
        </w:rPr>
        <w:t>культурального</w:t>
      </w:r>
      <w:proofErr w:type="spellEnd"/>
      <w:r w:rsidRPr="00ED35A9">
        <w:rPr>
          <w:szCs w:val="28"/>
          <w:lang w:val="uk-UA"/>
        </w:rPr>
        <w:t xml:space="preserve"> </w:t>
      </w:r>
      <w:r w:rsidR="00062299" w:rsidRPr="00ED35A9">
        <w:rPr>
          <w:szCs w:val="28"/>
          <w:lang w:val="uk-UA"/>
        </w:rPr>
        <w:t>дослідження</w:t>
      </w:r>
      <w:r w:rsidRPr="00ED35A9">
        <w:rPr>
          <w:szCs w:val="28"/>
          <w:lang w:val="uk-UA"/>
        </w:rPr>
        <w:t xml:space="preserve"> для визначення конверсії бактеріологічного статусу є важливим способом оцінювання реакції; зазвичай, у більшості пацієнтів конверсія до негативного</w:t>
      </w:r>
      <w:r w:rsidR="00062299" w:rsidRPr="00ED35A9">
        <w:rPr>
          <w:szCs w:val="28"/>
          <w:lang w:val="uk-UA"/>
        </w:rPr>
        <w:t xml:space="preserve"> результату</w:t>
      </w:r>
      <w:r w:rsidRPr="00ED35A9">
        <w:rPr>
          <w:szCs w:val="28"/>
          <w:lang w:val="uk-UA"/>
        </w:rPr>
        <w:t xml:space="preserve"> відбувається протягом перших декількох місяців лікування. Збереження позитивного статусу мокротиння після цього періоду або наприкінці інтенсивної фази лікування із застосуванням ін’єкційних препаратів є фактором для перегляду схеми та ефективності ТМЧ.</w:t>
      </w:r>
    </w:p>
    <w:p w:rsidR="002A379D" w:rsidRPr="00ED35A9" w:rsidRDefault="002A379D" w:rsidP="002A379D">
      <w:pPr>
        <w:rPr>
          <w:szCs w:val="28"/>
          <w:lang w:val="uk-UA"/>
        </w:rPr>
      </w:pPr>
      <w:r w:rsidRPr="00ED35A9">
        <w:rPr>
          <w:szCs w:val="28"/>
          <w:lang w:val="uk-UA"/>
        </w:rPr>
        <w:t xml:space="preserve">Останнім часом було проведено певну стандартизацію системи епіднагляду за бактеріологічним статусом, </w:t>
      </w:r>
      <w:r w:rsidR="00480CDB" w:rsidRPr="00ED35A9">
        <w:rPr>
          <w:szCs w:val="28"/>
          <w:lang w:val="uk-UA"/>
        </w:rPr>
        <w:t xml:space="preserve">медикаментозною </w:t>
      </w:r>
      <w:r w:rsidRPr="00ED35A9">
        <w:rPr>
          <w:szCs w:val="28"/>
          <w:lang w:val="uk-UA"/>
        </w:rPr>
        <w:t xml:space="preserve">резистентністю та результатами лікування </w:t>
      </w:r>
      <w:r w:rsidRPr="00ED35A9">
        <w:rPr>
          <w:i/>
          <w:szCs w:val="28"/>
          <w:lang w:val="uk-UA"/>
        </w:rPr>
        <w:t>(12)</w:t>
      </w:r>
      <w:r w:rsidRPr="00ED35A9">
        <w:rPr>
          <w:szCs w:val="28"/>
          <w:lang w:val="uk-UA"/>
        </w:rPr>
        <w:t xml:space="preserve">. Натомість, необхідно посилювати систематичний моніторинг щодо виникнення небажаних явищ протягом лікування та після його завершення у більшості протитуберкульозних програм, враховуючи відносну новизну впровадження активного </w:t>
      </w:r>
      <w:proofErr w:type="spellStart"/>
      <w:r w:rsidRPr="00ED35A9">
        <w:rPr>
          <w:szCs w:val="28"/>
          <w:lang w:val="uk-UA"/>
        </w:rPr>
        <w:t>фармаконагляду</w:t>
      </w:r>
      <w:proofErr w:type="spellEnd"/>
      <w:r w:rsidRPr="00ED35A9">
        <w:rPr>
          <w:szCs w:val="28"/>
          <w:lang w:val="uk-UA"/>
        </w:rPr>
        <w:t xml:space="preserve"> у національних протитуберкульозних програмах. У контексті цієї рекомендації, важливим є проведення моніторингу втрати слуху та функції нирок, особливо при застосуванні </w:t>
      </w:r>
      <w:proofErr w:type="spellStart"/>
      <w:r w:rsidRPr="00ED35A9">
        <w:rPr>
          <w:szCs w:val="28"/>
          <w:lang w:val="uk-UA"/>
        </w:rPr>
        <w:t>аміноглікозидів</w:t>
      </w:r>
      <w:proofErr w:type="spellEnd"/>
      <w:r w:rsidRPr="00ED35A9">
        <w:rPr>
          <w:szCs w:val="28"/>
          <w:lang w:val="uk-UA"/>
        </w:rPr>
        <w:t xml:space="preserve">. Впровадження системи </w:t>
      </w:r>
      <w:proofErr w:type="spellStart"/>
      <w:r w:rsidRPr="00ED35A9">
        <w:rPr>
          <w:szCs w:val="28"/>
          <w:lang w:val="uk-UA"/>
        </w:rPr>
        <w:t>aDSM</w:t>
      </w:r>
      <w:proofErr w:type="spellEnd"/>
      <w:r w:rsidRPr="00ED35A9">
        <w:rPr>
          <w:szCs w:val="28"/>
          <w:lang w:val="uk-UA"/>
        </w:rPr>
        <w:t xml:space="preserve"> обґрунтовано підвищенням рівня застосування в усьому світі комбінацій нових препаратів або препаратів зі зміненим призначенням у схемах лікування МРТБ. Рівень токсичності певних препаратів може підвищуватись із тривалістю використання (наприклад, </w:t>
      </w:r>
      <w:r w:rsidRPr="00ED35A9">
        <w:rPr>
          <w:szCs w:val="28"/>
          <w:lang w:val="uk-UA"/>
        </w:rPr>
        <w:lastRenderedPageBreak/>
        <w:t xml:space="preserve">ушкодження нервової системи при застосуванні </w:t>
      </w:r>
      <w:proofErr w:type="spellStart"/>
      <w:r w:rsidRPr="00ED35A9">
        <w:rPr>
          <w:szCs w:val="28"/>
          <w:lang w:val="uk-UA"/>
        </w:rPr>
        <w:t>лінезоліду</w:t>
      </w:r>
      <w:proofErr w:type="spellEnd"/>
      <w:r w:rsidRPr="00ED35A9">
        <w:rPr>
          <w:szCs w:val="28"/>
          <w:lang w:val="uk-UA"/>
        </w:rPr>
        <w:t xml:space="preserve">), що може обмежувати тривалість їх застосування, а інколи призводити до повного припинення лікування. Для захисту інтересів кожного окремого пацієнта та формування фундаменту для перегляду локальних і глобальних стратегій наполегливо рекомендовано проводити ретельне збирання точних даних щодо ключових змінних на рівні окремих випадків з використанням електронного реєстру </w:t>
      </w:r>
      <w:r w:rsidRPr="00ED35A9">
        <w:rPr>
          <w:i/>
          <w:szCs w:val="28"/>
          <w:lang w:val="uk-UA"/>
        </w:rPr>
        <w:t>(60)</w:t>
      </w:r>
      <w:r w:rsidRPr="00ED35A9">
        <w:rPr>
          <w:szCs w:val="28"/>
          <w:lang w:val="uk-UA"/>
        </w:rPr>
        <w:t>.</w:t>
      </w:r>
    </w:p>
    <w:p w:rsidR="005A6BE0" w:rsidRPr="00ED35A9" w:rsidRDefault="005A6BE0">
      <w:pPr>
        <w:spacing w:after="160" w:line="259" w:lineRule="auto"/>
        <w:ind w:firstLine="0"/>
        <w:jc w:val="left"/>
        <w:rPr>
          <w:rFonts w:cs="Times New Roman"/>
          <w:szCs w:val="28"/>
          <w:lang w:val="uk-UA"/>
        </w:rPr>
      </w:pPr>
      <w:r w:rsidRPr="00ED35A9">
        <w:rPr>
          <w:rFonts w:cs="Times New Roman"/>
          <w:szCs w:val="28"/>
          <w:lang w:val="uk-UA"/>
        </w:rPr>
        <w:br w:type="page"/>
      </w:r>
    </w:p>
    <w:p w:rsidR="00877D83" w:rsidRPr="00ED35A9" w:rsidRDefault="00877D83" w:rsidP="00877D83">
      <w:pPr>
        <w:pStyle w:val="2"/>
        <w:rPr>
          <w:lang w:val="uk-UA"/>
        </w:rPr>
      </w:pPr>
      <w:bookmarkStart w:id="39" w:name="_Toc18416322"/>
      <w:bookmarkStart w:id="40" w:name="bookmark47"/>
      <w:bookmarkStart w:id="41" w:name="_Toc417570601"/>
      <w:bookmarkEnd w:id="32"/>
      <w:bookmarkEnd w:id="33"/>
      <w:r w:rsidRPr="00ED35A9">
        <w:rPr>
          <w:lang w:val="uk-UA"/>
        </w:rPr>
        <w:lastRenderedPageBreak/>
        <w:t xml:space="preserve">Розділ 4. Застосування стандартизованої короткострокової схеми лікування </w:t>
      </w:r>
      <w:proofErr w:type="spellStart"/>
      <w:r w:rsidRPr="00ED35A9">
        <w:rPr>
          <w:lang w:val="uk-UA"/>
        </w:rPr>
        <w:t>мультирезистентного</w:t>
      </w:r>
      <w:proofErr w:type="spellEnd"/>
      <w:r w:rsidRPr="00ED35A9">
        <w:rPr>
          <w:lang w:val="uk-UA"/>
        </w:rPr>
        <w:t xml:space="preserve"> туберкульозу</w:t>
      </w:r>
      <w:bookmarkEnd w:id="39"/>
    </w:p>
    <w:tbl>
      <w:tblPr>
        <w:tblStyle w:val="a8"/>
        <w:tblW w:w="0" w:type="auto"/>
        <w:tblInd w:w="108" w:type="dxa"/>
        <w:shd w:val="clear" w:color="auto" w:fill="DEEAF6" w:themeFill="accent1" w:themeFillTint="33"/>
        <w:tblLook w:val="04A0" w:firstRow="1" w:lastRow="0" w:firstColumn="1" w:lastColumn="0" w:noHBand="0" w:noVBand="1"/>
      </w:tblPr>
      <w:tblGrid>
        <w:gridCol w:w="9356"/>
      </w:tblGrid>
      <w:tr w:rsidR="00877D83" w:rsidRPr="00ED35A9" w:rsidTr="00877D83">
        <w:tc>
          <w:tcPr>
            <w:tcW w:w="9356" w:type="dxa"/>
            <w:shd w:val="clear" w:color="auto" w:fill="DEEAF6" w:themeFill="accent1" w:themeFillTint="33"/>
          </w:tcPr>
          <w:p w:rsidR="00877D83" w:rsidRPr="00ED35A9" w:rsidRDefault="00877D83" w:rsidP="00877D83">
            <w:pPr>
              <w:spacing w:before="120" w:after="120"/>
              <w:ind w:firstLine="0"/>
              <w:jc w:val="center"/>
              <w:rPr>
                <w:b/>
                <w:szCs w:val="28"/>
                <w:lang w:val="uk-UA"/>
              </w:rPr>
            </w:pPr>
            <w:bookmarkStart w:id="42" w:name="bookmark42"/>
            <w:bookmarkStart w:id="43" w:name="_Toc417570596"/>
            <w:r w:rsidRPr="00ED35A9">
              <w:rPr>
                <w:b/>
                <w:szCs w:val="28"/>
                <w:lang w:val="uk-UA"/>
              </w:rPr>
              <w:t>Рекомендація</w:t>
            </w:r>
          </w:p>
          <w:p w:rsidR="00877D83" w:rsidRPr="00ED35A9" w:rsidRDefault="00877D83" w:rsidP="00877D83">
            <w:pPr>
              <w:spacing w:after="120"/>
              <w:ind w:firstLine="0"/>
              <w:rPr>
                <w:szCs w:val="28"/>
                <w:lang w:val="uk-UA"/>
              </w:rPr>
            </w:pPr>
            <w:r w:rsidRPr="00ED35A9">
              <w:rPr>
                <w:szCs w:val="28"/>
                <w:lang w:val="uk-UA"/>
              </w:rPr>
              <w:t xml:space="preserve">4.1. Пацієнтам з МР/Риф-ТБ, які раніше не проходили курс лікування довше одного місяця із застосуванням препаратів другого ряду, що використовують у короткострокових схемах лікування МРТБ, або в яких було виключено резистентність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замість довгострокових схем можна призначати короткострокові схеми лікування МРТБ тривалістю 9–12 міс (умовна рекомендація, низька якість доказових даних).</w:t>
            </w:r>
          </w:p>
        </w:tc>
      </w:tr>
    </w:tbl>
    <w:bookmarkEnd w:id="42"/>
    <w:bookmarkEnd w:id="43"/>
    <w:p w:rsidR="00877D83" w:rsidRPr="00ED35A9" w:rsidRDefault="00877D83" w:rsidP="00877D83">
      <w:pPr>
        <w:spacing w:before="120"/>
        <w:rPr>
          <w:b/>
          <w:szCs w:val="28"/>
          <w:lang w:val="uk-UA"/>
        </w:rPr>
      </w:pPr>
      <w:r w:rsidRPr="00ED35A9">
        <w:rPr>
          <w:b/>
          <w:szCs w:val="28"/>
          <w:lang w:val="uk-UA"/>
        </w:rPr>
        <w:t>Обґрунтування та доказові дані</w:t>
      </w:r>
    </w:p>
    <w:p w:rsidR="00877D83" w:rsidRPr="00ED35A9" w:rsidRDefault="00877D83" w:rsidP="00877D83">
      <w:pPr>
        <w:spacing w:after="120"/>
        <w:rPr>
          <w:szCs w:val="28"/>
          <w:lang w:val="uk-UA"/>
        </w:rPr>
      </w:pPr>
      <w:r w:rsidRPr="00ED35A9">
        <w:rPr>
          <w:szCs w:val="28"/>
          <w:lang w:val="uk-UA"/>
        </w:rPr>
        <w:t>Рекомендації цього розділу дають відповідь на одне запитання PICO (</w:t>
      </w:r>
      <w:r w:rsidRPr="00ED35A9">
        <w:rPr>
          <w:i/>
          <w:szCs w:val="28"/>
          <w:lang w:val="uk-UA"/>
        </w:rPr>
        <w:t>див.</w:t>
      </w:r>
      <w:r w:rsidRPr="00ED35A9">
        <w:rPr>
          <w:szCs w:val="28"/>
          <w:lang w:val="uk-UA"/>
        </w:rPr>
        <w:t xml:space="preserve"> Додаток 1).</w:t>
      </w:r>
    </w:p>
    <w:tbl>
      <w:tblPr>
        <w:tblStyle w:val="a8"/>
        <w:tblW w:w="0" w:type="auto"/>
        <w:tblInd w:w="108" w:type="dxa"/>
        <w:tblLook w:val="04A0" w:firstRow="1" w:lastRow="0" w:firstColumn="1" w:lastColumn="0" w:noHBand="0" w:noVBand="1"/>
      </w:tblPr>
      <w:tblGrid>
        <w:gridCol w:w="9356"/>
      </w:tblGrid>
      <w:tr w:rsidR="00877D83" w:rsidRPr="00850C2F" w:rsidTr="00877D83">
        <w:tc>
          <w:tcPr>
            <w:tcW w:w="9356" w:type="dxa"/>
          </w:tcPr>
          <w:p w:rsidR="00877D83" w:rsidRPr="00ED35A9" w:rsidRDefault="00877D83" w:rsidP="00877D83">
            <w:pPr>
              <w:spacing w:before="120"/>
              <w:ind w:firstLine="0"/>
              <w:rPr>
                <w:b/>
                <w:i/>
                <w:szCs w:val="28"/>
                <w:lang w:val="uk-UA"/>
              </w:rPr>
            </w:pPr>
            <w:r w:rsidRPr="00ED35A9">
              <w:rPr>
                <w:b/>
                <w:i/>
                <w:szCs w:val="28"/>
                <w:lang w:val="uk-UA"/>
              </w:rPr>
              <w:t>Запита</w:t>
            </w:r>
            <w:r w:rsidR="006D00C8" w:rsidRPr="00ED35A9">
              <w:rPr>
                <w:b/>
                <w:i/>
                <w:szCs w:val="28"/>
                <w:lang w:val="uk-UA"/>
              </w:rPr>
              <w:t>ння PICO 1 (МР/Риф-ТБ, 2018 р.)</w:t>
            </w:r>
          </w:p>
          <w:p w:rsidR="00877D83" w:rsidRPr="00ED35A9" w:rsidRDefault="00877D83" w:rsidP="00693DAB">
            <w:pPr>
              <w:spacing w:after="120"/>
              <w:ind w:firstLine="0"/>
              <w:rPr>
                <w:szCs w:val="28"/>
                <w:lang w:val="uk-UA"/>
              </w:rPr>
            </w:pPr>
            <w:r w:rsidRPr="00ED35A9">
              <w:rPr>
                <w:szCs w:val="28"/>
                <w:lang w:val="uk-UA"/>
              </w:rPr>
              <w:t>Чи застосування короткострокової схеми лікування (9–12 міс) у пацієнтів з</w:t>
            </w:r>
            <w:r w:rsidR="00693DAB" w:rsidRPr="00ED35A9">
              <w:rPr>
                <w:szCs w:val="28"/>
                <w:lang w:val="uk-UA"/>
              </w:rPr>
              <w:t> </w:t>
            </w:r>
            <w:r w:rsidRPr="00ED35A9">
              <w:rPr>
                <w:szCs w:val="28"/>
                <w:lang w:val="uk-UA"/>
              </w:rPr>
              <w:t>МР/Риф-ТБ підвищить ймовірність покращення результатів лікування порівняно із застосуванням довгострокової схеми, рекомендованим у попередніх настановах ВООЗ</w:t>
            </w:r>
            <w:r w:rsidRPr="00ED35A9">
              <w:rPr>
                <w:szCs w:val="28"/>
                <w:vertAlign w:val="superscript"/>
                <w:lang w:val="uk-UA"/>
              </w:rPr>
              <w:footnoteReference w:id="21"/>
            </w:r>
            <w:r w:rsidRPr="00ED35A9">
              <w:rPr>
                <w:szCs w:val="28"/>
                <w:lang w:val="uk-UA"/>
              </w:rPr>
              <w:t>?</w:t>
            </w:r>
          </w:p>
        </w:tc>
      </w:tr>
    </w:tbl>
    <w:p w:rsidR="00877D83" w:rsidRPr="00ED35A9" w:rsidRDefault="00877D83" w:rsidP="00877D83">
      <w:pPr>
        <w:spacing w:before="120"/>
        <w:rPr>
          <w:szCs w:val="28"/>
          <w:lang w:val="uk-UA"/>
        </w:rPr>
      </w:pPr>
      <w:r w:rsidRPr="00ED35A9">
        <w:rPr>
          <w:szCs w:val="28"/>
          <w:lang w:val="uk-UA"/>
        </w:rPr>
        <w:t xml:space="preserve">Зацікавленість у скороченні тривалості лікування МРТБ останнім часом призвела до призначення короткострокових схем лікування пацієнтам як у програмних, так і в дослідницьких умовах </w:t>
      </w:r>
      <w:r w:rsidRPr="00ED35A9">
        <w:rPr>
          <w:i/>
          <w:szCs w:val="28"/>
          <w:lang w:val="uk-UA"/>
        </w:rPr>
        <w:t>(61–66)</w:t>
      </w:r>
      <w:r w:rsidRPr="00ED35A9">
        <w:rPr>
          <w:szCs w:val="28"/>
          <w:lang w:val="uk-UA"/>
        </w:rPr>
        <w:t>. В умовах призначення таких схем ретельно відібраним пацієнтам з МРТБ, які раніше не отримували препарат</w:t>
      </w:r>
      <w:r w:rsidR="00693DAB" w:rsidRPr="00ED35A9">
        <w:rPr>
          <w:szCs w:val="28"/>
          <w:lang w:val="uk-UA"/>
        </w:rPr>
        <w:t xml:space="preserve">и </w:t>
      </w:r>
      <w:r w:rsidRPr="00ED35A9">
        <w:rPr>
          <w:szCs w:val="28"/>
          <w:lang w:val="uk-UA"/>
        </w:rPr>
        <w:t xml:space="preserve">другого ряду і не мають резистентних до них штамів, відзначено </w:t>
      </w:r>
      <w:proofErr w:type="spellStart"/>
      <w:r w:rsidRPr="00ED35A9">
        <w:rPr>
          <w:szCs w:val="28"/>
          <w:lang w:val="uk-UA"/>
        </w:rPr>
        <w:t>безрецидивне</w:t>
      </w:r>
      <w:proofErr w:type="spellEnd"/>
      <w:r w:rsidRPr="00ED35A9">
        <w:rPr>
          <w:szCs w:val="28"/>
          <w:lang w:val="uk-UA"/>
        </w:rPr>
        <w:t xml:space="preserve"> </w:t>
      </w:r>
      <w:r w:rsidR="006D127C" w:rsidRPr="00ED35A9">
        <w:rPr>
          <w:szCs w:val="28"/>
          <w:lang w:val="uk-UA"/>
        </w:rPr>
        <w:t>одужання</w:t>
      </w:r>
      <w:r w:rsidRPr="00ED35A9">
        <w:rPr>
          <w:szCs w:val="28"/>
          <w:lang w:val="uk-UA"/>
        </w:rPr>
        <w:t xml:space="preserve"> у </w:t>
      </w:r>
      <w:r w:rsidR="00693DAB" w:rsidRPr="00ED35A9">
        <w:rPr>
          <w:szCs w:val="28"/>
          <w:lang w:val="uk-UA"/>
        </w:rPr>
        <w:t xml:space="preserve">понад </w:t>
      </w:r>
      <w:r w:rsidRPr="00ED35A9">
        <w:rPr>
          <w:szCs w:val="28"/>
          <w:lang w:val="uk-UA"/>
        </w:rPr>
        <w:t xml:space="preserve">85% випадків навіть при впровадженні у програмних умовах. Спираючись на дані обсерваційних досліджень із застосування короткострокових схем у різних країнах Азії та Африки, у 2016 р. ВООЗ було рекомендовано застосування стандартизованої короткострокової схеми лікування МРТБ для певних пацієнтів, що підходять за параметрами відбору </w:t>
      </w:r>
      <w:r w:rsidRPr="00ED35A9">
        <w:rPr>
          <w:i/>
          <w:szCs w:val="28"/>
          <w:lang w:val="uk-UA"/>
        </w:rPr>
        <w:t>(6)</w:t>
      </w:r>
      <w:r w:rsidRPr="00ED35A9">
        <w:rPr>
          <w:szCs w:val="28"/>
          <w:lang w:val="uk-UA"/>
        </w:rPr>
        <w:t>. На той час ГРН було проведено оцінювання доказових даних і сформульовано рекомендації із застосуванням методу GRADE та наданням ї</w:t>
      </w:r>
      <w:r w:rsidR="00693DAB" w:rsidRPr="00ED35A9">
        <w:rPr>
          <w:szCs w:val="28"/>
          <w:lang w:val="uk-UA"/>
        </w:rPr>
        <w:t>м</w:t>
      </w:r>
      <w:r w:rsidRPr="00ED35A9">
        <w:rPr>
          <w:szCs w:val="28"/>
          <w:lang w:val="uk-UA"/>
        </w:rPr>
        <w:t xml:space="preserve"> умовного статусу через низький рівень достовірності даних. Станом на кінець 2017 р., у 62 країнах було впроваджено короткострокові схеми лікування МРТБ; близько 10 000 пацієнтів розпочали лікування за короткостроковими схемами вже того ж року </w:t>
      </w:r>
      <w:r w:rsidRPr="00ED35A9">
        <w:rPr>
          <w:i/>
          <w:szCs w:val="28"/>
          <w:lang w:val="uk-UA"/>
        </w:rPr>
        <w:t>(41)</w:t>
      </w:r>
      <w:r w:rsidRPr="00ED35A9">
        <w:rPr>
          <w:szCs w:val="28"/>
          <w:lang w:val="uk-UA"/>
        </w:rPr>
        <w:t>.</w:t>
      </w:r>
    </w:p>
    <w:p w:rsidR="00877D83" w:rsidRPr="00ED35A9" w:rsidRDefault="00877D83" w:rsidP="00877D83">
      <w:pPr>
        <w:rPr>
          <w:szCs w:val="28"/>
          <w:lang w:val="uk-UA"/>
        </w:rPr>
      </w:pPr>
      <w:r w:rsidRPr="00ED35A9">
        <w:rPr>
          <w:noProof/>
          <w:szCs w:val="28"/>
          <w:lang w:val="uk-UA" w:eastAsia="uk-UA"/>
        </w:rPr>
        <mc:AlternateContent>
          <mc:Choice Requires="wps">
            <w:drawing>
              <wp:anchor distT="0" distB="0" distL="63500" distR="63500" simplePos="0" relativeHeight="251685888" behindDoc="1" locked="0" layoutInCell="1" allowOverlap="1" wp14:anchorId="2E083A7E" wp14:editId="0CB8B471">
                <wp:simplePos x="0" y="0"/>
                <wp:positionH relativeFrom="margin">
                  <wp:posOffset>6038215</wp:posOffset>
                </wp:positionH>
                <wp:positionV relativeFrom="margin">
                  <wp:posOffset>9314815</wp:posOffset>
                </wp:positionV>
                <wp:extent cx="128270" cy="88900"/>
                <wp:effectExtent l="0" t="0" r="0" b="0"/>
                <wp:wrapSquare wrapText="left"/>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E3" w:rsidRPr="004B5B7F" w:rsidRDefault="008F4BE3" w:rsidP="00877D83">
                            <w:r w:rsidRPr="004B5B7F">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083A7E" id="_x0000_t202" coordsize="21600,21600" o:spt="202" path="m,l,21600r21600,l21600,xe">
                <v:stroke joinstyle="miter"/>
                <v:path gradientshapeok="t" o:connecttype="rect"/>
              </v:shapetype>
              <v:shape id="Text Box 41" o:spid="_x0000_s1026" type="#_x0000_t202" style="position:absolute;left:0;text-align:left;margin-left:475.45pt;margin-top:733.45pt;width:10.1pt;height:7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" filled="f" stroked="f">
                <v:textbox style="mso-fit-shape-to-text:t" inset="0,0,0,0">
                  <w:txbxContent>
                    <w:p w:rsidR="008F4BE3" w:rsidRPr="004B5B7F" w:rsidRDefault="008F4BE3" w:rsidP="00877D83">
                      <w:r w:rsidRPr="004B5B7F">
                        <w:t xml:space="preserve"> </w:t>
                      </w:r>
                    </w:p>
                  </w:txbxContent>
                </v:textbox>
                <w10:wrap type="square" side="left" anchorx="margin" anchory="margin"/>
              </v:shape>
            </w:pict>
          </mc:Fallback>
        </mc:AlternateContent>
      </w:r>
      <w:r w:rsidRPr="00ED35A9">
        <w:rPr>
          <w:szCs w:val="28"/>
          <w:lang w:val="uk-UA"/>
        </w:rPr>
        <w:t xml:space="preserve">У жовтні 2017 р. провідні дослідники випробування STREAM надали попередні результати дослідження під час проведення 48-ї Всесвітньої конференції з охорони легеневого здоров’я </w:t>
      </w:r>
      <w:r w:rsidRPr="00ED35A9">
        <w:rPr>
          <w:i/>
          <w:szCs w:val="28"/>
          <w:lang w:val="uk-UA"/>
        </w:rPr>
        <w:t>(62)</w:t>
      </w:r>
      <w:r w:rsidRPr="00ED35A9">
        <w:rPr>
          <w:szCs w:val="28"/>
          <w:lang w:val="uk-UA"/>
        </w:rPr>
        <w:t xml:space="preserve">. Перша стадія випробування STREAM була трифазним </w:t>
      </w:r>
      <w:proofErr w:type="spellStart"/>
      <w:r w:rsidRPr="00ED35A9">
        <w:rPr>
          <w:szCs w:val="28"/>
          <w:lang w:val="uk-UA"/>
        </w:rPr>
        <w:t>багатоцентровим</w:t>
      </w:r>
      <w:proofErr w:type="spellEnd"/>
      <w:r w:rsidRPr="00ED35A9">
        <w:rPr>
          <w:szCs w:val="28"/>
          <w:lang w:val="uk-UA"/>
        </w:rPr>
        <w:t xml:space="preserve"> міжнародним порівнювальним відкритим </w:t>
      </w:r>
      <w:r w:rsidR="00CF0132" w:rsidRPr="00ED35A9">
        <w:rPr>
          <w:szCs w:val="28"/>
          <w:lang w:val="uk-UA"/>
        </w:rPr>
        <w:t xml:space="preserve">РКД </w:t>
      </w:r>
      <w:r w:rsidRPr="00ED35A9">
        <w:rPr>
          <w:szCs w:val="28"/>
          <w:lang w:val="uk-UA"/>
        </w:rPr>
        <w:t xml:space="preserve">із застосуванням стандартизованої схеми лікування МРТБ </w:t>
      </w:r>
      <w:r w:rsidRPr="00ED35A9">
        <w:rPr>
          <w:szCs w:val="28"/>
          <w:lang w:val="uk-UA"/>
        </w:rPr>
        <w:lastRenderedPageBreak/>
        <w:t>тривалістю 9–11 міс порівняно з довгостроковими схемами не меншої ефективності, рекомендованими настановою ВООЗ 2011 р.</w:t>
      </w:r>
      <w:r w:rsidRPr="00ED35A9">
        <w:rPr>
          <w:rStyle w:val="ac"/>
          <w:szCs w:val="28"/>
          <w:lang w:val="uk-UA"/>
        </w:rPr>
        <w:footnoteReference w:id="22"/>
      </w:r>
      <w:r w:rsidRPr="00ED35A9">
        <w:rPr>
          <w:szCs w:val="28"/>
          <w:lang w:val="uk-UA"/>
        </w:rPr>
        <w:t xml:space="preserve">. До випробування було залучено пацієнтів з липня 2012 р. по червень 2015 р. </w:t>
      </w:r>
      <w:r w:rsidR="00693DAB" w:rsidRPr="00ED35A9">
        <w:rPr>
          <w:szCs w:val="28"/>
          <w:lang w:val="uk-UA"/>
        </w:rPr>
        <w:t>в</w:t>
      </w:r>
      <w:r w:rsidR="007D6764">
        <w:rPr>
          <w:szCs w:val="28"/>
          <w:lang w:val="uk-UA"/>
        </w:rPr>
        <w:t> </w:t>
      </w:r>
      <w:r w:rsidRPr="00ED35A9">
        <w:rPr>
          <w:szCs w:val="28"/>
          <w:lang w:val="uk-UA"/>
        </w:rPr>
        <w:t>Ефіопії, Монголії, Південній Африці та В’єтнамі: до популяції з призначеним лікуванням (ITT) увійшли 424 особи (n=282</w:t>
      </w:r>
      <w:r w:rsidR="007D6764">
        <w:rPr>
          <w:szCs w:val="28"/>
          <w:lang w:val="uk-UA"/>
        </w:rPr>
        <w:t xml:space="preserve"> у досліджуваній групі; n=142 у </w:t>
      </w:r>
      <w:r w:rsidRPr="00ED35A9">
        <w:rPr>
          <w:szCs w:val="28"/>
          <w:lang w:val="uk-UA"/>
        </w:rPr>
        <w:t>контрольній групі), до модифікованої по</w:t>
      </w:r>
      <w:r w:rsidR="007D6764">
        <w:rPr>
          <w:szCs w:val="28"/>
          <w:lang w:val="uk-UA"/>
        </w:rPr>
        <w:t xml:space="preserve">пуляції ІTT – 369 осіб (n=245 у </w:t>
      </w:r>
      <w:r w:rsidRPr="00ED35A9">
        <w:rPr>
          <w:szCs w:val="28"/>
          <w:lang w:val="uk-UA"/>
        </w:rPr>
        <w:t xml:space="preserve">досліджуваній групі; n=124 у контрольній групі). </w:t>
      </w:r>
      <w:r w:rsidR="007234EB" w:rsidRPr="00ED35A9">
        <w:rPr>
          <w:szCs w:val="28"/>
          <w:lang w:val="uk-UA"/>
        </w:rPr>
        <w:t xml:space="preserve">Дані щодо призначення </w:t>
      </w:r>
      <w:r w:rsidRPr="00ED35A9">
        <w:rPr>
          <w:szCs w:val="28"/>
          <w:lang w:val="uk-UA"/>
        </w:rPr>
        <w:t>лікування не бул</w:t>
      </w:r>
      <w:r w:rsidR="007234EB" w:rsidRPr="00ED35A9">
        <w:rPr>
          <w:szCs w:val="28"/>
          <w:lang w:val="uk-UA"/>
        </w:rPr>
        <w:t xml:space="preserve">и прихованими </w:t>
      </w:r>
      <w:r w:rsidRPr="00ED35A9">
        <w:rPr>
          <w:szCs w:val="28"/>
          <w:lang w:val="uk-UA"/>
        </w:rPr>
        <w:t xml:space="preserve">для учасників, надавачів </w:t>
      </w:r>
      <w:r w:rsidR="007234EB" w:rsidRPr="00ED35A9">
        <w:rPr>
          <w:szCs w:val="28"/>
          <w:lang w:val="uk-UA"/>
        </w:rPr>
        <w:t xml:space="preserve">послуг </w:t>
      </w:r>
      <w:r w:rsidRPr="00ED35A9">
        <w:rPr>
          <w:szCs w:val="28"/>
          <w:lang w:val="uk-UA"/>
        </w:rPr>
        <w:t xml:space="preserve">або менеджерів даних. Будь-які тестування у місцевих та </w:t>
      </w:r>
      <w:proofErr w:type="spellStart"/>
      <w:r w:rsidRPr="00ED35A9">
        <w:rPr>
          <w:szCs w:val="28"/>
          <w:lang w:val="uk-UA"/>
        </w:rPr>
        <w:t>референс</w:t>
      </w:r>
      <w:proofErr w:type="spellEnd"/>
      <w:r w:rsidRPr="00ED35A9">
        <w:rPr>
          <w:szCs w:val="28"/>
          <w:lang w:val="uk-UA"/>
        </w:rPr>
        <w:t xml:space="preserve">-лабораторіях, зокрема проведення мікробіологічних тестів, для визначення результатів лікування проводили за «сліпим» методом. Аудіометрію проводили тільки в одному місці. З появою попередніх даних дослідження було проведено публічне обговорення щодо продовження застосування схем у програмних умовах, зокрема в ЛЖВ, серед яких показники смертності у досліджуваній групі були вищими, ніж у контрольній. На основі попередніх результатів ВООЗ було видано офіційний звіт із рекомендацією щодо продовження застосування короткострокової схеми лікування МРТБ поки пізніше, протягом року, не буде оновлено настанову з лікування МРТБ </w:t>
      </w:r>
      <w:r w:rsidRPr="00ED35A9">
        <w:rPr>
          <w:i/>
          <w:szCs w:val="28"/>
          <w:lang w:val="uk-UA"/>
        </w:rPr>
        <w:t>(67)</w:t>
      </w:r>
      <w:r w:rsidRPr="00ED35A9">
        <w:rPr>
          <w:szCs w:val="28"/>
          <w:lang w:val="uk-UA"/>
        </w:rPr>
        <w:t>. Фінальні результати випробування STREAM були довгоочікуваними, оскільки вони надали додаткову інформацію щодо ефективності та безпеки застосування короткострокових схем. Очікувалось, що ці дані покращать достовірність оцінювання (наприклад, якість доказових даних). У липні 2018 р. фінальні результати випробування STREAM було надіслано до ВООЗ. При проведенні аналізу цих даних було виявлено головне спостереження: при застосуванні як короткострокових, так і контрольних схем</w:t>
      </w:r>
      <w:r w:rsidR="00693DAB" w:rsidRPr="00ED35A9">
        <w:rPr>
          <w:szCs w:val="28"/>
          <w:lang w:val="uk-UA"/>
        </w:rPr>
        <w:t xml:space="preserve"> </w:t>
      </w:r>
      <w:r w:rsidRPr="00ED35A9">
        <w:rPr>
          <w:szCs w:val="28"/>
          <w:lang w:val="uk-UA"/>
        </w:rPr>
        <w:t xml:space="preserve">було відзначено високий рівень успіху лікування, навіть якщо </w:t>
      </w:r>
      <w:r w:rsidR="00693DAB" w:rsidRPr="00ED35A9">
        <w:rPr>
          <w:szCs w:val="28"/>
          <w:lang w:val="uk-UA"/>
        </w:rPr>
        <w:t xml:space="preserve">позитивні </w:t>
      </w:r>
      <w:r w:rsidRPr="00ED35A9">
        <w:rPr>
          <w:szCs w:val="28"/>
          <w:lang w:val="uk-UA"/>
        </w:rPr>
        <w:t>результати були дещо вищими при застосуванні контрольної схеми (78,8 порівняно з 79,8% у модифікованих популяціях ІTT). Згідно визначення у протоколі випробування, верхня межа ДІ не досягла 10% після коригування, що свідчить про не меншу ефективність застосування короткострокової схеми (</w:t>
      </w:r>
      <w:r w:rsidRPr="00ED35A9">
        <w:rPr>
          <w:i/>
          <w:szCs w:val="28"/>
          <w:lang w:val="uk-UA"/>
        </w:rPr>
        <w:t>див.</w:t>
      </w:r>
      <w:r w:rsidRPr="00ED35A9">
        <w:rPr>
          <w:szCs w:val="28"/>
          <w:lang w:val="uk-UA"/>
        </w:rPr>
        <w:t xml:space="preserve"> також таблиці GRADE, які було оновлено за фінальними результатами дослідження, в онлайн-додатку 7).</w:t>
      </w:r>
    </w:p>
    <w:p w:rsidR="00877D83" w:rsidRPr="00ED35A9" w:rsidRDefault="00877D83" w:rsidP="00877D83">
      <w:pPr>
        <w:rPr>
          <w:szCs w:val="28"/>
          <w:lang w:val="uk-UA"/>
        </w:rPr>
      </w:pPr>
      <w:r w:rsidRPr="00ED35A9">
        <w:rPr>
          <w:szCs w:val="28"/>
          <w:lang w:val="uk-UA"/>
        </w:rPr>
        <w:t xml:space="preserve">У лютому 2018 р. ВООЗ було опубліковано загальний запит до національних органів влади та технічних установ щодо надання ІДП із застосування як короткострокових, так і довгострокових схем лікування МРТБ, для отримання додаткових даних та оновлення настанови 2018 р. </w:t>
      </w:r>
      <w:r w:rsidRPr="00ED35A9">
        <w:rPr>
          <w:i/>
          <w:szCs w:val="28"/>
          <w:lang w:val="uk-UA"/>
        </w:rPr>
        <w:t>(46)</w:t>
      </w:r>
      <w:r w:rsidRPr="00ED35A9">
        <w:rPr>
          <w:szCs w:val="28"/>
          <w:lang w:val="uk-UA"/>
        </w:rPr>
        <w:t xml:space="preserve">. За результатами цього запиту було зібрано зведені ІДП щодо лікування МР/Риф-ТБ із застосуванням стандартизованих короткострокових схем у період з 2005 по 2017 рр., отримані за даними обсерваційних досліджень або програм боротьби з ТБ у 15 країнах (Бангладеш, Бенін, Буркіна-Фасо, Бурунді, Камерун, Кот-д’Івуар, Центральноафриканська </w:t>
      </w:r>
      <w:r w:rsidR="00693DAB" w:rsidRPr="00ED35A9">
        <w:rPr>
          <w:szCs w:val="28"/>
          <w:lang w:val="uk-UA"/>
        </w:rPr>
        <w:t>Республіка</w:t>
      </w:r>
      <w:r w:rsidRPr="00ED35A9">
        <w:rPr>
          <w:szCs w:val="28"/>
          <w:lang w:val="uk-UA"/>
        </w:rPr>
        <w:t xml:space="preserve">, Демократична </w:t>
      </w:r>
      <w:r w:rsidR="00693DAB" w:rsidRPr="00ED35A9">
        <w:rPr>
          <w:szCs w:val="28"/>
          <w:lang w:val="uk-UA"/>
        </w:rPr>
        <w:t xml:space="preserve">Республіка </w:t>
      </w:r>
      <w:r w:rsidRPr="00ED35A9">
        <w:rPr>
          <w:szCs w:val="28"/>
          <w:lang w:val="uk-UA"/>
        </w:rPr>
        <w:t xml:space="preserve">Конго, </w:t>
      </w:r>
      <w:proofErr w:type="spellStart"/>
      <w:r w:rsidRPr="00ED35A9">
        <w:rPr>
          <w:szCs w:val="28"/>
          <w:lang w:val="uk-UA"/>
        </w:rPr>
        <w:t>Есватіні</w:t>
      </w:r>
      <w:proofErr w:type="spellEnd"/>
      <w:r w:rsidRPr="00ED35A9">
        <w:rPr>
          <w:szCs w:val="28"/>
          <w:lang w:val="uk-UA"/>
        </w:rPr>
        <w:t xml:space="preserve">, Киргизстан, Нігер, Руанда, </w:t>
      </w:r>
      <w:r w:rsidRPr="00ED35A9">
        <w:rPr>
          <w:szCs w:val="28"/>
          <w:lang w:val="uk-UA"/>
        </w:rPr>
        <w:lastRenderedPageBreak/>
        <w:t>Таджикистан, Південна Африка та Узбекистан). До основного огляду увійшло 2625 записів із дослідження короткострокових схем та 2717 записів з 39 досліджень пацієнтів на довгострокових схемах лікування МРТБ з окремих ІДП, що використовували для надання відповідей на запитання PICO 2–7 (МР/Риф-ТБ, 2018 р.) (</w:t>
      </w:r>
      <w:r w:rsidRPr="00ED35A9">
        <w:rPr>
          <w:i/>
          <w:szCs w:val="28"/>
          <w:lang w:val="uk-UA"/>
        </w:rPr>
        <w:t>див.</w:t>
      </w:r>
      <w:r w:rsidRPr="00ED35A9">
        <w:rPr>
          <w:szCs w:val="28"/>
          <w:lang w:val="uk-UA"/>
        </w:rPr>
        <w:t xml:space="preserve"> описання цих ІДП у відповідному розділі «Від доказів до рішень» в онлайн-додатку 8). При проведенні загального огляду даних було виявлено </w:t>
      </w:r>
      <w:proofErr w:type="spellStart"/>
      <w:r w:rsidRPr="00ED35A9">
        <w:rPr>
          <w:szCs w:val="28"/>
          <w:lang w:val="uk-UA"/>
        </w:rPr>
        <w:t>aOR</w:t>
      </w:r>
      <w:proofErr w:type="spellEnd"/>
      <w:r w:rsidRPr="00ED35A9">
        <w:rPr>
          <w:szCs w:val="28"/>
          <w:lang w:val="uk-UA"/>
        </w:rPr>
        <w:t xml:space="preserve">, що становило 2,0 для невдачі лікування або виникнення рецидиву при застосуванні короткострокової схеми порівняно з довгостроковою схемою та 1,2 – для показників смертності. Ці результати було певною мірою відображено в усіх проведених дослідженнях підгруп: пацієнти, в яких до складу довгострокової схеми входили </w:t>
      </w:r>
      <w:proofErr w:type="spellStart"/>
      <w:r w:rsidRPr="00ED35A9">
        <w:rPr>
          <w:szCs w:val="28"/>
          <w:lang w:val="uk-UA"/>
        </w:rPr>
        <w:t>бедаквілін</w:t>
      </w:r>
      <w:proofErr w:type="spellEnd"/>
      <w:r w:rsidRPr="00ED35A9">
        <w:rPr>
          <w:szCs w:val="28"/>
          <w:lang w:val="uk-UA"/>
        </w:rPr>
        <w:t xml:space="preserve">, </w:t>
      </w:r>
      <w:proofErr w:type="spellStart"/>
      <w:r w:rsidRPr="00ED35A9">
        <w:rPr>
          <w:szCs w:val="28"/>
          <w:lang w:val="uk-UA"/>
        </w:rPr>
        <w:t>лінезолід</w:t>
      </w:r>
      <w:proofErr w:type="spellEnd"/>
      <w:r w:rsidRPr="00ED35A9">
        <w:rPr>
          <w:szCs w:val="28"/>
          <w:lang w:val="uk-UA"/>
        </w:rPr>
        <w:t xml:space="preserve"> або </w:t>
      </w:r>
      <w:proofErr w:type="spellStart"/>
      <w:r w:rsidRPr="00ED35A9">
        <w:rPr>
          <w:szCs w:val="28"/>
          <w:lang w:val="uk-UA"/>
        </w:rPr>
        <w:t>деламанід</w:t>
      </w:r>
      <w:proofErr w:type="spellEnd"/>
      <w:r w:rsidRPr="00ED35A9">
        <w:rPr>
          <w:szCs w:val="28"/>
          <w:lang w:val="uk-UA"/>
        </w:rPr>
        <w:t xml:space="preserve"> (невдача/рецидив – </w:t>
      </w:r>
      <w:proofErr w:type="spellStart"/>
      <w:r w:rsidRPr="00ED35A9">
        <w:rPr>
          <w:szCs w:val="28"/>
          <w:lang w:val="uk-UA"/>
        </w:rPr>
        <w:t>aOR</w:t>
      </w:r>
      <w:proofErr w:type="spellEnd"/>
      <w:r w:rsidRPr="00ED35A9">
        <w:rPr>
          <w:szCs w:val="28"/>
          <w:lang w:val="uk-UA"/>
        </w:rPr>
        <w:t xml:space="preserve">=9,1; смертність – </w:t>
      </w:r>
      <w:proofErr w:type="spellStart"/>
      <w:r w:rsidRPr="00ED35A9">
        <w:rPr>
          <w:szCs w:val="28"/>
          <w:lang w:val="uk-UA"/>
        </w:rPr>
        <w:t>aOR</w:t>
      </w:r>
      <w:proofErr w:type="spellEnd"/>
      <w:r w:rsidRPr="00ED35A9">
        <w:rPr>
          <w:szCs w:val="28"/>
          <w:lang w:val="uk-UA"/>
        </w:rPr>
        <w:t xml:space="preserve">=1,4); пацієнти-ЛЖВ (2,1; 1,0); пацієнти з резистентністю до </w:t>
      </w:r>
      <w:proofErr w:type="spellStart"/>
      <w:r w:rsidRPr="00ED35A9">
        <w:rPr>
          <w:szCs w:val="28"/>
          <w:lang w:val="uk-UA"/>
        </w:rPr>
        <w:t>піразинаміду</w:t>
      </w:r>
      <w:proofErr w:type="spellEnd"/>
      <w:r w:rsidRPr="00ED35A9">
        <w:rPr>
          <w:szCs w:val="28"/>
          <w:lang w:val="uk-UA"/>
        </w:rPr>
        <w:t xml:space="preserve"> та чутливістю до </w:t>
      </w:r>
      <w:proofErr w:type="spellStart"/>
      <w:r w:rsidRPr="00ED35A9">
        <w:rPr>
          <w:szCs w:val="28"/>
          <w:lang w:val="uk-UA"/>
        </w:rPr>
        <w:t>фторхінолону</w:t>
      </w:r>
      <w:proofErr w:type="spellEnd"/>
      <w:r w:rsidRPr="00ED35A9">
        <w:rPr>
          <w:szCs w:val="28"/>
          <w:lang w:val="uk-UA"/>
        </w:rPr>
        <w:t xml:space="preserve"> (10,7; 0,3); пацієнти з резистентністю до </w:t>
      </w:r>
      <w:proofErr w:type="spellStart"/>
      <w:r w:rsidRPr="00ED35A9">
        <w:rPr>
          <w:szCs w:val="28"/>
          <w:lang w:val="uk-UA"/>
        </w:rPr>
        <w:t>етіонаміду</w:t>
      </w:r>
      <w:proofErr w:type="spellEnd"/>
      <w:r w:rsidRPr="00ED35A9">
        <w:rPr>
          <w:szCs w:val="28"/>
          <w:lang w:val="uk-UA"/>
        </w:rPr>
        <w:t xml:space="preserve"> та чутливістю до </w:t>
      </w:r>
      <w:proofErr w:type="spellStart"/>
      <w:r w:rsidRPr="00ED35A9">
        <w:rPr>
          <w:szCs w:val="28"/>
          <w:lang w:val="uk-UA"/>
        </w:rPr>
        <w:t>фторхінолону</w:t>
      </w:r>
      <w:proofErr w:type="spellEnd"/>
      <w:r w:rsidRPr="00ED35A9">
        <w:rPr>
          <w:szCs w:val="28"/>
          <w:lang w:val="uk-UA"/>
        </w:rPr>
        <w:t xml:space="preserve"> (3,9; 1,5); пацієнти з екстенсивним захворюванням (1,2; 1,0). В усіх підгрупах показники прихильності до лікування були вищими при застосуванні короткострокової, ніж довгострокової схеми (різниця показників була статистично значущою), що ймовірно було прямим наслідком скорочення тривалості лікування. Дані щодо прямого порівняння короткострокової схеми з повністю пероральною довгостроковою схемою все ще обмежені, оскільки дотепер довгострокові схеми, що складалися переважно з препаратів груп А та В, застосовували лише в тих пацієнтів, в яких використання короткострокової схеми було неможливим. Дані щодо короткострокових схем, в яких ін’єкційний препарат було б змінено на </w:t>
      </w:r>
      <w:proofErr w:type="spellStart"/>
      <w:r w:rsidRPr="00ED35A9">
        <w:rPr>
          <w:szCs w:val="28"/>
          <w:lang w:val="uk-UA"/>
        </w:rPr>
        <w:t>бедаквілін</w:t>
      </w:r>
      <w:proofErr w:type="spellEnd"/>
      <w:r w:rsidRPr="00ED35A9">
        <w:rPr>
          <w:szCs w:val="28"/>
          <w:lang w:val="uk-UA"/>
        </w:rPr>
        <w:t>, на момент підготовки оновлення настанови ВООЗ 2018 р. були відсутніми.</w:t>
      </w:r>
    </w:p>
    <w:p w:rsidR="00877D83" w:rsidRPr="00ED35A9" w:rsidRDefault="00877D83" w:rsidP="00877D83">
      <w:pPr>
        <w:rPr>
          <w:b/>
          <w:szCs w:val="28"/>
          <w:lang w:val="uk-UA"/>
        </w:rPr>
      </w:pPr>
      <w:bookmarkStart w:id="44" w:name="bookmark44"/>
      <w:bookmarkStart w:id="45" w:name="_Toc417570598"/>
      <w:r w:rsidRPr="00ED35A9">
        <w:rPr>
          <w:b/>
          <w:szCs w:val="28"/>
          <w:lang w:val="uk-UA"/>
        </w:rPr>
        <w:t>Зауваження щодо підгруп</w:t>
      </w:r>
      <w:bookmarkEnd w:id="44"/>
      <w:bookmarkEnd w:id="45"/>
    </w:p>
    <w:p w:rsidR="00877D83" w:rsidRPr="00ED35A9" w:rsidRDefault="00877D83" w:rsidP="00877D83">
      <w:pPr>
        <w:rPr>
          <w:szCs w:val="28"/>
          <w:lang w:val="uk-UA"/>
        </w:rPr>
      </w:pPr>
      <w:r w:rsidRPr="00ED35A9">
        <w:rPr>
          <w:szCs w:val="28"/>
          <w:lang w:val="uk-UA"/>
        </w:rPr>
        <w:t xml:space="preserve">У 2016 р. ВООЗ було вперше видано рекомендації щодо застосування короткострокових схем лікування МРТБ, проте вони вимагали певних критеріїв включення </w:t>
      </w:r>
      <w:r w:rsidRPr="00ED35A9">
        <w:rPr>
          <w:i/>
          <w:szCs w:val="28"/>
          <w:lang w:val="uk-UA"/>
        </w:rPr>
        <w:t>(6)</w:t>
      </w:r>
      <w:r w:rsidRPr="00ED35A9">
        <w:rPr>
          <w:szCs w:val="28"/>
          <w:lang w:val="uk-UA"/>
        </w:rPr>
        <w:t xml:space="preserve">. Попереднє лікування із застосуванням препаратів другого ряду довше одного місяця, резистентність до препаратів у схемі, наявність </w:t>
      </w:r>
      <w:proofErr w:type="spellStart"/>
      <w:r w:rsidRPr="00ED35A9">
        <w:rPr>
          <w:szCs w:val="28"/>
          <w:lang w:val="uk-UA"/>
        </w:rPr>
        <w:t>позалегеневого</w:t>
      </w:r>
      <w:proofErr w:type="spellEnd"/>
      <w:r w:rsidRPr="00ED35A9">
        <w:rPr>
          <w:szCs w:val="28"/>
          <w:lang w:val="uk-UA"/>
        </w:rPr>
        <w:t xml:space="preserve"> захворювання та вагітність були критеріями виключення. Надання цієї рекомендації передбачало, що пацієнти перед початком лікування повинні бути протестовані </w:t>
      </w:r>
      <w:proofErr w:type="spellStart"/>
      <w:r w:rsidRPr="00ED35A9">
        <w:rPr>
          <w:i/>
          <w:szCs w:val="28"/>
          <w:lang w:val="uk-UA"/>
        </w:rPr>
        <w:t>in</w:t>
      </w:r>
      <w:proofErr w:type="spellEnd"/>
      <w:r w:rsidRPr="00ED35A9">
        <w:rPr>
          <w:i/>
          <w:szCs w:val="28"/>
          <w:lang w:val="uk-UA"/>
        </w:rPr>
        <w:t xml:space="preserve"> </w:t>
      </w:r>
      <w:proofErr w:type="spellStart"/>
      <w:r w:rsidRPr="00ED35A9">
        <w:rPr>
          <w:i/>
          <w:szCs w:val="28"/>
          <w:lang w:val="uk-UA"/>
        </w:rPr>
        <w:t>vitro</w:t>
      </w:r>
      <w:proofErr w:type="spellEnd"/>
      <w:r w:rsidRPr="00ED35A9">
        <w:rPr>
          <w:szCs w:val="28"/>
          <w:lang w:val="uk-UA"/>
        </w:rPr>
        <w:t xml:space="preserve"> на резистентність принаймні до </w:t>
      </w:r>
      <w:proofErr w:type="spellStart"/>
      <w:r w:rsidRPr="00ED35A9">
        <w:rPr>
          <w:szCs w:val="28"/>
          <w:lang w:val="uk-UA"/>
        </w:rPr>
        <w:t>фторхінолонів</w:t>
      </w:r>
      <w:proofErr w:type="spellEnd"/>
      <w:r w:rsidRPr="00ED35A9">
        <w:rPr>
          <w:szCs w:val="28"/>
          <w:lang w:val="uk-UA"/>
        </w:rPr>
        <w:t xml:space="preserve"> та ін’єкційного препарату, який планували до застосування у цій схемі. За деяких умов, у пацієнтів без лабораторного підтвердження чутливості, але в яких була дуже малою ймовірність наявності резистентних штамів – за даними клінічних обстежень або нещодавнього репрезентативного епіднагляду, також вважали прийнятним застосування короткострокових схем лікування МРТБ.</w:t>
      </w:r>
    </w:p>
    <w:p w:rsidR="00877D83" w:rsidRPr="00ED35A9" w:rsidRDefault="00877D83" w:rsidP="00877D83">
      <w:pPr>
        <w:rPr>
          <w:szCs w:val="28"/>
          <w:lang w:val="uk-UA"/>
        </w:rPr>
      </w:pPr>
      <w:r w:rsidRPr="00ED35A9">
        <w:rPr>
          <w:szCs w:val="28"/>
          <w:lang w:val="uk-UA"/>
        </w:rPr>
        <w:t xml:space="preserve">За оглядом доказових даних, проведеним для перегляду настанови 2018 р., відзначено гірші результати лікування у пацієнтів з лабораторно підтвердженою резистентністю до </w:t>
      </w:r>
      <w:proofErr w:type="spellStart"/>
      <w:r w:rsidRPr="00ED35A9">
        <w:rPr>
          <w:szCs w:val="28"/>
          <w:lang w:val="uk-UA"/>
        </w:rPr>
        <w:t>піразинаміду</w:t>
      </w:r>
      <w:proofErr w:type="spellEnd"/>
      <w:r w:rsidRPr="00ED35A9">
        <w:rPr>
          <w:szCs w:val="28"/>
          <w:lang w:val="uk-UA"/>
        </w:rPr>
        <w:t xml:space="preserve"> та </w:t>
      </w:r>
      <w:proofErr w:type="spellStart"/>
      <w:r w:rsidRPr="00ED35A9">
        <w:rPr>
          <w:szCs w:val="28"/>
          <w:lang w:val="uk-UA"/>
        </w:rPr>
        <w:t>етіонаміду</w:t>
      </w:r>
      <w:proofErr w:type="spellEnd"/>
      <w:r w:rsidRPr="00ED35A9">
        <w:rPr>
          <w:szCs w:val="28"/>
          <w:lang w:val="uk-UA"/>
        </w:rPr>
        <w:t>/</w:t>
      </w:r>
      <w:proofErr w:type="spellStart"/>
      <w:r w:rsidRPr="00ED35A9">
        <w:rPr>
          <w:szCs w:val="28"/>
          <w:lang w:val="uk-UA"/>
        </w:rPr>
        <w:t>протіонаміду</w:t>
      </w:r>
      <w:proofErr w:type="spellEnd"/>
      <w:r w:rsidRPr="00ED35A9">
        <w:rPr>
          <w:szCs w:val="28"/>
          <w:lang w:val="uk-UA"/>
        </w:rPr>
        <w:t xml:space="preserve"> порівняно з пацієнтами, що не мали додаткової резистентності. Таким чином, рекомендації 2018 р. підтверджують важливість виключення резистентності </w:t>
      </w:r>
      <w:r w:rsidRPr="00ED35A9">
        <w:rPr>
          <w:szCs w:val="28"/>
          <w:lang w:val="uk-UA"/>
        </w:rPr>
        <w:lastRenderedPageBreak/>
        <w:t xml:space="preserve">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перед розглядом застосування короткострокової схеми ліку</w:t>
      </w:r>
      <w:r w:rsidR="00693DAB" w:rsidRPr="00ED35A9">
        <w:rPr>
          <w:szCs w:val="28"/>
          <w:lang w:val="uk-UA"/>
        </w:rPr>
        <w:t>вання МРТБ. Інші тестування, а </w:t>
      </w:r>
      <w:r w:rsidRPr="00ED35A9">
        <w:rPr>
          <w:szCs w:val="28"/>
          <w:lang w:val="uk-UA"/>
        </w:rPr>
        <w:t xml:space="preserve">саме – ТМЧ до </w:t>
      </w:r>
      <w:proofErr w:type="spellStart"/>
      <w:r w:rsidRPr="00ED35A9">
        <w:rPr>
          <w:szCs w:val="28"/>
          <w:lang w:val="uk-UA"/>
        </w:rPr>
        <w:t>піразинаміду</w:t>
      </w:r>
      <w:proofErr w:type="spellEnd"/>
      <w:r w:rsidRPr="00ED35A9">
        <w:rPr>
          <w:szCs w:val="28"/>
          <w:lang w:val="uk-UA"/>
        </w:rPr>
        <w:t xml:space="preserve"> та визначення резистентності до </w:t>
      </w:r>
      <w:proofErr w:type="spellStart"/>
      <w:r w:rsidRPr="00ED35A9">
        <w:rPr>
          <w:szCs w:val="28"/>
          <w:lang w:val="uk-UA"/>
        </w:rPr>
        <w:t>ізоніазиду</w:t>
      </w:r>
      <w:proofErr w:type="spellEnd"/>
      <w:r w:rsidRPr="00ED35A9">
        <w:rPr>
          <w:szCs w:val="28"/>
          <w:lang w:val="uk-UA"/>
        </w:rPr>
        <w:t xml:space="preserve"> за методом </w:t>
      </w:r>
      <w:proofErr w:type="spellStart"/>
      <w:r w:rsidRPr="00ED35A9">
        <w:rPr>
          <w:szCs w:val="28"/>
          <w:lang w:val="uk-UA"/>
        </w:rPr>
        <w:t>генотипування</w:t>
      </w:r>
      <w:proofErr w:type="spellEnd"/>
      <w:r w:rsidRPr="00ED35A9">
        <w:rPr>
          <w:szCs w:val="28"/>
          <w:lang w:val="uk-UA"/>
        </w:rPr>
        <w:t>, також є важливими, і за можливості мають бути проведені.</w:t>
      </w:r>
    </w:p>
    <w:p w:rsidR="00877D83" w:rsidRPr="00ED35A9" w:rsidRDefault="00877D83" w:rsidP="007D6764">
      <w:pPr>
        <w:spacing w:line="233" w:lineRule="auto"/>
        <w:rPr>
          <w:szCs w:val="28"/>
          <w:lang w:val="uk-UA"/>
        </w:rPr>
      </w:pPr>
      <w:r w:rsidRPr="00ED35A9">
        <w:rPr>
          <w:szCs w:val="28"/>
          <w:lang w:val="uk-UA"/>
        </w:rPr>
        <w:t xml:space="preserve">Рішення про початок лікування нещодавно виявлених пацієнтів, </w:t>
      </w:r>
      <w:r w:rsidR="00B02102" w:rsidRPr="00ED35A9">
        <w:rPr>
          <w:szCs w:val="28"/>
          <w:lang w:val="uk-UA"/>
        </w:rPr>
        <w:t>які</w:t>
      </w:r>
      <w:r w:rsidRPr="00ED35A9">
        <w:rPr>
          <w:szCs w:val="28"/>
          <w:lang w:val="uk-UA"/>
        </w:rPr>
        <w:t xml:space="preserve"> не мають жодної з наведених нижче характеристик, із застосуванням стандартизованої короткострокової схеми лікування МРТБ має враховувати уподобання пацієнта та клінічні показання (</w:t>
      </w:r>
      <w:r w:rsidRPr="00ED35A9">
        <w:rPr>
          <w:i/>
          <w:szCs w:val="28"/>
          <w:lang w:val="uk-UA"/>
        </w:rPr>
        <w:t>див.</w:t>
      </w:r>
      <w:r w:rsidRPr="00ED35A9">
        <w:rPr>
          <w:szCs w:val="28"/>
          <w:lang w:val="uk-UA"/>
        </w:rPr>
        <w:t xml:space="preserve"> також рисунок 4.1):</w:t>
      </w:r>
    </w:p>
    <w:p w:rsidR="00877D83" w:rsidRPr="00ED35A9" w:rsidRDefault="00877D83" w:rsidP="007D6764">
      <w:pPr>
        <w:pStyle w:val="a7"/>
        <w:numPr>
          <w:ilvl w:val="0"/>
          <w:numId w:val="9"/>
        </w:numPr>
        <w:spacing w:line="233" w:lineRule="auto"/>
        <w:ind w:left="1134" w:hanging="425"/>
        <w:rPr>
          <w:szCs w:val="28"/>
          <w:lang w:val="uk-UA"/>
        </w:rPr>
      </w:pPr>
      <w:r w:rsidRPr="00ED35A9">
        <w:rPr>
          <w:szCs w:val="28"/>
          <w:lang w:val="uk-UA"/>
        </w:rPr>
        <w:t xml:space="preserve">резистентність до препарату або наявність прогнозованої неефективності його застосування у короткостроковій схемі лікування МРТБ (крім резистентності до </w:t>
      </w:r>
      <w:proofErr w:type="spellStart"/>
      <w:r w:rsidRPr="00ED35A9">
        <w:rPr>
          <w:szCs w:val="28"/>
          <w:lang w:val="uk-UA"/>
        </w:rPr>
        <w:t>ізоніазиду</w:t>
      </w:r>
      <w:proofErr w:type="spellEnd"/>
      <w:r w:rsidRPr="00ED35A9">
        <w:rPr>
          <w:szCs w:val="28"/>
          <w:lang w:val="uk-UA"/>
        </w:rPr>
        <w:t>);</w:t>
      </w:r>
    </w:p>
    <w:p w:rsidR="00877D83" w:rsidRPr="00ED35A9" w:rsidRDefault="00877D83" w:rsidP="007D6764">
      <w:pPr>
        <w:pStyle w:val="a7"/>
        <w:numPr>
          <w:ilvl w:val="0"/>
          <w:numId w:val="9"/>
        </w:numPr>
        <w:spacing w:line="233" w:lineRule="auto"/>
        <w:ind w:left="1134" w:hanging="425"/>
        <w:rPr>
          <w:szCs w:val="28"/>
          <w:lang w:val="uk-UA"/>
        </w:rPr>
      </w:pPr>
      <w:r w:rsidRPr="00ED35A9">
        <w:rPr>
          <w:szCs w:val="28"/>
          <w:lang w:val="uk-UA"/>
        </w:rPr>
        <w:t>експозиція до одного або декількох препаратів другого ряду у схемі довше 1 міс (якщо не підтверджено чутливість до цих препаратів другого ряду);</w:t>
      </w:r>
    </w:p>
    <w:p w:rsidR="00877D83" w:rsidRPr="00ED35A9" w:rsidRDefault="00877D83" w:rsidP="007D6764">
      <w:pPr>
        <w:pStyle w:val="a7"/>
        <w:numPr>
          <w:ilvl w:val="0"/>
          <w:numId w:val="9"/>
        </w:numPr>
        <w:spacing w:line="233" w:lineRule="auto"/>
        <w:ind w:left="1134" w:hanging="425"/>
        <w:rPr>
          <w:szCs w:val="28"/>
          <w:lang w:val="uk-UA"/>
        </w:rPr>
      </w:pPr>
      <w:proofErr w:type="spellStart"/>
      <w:r w:rsidRPr="00ED35A9">
        <w:rPr>
          <w:szCs w:val="28"/>
          <w:lang w:val="uk-UA"/>
        </w:rPr>
        <w:t>непереносність</w:t>
      </w:r>
      <w:proofErr w:type="spellEnd"/>
      <w:r w:rsidRPr="00ED35A9">
        <w:rPr>
          <w:szCs w:val="28"/>
          <w:lang w:val="uk-UA"/>
        </w:rPr>
        <w:t xml:space="preserve"> будь-якого препарату у складі короткострокової схеми лікування МРТБ або ризик виникнення токсичності внаслідок застосування препарату у короткостроковій схемі (наприклад, взаємодія препаратів);</w:t>
      </w:r>
    </w:p>
    <w:p w:rsidR="00877D83" w:rsidRPr="00ED35A9" w:rsidRDefault="00877D83" w:rsidP="007D6764">
      <w:pPr>
        <w:pStyle w:val="a7"/>
        <w:numPr>
          <w:ilvl w:val="0"/>
          <w:numId w:val="9"/>
        </w:numPr>
        <w:spacing w:line="233" w:lineRule="auto"/>
        <w:ind w:left="1134" w:hanging="425"/>
        <w:rPr>
          <w:szCs w:val="28"/>
          <w:lang w:val="uk-UA"/>
        </w:rPr>
      </w:pPr>
      <w:r w:rsidRPr="00ED35A9">
        <w:rPr>
          <w:szCs w:val="28"/>
          <w:lang w:val="uk-UA"/>
        </w:rPr>
        <w:t>вагітність;</w:t>
      </w:r>
    </w:p>
    <w:p w:rsidR="00877D83" w:rsidRPr="00ED35A9" w:rsidRDefault="00877D83" w:rsidP="007D6764">
      <w:pPr>
        <w:pStyle w:val="a7"/>
        <w:numPr>
          <w:ilvl w:val="0"/>
          <w:numId w:val="9"/>
        </w:numPr>
        <w:spacing w:line="233" w:lineRule="auto"/>
        <w:ind w:left="1134" w:hanging="425"/>
        <w:rPr>
          <w:szCs w:val="28"/>
          <w:lang w:val="uk-UA"/>
        </w:rPr>
      </w:pPr>
      <w:proofErr w:type="spellStart"/>
      <w:r w:rsidRPr="00ED35A9">
        <w:rPr>
          <w:szCs w:val="28"/>
          <w:lang w:val="uk-UA"/>
        </w:rPr>
        <w:t>дисемінований</w:t>
      </w:r>
      <w:proofErr w:type="spellEnd"/>
      <w:r w:rsidRPr="00ED35A9">
        <w:rPr>
          <w:szCs w:val="28"/>
          <w:lang w:val="uk-UA"/>
        </w:rPr>
        <w:t xml:space="preserve"> ТБ, туберкульозний менінгіт або ТБ ЦНС;</w:t>
      </w:r>
    </w:p>
    <w:p w:rsidR="00877D83" w:rsidRPr="00ED35A9" w:rsidRDefault="00877D83" w:rsidP="007D6764">
      <w:pPr>
        <w:pStyle w:val="a7"/>
        <w:numPr>
          <w:ilvl w:val="0"/>
          <w:numId w:val="9"/>
        </w:numPr>
        <w:spacing w:line="233" w:lineRule="auto"/>
        <w:ind w:left="1134" w:hanging="425"/>
        <w:rPr>
          <w:szCs w:val="28"/>
          <w:lang w:val="uk-UA"/>
        </w:rPr>
      </w:pPr>
      <w:r w:rsidRPr="00ED35A9">
        <w:rPr>
          <w:szCs w:val="28"/>
          <w:lang w:val="uk-UA"/>
        </w:rPr>
        <w:t xml:space="preserve">будь-яке </w:t>
      </w:r>
      <w:proofErr w:type="spellStart"/>
      <w:r w:rsidRPr="00ED35A9">
        <w:rPr>
          <w:szCs w:val="28"/>
          <w:lang w:val="uk-UA"/>
        </w:rPr>
        <w:t>позалегеневе</w:t>
      </w:r>
      <w:proofErr w:type="spellEnd"/>
      <w:r w:rsidRPr="00ED35A9">
        <w:rPr>
          <w:szCs w:val="28"/>
          <w:lang w:val="uk-UA"/>
        </w:rPr>
        <w:t xml:space="preserve"> захворювання у пацієнтів з ВІЛ.</w:t>
      </w:r>
    </w:p>
    <w:p w:rsidR="00877D83" w:rsidRPr="00ED35A9" w:rsidRDefault="00877D83" w:rsidP="007D6764">
      <w:pPr>
        <w:spacing w:line="233" w:lineRule="auto"/>
        <w:rPr>
          <w:szCs w:val="28"/>
          <w:lang w:val="uk-UA"/>
        </w:rPr>
      </w:pPr>
      <w:r w:rsidRPr="00ED35A9">
        <w:rPr>
          <w:szCs w:val="28"/>
          <w:lang w:val="uk-UA"/>
        </w:rPr>
        <w:t>Нижче наведено рекомендації щодо окремих підгруп, виділені ГРН на основі наявних доказових даних.</w:t>
      </w:r>
    </w:p>
    <w:p w:rsidR="00877D83" w:rsidRPr="00ED35A9" w:rsidRDefault="00877D83" w:rsidP="007D6764">
      <w:pPr>
        <w:spacing w:line="233" w:lineRule="auto"/>
        <w:rPr>
          <w:szCs w:val="28"/>
          <w:lang w:val="uk-UA"/>
        </w:rPr>
      </w:pPr>
      <w:r w:rsidRPr="00ED35A9">
        <w:rPr>
          <w:b/>
          <w:i/>
          <w:szCs w:val="28"/>
          <w:lang w:val="uk-UA"/>
        </w:rPr>
        <w:t>ЛЖВ.</w:t>
      </w:r>
      <w:r w:rsidRPr="00ED35A9">
        <w:rPr>
          <w:szCs w:val="28"/>
          <w:lang w:val="uk-UA"/>
        </w:rPr>
        <w:t xml:space="preserve"> Третина учасників випробування STREAM мали ВІЛ-позитивний статус, проте їх участь не обмежували за показником кількості клітин CD4. Серед 151 учасника з ВІЛ у двох місцях проведення випробування у Південній Африці відзначено 19 із 24 смертельних випадків. Причина підвищення показників смертності у досліджуваній групі серед ЛЖВ залишається невизначеною, але може бути клінічно значущою ознакою. Під час проведення детального оцінювання експертною комісією причин смерті 33 учасників дослідження (9 з них мали ВІЛ-негативний статус), що померли під час лікування або спостереження, не виявлено жодних ознак того, що застосування короткострокової схеми пов’язано із завданням додаткової шкоди у ЛЖВ через кількість таблеток для прийому, низький рівень прихильності до лікування або взаємодію ПТП з </w:t>
      </w:r>
      <w:proofErr w:type="spellStart"/>
      <w:r w:rsidRPr="00ED35A9">
        <w:rPr>
          <w:szCs w:val="28"/>
          <w:lang w:val="uk-UA"/>
        </w:rPr>
        <w:t>антиретровірусними</w:t>
      </w:r>
      <w:proofErr w:type="spellEnd"/>
      <w:r w:rsidRPr="00ED35A9">
        <w:rPr>
          <w:szCs w:val="28"/>
          <w:lang w:val="uk-UA"/>
        </w:rPr>
        <w:t xml:space="preserve"> препаратами. У МА ІДП щодо застосування короткострокових схем серед ЛЖВ (90% з них знаходились на АРТ) ймовірність недотримання режиму лікування та смертельного наслідку були подібними до показників у ВІЛ-негативних пацієнтів. У ЛЖВ можна застосовувати короткострокову схему разом зі своєчасним початком АРТ відповідно до настанови ВООЗ, із проведенням ретельного моніторингу щодо ефективності АРТ та виникнення побічних реакцій. ЛЖВ, що отримують короткострокову схему, можуть потребувати препаратів для профілактики опортуністичних інфекцій, а також підтримки щодо прихильності до лікування, постійного моніторингу та спостереження в ході надання стандартної допомоги при лікуванні ВІЛ.</w:t>
      </w:r>
    </w:p>
    <w:p w:rsidR="00877D83" w:rsidRPr="00ED35A9" w:rsidRDefault="00877D83" w:rsidP="00877D83">
      <w:pPr>
        <w:ind w:firstLine="0"/>
        <w:rPr>
          <w:sz w:val="24"/>
          <w:szCs w:val="24"/>
          <w:lang w:val="uk-UA"/>
        </w:rPr>
      </w:pPr>
      <w:r w:rsidRPr="00ED35A9">
        <w:rPr>
          <w:b/>
          <w:noProof/>
          <w:sz w:val="24"/>
          <w:szCs w:val="24"/>
          <w:lang w:val="uk-UA" w:eastAsia="uk-UA"/>
        </w:rPr>
        <w:lastRenderedPageBreak/>
        <w:drawing>
          <wp:inline distT="0" distB="0" distL="0" distR="0" wp14:anchorId="24EEFD2A" wp14:editId="7F72EAE1">
            <wp:extent cx="5939790" cy="5950282"/>
            <wp:effectExtent l="0" t="0" r="3810" b="0"/>
            <wp:docPr id="6" name="Рисунок 6" descr="D:\!Olga\!Work\!Редактура\!СПИД\3_Настанова ТБ\1_Клінпротокол ТБ\Рисунки\Рисунок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ga\!Work\!Редактура\!СПИД\3_Настанова ТБ\1_Клінпротокол ТБ\Рисунки\Рисунок 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5950282"/>
                    </a:xfrm>
                    <a:prstGeom prst="rect">
                      <a:avLst/>
                    </a:prstGeom>
                    <a:noFill/>
                    <a:ln>
                      <a:noFill/>
                    </a:ln>
                  </pic:spPr>
                </pic:pic>
              </a:graphicData>
            </a:graphic>
          </wp:inline>
        </w:drawing>
      </w:r>
      <w:r w:rsidRPr="00ED35A9">
        <w:rPr>
          <w:b/>
          <w:sz w:val="24"/>
          <w:szCs w:val="24"/>
          <w:lang w:val="uk-UA"/>
        </w:rPr>
        <w:t>Примітка. </w:t>
      </w:r>
      <w:r w:rsidRPr="00ED35A9">
        <w:rPr>
          <w:sz w:val="24"/>
          <w:szCs w:val="24"/>
          <w:vertAlign w:val="superscript"/>
          <w:lang w:val="uk-UA"/>
        </w:rPr>
        <w:t>*</w:t>
      </w:r>
      <w:r w:rsidRPr="00ED35A9">
        <w:rPr>
          <w:sz w:val="24"/>
          <w:szCs w:val="24"/>
          <w:lang w:val="uk-UA"/>
        </w:rPr>
        <w:t xml:space="preserve">Оптимальним є проведення тестування штамів пацієнтів з МР/Риф-ТБ на резистентність до </w:t>
      </w:r>
      <w:proofErr w:type="spellStart"/>
      <w:r w:rsidRPr="00ED35A9">
        <w:rPr>
          <w:sz w:val="24"/>
          <w:szCs w:val="24"/>
          <w:lang w:val="uk-UA"/>
        </w:rPr>
        <w:t>фторхінолонів</w:t>
      </w:r>
      <w:proofErr w:type="spellEnd"/>
      <w:r w:rsidRPr="00ED35A9">
        <w:rPr>
          <w:sz w:val="24"/>
          <w:szCs w:val="24"/>
          <w:lang w:val="uk-UA"/>
        </w:rPr>
        <w:t xml:space="preserve"> та інших компонентів схеми, незважаючи на запропонований тип схеми лікування МРТБ.</w:t>
      </w:r>
    </w:p>
    <w:p w:rsidR="00877D83" w:rsidRPr="00ED35A9" w:rsidRDefault="00877D83" w:rsidP="00877D83">
      <w:pPr>
        <w:spacing w:before="120" w:after="120"/>
        <w:ind w:firstLine="0"/>
        <w:jc w:val="center"/>
        <w:rPr>
          <w:b/>
          <w:szCs w:val="28"/>
          <w:lang w:val="uk-UA"/>
        </w:rPr>
      </w:pPr>
      <w:r w:rsidRPr="00ED35A9">
        <w:rPr>
          <w:b/>
          <w:szCs w:val="28"/>
          <w:lang w:val="uk-UA"/>
        </w:rPr>
        <w:t>Рисунок 4.1. Критерії для прийняття рішення щодо застосування короткострокової схеми лікування МРТБ</w:t>
      </w:r>
    </w:p>
    <w:p w:rsidR="00877D83" w:rsidRPr="00ED35A9" w:rsidRDefault="00877D83" w:rsidP="00877D83">
      <w:pPr>
        <w:rPr>
          <w:szCs w:val="28"/>
          <w:lang w:val="uk-UA"/>
        </w:rPr>
      </w:pPr>
      <w:r w:rsidRPr="00ED35A9">
        <w:rPr>
          <w:b/>
          <w:i/>
          <w:szCs w:val="28"/>
          <w:lang w:val="uk-UA"/>
        </w:rPr>
        <w:t>Риф-ТБ без МРТБ.</w:t>
      </w:r>
      <w:r w:rsidRPr="00ED35A9">
        <w:rPr>
          <w:szCs w:val="28"/>
          <w:lang w:val="uk-UA"/>
        </w:rPr>
        <w:t xml:space="preserve"> У випробуванні STREAM лише 5,8% учасників досліджуваної групи мали чутливість до </w:t>
      </w:r>
      <w:proofErr w:type="spellStart"/>
      <w:r w:rsidRPr="00ED35A9">
        <w:rPr>
          <w:szCs w:val="28"/>
          <w:lang w:val="uk-UA"/>
        </w:rPr>
        <w:t>ізо</w:t>
      </w:r>
      <w:r w:rsidR="00B02102" w:rsidRPr="00ED35A9">
        <w:rPr>
          <w:szCs w:val="28"/>
          <w:lang w:val="uk-UA"/>
        </w:rPr>
        <w:t>ніазиду</w:t>
      </w:r>
      <w:proofErr w:type="spellEnd"/>
      <w:r w:rsidR="00B02102" w:rsidRPr="00ED35A9">
        <w:rPr>
          <w:szCs w:val="28"/>
          <w:lang w:val="uk-UA"/>
        </w:rPr>
        <w:t>. В усіх пацієнтів, як у </w:t>
      </w:r>
      <w:r w:rsidRPr="00ED35A9">
        <w:rPr>
          <w:szCs w:val="28"/>
          <w:lang w:val="uk-UA"/>
        </w:rPr>
        <w:t xml:space="preserve">дітей, так і у дорослих, з Риф-ТБ, </w:t>
      </w:r>
      <w:r w:rsidR="00B02102" w:rsidRPr="00ED35A9">
        <w:rPr>
          <w:szCs w:val="28"/>
          <w:lang w:val="uk-UA"/>
        </w:rPr>
        <w:t>в</w:t>
      </w:r>
      <w:r w:rsidRPr="00ED35A9">
        <w:rPr>
          <w:szCs w:val="28"/>
          <w:lang w:val="uk-UA"/>
        </w:rPr>
        <w:t xml:space="preserve"> яких не підтверджено резистентність до </w:t>
      </w:r>
      <w:proofErr w:type="spellStart"/>
      <w:r w:rsidRPr="00ED35A9">
        <w:rPr>
          <w:szCs w:val="28"/>
          <w:lang w:val="uk-UA"/>
        </w:rPr>
        <w:t>ізоніазиду</w:t>
      </w:r>
      <w:proofErr w:type="spellEnd"/>
      <w:r w:rsidRPr="00ED35A9">
        <w:rPr>
          <w:szCs w:val="28"/>
          <w:lang w:val="uk-UA"/>
        </w:rPr>
        <w:t>, можна застосовувати короткострокову схему лікування МРТБ відповідно до загальних умов її призначення.</w:t>
      </w:r>
    </w:p>
    <w:p w:rsidR="00877D83" w:rsidRPr="00ED35A9" w:rsidRDefault="00877D83" w:rsidP="007D6764">
      <w:pPr>
        <w:spacing w:line="233" w:lineRule="auto"/>
        <w:rPr>
          <w:szCs w:val="28"/>
          <w:lang w:val="uk-UA"/>
        </w:rPr>
      </w:pPr>
      <w:r w:rsidRPr="00ED35A9">
        <w:rPr>
          <w:b/>
          <w:i/>
          <w:szCs w:val="28"/>
          <w:lang w:val="uk-UA"/>
        </w:rPr>
        <w:t xml:space="preserve">Додаткова резистентність до </w:t>
      </w:r>
      <w:proofErr w:type="spellStart"/>
      <w:r w:rsidRPr="00ED35A9">
        <w:rPr>
          <w:b/>
          <w:i/>
          <w:szCs w:val="28"/>
          <w:lang w:val="uk-UA"/>
        </w:rPr>
        <w:t>ізоніазиду</w:t>
      </w:r>
      <w:proofErr w:type="spellEnd"/>
      <w:r w:rsidRPr="00ED35A9">
        <w:rPr>
          <w:b/>
          <w:i/>
          <w:szCs w:val="28"/>
          <w:lang w:val="uk-UA"/>
        </w:rPr>
        <w:t xml:space="preserve"> та </w:t>
      </w:r>
      <w:proofErr w:type="spellStart"/>
      <w:r w:rsidRPr="00ED35A9">
        <w:rPr>
          <w:b/>
          <w:i/>
          <w:szCs w:val="28"/>
          <w:lang w:val="uk-UA"/>
        </w:rPr>
        <w:t>рифампіцину</w:t>
      </w:r>
      <w:proofErr w:type="spellEnd"/>
      <w:r w:rsidRPr="00ED35A9">
        <w:rPr>
          <w:b/>
          <w:i/>
          <w:szCs w:val="28"/>
          <w:lang w:val="uk-UA"/>
        </w:rPr>
        <w:t>.</w:t>
      </w:r>
      <w:r w:rsidRPr="00ED35A9">
        <w:rPr>
          <w:szCs w:val="28"/>
          <w:lang w:val="uk-UA"/>
        </w:rPr>
        <w:t xml:space="preserve"> Під час проведення випробування STREAM відзначено ефективність застосування схеми у пацієнтів без резистентності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Дані випробування STREAM показали високий нескоригований ризик виникнення </w:t>
      </w:r>
      <w:proofErr w:type="spellStart"/>
      <w:r w:rsidRPr="00ED35A9">
        <w:rPr>
          <w:szCs w:val="28"/>
          <w:lang w:val="uk-UA"/>
        </w:rPr>
        <w:t>культуральної</w:t>
      </w:r>
      <w:proofErr w:type="spellEnd"/>
      <w:r w:rsidRPr="00ED35A9">
        <w:rPr>
          <w:szCs w:val="28"/>
          <w:lang w:val="uk-UA"/>
        </w:rPr>
        <w:t xml:space="preserve"> реверсії, рецидиву або відсутності конверсії у пацієнтів із базовою резистентністю до </w:t>
      </w:r>
      <w:proofErr w:type="spellStart"/>
      <w:r w:rsidRPr="00ED35A9">
        <w:rPr>
          <w:szCs w:val="28"/>
          <w:lang w:val="uk-UA"/>
        </w:rPr>
        <w:t>піразинаміду</w:t>
      </w:r>
      <w:proofErr w:type="spellEnd"/>
      <w:r w:rsidRPr="00ED35A9">
        <w:rPr>
          <w:szCs w:val="28"/>
          <w:lang w:val="uk-UA"/>
        </w:rPr>
        <w:t xml:space="preserve"> </w:t>
      </w:r>
      <w:r w:rsidRPr="00ED35A9">
        <w:rPr>
          <w:szCs w:val="28"/>
          <w:lang w:val="uk-UA"/>
        </w:rPr>
        <w:lastRenderedPageBreak/>
        <w:t xml:space="preserve">та </w:t>
      </w:r>
      <w:proofErr w:type="spellStart"/>
      <w:r w:rsidRPr="00ED35A9">
        <w:rPr>
          <w:szCs w:val="28"/>
          <w:lang w:val="uk-UA"/>
        </w:rPr>
        <w:t>етіонаміду</w:t>
      </w:r>
      <w:proofErr w:type="spellEnd"/>
      <w:r w:rsidRPr="00ED35A9">
        <w:rPr>
          <w:szCs w:val="28"/>
          <w:lang w:val="uk-UA"/>
        </w:rPr>
        <w:t xml:space="preserve"> (хоча ці дані не є статистично значущими та не мають широкого </w:t>
      </w:r>
      <w:r w:rsidR="00A144B8" w:rsidRPr="00ED35A9">
        <w:rPr>
          <w:szCs w:val="28"/>
          <w:lang w:val="uk-UA"/>
        </w:rPr>
        <w:t>ДІ</w:t>
      </w:r>
      <w:r w:rsidRPr="00ED35A9">
        <w:rPr>
          <w:szCs w:val="28"/>
          <w:lang w:val="uk-UA"/>
        </w:rPr>
        <w:t xml:space="preserve">). МА ІДП також показав високий ризик невдачі лікування та виникнення рецидиву у пацієнтів зі штамами, резистентними до </w:t>
      </w:r>
      <w:proofErr w:type="spellStart"/>
      <w:r w:rsidRPr="00ED35A9">
        <w:rPr>
          <w:szCs w:val="28"/>
          <w:lang w:val="uk-UA"/>
        </w:rPr>
        <w:t>піразинаміду</w:t>
      </w:r>
      <w:proofErr w:type="spellEnd"/>
      <w:r w:rsidRPr="00ED35A9">
        <w:rPr>
          <w:szCs w:val="28"/>
          <w:lang w:val="uk-UA"/>
        </w:rPr>
        <w:t xml:space="preserve"> та </w:t>
      </w:r>
      <w:proofErr w:type="spellStart"/>
      <w:r w:rsidRPr="00ED35A9">
        <w:rPr>
          <w:szCs w:val="28"/>
          <w:lang w:val="uk-UA"/>
        </w:rPr>
        <w:t>етіон</w:t>
      </w:r>
      <w:r w:rsidR="00B02102" w:rsidRPr="00ED35A9">
        <w:rPr>
          <w:szCs w:val="28"/>
          <w:lang w:val="uk-UA"/>
        </w:rPr>
        <w:t>аміду</w:t>
      </w:r>
      <w:proofErr w:type="spellEnd"/>
      <w:r w:rsidR="00B02102" w:rsidRPr="00ED35A9">
        <w:rPr>
          <w:szCs w:val="28"/>
          <w:lang w:val="uk-UA"/>
        </w:rPr>
        <w:t>/</w:t>
      </w:r>
      <w:proofErr w:type="spellStart"/>
      <w:r w:rsidR="00B02102" w:rsidRPr="00ED35A9">
        <w:rPr>
          <w:szCs w:val="28"/>
          <w:lang w:val="uk-UA"/>
        </w:rPr>
        <w:t>протіонаміду</w:t>
      </w:r>
      <w:proofErr w:type="spellEnd"/>
      <w:r w:rsidR="00B02102" w:rsidRPr="00ED35A9">
        <w:rPr>
          <w:szCs w:val="28"/>
          <w:lang w:val="uk-UA"/>
        </w:rPr>
        <w:t>, порівняно з </w:t>
      </w:r>
      <w:r w:rsidRPr="00ED35A9">
        <w:rPr>
          <w:szCs w:val="28"/>
          <w:lang w:val="uk-UA"/>
        </w:rPr>
        <w:t>чутливими штамами. Для пацієнтів, інфікованих штамами з лабораторно</w:t>
      </w:r>
      <w:r w:rsidR="00B02102" w:rsidRPr="00ED35A9">
        <w:rPr>
          <w:szCs w:val="28"/>
          <w:lang w:val="uk-UA"/>
        </w:rPr>
        <w:t xml:space="preserve"> </w:t>
      </w:r>
      <w:r w:rsidRPr="00ED35A9">
        <w:rPr>
          <w:szCs w:val="28"/>
          <w:lang w:val="uk-UA"/>
        </w:rPr>
        <w:t>підтвердженою резистентністю до складових короткострокової схеми лікування МРТБ, або за наявності вагомих підстав щодо прогнозованої неефективності цих схем (наприклад, контакт пацієнта із особою, що має задокументовану резистентність) не слід застосовувати короткострокові схеми. За відсутності надійних результатів т</w:t>
      </w:r>
      <w:r w:rsidR="00B02102" w:rsidRPr="00ED35A9">
        <w:rPr>
          <w:szCs w:val="28"/>
          <w:lang w:val="uk-UA"/>
        </w:rPr>
        <w:t>естування для складових схеми в </w:t>
      </w:r>
      <w:r w:rsidRPr="00ED35A9">
        <w:rPr>
          <w:szCs w:val="28"/>
          <w:lang w:val="uk-UA"/>
        </w:rPr>
        <w:t>окремого пацієнта репрезентативні дані щодо загальної поширеності резистентності у визначеній популяції можуть допомогти у прийнятті рішення щодо можливості використання короткострокової схеми. Також рекомендованим є призначення альтернатив</w:t>
      </w:r>
      <w:r w:rsidR="00B02102" w:rsidRPr="00ED35A9">
        <w:rPr>
          <w:szCs w:val="28"/>
          <w:lang w:val="uk-UA"/>
        </w:rPr>
        <w:t>них схем лікування у регіонах з </w:t>
      </w:r>
      <w:r w:rsidRPr="00ED35A9">
        <w:rPr>
          <w:szCs w:val="28"/>
          <w:lang w:val="uk-UA"/>
        </w:rPr>
        <w:t xml:space="preserve">високою поширеністю резистентності до </w:t>
      </w:r>
      <w:proofErr w:type="spellStart"/>
      <w:r w:rsidRPr="00ED35A9">
        <w:rPr>
          <w:szCs w:val="28"/>
          <w:lang w:val="uk-UA"/>
        </w:rPr>
        <w:t>піразинаміду</w:t>
      </w:r>
      <w:proofErr w:type="spellEnd"/>
      <w:r w:rsidRPr="00ED35A9">
        <w:rPr>
          <w:szCs w:val="28"/>
          <w:lang w:val="uk-UA"/>
        </w:rPr>
        <w:t xml:space="preserve"> або </w:t>
      </w:r>
      <w:proofErr w:type="spellStart"/>
      <w:r w:rsidRPr="00ED35A9">
        <w:rPr>
          <w:szCs w:val="28"/>
          <w:lang w:val="uk-UA"/>
        </w:rPr>
        <w:t>етіонаміду</w:t>
      </w:r>
      <w:proofErr w:type="spellEnd"/>
      <w:r w:rsidRPr="00ED35A9">
        <w:rPr>
          <w:szCs w:val="28"/>
          <w:lang w:val="uk-UA"/>
        </w:rPr>
        <w:t xml:space="preserve">. Така невизначеність є однією з причин, через які рекомендації щодо короткострокових схем залишаються умовними. За даними огляду досліджень, відзначено більш високий ризик переривання лікування під час застосування довгострокової схеми, ніж короткострокової, що наголошує на важливості дотримання рекомендації з надання підтримки пацієнтам для завершення лікування за довгостроковими схемами, тим самим підвищуючи ймовірність </w:t>
      </w:r>
      <w:proofErr w:type="spellStart"/>
      <w:r w:rsidRPr="00ED35A9">
        <w:rPr>
          <w:szCs w:val="28"/>
          <w:lang w:val="uk-UA"/>
        </w:rPr>
        <w:t>безрецидивного</w:t>
      </w:r>
      <w:proofErr w:type="spellEnd"/>
      <w:r w:rsidRPr="00ED35A9">
        <w:rPr>
          <w:szCs w:val="28"/>
          <w:lang w:val="uk-UA"/>
        </w:rPr>
        <w:t xml:space="preserve"> </w:t>
      </w:r>
      <w:r w:rsidR="006D127C" w:rsidRPr="00ED35A9">
        <w:rPr>
          <w:szCs w:val="28"/>
          <w:lang w:val="uk-UA"/>
        </w:rPr>
        <w:t>одужання</w:t>
      </w:r>
      <w:r w:rsidRPr="00ED35A9">
        <w:rPr>
          <w:szCs w:val="28"/>
          <w:lang w:val="uk-UA"/>
        </w:rPr>
        <w:t xml:space="preserve"> (</w:t>
      </w:r>
      <w:r w:rsidRPr="00ED35A9">
        <w:rPr>
          <w:i/>
          <w:szCs w:val="28"/>
          <w:lang w:val="uk-UA"/>
        </w:rPr>
        <w:t>див.</w:t>
      </w:r>
      <w:r w:rsidRPr="00ED35A9">
        <w:rPr>
          <w:szCs w:val="28"/>
          <w:lang w:val="uk-UA"/>
        </w:rPr>
        <w:t xml:space="preserve"> Розділ 2 та 3).</w:t>
      </w:r>
    </w:p>
    <w:p w:rsidR="00877D83" w:rsidRPr="00ED35A9" w:rsidRDefault="00877D83" w:rsidP="007D6764">
      <w:pPr>
        <w:spacing w:line="233" w:lineRule="auto"/>
        <w:rPr>
          <w:szCs w:val="28"/>
          <w:lang w:val="uk-UA"/>
        </w:rPr>
      </w:pPr>
      <w:r w:rsidRPr="00ED35A9">
        <w:rPr>
          <w:b/>
          <w:i/>
          <w:szCs w:val="28"/>
          <w:lang w:val="uk-UA"/>
        </w:rPr>
        <w:t>Діти.</w:t>
      </w:r>
      <w:r w:rsidRPr="00ED35A9">
        <w:rPr>
          <w:szCs w:val="28"/>
          <w:lang w:val="uk-UA"/>
        </w:rPr>
        <w:t xml:space="preserve"> З випробування STREAM було виключено дітей</w:t>
      </w:r>
      <w:r w:rsidR="00B02102" w:rsidRPr="00ED35A9">
        <w:rPr>
          <w:szCs w:val="28"/>
          <w:lang w:val="uk-UA"/>
        </w:rPr>
        <w:t xml:space="preserve">, проте </w:t>
      </w:r>
      <w:r w:rsidRPr="00ED35A9">
        <w:rPr>
          <w:szCs w:val="28"/>
          <w:lang w:val="uk-UA"/>
        </w:rPr>
        <w:t xml:space="preserve">78 пацієнтів віком ≤18 років увійшли до МА ІДП 2018 р. щодо застосування короткострокових схем. Вплив короткострокової схеми на результати лікування у дітей та підлітків було важко визначити через малу кількість даних по кожному результату лікування. Хоча немає вірогідної біологічної причини вважати, що ці схеми є менш ефективними у дітей або їх переносність є гіршою, ніж у дорослих, наявність додаткових даних із застосування короткострокових схем у дітей була б корисною. Уникнення застосування </w:t>
      </w:r>
      <w:proofErr w:type="spellStart"/>
      <w:r w:rsidRPr="00ED35A9">
        <w:rPr>
          <w:szCs w:val="28"/>
          <w:lang w:val="uk-UA"/>
        </w:rPr>
        <w:t>ін’єкційно-вмісних</w:t>
      </w:r>
      <w:proofErr w:type="spellEnd"/>
      <w:r w:rsidRPr="00ED35A9">
        <w:rPr>
          <w:szCs w:val="28"/>
          <w:lang w:val="uk-UA"/>
        </w:rPr>
        <w:t xml:space="preserve"> схем є особливо актуальним для дітей, зокрема наймолодшого віку, зважаючи на можливу втрату слуху, що негативно вплине на розвиток дитини. Використання ін’єкційних препаратів у дітей має супроводжуватися проведенням регулярної аудіометрії. Проте для дітей з легеневим МР/Риф-ТБ рекомендованим є застосування короткострокових схем лікування МРТБ за тими самими критеріями лікування, що й у дорослих.</w:t>
      </w:r>
    </w:p>
    <w:p w:rsidR="00877D83" w:rsidRPr="007D6764" w:rsidRDefault="00877D83" w:rsidP="007D6764">
      <w:pPr>
        <w:spacing w:line="233" w:lineRule="auto"/>
        <w:rPr>
          <w:spacing w:val="-2"/>
          <w:szCs w:val="28"/>
          <w:lang w:val="uk-UA"/>
        </w:rPr>
      </w:pPr>
      <w:r w:rsidRPr="007D6764">
        <w:rPr>
          <w:b/>
          <w:i/>
          <w:spacing w:val="-2"/>
          <w:szCs w:val="28"/>
          <w:lang w:val="uk-UA"/>
        </w:rPr>
        <w:t>Вагітні жінки.</w:t>
      </w:r>
      <w:r w:rsidRPr="007D6764">
        <w:rPr>
          <w:spacing w:val="-2"/>
          <w:szCs w:val="28"/>
          <w:lang w:val="uk-UA"/>
        </w:rPr>
        <w:t xml:space="preserve"> У випробуванні STREAM вагітність була критерієм виключення. Застосування двох компонентів короткострокових схем лікування МРТБ – ін’єкційного препарату та </w:t>
      </w:r>
      <w:proofErr w:type="spellStart"/>
      <w:r w:rsidRPr="007D6764">
        <w:rPr>
          <w:spacing w:val="-2"/>
          <w:szCs w:val="28"/>
          <w:lang w:val="uk-UA"/>
        </w:rPr>
        <w:t>етіонаміду</w:t>
      </w:r>
      <w:proofErr w:type="spellEnd"/>
      <w:r w:rsidRPr="007D6764">
        <w:rPr>
          <w:spacing w:val="-2"/>
          <w:szCs w:val="28"/>
          <w:lang w:val="uk-UA"/>
        </w:rPr>
        <w:t xml:space="preserve"> (або </w:t>
      </w:r>
      <w:proofErr w:type="spellStart"/>
      <w:r w:rsidRPr="007D6764">
        <w:rPr>
          <w:spacing w:val="-2"/>
          <w:szCs w:val="28"/>
          <w:lang w:val="uk-UA"/>
        </w:rPr>
        <w:t>протіонаміду</w:t>
      </w:r>
      <w:proofErr w:type="spellEnd"/>
      <w:r w:rsidRPr="007D6764">
        <w:rPr>
          <w:spacing w:val="-2"/>
          <w:szCs w:val="28"/>
          <w:lang w:val="uk-UA"/>
        </w:rPr>
        <w:t xml:space="preserve">) – зазвичай протипоказано при вагітності. Виключення цих препаратів з короткострокової схеми лікування МРТБ може поставити під загрозу її ефективність. Таким чином, у вагітних жінок рекомендовано застосовувати індивідуалізовані довгострокові схеми, що складаються з чотирьох або більше ефективних препаратів з нижчим ризиком виникнення </w:t>
      </w:r>
      <w:proofErr w:type="spellStart"/>
      <w:r w:rsidRPr="007D6764">
        <w:rPr>
          <w:spacing w:val="-2"/>
          <w:szCs w:val="28"/>
          <w:lang w:val="uk-UA"/>
        </w:rPr>
        <w:t>тератогенного</w:t>
      </w:r>
      <w:proofErr w:type="spellEnd"/>
      <w:r w:rsidRPr="007D6764">
        <w:rPr>
          <w:spacing w:val="-2"/>
          <w:szCs w:val="28"/>
          <w:lang w:val="uk-UA"/>
        </w:rPr>
        <w:t xml:space="preserve"> ефекту.</w:t>
      </w:r>
    </w:p>
    <w:p w:rsidR="00877D83" w:rsidRPr="00ED35A9" w:rsidRDefault="00877D83" w:rsidP="007D6764">
      <w:pPr>
        <w:spacing w:line="247" w:lineRule="auto"/>
        <w:rPr>
          <w:szCs w:val="28"/>
          <w:lang w:val="uk-UA"/>
        </w:rPr>
      </w:pPr>
      <w:r w:rsidRPr="00ED35A9">
        <w:rPr>
          <w:b/>
          <w:i/>
          <w:szCs w:val="28"/>
          <w:lang w:val="uk-UA"/>
        </w:rPr>
        <w:lastRenderedPageBreak/>
        <w:t xml:space="preserve">Винятково </w:t>
      </w:r>
      <w:proofErr w:type="spellStart"/>
      <w:r w:rsidRPr="00ED35A9">
        <w:rPr>
          <w:b/>
          <w:i/>
          <w:szCs w:val="28"/>
          <w:lang w:val="uk-UA"/>
        </w:rPr>
        <w:t>позалегеневе</w:t>
      </w:r>
      <w:proofErr w:type="spellEnd"/>
      <w:r w:rsidRPr="00ED35A9">
        <w:rPr>
          <w:b/>
          <w:i/>
          <w:szCs w:val="28"/>
          <w:lang w:val="uk-UA"/>
        </w:rPr>
        <w:t xml:space="preserve"> захворювання.</w:t>
      </w:r>
      <w:r w:rsidRPr="00ED35A9">
        <w:rPr>
          <w:szCs w:val="28"/>
          <w:lang w:val="uk-UA"/>
        </w:rPr>
        <w:t xml:space="preserve"> Результати випробування STREAM були обмежені пацієнтами із легеневою локалізацією, їх не можна екстраполювати на всі окремі форми </w:t>
      </w:r>
      <w:proofErr w:type="spellStart"/>
      <w:r w:rsidRPr="00ED35A9">
        <w:rPr>
          <w:szCs w:val="28"/>
          <w:lang w:val="uk-UA"/>
        </w:rPr>
        <w:t>позалегеневого</w:t>
      </w:r>
      <w:proofErr w:type="spellEnd"/>
      <w:r w:rsidRPr="00ED35A9">
        <w:rPr>
          <w:szCs w:val="28"/>
          <w:lang w:val="uk-UA"/>
        </w:rPr>
        <w:t xml:space="preserve"> захворювання. Рекомендовано уникати призначення короткострокових схем у пацієнтів з </w:t>
      </w:r>
      <w:proofErr w:type="spellStart"/>
      <w:r w:rsidRPr="00ED35A9">
        <w:rPr>
          <w:szCs w:val="28"/>
          <w:lang w:val="uk-UA"/>
        </w:rPr>
        <w:t>дисемінованим</w:t>
      </w:r>
      <w:proofErr w:type="spellEnd"/>
      <w:r w:rsidRPr="00ED35A9">
        <w:rPr>
          <w:szCs w:val="28"/>
          <w:lang w:val="uk-UA"/>
        </w:rPr>
        <w:t xml:space="preserve"> ТБ або туберкульозним менінгітом, що також стосується ЛЖВ із </w:t>
      </w:r>
      <w:proofErr w:type="spellStart"/>
      <w:r w:rsidRPr="00ED35A9">
        <w:rPr>
          <w:szCs w:val="28"/>
          <w:lang w:val="uk-UA"/>
        </w:rPr>
        <w:t>позалегеневим</w:t>
      </w:r>
      <w:proofErr w:type="spellEnd"/>
      <w:r w:rsidRPr="00ED35A9">
        <w:rPr>
          <w:szCs w:val="28"/>
          <w:lang w:val="uk-UA"/>
        </w:rPr>
        <w:t xml:space="preserve"> захворюванням.</w:t>
      </w:r>
    </w:p>
    <w:p w:rsidR="00877D83" w:rsidRPr="00ED35A9" w:rsidRDefault="00877D83" w:rsidP="007D6764">
      <w:pPr>
        <w:spacing w:line="247" w:lineRule="auto"/>
        <w:rPr>
          <w:szCs w:val="28"/>
          <w:lang w:val="uk-UA"/>
        </w:rPr>
      </w:pPr>
      <w:r w:rsidRPr="00ED35A9">
        <w:rPr>
          <w:b/>
          <w:i/>
          <w:szCs w:val="28"/>
          <w:lang w:val="uk-UA"/>
        </w:rPr>
        <w:t xml:space="preserve">Особи з цукровим діабетом. </w:t>
      </w:r>
      <w:r w:rsidRPr="00ED35A9">
        <w:rPr>
          <w:szCs w:val="28"/>
          <w:lang w:val="uk-UA"/>
        </w:rPr>
        <w:t xml:space="preserve">Дані щодо застосування короткострокової схеми </w:t>
      </w:r>
      <w:r w:rsidR="00B02102" w:rsidRPr="00ED35A9">
        <w:rPr>
          <w:szCs w:val="28"/>
          <w:lang w:val="uk-UA"/>
        </w:rPr>
        <w:t>в осіб</w:t>
      </w:r>
      <w:r w:rsidRPr="00ED35A9">
        <w:rPr>
          <w:szCs w:val="28"/>
          <w:lang w:val="uk-UA"/>
        </w:rPr>
        <w:t xml:space="preserve"> із цукровим діабетом відсутні. Для пацієнтів з цукровим діабетом рекомендовано використовувати ті самі критерії щодо застосування короткострокових схем лікування МРТБ, що й для інших пацієнтів.</w:t>
      </w:r>
    </w:p>
    <w:p w:rsidR="00877D83" w:rsidRPr="00ED35A9" w:rsidRDefault="00877D83" w:rsidP="007D6764">
      <w:pPr>
        <w:spacing w:line="247" w:lineRule="auto"/>
        <w:rPr>
          <w:b/>
          <w:szCs w:val="28"/>
          <w:lang w:val="uk-UA"/>
        </w:rPr>
      </w:pPr>
      <w:r w:rsidRPr="00ED35A9">
        <w:rPr>
          <w:b/>
          <w:szCs w:val="28"/>
          <w:lang w:val="uk-UA"/>
        </w:rPr>
        <w:t>Впровадження рекомендацій</w:t>
      </w:r>
    </w:p>
    <w:p w:rsidR="00877D83" w:rsidRPr="00ED35A9" w:rsidRDefault="00877D83" w:rsidP="007D6764">
      <w:pPr>
        <w:spacing w:line="247" w:lineRule="auto"/>
        <w:rPr>
          <w:szCs w:val="28"/>
          <w:lang w:val="uk-UA"/>
        </w:rPr>
      </w:pPr>
      <w:r w:rsidRPr="00ED35A9">
        <w:rPr>
          <w:szCs w:val="28"/>
          <w:lang w:val="uk-UA"/>
        </w:rPr>
        <w:t xml:space="preserve">Застосування короткострокової схеми лікування МРТБ широко відомо у фтизіатричній практиці. Два десятиріччя тому у </w:t>
      </w:r>
      <w:proofErr w:type="spellStart"/>
      <w:r w:rsidRPr="00ED35A9">
        <w:rPr>
          <w:szCs w:val="28"/>
          <w:lang w:val="uk-UA"/>
        </w:rPr>
        <w:t>Бангладеші</w:t>
      </w:r>
      <w:proofErr w:type="spellEnd"/>
      <w:r w:rsidRPr="00ED35A9">
        <w:rPr>
          <w:szCs w:val="28"/>
          <w:lang w:val="uk-UA"/>
        </w:rPr>
        <w:t xml:space="preserve"> відзначено перші спроби щодо поступового скорочення тривалості схеми, застосування якої набуло широкого впровадження останнім часом: загальна тривалість лікування становить 9 міс, у 4-місячній інтенсивній фазі застосовують 7 препаратів, а далі, у 5-місячній фазі продовження, – 4 препарати </w:t>
      </w:r>
      <w:r w:rsidRPr="00ED35A9">
        <w:rPr>
          <w:i/>
          <w:szCs w:val="28"/>
          <w:lang w:val="uk-UA"/>
        </w:rPr>
        <w:t>(63)</w:t>
      </w:r>
      <w:r w:rsidRPr="00ED35A9">
        <w:rPr>
          <w:szCs w:val="28"/>
          <w:lang w:val="uk-UA"/>
        </w:rPr>
        <w:t>. Таку схему, з деякими варіаціями, було успішно впроваджено в умовах обмежених ресурсів, переважно у країнах Африки, але так</w:t>
      </w:r>
      <w:r w:rsidR="00B02102" w:rsidRPr="00ED35A9">
        <w:rPr>
          <w:szCs w:val="28"/>
          <w:lang w:val="uk-UA"/>
        </w:rPr>
        <w:t>ож її застосовували в країнах з </w:t>
      </w:r>
      <w:r w:rsidRPr="00ED35A9">
        <w:rPr>
          <w:szCs w:val="28"/>
          <w:lang w:val="uk-UA"/>
        </w:rPr>
        <w:t>високою поширеністю МРТБ (наприклад, у Киргизстані, Таджикистані, Узбекистані). Саме таку схему (4–6Km-Mfx-Cfz-Eto-Z-E-Hh/5Mfx-Cfz-Z-E</w:t>
      </w:r>
      <w:r w:rsidRPr="00ED35A9">
        <w:rPr>
          <w:szCs w:val="28"/>
          <w:vertAlign w:val="superscript"/>
          <w:lang w:val="uk-UA"/>
        </w:rPr>
        <w:footnoteReference w:id="23"/>
      </w:r>
      <w:r w:rsidRPr="00ED35A9">
        <w:rPr>
          <w:szCs w:val="28"/>
          <w:lang w:val="uk-UA"/>
        </w:rPr>
        <w:t xml:space="preserve">) було </w:t>
      </w:r>
      <w:proofErr w:type="spellStart"/>
      <w:r w:rsidRPr="00ED35A9">
        <w:rPr>
          <w:szCs w:val="28"/>
          <w:lang w:val="uk-UA"/>
        </w:rPr>
        <w:t>протестовано</w:t>
      </w:r>
      <w:proofErr w:type="spellEnd"/>
      <w:r w:rsidRPr="00ED35A9">
        <w:rPr>
          <w:szCs w:val="28"/>
          <w:lang w:val="uk-UA"/>
        </w:rPr>
        <w:t xml:space="preserve"> у першій стадії випробування STREAM, до якої пацієнтів залучали з 2012 по 2015 рр. У 2016 р. ВООЗ було рекомендовано застосування короткострокової схеми лікування МРТБ на основі конкретних критеріїв включення/виключення; з того часу декілька країн впровадили цю схему. Враховуючи переважно стандартизований склад та тривалість, впровадження схеми було відносно легко реалізувати.</w:t>
      </w:r>
    </w:p>
    <w:p w:rsidR="00877D83" w:rsidRPr="00ED35A9" w:rsidRDefault="00877D83" w:rsidP="007D6764">
      <w:pPr>
        <w:spacing w:line="247" w:lineRule="auto"/>
        <w:rPr>
          <w:szCs w:val="28"/>
          <w:lang w:val="uk-UA"/>
        </w:rPr>
      </w:pPr>
      <w:r w:rsidRPr="00ED35A9">
        <w:rPr>
          <w:szCs w:val="28"/>
          <w:lang w:val="uk-UA"/>
        </w:rPr>
        <w:t xml:space="preserve">Для досягнення високих показників </w:t>
      </w:r>
      <w:proofErr w:type="spellStart"/>
      <w:r w:rsidRPr="00ED35A9">
        <w:rPr>
          <w:szCs w:val="28"/>
          <w:lang w:val="uk-UA"/>
        </w:rPr>
        <w:t>виліковуваності</w:t>
      </w:r>
      <w:proofErr w:type="spellEnd"/>
      <w:r w:rsidRPr="00ED35A9">
        <w:rPr>
          <w:szCs w:val="28"/>
          <w:lang w:val="uk-UA"/>
        </w:rPr>
        <w:t xml:space="preserve">, </w:t>
      </w:r>
      <w:r w:rsidR="00B02102" w:rsidRPr="00ED35A9">
        <w:rPr>
          <w:szCs w:val="28"/>
          <w:lang w:val="uk-UA"/>
        </w:rPr>
        <w:t xml:space="preserve">як в </w:t>
      </w:r>
      <w:r w:rsidRPr="00ED35A9">
        <w:rPr>
          <w:szCs w:val="28"/>
          <w:lang w:val="uk-UA"/>
        </w:rPr>
        <w:t xml:space="preserve">отриманих у випробуванні STREAM, необхідно докласти максимальних зусиль для попередження виникнення додаткової резистентності шляхом проведення ретельного відбору пацієнтів та надання їм ефективної підтримки для забезпечення належної прихильності до лікування. Важливо проводити у пацієнтів тестування на чутливість або резистентність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які планують до використання, ще до початку застосування короткострокової схеми лікування МРТБ. Пацієнтів зі штамами, резистентними до будь-якої з двох груп препаратів, слід переводити на лікування МРТБ із застосуванням довгострокової схеми. Якщо проведення тестування на чутливість чи резистентність до </w:t>
      </w:r>
      <w:proofErr w:type="spellStart"/>
      <w:r w:rsidRPr="00ED35A9">
        <w:rPr>
          <w:szCs w:val="28"/>
          <w:lang w:val="uk-UA"/>
        </w:rPr>
        <w:t>піразинаміду</w:t>
      </w:r>
      <w:proofErr w:type="spellEnd"/>
      <w:r w:rsidRPr="00ED35A9">
        <w:rPr>
          <w:szCs w:val="28"/>
          <w:lang w:val="uk-UA"/>
        </w:rPr>
        <w:t xml:space="preserve"> або інших використовуваних у схемі препаратів є можливим, дуже важливо проводити його перед початком лікування.</w:t>
      </w:r>
    </w:p>
    <w:p w:rsidR="00877D83" w:rsidRPr="00ED35A9" w:rsidRDefault="00877D83" w:rsidP="00877D83">
      <w:pPr>
        <w:rPr>
          <w:szCs w:val="28"/>
          <w:lang w:val="uk-UA"/>
        </w:rPr>
      </w:pPr>
      <w:r w:rsidRPr="00ED35A9">
        <w:rPr>
          <w:szCs w:val="28"/>
          <w:lang w:val="uk-UA"/>
        </w:rPr>
        <w:lastRenderedPageBreak/>
        <w:t xml:space="preserve">Доступність надійних і швидких тестів для виявлення резистентності до </w:t>
      </w:r>
      <w:proofErr w:type="spellStart"/>
      <w:r w:rsidRPr="00ED35A9">
        <w:rPr>
          <w:szCs w:val="28"/>
          <w:lang w:val="uk-UA"/>
        </w:rPr>
        <w:t>ізоніазиду</w:t>
      </w:r>
      <w:proofErr w:type="spellEnd"/>
      <w:r w:rsidRPr="00ED35A9">
        <w:rPr>
          <w:szCs w:val="28"/>
          <w:lang w:val="uk-UA"/>
        </w:rPr>
        <w:t xml:space="preserve">, </w:t>
      </w:r>
      <w:proofErr w:type="spellStart"/>
      <w:r w:rsidRPr="00ED35A9">
        <w:rPr>
          <w:szCs w:val="28"/>
          <w:lang w:val="uk-UA"/>
        </w:rPr>
        <w:t>фторхінолонів</w:t>
      </w:r>
      <w:proofErr w:type="spellEnd"/>
      <w:r w:rsidRPr="00ED35A9">
        <w:rPr>
          <w:szCs w:val="28"/>
          <w:lang w:val="uk-UA"/>
        </w:rPr>
        <w:t xml:space="preserve"> та ін’єкційних препаратів допомагає визначити протягом декількох днів, в яких пацієнтів є можливим застосування короткострокових схем лікування МРТБ або які модифікації необхідно </w:t>
      </w:r>
      <w:proofErr w:type="spellStart"/>
      <w:r w:rsidRPr="00ED35A9">
        <w:rPr>
          <w:szCs w:val="28"/>
          <w:lang w:val="uk-UA"/>
        </w:rPr>
        <w:t>внести</w:t>
      </w:r>
      <w:proofErr w:type="spellEnd"/>
      <w:r w:rsidRPr="00ED35A9">
        <w:rPr>
          <w:szCs w:val="28"/>
          <w:lang w:val="uk-UA"/>
        </w:rPr>
        <w:t xml:space="preserve"> до довгострокових схем лікування МРТБ, залежно від виявленої резистентності. У пацієнтів з підтвердженим МР/Риф-ТБ може бути використане дослідження </w:t>
      </w:r>
      <w:proofErr w:type="spellStart"/>
      <w:r w:rsidRPr="00ED35A9">
        <w:rPr>
          <w:szCs w:val="28"/>
          <w:lang w:val="uk-UA"/>
        </w:rPr>
        <w:t>MTBDRsl</w:t>
      </w:r>
      <w:proofErr w:type="spellEnd"/>
      <w:r w:rsidRPr="00ED35A9">
        <w:rPr>
          <w:szCs w:val="28"/>
          <w:lang w:val="uk-UA"/>
        </w:rPr>
        <w:t xml:space="preserve"> як початковий тест, радше ніж </w:t>
      </w:r>
      <w:proofErr w:type="spellStart"/>
      <w:r w:rsidRPr="00ED35A9">
        <w:rPr>
          <w:szCs w:val="28"/>
          <w:lang w:val="uk-UA"/>
        </w:rPr>
        <w:t>культуральне</w:t>
      </w:r>
      <w:proofErr w:type="spellEnd"/>
      <w:r w:rsidRPr="00ED35A9">
        <w:rPr>
          <w:szCs w:val="28"/>
          <w:lang w:val="uk-UA"/>
        </w:rPr>
        <w:t xml:space="preserve"> дослідження або ТМЧ за методом </w:t>
      </w:r>
      <w:proofErr w:type="spellStart"/>
      <w:r w:rsidRPr="00ED35A9">
        <w:rPr>
          <w:szCs w:val="28"/>
          <w:lang w:val="uk-UA"/>
        </w:rPr>
        <w:t>фенотипування</w:t>
      </w:r>
      <w:proofErr w:type="spellEnd"/>
      <w:r w:rsidRPr="00ED35A9">
        <w:rPr>
          <w:szCs w:val="28"/>
          <w:lang w:val="uk-UA"/>
        </w:rPr>
        <w:t xml:space="preserve">, для виявлення резистентності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(умовна рекомендація, низька та середня якість доказових даних для прямого тестування мокротиння) </w:t>
      </w:r>
      <w:r w:rsidRPr="00ED35A9">
        <w:rPr>
          <w:i/>
          <w:szCs w:val="28"/>
          <w:lang w:val="uk-UA"/>
        </w:rPr>
        <w:t>(32)</w:t>
      </w:r>
      <w:r w:rsidRPr="00ED35A9">
        <w:rPr>
          <w:szCs w:val="28"/>
          <w:lang w:val="uk-UA"/>
        </w:rPr>
        <w:t xml:space="preserve">. Це стосується тестування як дітей, так і дорослих. Тоді як мутації, що спричинюють резистентність до </w:t>
      </w:r>
      <w:proofErr w:type="spellStart"/>
      <w:r w:rsidRPr="00ED35A9">
        <w:rPr>
          <w:szCs w:val="28"/>
          <w:lang w:val="uk-UA"/>
        </w:rPr>
        <w:t>фторхінолонів</w:t>
      </w:r>
      <w:proofErr w:type="spellEnd"/>
      <w:r w:rsidRPr="00ED35A9">
        <w:rPr>
          <w:szCs w:val="28"/>
          <w:lang w:val="uk-UA"/>
        </w:rPr>
        <w:t xml:space="preserve">, виявлені дослідженням </w:t>
      </w:r>
      <w:proofErr w:type="spellStart"/>
      <w:r w:rsidRPr="00ED35A9">
        <w:rPr>
          <w:szCs w:val="28"/>
          <w:lang w:val="uk-UA"/>
        </w:rPr>
        <w:t>MTBDRsl</w:t>
      </w:r>
      <w:proofErr w:type="spellEnd"/>
      <w:r w:rsidRPr="00ED35A9">
        <w:rPr>
          <w:szCs w:val="28"/>
          <w:lang w:val="uk-UA"/>
        </w:rPr>
        <w:t xml:space="preserve">, високо корелюють із </w:t>
      </w:r>
      <w:proofErr w:type="spellStart"/>
      <w:r w:rsidRPr="00ED35A9">
        <w:rPr>
          <w:szCs w:val="28"/>
          <w:lang w:val="uk-UA"/>
        </w:rPr>
        <w:t>фенотиповою</w:t>
      </w:r>
      <w:proofErr w:type="spellEnd"/>
      <w:r w:rsidRPr="00ED35A9">
        <w:rPr>
          <w:szCs w:val="28"/>
          <w:lang w:val="uk-UA"/>
        </w:rPr>
        <w:t xml:space="preserve"> резистентністю до </w:t>
      </w:r>
      <w:proofErr w:type="spellStart"/>
      <w:r w:rsidRPr="00ED35A9">
        <w:rPr>
          <w:szCs w:val="28"/>
          <w:lang w:val="uk-UA"/>
        </w:rPr>
        <w:t>офлоксацину</w:t>
      </w:r>
      <w:proofErr w:type="spellEnd"/>
      <w:r w:rsidRPr="00ED35A9">
        <w:rPr>
          <w:szCs w:val="28"/>
          <w:lang w:val="uk-UA"/>
        </w:rPr>
        <w:t xml:space="preserve"> та </w:t>
      </w:r>
      <w:proofErr w:type="spellStart"/>
      <w:r w:rsidRPr="00ED35A9">
        <w:rPr>
          <w:szCs w:val="28"/>
          <w:lang w:val="uk-UA"/>
        </w:rPr>
        <w:t>левофлоксацину</w:t>
      </w:r>
      <w:proofErr w:type="spellEnd"/>
      <w:r w:rsidRPr="00ED35A9">
        <w:rPr>
          <w:szCs w:val="28"/>
          <w:lang w:val="uk-UA"/>
        </w:rPr>
        <w:t xml:space="preserve">, кореляція з </w:t>
      </w:r>
      <w:proofErr w:type="spellStart"/>
      <w:r w:rsidRPr="00ED35A9">
        <w:rPr>
          <w:szCs w:val="28"/>
          <w:lang w:val="uk-UA"/>
        </w:rPr>
        <w:t>моксіфлоксацином</w:t>
      </w:r>
      <w:proofErr w:type="spellEnd"/>
      <w:r w:rsidRPr="00ED35A9">
        <w:rPr>
          <w:szCs w:val="28"/>
          <w:lang w:val="uk-UA"/>
        </w:rPr>
        <w:t xml:space="preserve"> та </w:t>
      </w:r>
      <w:proofErr w:type="spellStart"/>
      <w:r w:rsidRPr="00ED35A9">
        <w:rPr>
          <w:szCs w:val="28"/>
          <w:lang w:val="uk-UA"/>
        </w:rPr>
        <w:t>гатіфлоксацином</w:t>
      </w:r>
      <w:proofErr w:type="spellEnd"/>
      <w:r w:rsidRPr="00ED35A9">
        <w:rPr>
          <w:szCs w:val="28"/>
          <w:lang w:val="uk-UA"/>
        </w:rPr>
        <w:t xml:space="preserve"> є менш вираженою, а включення </w:t>
      </w:r>
      <w:proofErr w:type="spellStart"/>
      <w:r w:rsidRPr="00ED35A9">
        <w:rPr>
          <w:szCs w:val="28"/>
          <w:lang w:val="uk-UA"/>
        </w:rPr>
        <w:t>моксіфлоксацину</w:t>
      </w:r>
      <w:proofErr w:type="spellEnd"/>
      <w:r w:rsidRPr="00ED35A9">
        <w:rPr>
          <w:szCs w:val="28"/>
          <w:lang w:val="uk-UA"/>
        </w:rPr>
        <w:t xml:space="preserve"> до схеми лікування МРТБ краще визначати за результатами проведення ТМЧ за методом </w:t>
      </w:r>
      <w:proofErr w:type="spellStart"/>
      <w:r w:rsidRPr="00ED35A9">
        <w:rPr>
          <w:szCs w:val="28"/>
          <w:lang w:val="uk-UA"/>
        </w:rPr>
        <w:t>фенотипування</w:t>
      </w:r>
      <w:proofErr w:type="spellEnd"/>
      <w:r w:rsidRPr="00ED35A9">
        <w:rPr>
          <w:szCs w:val="28"/>
          <w:lang w:val="uk-UA"/>
        </w:rPr>
        <w:t xml:space="preserve"> (цей метод також слід застосовувати для </w:t>
      </w:r>
      <w:proofErr w:type="spellStart"/>
      <w:r w:rsidRPr="00ED35A9">
        <w:rPr>
          <w:szCs w:val="28"/>
          <w:lang w:val="uk-UA"/>
        </w:rPr>
        <w:t>гатіфлоксацину</w:t>
      </w:r>
      <w:proofErr w:type="spellEnd"/>
      <w:r w:rsidRPr="00ED35A9">
        <w:rPr>
          <w:szCs w:val="28"/>
          <w:lang w:val="uk-UA"/>
        </w:rPr>
        <w:t xml:space="preserve"> у випадку появи у майбутньому препарату з гарантованою якістю). Якщо лабораторне проведення ТМЧ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недоступне, клініцисти та менеджери програм з лікування ТБ подекуди мають приймати рішення на основі ймовірної резистентності до цих лікарських засобів, враховуючи клінічну історію пацієнта та нещодавні репрезентативні дані епіднагляду. За допомогою швидкого аналізу </w:t>
      </w:r>
      <w:proofErr w:type="spellStart"/>
      <w:r w:rsidRPr="00ED35A9">
        <w:rPr>
          <w:szCs w:val="28"/>
          <w:lang w:val="uk-UA"/>
        </w:rPr>
        <w:t>MTBDRplus</w:t>
      </w:r>
      <w:proofErr w:type="spellEnd"/>
      <w:r w:rsidRPr="00ED35A9">
        <w:rPr>
          <w:szCs w:val="28"/>
          <w:lang w:val="uk-UA"/>
        </w:rPr>
        <w:t xml:space="preserve"> можна визначити наявність обох мутацій </w:t>
      </w:r>
      <w:proofErr w:type="spellStart"/>
      <w:r w:rsidRPr="00ED35A9">
        <w:rPr>
          <w:i/>
          <w:szCs w:val="28"/>
          <w:lang w:val="uk-UA"/>
        </w:rPr>
        <w:t>inhA</w:t>
      </w:r>
      <w:proofErr w:type="spellEnd"/>
      <w:r w:rsidRPr="00ED35A9">
        <w:rPr>
          <w:szCs w:val="28"/>
          <w:lang w:val="uk-UA"/>
        </w:rPr>
        <w:t xml:space="preserve"> та </w:t>
      </w:r>
      <w:proofErr w:type="spellStart"/>
      <w:r w:rsidRPr="00ED35A9">
        <w:rPr>
          <w:i/>
          <w:szCs w:val="28"/>
          <w:lang w:val="uk-UA"/>
        </w:rPr>
        <w:t>katG</w:t>
      </w:r>
      <w:proofErr w:type="spellEnd"/>
      <w:r w:rsidRPr="00ED35A9">
        <w:rPr>
          <w:szCs w:val="28"/>
          <w:lang w:val="uk-UA"/>
        </w:rPr>
        <w:t xml:space="preserve">; у цьому випадку як </w:t>
      </w:r>
      <w:proofErr w:type="spellStart"/>
      <w:r w:rsidRPr="00ED35A9">
        <w:rPr>
          <w:szCs w:val="28"/>
          <w:lang w:val="uk-UA"/>
        </w:rPr>
        <w:t>ізоніазид</w:t>
      </w:r>
      <w:proofErr w:type="spellEnd"/>
      <w:r w:rsidRPr="00ED35A9">
        <w:rPr>
          <w:szCs w:val="28"/>
          <w:lang w:val="uk-UA"/>
        </w:rPr>
        <w:t xml:space="preserve">, так і </w:t>
      </w:r>
      <w:proofErr w:type="spellStart"/>
      <w:r w:rsidRPr="00ED35A9">
        <w:rPr>
          <w:szCs w:val="28"/>
          <w:lang w:val="uk-UA"/>
        </w:rPr>
        <w:t>етіонамід</w:t>
      </w:r>
      <w:proofErr w:type="spellEnd"/>
      <w:r w:rsidRPr="00ED35A9">
        <w:rPr>
          <w:szCs w:val="28"/>
          <w:lang w:val="uk-UA"/>
        </w:rPr>
        <w:t>, ймовірно, будуть неефективними, що є протипоказанням для призначення короткострокових схем</w:t>
      </w:r>
      <w:r w:rsidRPr="00ED35A9">
        <w:rPr>
          <w:rStyle w:val="ac"/>
          <w:szCs w:val="28"/>
          <w:lang w:val="uk-UA"/>
        </w:rPr>
        <w:footnoteReference w:id="24"/>
      </w:r>
      <w:r w:rsidRPr="00ED35A9">
        <w:rPr>
          <w:szCs w:val="28"/>
          <w:lang w:val="uk-UA"/>
        </w:rPr>
        <w:t xml:space="preserve">. Оскільки швидкі ТМЧ доступні не для всіх препаратів, що використовують у короткострокових схемах (наприклад, при застосуванні </w:t>
      </w:r>
      <w:proofErr w:type="spellStart"/>
      <w:r w:rsidRPr="00ED35A9">
        <w:rPr>
          <w:szCs w:val="28"/>
          <w:lang w:val="uk-UA"/>
        </w:rPr>
        <w:t>піразинаміду</w:t>
      </w:r>
      <w:proofErr w:type="spellEnd"/>
      <w:r w:rsidRPr="00ED35A9">
        <w:rPr>
          <w:szCs w:val="28"/>
          <w:lang w:val="uk-UA"/>
        </w:rPr>
        <w:t xml:space="preserve"> доводиться покладатися на тестування за методом </w:t>
      </w:r>
      <w:proofErr w:type="spellStart"/>
      <w:r w:rsidRPr="00ED35A9">
        <w:rPr>
          <w:szCs w:val="28"/>
          <w:lang w:val="uk-UA"/>
        </w:rPr>
        <w:t>фенотипування</w:t>
      </w:r>
      <w:proofErr w:type="spellEnd"/>
      <w:r w:rsidRPr="00ED35A9">
        <w:rPr>
          <w:szCs w:val="28"/>
          <w:lang w:val="uk-UA"/>
        </w:rPr>
        <w:t>), то короткострокову схему можна розпочинати у період очікування результатів, а потім, якщо буде виявлено додаткову резистентність, пацієнта можна перевести на довгострокову схему.</w:t>
      </w:r>
    </w:p>
    <w:p w:rsidR="00877D83" w:rsidRPr="00ED35A9" w:rsidRDefault="00877D83" w:rsidP="00877D83">
      <w:pPr>
        <w:rPr>
          <w:szCs w:val="28"/>
          <w:lang w:val="uk-UA"/>
        </w:rPr>
      </w:pPr>
      <w:r w:rsidRPr="00ED35A9">
        <w:rPr>
          <w:szCs w:val="28"/>
          <w:lang w:val="uk-UA"/>
        </w:rPr>
        <w:t xml:space="preserve">Наявні зараз доказові дані щодо ефективності та безпеки призначення короткострокової схеми лікування МРТБ отримані як з місць випробувань, так і з обсерваційних досліджень, де лікування проводили за доволі стандартизованих умов із відносно незначними варіаціями щодо складу схем та тривалості їх застосування. Рекомендацію щодо застосування короткострокової схеми лікування МРТБ наведено за умови, що її склад і тривалість є подібними до використаних у цих дослідженнях. Через це її важко впровадити у країнах, в яких є неможливою закупівля одного або декількох компонентів схеми. Заміна препаратів і подовження/скорочення тривалості їх застосування припускається лише у межах застосованих у </w:t>
      </w:r>
      <w:r w:rsidRPr="00ED35A9">
        <w:rPr>
          <w:szCs w:val="28"/>
          <w:lang w:val="uk-UA"/>
        </w:rPr>
        <w:lastRenderedPageBreak/>
        <w:t xml:space="preserve">дослідженні параметрів (наприклад, </w:t>
      </w:r>
      <w:proofErr w:type="spellStart"/>
      <w:r w:rsidRPr="00ED35A9">
        <w:rPr>
          <w:szCs w:val="28"/>
          <w:lang w:val="uk-UA"/>
        </w:rPr>
        <w:t>гатіфлоксацин</w:t>
      </w:r>
      <w:proofErr w:type="spellEnd"/>
      <w:r w:rsidRPr="00ED35A9">
        <w:rPr>
          <w:szCs w:val="28"/>
          <w:lang w:val="uk-UA"/>
        </w:rPr>
        <w:t xml:space="preserve"> замінено на </w:t>
      </w:r>
      <w:proofErr w:type="spellStart"/>
      <w:r w:rsidRPr="00ED35A9">
        <w:rPr>
          <w:szCs w:val="28"/>
          <w:lang w:val="uk-UA"/>
        </w:rPr>
        <w:t>моксіфлоксацин</w:t>
      </w:r>
      <w:proofErr w:type="spellEnd"/>
      <w:r w:rsidRPr="00ED35A9">
        <w:rPr>
          <w:szCs w:val="28"/>
          <w:lang w:val="uk-UA"/>
        </w:rPr>
        <w:t xml:space="preserve">; </w:t>
      </w:r>
      <w:proofErr w:type="spellStart"/>
      <w:r w:rsidRPr="00ED35A9">
        <w:rPr>
          <w:szCs w:val="28"/>
          <w:lang w:val="uk-UA"/>
        </w:rPr>
        <w:t>протіонамід</w:t>
      </w:r>
      <w:proofErr w:type="spellEnd"/>
      <w:r w:rsidRPr="00ED35A9">
        <w:rPr>
          <w:szCs w:val="28"/>
          <w:lang w:val="uk-UA"/>
        </w:rPr>
        <w:t xml:space="preserve"> замінено на </w:t>
      </w:r>
      <w:proofErr w:type="spellStart"/>
      <w:r w:rsidRPr="00ED35A9">
        <w:rPr>
          <w:szCs w:val="28"/>
          <w:lang w:val="uk-UA"/>
        </w:rPr>
        <w:t>етіонамід</w:t>
      </w:r>
      <w:proofErr w:type="spellEnd"/>
      <w:r w:rsidRPr="00ED35A9">
        <w:rPr>
          <w:szCs w:val="28"/>
          <w:lang w:val="uk-UA"/>
        </w:rPr>
        <w:t xml:space="preserve">; інтенсивну фазу подовжено до 6 міс за умови відсутності конверсії мокротиння). Даних щодо варіантів короткострокової схеми, в якій ін’єкційний препарат було б замінено на </w:t>
      </w:r>
      <w:proofErr w:type="spellStart"/>
      <w:r w:rsidRPr="00ED35A9">
        <w:rPr>
          <w:szCs w:val="28"/>
          <w:lang w:val="uk-UA"/>
        </w:rPr>
        <w:t>бедаквілін</w:t>
      </w:r>
      <w:proofErr w:type="spellEnd"/>
      <w:r w:rsidRPr="00ED35A9">
        <w:rPr>
          <w:szCs w:val="28"/>
          <w:lang w:val="uk-UA"/>
        </w:rPr>
        <w:t xml:space="preserve">, на момент підготовки оновлення рекомендацій 2018 р. у ВООЗ не повідомлено. Схеми, які істотно відрізняються за рекомендованим складом і тривалістю (наприклад, застосування стандартизованої короткострокової схеми лікування МРТБ протягом </w:t>
      </w:r>
      <w:r w:rsidR="007D6764">
        <w:rPr>
          <w:szCs w:val="28"/>
          <w:lang w:val="uk-UA"/>
        </w:rPr>
        <w:br/>
      </w:r>
      <w:r w:rsidRPr="00ED35A9">
        <w:rPr>
          <w:szCs w:val="28"/>
          <w:lang w:val="uk-UA"/>
        </w:rPr>
        <w:t xml:space="preserve">9–12 міс, у якій ін’єкційний препарат замінено на </w:t>
      </w:r>
      <w:proofErr w:type="spellStart"/>
      <w:r w:rsidRPr="00ED35A9">
        <w:rPr>
          <w:szCs w:val="28"/>
          <w:lang w:val="uk-UA"/>
        </w:rPr>
        <w:t>бедаквілін</w:t>
      </w:r>
      <w:proofErr w:type="spellEnd"/>
      <w:r w:rsidRPr="00ED35A9">
        <w:rPr>
          <w:szCs w:val="28"/>
          <w:lang w:val="uk-UA"/>
        </w:rPr>
        <w:t>), можна випробувати в умовах операційного дослідження.</w:t>
      </w:r>
    </w:p>
    <w:p w:rsidR="00877D83" w:rsidRPr="00ED35A9" w:rsidRDefault="00877D83" w:rsidP="00877D83">
      <w:pPr>
        <w:rPr>
          <w:szCs w:val="28"/>
          <w:lang w:val="uk-UA"/>
        </w:rPr>
      </w:pPr>
      <w:r w:rsidRPr="00ED35A9">
        <w:rPr>
          <w:szCs w:val="28"/>
          <w:lang w:val="uk-UA"/>
        </w:rPr>
        <w:t xml:space="preserve">На сьогодні не існує лікарських форм </w:t>
      </w:r>
      <w:proofErr w:type="spellStart"/>
      <w:r w:rsidRPr="00ED35A9">
        <w:rPr>
          <w:szCs w:val="28"/>
          <w:lang w:val="uk-UA"/>
        </w:rPr>
        <w:t>гатіфлоксацину</w:t>
      </w:r>
      <w:proofErr w:type="spellEnd"/>
      <w:r w:rsidRPr="00ED35A9">
        <w:rPr>
          <w:szCs w:val="28"/>
          <w:lang w:val="uk-UA"/>
        </w:rPr>
        <w:t xml:space="preserve"> гарантованої якості. У деяких країнах можуть виникнути труднощі при закупівлі двох основних препаратів схеми: </w:t>
      </w:r>
      <w:proofErr w:type="spellStart"/>
      <w:r w:rsidRPr="00ED35A9">
        <w:rPr>
          <w:szCs w:val="28"/>
          <w:lang w:val="uk-UA"/>
        </w:rPr>
        <w:t>клофазиміну</w:t>
      </w:r>
      <w:proofErr w:type="spellEnd"/>
      <w:r w:rsidRPr="00ED35A9">
        <w:rPr>
          <w:szCs w:val="28"/>
          <w:lang w:val="uk-UA"/>
        </w:rPr>
        <w:t xml:space="preserve"> та </w:t>
      </w:r>
      <w:proofErr w:type="spellStart"/>
      <w:r w:rsidRPr="00ED35A9">
        <w:rPr>
          <w:szCs w:val="28"/>
          <w:lang w:val="uk-UA"/>
        </w:rPr>
        <w:t>ізоніазиду</w:t>
      </w:r>
      <w:proofErr w:type="spellEnd"/>
      <w:r w:rsidR="007234EB" w:rsidRPr="00ED35A9">
        <w:rPr>
          <w:szCs w:val="28"/>
          <w:lang w:val="uk-UA"/>
        </w:rPr>
        <w:t xml:space="preserve"> у стандартній дозі</w:t>
      </w:r>
      <w:r w:rsidRPr="00ED35A9">
        <w:rPr>
          <w:szCs w:val="28"/>
          <w:lang w:val="uk-UA"/>
        </w:rPr>
        <w:t xml:space="preserve">. Крім того, відсутні лікарські форми </w:t>
      </w:r>
      <w:proofErr w:type="spellStart"/>
      <w:r w:rsidRPr="00ED35A9">
        <w:rPr>
          <w:szCs w:val="28"/>
          <w:lang w:val="uk-UA"/>
        </w:rPr>
        <w:t>клофазиміну</w:t>
      </w:r>
      <w:proofErr w:type="spellEnd"/>
      <w:r w:rsidRPr="00ED35A9">
        <w:rPr>
          <w:szCs w:val="28"/>
          <w:lang w:val="uk-UA"/>
        </w:rPr>
        <w:t xml:space="preserve"> для дітей молодшого віку, а розділ капсули на менші дози є неможливим, що створює неточність дозування для дітей. Нові таблетки </w:t>
      </w:r>
      <w:proofErr w:type="spellStart"/>
      <w:r w:rsidRPr="00ED35A9">
        <w:rPr>
          <w:szCs w:val="28"/>
          <w:lang w:val="uk-UA"/>
        </w:rPr>
        <w:t>клофазиміну</w:t>
      </w:r>
      <w:proofErr w:type="spellEnd"/>
      <w:r w:rsidRPr="00ED35A9">
        <w:rPr>
          <w:szCs w:val="28"/>
          <w:lang w:val="uk-UA"/>
        </w:rPr>
        <w:t xml:space="preserve"> з поділкою у дозі 50 та 100 мг мають спростити дозування як у дорослих, так і у дітей (</w:t>
      </w:r>
      <w:r w:rsidRPr="00ED35A9">
        <w:rPr>
          <w:i/>
          <w:szCs w:val="28"/>
          <w:lang w:val="uk-UA"/>
        </w:rPr>
        <w:t>див.</w:t>
      </w:r>
      <w:r w:rsidRPr="00ED35A9">
        <w:rPr>
          <w:szCs w:val="28"/>
          <w:lang w:val="uk-UA"/>
        </w:rPr>
        <w:t xml:space="preserve"> Додаток 2). Останнім часом, враховуючи глобальний дефіцит </w:t>
      </w:r>
      <w:proofErr w:type="spellStart"/>
      <w:r w:rsidRPr="00ED35A9">
        <w:rPr>
          <w:szCs w:val="28"/>
          <w:lang w:val="uk-UA"/>
        </w:rPr>
        <w:t>гатіфлоксацину</w:t>
      </w:r>
      <w:proofErr w:type="spellEnd"/>
      <w:r w:rsidRPr="00ED35A9">
        <w:rPr>
          <w:szCs w:val="28"/>
          <w:lang w:val="uk-UA"/>
        </w:rPr>
        <w:t xml:space="preserve"> гарантованої якості, у випробуванні STREAM, обсерваційних дослідженнях та програмах лікування ТБ було замінено цей препарат на </w:t>
      </w:r>
      <w:proofErr w:type="spellStart"/>
      <w:r w:rsidRPr="00ED35A9">
        <w:rPr>
          <w:szCs w:val="28"/>
          <w:lang w:val="uk-UA"/>
        </w:rPr>
        <w:t>моксіфлоксацин</w:t>
      </w:r>
      <w:proofErr w:type="spellEnd"/>
      <w:r w:rsidRPr="00ED35A9">
        <w:rPr>
          <w:szCs w:val="28"/>
          <w:lang w:val="uk-UA"/>
        </w:rPr>
        <w:t xml:space="preserve"> у високих дозах. Це призвело до підвищення загальної вартості схеми, причому вартість </w:t>
      </w:r>
      <w:proofErr w:type="spellStart"/>
      <w:r w:rsidRPr="00ED35A9">
        <w:rPr>
          <w:szCs w:val="28"/>
          <w:lang w:val="uk-UA"/>
        </w:rPr>
        <w:t>моксіфлоксацину</w:t>
      </w:r>
      <w:proofErr w:type="spellEnd"/>
      <w:r w:rsidRPr="00ED35A9">
        <w:rPr>
          <w:szCs w:val="28"/>
          <w:lang w:val="uk-UA"/>
        </w:rPr>
        <w:t xml:space="preserve"> зазвичай складає більше половини загальної вартості препаратів, навіть за умови нещодавнього зниження ціни через доступність більшої кількості </w:t>
      </w:r>
      <w:proofErr w:type="spellStart"/>
      <w:r w:rsidRPr="00ED35A9">
        <w:rPr>
          <w:szCs w:val="28"/>
          <w:lang w:val="uk-UA"/>
        </w:rPr>
        <w:t>генериків</w:t>
      </w:r>
      <w:proofErr w:type="spellEnd"/>
      <w:r w:rsidRPr="00ED35A9">
        <w:rPr>
          <w:szCs w:val="28"/>
          <w:lang w:val="uk-UA"/>
        </w:rPr>
        <w:t xml:space="preserve">. Впровадження цієї настанови на національному рівні має передбачати наявність достатньої кількості препаратів для забезпечення попиту та відсутність переривань у постачанні. Дозування всіх препаратів у короткостроковій схемі залишається відповідним до рекомендацій випробування STREAM </w:t>
      </w:r>
      <w:r w:rsidRPr="00ED35A9">
        <w:rPr>
          <w:i/>
          <w:szCs w:val="28"/>
          <w:lang w:val="uk-UA"/>
        </w:rPr>
        <w:t>(61)</w:t>
      </w:r>
      <w:r w:rsidRPr="00ED35A9">
        <w:rPr>
          <w:szCs w:val="28"/>
          <w:lang w:val="uk-UA"/>
        </w:rPr>
        <w:t xml:space="preserve">. ГРН було також </w:t>
      </w:r>
      <w:proofErr w:type="spellStart"/>
      <w:r w:rsidRPr="00ED35A9">
        <w:rPr>
          <w:szCs w:val="28"/>
          <w:lang w:val="uk-UA"/>
        </w:rPr>
        <w:t>переглянуто</w:t>
      </w:r>
      <w:proofErr w:type="spellEnd"/>
      <w:r w:rsidRPr="00ED35A9">
        <w:rPr>
          <w:szCs w:val="28"/>
          <w:lang w:val="uk-UA"/>
        </w:rPr>
        <w:t xml:space="preserve"> режими дозування для дорослих і дітей під час оновлення настанови 2018 р. (</w:t>
      </w:r>
      <w:r w:rsidRPr="00ED35A9">
        <w:rPr>
          <w:i/>
          <w:szCs w:val="28"/>
          <w:lang w:val="uk-UA"/>
        </w:rPr>
        <w:t>див.</w:t>
      </w:r>
      <w:r w:rsidRPr="00ED35A9">
        <w:rPr>
          <w:szCs w:val="28"/>
          <w:lang w:val="uk-UA"/>
        </w:rPr>
        <w:t xml:space="preserve"> Додаток 2).</w:t>
      </w:r>
    </w:p>
    <w:p w:rsidR="00877D83" w:rsidRPr="00ED35A9" w:rsidRDefault="00877D83" w:rsidP="00877D83">
      <w:pPr>
        <w:rPr>
          <w:szCs w:val="28"/>
          <w:lang w:val="uk-UA"/>
        </w:rPr>
      </w:pPr>
      <w:r w:rsidRPr="00ED35A9">
        <w:rPr>
          <w:szCs w:val="28"/>
          <w:lang w:val="uk-UA"/>
        </w:rPr>
        <w:t xml:space="preserve">У випробуванні STREAM зусиллями фахівців клініки, родичів або інших членів громади, залежно від місцевих умов, було впроваджено заходи DOT. За даними випробування STREAM, серед учасників, які померли, прихильність до лікування була нижчою, ніж серед інших учасників випробування. Впровадження DOT запропоновано для надання підтримки пацієнту у завершенні короткострокової схеми лікування МРТБ. З огляду на це, використання пацієнт-орієнтованого підходу </w:t>
      </w:r>
      <w:r w:rsidRPr="00ED35A9">
        <w:rPr>
          <w:i/>
          <w:szCs w:val="28"/>
          <w:lang w:val="uk-UA"/>
        </w:rPr>
        <w:t>(29)</w:t>
      </w:r>
      <w:r w:rsidRPr="00ED35A9">
        <w:rPr>
          <w:szCs w:val="28"/>
          <w:lang w:val="uk-UA"/>
        </w:rPr>
        <w:t xml:space="preserve">, зокрема із застосуванням цифрових технологій для підтримки прихильності (наприклад, терапії із підтримкою за допомогою </w:t>
      </w:r>
      <w:proofErr w:type="spellStart"/>
      <w:r w:rsidRPr="00ED35A9">
        <w:rPr>
          <w:szCs w:val="28"/>
          <w:lang w:val="uk-UA"/>
        </w:rPr>
        <w:t>відеозв’язку</w:t>
      </w:r>
      <w:proofErr w:type="spellEnd"/>
      <w:r w:rsidRPr="00ED35A9">
        <w:rPr>
          <w:szCs w:val="28"/>
          <w:lang w:val="uk-UA"/>
        </w:rPr>
        <w:t xml:space="preserve">), може бути доцільним, оскільки останнім часом з’являється все більше доказів щодо ефективності цього підходу </w:t>
      </w:r>
      <w:r w:rsidRPr="00ED35A9">
        <w:rPr>
          <w:i/>
          <w:szCs w:val="28"/>
          <w:lang w:val="uk-UA"/>
        </w:rPr>
        <w:t>(29)</w:t>
      </w:r>
      <w:r w:rsidRPr="00ED35A9">
        <w:rPr>
          <w:szCs w:val="28"/>
          <w:lang w:val="uk-UA"/>
        </w:rPr>
        <w:t>. Крім того, слід впров</w:t>
      </w:r>
      <w:r w:rsidR="00B02102" w:rsidRPr="00ED35A9">
        <w:rPr>
          <w:szCs w:val="28"/>
          <w:lang w:val="uk-UA"/>
        </w:rPr>
        <w:t xml:space="preserve">адити систему </w:t>
      </w:r>
      <w:proofErr w:type="spellStart"/>
      <w:r w:rsidR="00B02102" w:rsidRPr="00ED35A9">
        <w:rPr>
          <w:szCs w:val="28"/>
          <w:lang w:val="uk-UA"/>
        </w:rPr>
        <w:t>aDSM</w:t>
      </w:r>
      <w:proofErr w:type="spellEnd"/>
      <w:r w:rsidR="00B02102" w:rsidRPr="00ED35A9">
        <w:rPr>
          <w:szCs w:val="28"/>
          <w:lang w:val="uk-UA"/>
        </w:rPr>
        <w:t xml:space="preserve"> у країнах, в </w:t>
      </w:r>
      <w:r w:rsidRPr="00ED35A9">
        <w:rPr>
          <w:szCs w:val="28"/>
          <w:lang w:val="uk-UA"/>
        </w:rPr>
        <w:t xml:space="preserve">яких проводять лікування із призначенням короткострокових схем, для своєчасного виявлення, реагування та звітування щодо підозри або наявності виникнення небажаних явищ чи медикаментозної токсичності </w:t>
      </w:r>
      <w:r w:rsidRPr="00ED35A9">
        <w:rPr>
          <w:i/>
          <w:szCs w:val="28"/>
          <w:lang w:val="uk-UA"/>
        </w:rPr>
        <w:t>(7, 11)</w:t>
      </w:r>
      <w:r w:rsidRPr="00ED35A9">
        <w:rPr>
          <w:szCs w:val="28"/>
          <w:lang w:val="uk-UA"/>
        </w:rPr>
        <w:t xml:space="preserve">. ВООЗ було опубліковано структуру системи </w:t>
      </w:r>
      <w:proofErr w:type="spellStart"/>
      <w:r w:rsidRPr="00ED35A9">
        <w:rPr>
          <w:szCs w:val="28"/>
          <w:lang w:val="uk-UA"/>
        </w:rPr>
        <w:t>aDSM</w:t>
      </w:r>
      <w:proofErr w:type="spellEnd"/>
      <w:r w:rsidRPr="00ED35A9">
        <w:rPr>
          <w:szCs w:val="28"/>
          <w:lang w:val="uk-UA"/>
        </w:rPr>
        <w:t xml:space="preserve">, в якій додатково наведено </w:t>
      </w:r>
      <w:r w:rsidRPr="00ED35A9">
        <w:rPr>
          <w:szCs w:val="28"/>
          <w:lang w:val="uk-UA"/>
        </w:rPr>
        <w:lastRenderedPageBreak/>
        <w:t xml:space="preserve">перелік заходів щодо реалізації </w:t>
      </w:r>
      <w:proofErr w:type="spellStart"/>
      <w:r w:rsidRPr="00ED35A9">
        <w:rPr>
          <w:szCs w:val="28"/>
          <w:lang w:val="uk-UA"/>
        </w:rPr>
        <w:t>aDSM</w:t>
      </w:r>
      <w:proofErr w:type="spellEnd"/>
      <w:r w:rsidRPr="00ED35A9">
        <w:rPr>
          <w:szCs w:val="28"/>
          <w:lang w:val="uk-UA"/>
        </w:rPr>
        <w:t xml:space="preserve">. Серед елементів, за якими проводиться спостереження </w:t>
      </w:r>
      <w:proofErr w:type="spellStart"/>
      <w:r w:rsidRPr="00ED35A9">
        <w:rPr>
          <w:szCs w:val="28"/>
          <w:lang w:val="uk-UA"/>
        </w:rPr>
        <w:t>aDSM</w:t>
      </w:r>
      <w:proofErr w:type="spellEnd"/>
      <w:r w:rsidRPr="00ED35A9">
        <w:rPr>
          <w:szCs w:val="28"/>
          <w:lang w:val="uk-UA"/>
        </w:rPr>
        <w:t xml:space="preserve"> у пацієнтів на короткострокових схемах лікування МРТБ, дуже важливими є надання послуг аудіометрії для визначення рівня слуху та встановлення будь-якої недостатності слуху на початковій стадії для проведення моніторингу втрати слуху з часом.</w:t>
      </w:r>
    </w:p>
    <w:p w:rsidR="00877D83" w:rsidRPr="00ED35A9" w:rsidRDefault="00877D83" w:rsidP="007D6764">
      <w:pPr>
        <w:spacing w:line="233" w:lineRule="auto"/>
        <w:rPr>
          <w:szCs w:val="28"/>
          <w:lang w:val="uk-UA"/>
        </w:rPr>
      </w:pPr>
      <w:r w:rsidRPr="00ED35A9">
        <w:rPr>
          <w:szCs w:val="28"/>
          <w:lang w:val="uk-UA"/>
        </w:rPr>
        <w:t>При застосуванні короткострокової схеми ГРН рекомендовано наступне:</w:t>
      </w:r>
    </w:p>
    <w:p w:rsidR="00877D83" w:rsidRPr="00ED35A9" w:rsidRDefault="00877D83" w:rsidP="007D6764">
      <w:pPr>
        <w:pStyle w:val="a7"/>
        <w:numPr>
          <w:ilvl w:val="0"/>
          <w:numId w:val="10"/>
        </w:numPr>
        <w:spacing w:line="233" w:lineRule="auto"/>
        <w:ind w:left="1134" w:hanging="425"/>
        <w:rPr>
          <w:szCs w:val="28"/>
          <w:lang w:val="uk-UA"/>
        </w:rPr>
      </w:pPr>
      <w:r w:rsidRPr="00ED35A9">
        <w:rPr>
          <w:szCs w:val="28"/>
          <w:lang w:val="uk-UA"/>
        </w:rPr>
        <w:t>спільне прийняття рішення клініцистом та пацієнтом щодо вибору між короткостроковою і довгостроковою схемою;</w:t>
      </w:r>
    </w:p>
    <w:p w:rsidR="00877D83" w:rsidRPr="00ED35A9" w:rsidRDefault="00877D83" w:rsidP="007D6764">
      <w:pPr>
        <w:pStyle w:val="a7"/>
        <w:numPr>
          <w:ilvl w:val="0"/>
          <w:numId w:val="10"/>
        </w:numPr>
        <w:spacing w:line="233" w:lineRule="auto"/>
        <w:ind w:left="1134" w:hanging="425"/>
        <w:rPr>
          <w:szCs w:val="28"/>
          <w:lang w:val="uk-UA"/>
        </w:rPr>
      </w:pPr>
      <w:r w:rsidRPr="00ED35A9">
        <w:rPr>
          <w:szCs w:val="28"/>
          <w:lang w:val="uk-UA"/>
        </w:rPr>
        <w:t xml:space="preserve">проведення тестування на медикаментозну чутливість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а за можливості, й до інших компонентів схеми (наприклад, </w:t>
      </w:r>
      <w:proofErr w:type="spellStart"/>
      <w:r w:rsidRPr="00ED35A9">
        <w:rPr>
          <w:szCs w:val="28"/>
          <w:lang w:val="uk-UA"/>
        </w:rPr>
        <w:t>піразинаміду</w:t>
      </w:r>
      <w:proofErr w:type="spellEnd"/>
      <w:r w:rsidRPr="00ED35A9">
        <w:rPr>
          <w:szCs w:val="28"/>
          <w:lang w:val="uk-UA"/>
        </w:rPr>
        <w:t xml:space="preserve">; виявлення мутацій, пов’язаних з резистентністю до </w:t>
      </w:r>
      <w:proofErr w:type="spellStart"/>
      <w:r w:rsidRPr="00ED35A9">
        <w:rPr>
          <w:szCs w:val="28"/>
          <w:lang w:val="uk-UA"/>
        </w:rPr>
        <w:t>ізоніазиду</w:t>
      </w:r>
      <w:proofErr w:type="spellEnd"/>
      <w:r w:rsidRPr="00ED35A9">
        <w:rPr>
          <w:szCs w:val="28"/>
          <w:lang w:val="uk-UA"/>
        </w:rPr>
        <w:t xml:space="preserve"> та </w:t>
      </w:r>
      <w:proofErr w:type="spellStart"/>
      <w:r w:rsidRPr="00ED35A9">
        <w:rPr>
          <w:szCs w:val="28"/>
          <w:lang w:val="uk-UA"/>
        </w:rPr>
        <w:t>етіонаміду</w:t>
      </w:r>
      <w:proofErr w:type="spellEnd"/>
      <w:r w:rsidRPr="00ED35A9">
        <w:rPr>
          <w:szCs w:val="28"/>
          <w:lang w:val="uk-UA"/>
        </w:rPr>
        <w:t>) перед початком лікування;</w:t>
      </w:r>
    </w:p>
    <w:p w:rsidR="00877D83" w:rsidRPr="00ED35A9" w:rsidRDefault="00877D83" w:rsidP="007D6764">
      <w:pPr>
        <w:pStyle w:val="a7"/>
        <w:numPr>
          <w:ilvl w:val="0"/>
          <w:numId w:val="10"/>
        </w:numPr>
        <w:spacing w:line="233" w:lineRule="auto"/>
        <w:ind w:left="1134" w:hanging="425"/>
        <w:rPr>
          <w:szCs w:val="28"/>
          <w:lang w:val="uk-UA"/>
        </w:rPr>
      </w:pPr>
      <w:proofErr w:type="spellStart"/>
      <w:r w:rsidRPr="00ED35A9">
        <w:rPr>
          <w:szCs w:val="28"/>
          <w:lang w:val="uk-UA"/>
        </w:rPr>
        <w:t>канаміцин</w:t>
      </w:r>
      <w:proofErr w:type="spellEnd"/>
      <w:r w:rsidRPr="00ED35A9">
        <w:rPr>
          <w:szCs w:val="28"/>
          <w:lang w:val="uk-UA"/>
        </w:rPr>
        <w:t xml:space="preserve"> слід замінити на </w:t>
      </w:r>
      <w:proofErr w:type="spellStart"/>
      <w:r w:rsidRPr="00ED35A9">
        <w:rPr>
          <w:szCs w:val="28"/>
          <w:lang w:val="uk-UA"/>
        </w:rPr>
        <w:t>амікацин</w:t>
      </w:r>
      <w:proofErr w:type="spellEnd"/>
      <w:r w:rsidRPr="00ED35A9">
        <w:rPr>
          <w:szCs w:val="28"/>
          <w:lang w:val="uk-UA"/>
        </w:rPr>
        <w:t xml:space="preserve"> (на основі доказових даних з порівняльної ефективності цих двох ін’єкційних препаратів) (</w:t>
      </w:r>
      <w:r w:rsidRPr="00ED35A9">
        <w:rPr>
          <w:i/>
          <w:szCs w:val="28"/>
          <w:lang w:val="uk-UA"/>
        </w:rPr>
        <w:t>див.</w:t>
      </w:r>
      <w:r w:rsidRPr="00ED35A9">
        <w:rPr>
          <w:szCs w:val="28"/>
          <w:lang w:val="uk-UA"/>
        </w:rPr>
        <w:t> розділ 2, запитання PICO 2 (МР/Риф-ТБ, 2018 р.);</w:t>
      </w:r>
    </w:p>
    <w:p w:rsidR="00877D83" w:rsidRPr="00ED35A9" w:rsidRDefault="00877D83" w:rsidP="007D6764">
      <w:pPr>
        <w:pStyle w:val="a7"/>
        <w:numPr>
          <w:ilvl w:val="0"/>
          <w:numId w:val="10"/>
        </w:numPr>
        <w:spacing w:line="233" w:lineRule="auto"/>
        <w:ind w:left="1134" w:hanging="425"/>
        <w:rPr>
          <w:szCs w:val="28"/>
          <w:lang w:val="uk-UA"/>
        </w:rPr>
      </w:pPr>
      <w:r w:rsidRPr="00ED35A9">
        <w:rPr>
          <w:szCs w:val="28"/>
          <w:lang w:val="uk-UA"/>
        </w:rPr>
        <w:t>спостереження за іншими критеріями виключення.</w:t>
      </w:r>
    </w:p>
    <w:p w:rsidR="00877D83" w:rsidRPr="00ED35A9" w:rsidRDefault="00877D83" w:rsidP="007D6764">
      <w:pPr>
        <w:spacing w:line="233" w:lineRule="auto"/>
        <w:rPr>
          <w:szCs w:val="28"/>
          <w:lang w:val="uk-UA"/>
        </w:rPr>
      </w:pPr>
      <w:r w:rsidRPr="00ED35A9">
        <w:rPr>
          <w:szCs w:val="28"/>
          <w:lang w:val="uk-UA"/>
        </w:rPr>
        <w:t xml:space="preserve">Застосування короткострокової схеми тривалістю 9–12 міс має чітко визначені переваги для пацієнта та підвищує ймовірність того, що лікування буде завершено і пацієнт раніше повернеться до роботи та соціальної активності. Очікується, що скорочення витрат для пацієнтів і служб охорони здоров’я при застосуванні короткострокових схем сприятиме підвищенню рівня надання справедливих послуг шляхом появи більшого обсягу ресурсів для охоплення більшої кількості пацієнтів. Необхідним є узгодження цих переваг з недоліками застосування </w:t>
      </w:r>
      <w:proofErr w:type="spellStart"/>
      <w:r w:rsidRPr="00ED35A9">
        <w:rPr>
          <w:szCs w:val="28"/>
          <w:lang w:val="uk-UA"/>
        </w:rPr>
        <w:t>ін’єкційно-вмісних</w:t>
      </w:r>
      <w:proofErr w:type="spellEnd"/>
      <w:r w:rsidRPr="00ED35A9">
        <w:rPr>
          <w:szCs w:val="28"/>
          <w:lang w:val="uk-UA"/>
        </w:rPr>
        <w:t xml:space="preserve"> схем, враховуючи новіші підходи до лікування.</w:t>
      </w:r>
    </w:p>
    <w:p w:rsidR="00877D83" w:rsidRPr="00ED35A9" w:rsidRDefault="00877D83" w:rsidP="007D6764">
      <w:pPr>
        <w:spacing w:line="233" w:lineRule="auto"/>
        <w:rPr>
          <w:b/>
          <w:szCs w:val="28"/>
          <w:lang w:val="uk-UA"/>
        </w:rPr>
      </w:pPr>
      <w:r w:rsidRPr="00ED35A9">
        <w:rPr>
          <w:b/>
          <w:szCs w:val="28"/>
          <w:lang w:val="uk-UA"/>
        </w:rPr>
        <w:t>Моніторинг та оцінювання</w:t>
      </w:r>
    </w:p>
    <w:p w:rsidR="00877D83" w:rsidRPr="00ED35A9" w:rsidRDefault="00877D83" w:rsidP="007D6764">
      <w:pPr>
        <w:spacing w:line="233" w:lineRule="auto"/>
        <w:rPr>
          <w:szCs w:val="28"/>
          <w:lang w:val="uk-UA"/>
        </w:rPr>
      </w:pPr>
      <w:r w:rsidRPr="00ED35A9">
        <w:rPr>
          <w:szCs w:val="28"/>
          <w:lang w:val="uk-UA"/>
        </w:rPr>
        <w:t>У пацієнтів, що отримують короткострокову схему лікування МРТБ, слід проводити моніторинг під час лікування, використовуючи відповідні графіки клінічного та лабораторного тестування, які було успішно застосовано у дослідженнях в польових умовах. За можливості, важливо продовжувати спостереження за пацієнтами після завершення лікування для виявлення можливих рецидивів захворювання. За даними проміжних результатів випробування STREAM, рецидив було відзначено у 3,3% пацієнтів досліджуваної групи, що вище за прогнозований показник обсерваційного дослідження</w:t>
      </w:r>
      <w:r w:rsidR="00B02102" w:rsidRPr="00ED35A9">
        <w:rPr>
          <w:szCs w:val="28"/>
          <w:lang w:val="uk-UA"/>
        </w:rPr>
        <w:t xml:space="preserve">, проте </w:t>
      </w:r>
      <w:r w:rsidRPr="00ED35A9">
        <w:rPr>
          <w:szCs w:val="28"/>
          <w:lang w:val="uk-UA"/>
        </w:rPr>
        <w:t>за остаточними результатами випробування STREAM</w:t>
      </w:r>
      <w:r w:rsidR="00B02102" w:rsidRPr="00ED35A9">
        <w:rPr>
          <w:szCs w:val="28"/>
          <w:lang w:val="uk-UA"/>
        </w:rPr>
        <w:t xml:space="preserve"> </w:t>
      </w:r>
      <w:r w:rsidRPr="00ED35A9">
        <w:rPr>
          <w:szCs w:val="28"/>
          <w:lang w:val="uk-UA"/>
        </w:rPr>
        <w:t>не відзначено статистично значущого підвищення кількості випадків реверсії, рецидиву або відсутності конверсії у пацієнтів на короткострокових схемах.</w:t>
      </w:r>
    </w:p>
    <w:p w:rsidR="00877D83" w:rsidRPr="00ED35A9" w:rsidRDefault="00877D83" w:rsidP="007D6764">
      <w:pPr>
        <w:spacing w:line="233" w:lineRule="auto"/>
        <w:rPr>
          <w:szCs w:val="28"/>
          <w:lang w:val="uk-UA"/>
        </w:rPr>
      </w:pPr>
      <w:r w:rsidRPr="00ED35A9">
        <w:rPr>
          <w:szCs w:val="28"/>
          <w:lang w:val="uk-UA"/>
        </w:rPr>
        <w:t xml:space="preserve">Слід застосовувати систему ВООЗ щодо </w:t>
      </w:r>
      <w:proofErr w:type="spellStart"/>
      <w:r w:rsidRPr="00ED35A9">
        <w:rPr>
          <w:szCs w:val="28"/>
          <w:lang w:val="uk-UA"/>
        </w:rPr>
        <w:t>aDSM</w:t>
      </w:r>
      <w:proofErr w:type="spellEnd"/>
      <w:r w:rsidRPr="00ED35A9">
        <w:rPr>
          <w:szCs w:val="28"/>
          <w:lang w:val="uk-UA"/>
        </w:rPr>
        <w:t xml:space="preserve"> для забезпечення належних заходів для швидкого реагування при появі небезпечних явищ, здійснюючи їх моніторинг паралельно з моніторингом результатів лікування. Все ще рекомендовано застосування електрокардіографії, особливо у пацієнтів, що отримують </w:t>
      </w:r>
      <w:proofErr w:type="spellStart"/>
      <w:r w:rsidRPr="00ED35A9">
        <w:rPr>
          <w:szCs w:val="28"/>
          <w:lang w:val="uk-UA"/>
        </w:rPr>
        <w:t>моксіфлоксацин</w:t>
      </w:r>
      <w:proofErr w:type="spellEnd"/>
      <w:r w:rsidRPr="00ED35A9">
        <w:rPr>
          <w:szCs w:val="28"/>
          <w:lang w:val="uk-UA"/>
        </w:rPr>
        <w:t xml:space="preserve"> в дозі 800 мг/добу. Також мають бути наявними послуги аудіометрії.</w:t>
      </w:r>
    </w:p>
    <w:p w:rsidR="00877D83" w:rsidRPr="00ED35A9" w:rsidRDefault="00877D83" w:rsidP="00877D83">
      <w:pPr>
        <w:rPr>
          <w:szCs w:val="28"/>
          <w:lang w:val="uk-UA"/>
        </w:rPr>
      </w:pPr>
      <w:r w:rsidRPr="00ED35A9">
        <w:rPr>
          <w:szCs w:val="28"/>
          <w:lang w:val="uk-UA"/>
        </w:rPr>
        <w:lastRenderedPageBreak/>
        <w:t xml:space="preserve">Резистентні мутації до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виявлені за допомогою </w:t>
      </w:r>
      <w:proofErr w:type="spellStart"/>
      <w:r w:rsidRPr="00ED35A9">
        <w:rPr>
          <w:szCs w:val="28"/>
          <w:lang w:val="uk-UA"/>
        </w:rPr>
        <w:t>MDRTBsl</w:t>
      </w:r>
      <w:proofErr w:type="spellEnd"/>
      <w:r w:rsidRPr="00ED35A9">
        <w:rPr>
          <w:szCs w:val="28"/>
          <w:lang w:val="uk-UA"/>
        </w:rPr>
        <w:t xml:space="preserve">, мають вважатися протипоказанням для застосування короткострокової схеми. Наявність обох мутацій </w:t>
      </w:r>
      <w:proofErr w:type="spellStart"/>
      <w:r w:rsidRPr="00ED35A9">
        <w:rPr>
          <w:i/>
          <w:szCs w:val="28"/>
          <w:lang w:val="uk-UA"/>
        </w:rPr>
        <w:t>inhA</w:t>
      </w:r>
      <w:proofErr w:type="spellEnd"/>
      <w:r w:rsidRPr="00ED35A9">
        <w:rPr>
          <w:szCs w:val="28"/>
          <w:lang w:val="uk-UA"/>
        </w:rPr>
        <w:t xml:space="preserve"> і </w:t>
      </w:r>
      <w:proofErr w:type="spellStart"/>
      <w:r w:rsidRPr="00ED35A9">
        <w:rPr>
          <w:i/>
          <w:szCs w:val="28"/>
          <w:lang w:val="uk-UA"/>
        </w:rPr>
        <w:t>katG</w:t>
      </w:r>
      <w:proofErr w:type="spellEnd"/>
      <w:r w:rsidRPr="00ED35A9">
        <w:rPr>
          <w:szCs w:val="28"/>
          <w:lang w:val="uk-UA"/>
        </w:rPr>
        <w:t xml:space="preserve"> також є протипоказанням для призначення короткострокової схеми. Резистентність до </w:t>
      </w:r>
      <w:proofErr w:type="spellStart"/>
      <w:r w:rsidRPr="00ED35A9">
        <w:rPr>
          <w:szCs w:val="28"/>
          <w:lang w:val="uk-UA"/>
        </w:rPr>
        <w:t>піразинаміду</w:t>
      </w:r>
      <w:proofErr w:type="spellEnd"/>
      <w:r w:rsidRPr="00ED35A9">
        <w:rPr>
          <w:szCs w:val="28"/>
          <w:lang w:val="uk-UA"/>
        </w:rPr>
        <w:t xml:space="preserve"> (або будь-якого іншого компоненту короткострокової схеми), що виявлена за допомогою надійного ТМЧ, також вважається критерієм виключення. Проте на сьогодні не існує затвердженого швидкого тесту для виявлення чутливості до </w:t>
      </w:r>
      <w:proofErr w:type="spellStart"/>
      <w:r w:rsidRPr="00ED35A9">
        <w:rPr>
          <w:szCs w:val="28"/>
          <w:lang w:val="uk-UA"/>
        </w:rPr>
        <w:t>піразинаміду</w:t>
      </w:r>
      <w:proofErr w:type="spellEnd"/>
      <w:r w:rsidRPr="00ED35A9">
        <w:rPr>
          <w:szCs w:val="28"/>
          <w:lang w:val="uk-UA"/>
        </w:rPr>
        <w:t xml:space="preserve">. Враховуючи, що може знадобитися декілька тижнів для отримання результату ТМЧ за методом </w:t>
      </w:r>
      <w:proofErr w:type="spellStart"/>
      <w:r w:rsidRPr="00ED35A9">
        <w:rPr>
          <w:szCs w:val="28"/>
          <w:lang w:val="uk-UA"/>
        </w:rPr>
        <w:t>фенотипування</w:t>
      </w:r>
      <w:proofErr w:type="spellEnd"/>
      <w:r w:rsidRPr="00ED35A9">
        <w:rPr>
          <w:szCs w:val="28"/>
          <w:lang w:val="uk-UA"/>
        </w:rPr>
        <w:t xml:space="preserve"> (якщо він доступний), отримання результатів цього тесту безпосередньо перед початком лікування не вважається необхідною умовою для початку лікування. Можна розпочинати лікування за короткостроковою схемою до отримання результатів ТМЧ щодо </w:t>
      </w:r>
      <w:proofErr w:type="spellStart"/>
      <w:r w:rsidRPr="00ED35A9">
        <w:rPr>
          <w:szCs w:val="28"/>
          <w:lang w:val="uk-UA"/>
        </w:rPr>
        <w:t>піразинаміду</w:t>
      </w:r>
      <w:proofErr w:type="spellEnd"/>
      <w:r w:rsidRPr="00ED35A9">
        <w:rPr>
          <w:szCs w:val="28"/>
          <w:lang w:val="uk-UA"/>
        </w:rPr>
        <w:t>. Якщо результати тесту свідчать про резистентність до препаратів короткострокової схеми лікування МРТБ, клініцист має прийняти рішення щодо переходу на довгострокову схему лікування МРТБ, враховуючи відповідь пацієнта на лікування, а також інші аспекти.</w:t>
      </w:r>
    </w:p>
    <w:p w:rsidR="00877D83" w:rsidRPr="00ED35A9" w:rsidRDefault="00877D83" w:rsidP="00877D83">
      <w:pPr>
        <w:spacing w:after="160" w:line="259" w:lineRule="auto"/>
        <w:ind w:firstLine="0"/>
        <w:jc w:val="left"/>
        <w:rPr>
          <w:b/>
          <w:szCs w:val="28"/>
          <w:lang w:val="uk-UA"/>
        </w:rPr>
      </w:pPr>
      <w:r w:rsidRPr="00ED35A9">
        <w:rPr>
          <w:b/>
          <w:szCs w:val="28"/>
          <w:lang w:val="uk-UA"/>
        </w:rPr>
        <w:br w:type="page"/>
      </w:r>
    </w:p>
    <w:p w:rsidR="00877D83" w:rsidRPr="00ED35A9" w:rsidRDefault="00877D83" w:rsidP="00877D83">
      <w:pPr>
        <w:pStyle w:val="2"/>
        <w:rPr>
          <w:lang w:val="uk-UA"/>
        </w:rPr>
      </w:pPr>
      <w:bookmarkStart w:id="46" w:name="_Toc18416323"/>
      <w:bookmarkStart w:id="47" w:name="bookmark48"/>
      <w:bookmarkStart w:id="48" w:name="_Toc417570602"/>
      <w:bookmarkStart w:id="49" w:name="bookmark53"/>
      <w:bookmarkStart w:id="50" w:name="_Toc417570607"/>
      <w:bookmarkEnd w:id="40"/>
      <w:bookmarkEnd w:id="41"/>
      <w:r w:rsidRPr="00ED35A9">
        <w:rPr>
          <w:lang w:val="uk-UA"/>
        </w:rPr>
        <w:lastRenderedPageBreak/>
        <w:t xml:space="preserve">Розділ 5. Моніторинг реакції пацієнта на лікування </w:t>
      </w:r>
      <w:proofErr w:type="spellStart"/>
      <w:r w:rsidRPr="00ED35A9">
        <w:rPr>
          <w:lang w:val="uk-UA"/>
        </w:rPr>
        <w:t>мультирезистентного</w:t>
      </w:r>
      <w:proofErr w:type="spellEnd"/>
      <w:r w:rsidRPr="00ED35A9">
        <w:rPr>
          <w:lang w:val="uk-UA"/>
        </w:rPr>
        <w:t xml:space="preserve"> туберкульозу із застосуванням </w:t>
      </w:r>
      <w:proofErr w:type="spellStart"/>
      <w:r w:rsidRPr="00ED35A9">
        <w:rPr>
          <w:lang w:val="uk-UA"/>
        </w:rPr>
        <w:t>культурального</w:t>
      </w:r>
      <w:proofErr w:type="spellEnd"/>
      <w:r w:rsidRPr="00ED35A9">
        <w:rPr>
          <w:lang w:val="uk-UA"/>
        </w:rPr>
        <w:t xml:space="preserve"> дослідження</w:t>
      </w:r>
      <w:bookmarkEnd w:id="46"/>
    </w:p>
    <w:tbl>
      <w:tblPr>
        <w:tblStyle w:val="a8"/>
        <w:tblW w:w="0" w:type="auto"/>
        <w:tblInd w:w="108" w:type="dxa"/>
        <w:shd w:val="clear" w:color="auto" w:fill="DEEAF6" w:themeFill="accent1" w:themeFillTint="33"/>
        <w:tblLook w:val="04A0" w:firstRow="1" w:lastRow="0" w:firstColumn="1" w:lastColumn="0" w:noHBand="0" w:noVBand="1"/>
      </w:tblPr>
      <w:tblGrid>
        <w:gridCol w:w="9356"/>
      </w:tblGrid>
      <w:tr w:rsidR="00877D83" w:rsidRPr="00ED35A9" w:rsidTr="00877D83">
        <w:tc>
          <w:tcPr>
            <w:tcW w:w="9356" w:type="dxa"/>
            <w:shd w:val="clear" w:color="auto" w:fill="DEEAF6" w:themeFill="accent1" w:themeFillTint="33"/>
          </w:tcPr>
          <w:p w:rsidR="00877D83" w:rsidRPr="00ED35A9" w:rsidRDefault="00877D83" w:rsidP="00877D83">
            <w:pPr>
              <w:spacing w:before="120" w:after="120"/>
              <w:ind w:firstLine="0"/>
              <w:jc w:val="center"/>
              <w:rPr>
                <w:b/>
                <w:szCs w:val="28"/>
                <w:lang w:val="uk-UA"/>
              </w:rPr>
            </w:pPr>
            <w:r w:rsidRPr="00ED35A9">
              <w:rPr>
                <w:b/>
                <w:szCs w:val="28"/>
                <w:lang w:val="uk-UA"/>
              </w:rPr>
              <w:t>Рекомендації</w:t>
            </w:r>
          </w:p>
          <w:p w:rsidR="00877D83" w:rsidRPr="00ED35A9" w:rsidRDefault="00877D83" w:rsidP="00877D83">
            <w:pPr>
              <w:spacing w:after="120"/>
              <w:ind w:firstLine="0"/>
              <w:rPr>
                <w:szCs w:val="28"/>
                <w:lang w:val="uk-UA"/>
              </w:rPr>
            </w:pPr>
            <w:r w:rsidRPr="00ED35A9">
              <w:rPr>
                <w:szCs w:val="28"/>
                <w:lang w:val="uk-UA"/>
              </w:rPr>
              <w:t xml:space="preserve">5.1. У пацієнтів з МР/Риф-ТБ на довгострокових схемах для моніторингу реакції на лікування рекомендовано проведення </w:t>
            </w:r>
            <w:proofErr w:type="spellStart"/>
            <w:r w:rsidRPr="00ED35A9">
              <w:rPr>
                <w:szCs w:val="28"/>
                <w:lang w:val="uk-UA"/>
              </w:rPr>
              <w:t>культурального</w:t>
            </w:r>
            <w:proofErr w:type="spellEnd"/>
            <w:r w:rsidRPr="00ED35A9">
              <w:rPr>
                <w:szCs w:val="28"/>
                <w:lang w:val="uk-UA"/>
              </w:rPr>
              <w:t xml:space="preserve"> дослідження мокротиння на додачу до мікроскопії мокротиння (наполеглива рекомендація, середня якість доказових даних). Бажано повторювати </w:t>
            </w:r>
            <w:proofErr w:type="spellStart"/>
            <w:r w:rsidRPr="00ED35A9">
              <w:rPr>
                <w:szCs w:val="28"/>
                <w:lang w:val="uk-UA"/>
              </w:rPr>
              <w:t>культуральне</w:t>
            </w:r>
            <w:proofErr w:type="spellEnd"/>
            <w:r w:rsidRPr="00ED35A9">
              <w:rPr>
                <w:szCs w:val="28"/>
                <w:lang w:val="uk-UA"/>
              </w:rPr>
              <w:t xml:space="preserve"> дослідження мокротиння щомісяця.</w:t>
            </w:r>
          </w:p>
        </w:tc>
      </w:tr>
    </w:tbl>
    <w:bookmarkEnd w:id="47"/>
    <w:bookmarkEnd w:id="48"/>
    <w:p w:rsidR="00877D83" w:rsidRPr="00ED35A9" w:rsidRDefault="00877D83" w:rsidP="00877D83">
      <w:pPr>
        <w:spacing w:before="120"/>
        <w:rPr>
          <w:b/>
          <w:szCs w:val="28"/>
          <w:lang w:val="uk-UA"/>
        </w:rPr>
      </w:pPr>
      <w:r w:rsidRPr="00ED35A9">
        <w:rPr>
          <w:b/>
          <w:szCs w:val="28"/>
          <w:lang w:val="uk-UA"/>
        </w:rPr>
        <w:t>Обґрунтування та доказові дані</w:t>
      </w:r>
    </w:p>
    <w:p w:rsidR="00877D83" w:rsidRPr="00ED35A9" w:rsidRDefault="00877D83" w:rsidP="00877D83">
      <w:pPr>
        <w:spacing w:after="120"/>
        <w:rPr>
          <w:szCs w:val="28"/>
          <w:lang w:val="uk-UA"/>
        </w:rPr>
      </w:pPr>
      <w:r w:rsidRPr="00ED35A9">
        <w:rPr>
          <w:szCs w:val="28"/>
          <w:lang w:val="uk-UA"/>
        </w:rPr>
        <w:t>Рекомендації цього розділу дають відповідь на наступне запитання PICO (</w:t>
      </w:r>
      <w:r w:rsidRPr="00ED35A9">
        <w:rPr>
          <w:i/>
          <w:szCs w:val="28"/>
          <w:lang w:val="uk-UA"/>
        </w:rPr>
        <w:t>див.</w:t>
      </w:r>
      <w:r w:rsidRPr="00ED35A9">
        <w:rPr>
          <w:szCs w:val="28"/>
          <w:lang w:val="uk-UA"/>
        </w:rPr>
        <w:t xml:space="preserve"> Додаток 1).</w:t>
      </w:r>
    </w:p>
    <w:tbl>
      <w:tblPr>
        <w:tblStyle w:val="a8"/>
        <w:tblW w:w="0" w:type="auto"/>
        <w:tblInd w:w="108" w:type="dxa"/>
        <w:tblLook w:val="04A0" w:firstRow="1" w:lastRow="0" w:firstColumn="1" w:lastColumn="0" w:noHBand="0" w:noVBand="1"/>
      </w:tblPr>
      <w:tblGrid>
        <w:gridCol w:w="9356"/>
      </w:tblGrid>
      <w:tr w:rsidR="00877D83" w:rsidRPr="00850C2F" w:rsidTr="00877D83">
        <w:tc>
          <w:tcPr>
            <w:tcW w:w="9356" w:type="dxa"/>
          </w:tcPr>
          <w:p w:rsidR="00877D83" w:rsidRPr="00ED35A9" w:rsidRDefault="00877D83" w:rsidP="00877D83">
            <w:pPr>
              <w:spacing w:before="120"/>
              <w:ind w:firstLine="0"/>
              <w:rPr>
                <w:b/>
                <w:i/>
                <w:szCs w:val="28"/>
                <w:lang w:val="uk-UA"/>
              </w:rPr>
            </w:pPr>
            <w:r w:rsidRPr="00ED35A9">
              <w:rPr>
                <w:b/>
                <w:i/>
                <w:szCs w:val="28"/>
                <w:lang w:val="uk-UA"/>
              </w:rPr>
              <w:t>Запита</w:t>
            </w:r>
            <w:r w:rsidR="006D00C8" w:rsidRPr="00ED35A9">
              <w:rPr>
                <w:b/>
                <w:i/>
                <w:szCs w:val="28"/>
                <w:lang w:val="uk-UA"/>
              </w:rPr>
              <w:t>ння PICO 7 (МР/Риф-ТБ, 2018 р.)</w:t>
            </w:r>
          </w:p>
          <w:p w:rsidR="00877D83" w:rsidRPr="00ED35A9" w:rsidRDefault="00877D83" w:rsidP="004E40CA">
            <w:pPr>
              <w:spacing w:after="120"/>
              <w:ind w:firstLine="0"/>
              <w:rPr>
                <w:szCs w:val="28"/>
                <w:lang w:val="uk-UA"/>
              </w:rPr>
            </w:pPr>
            <w:r w:rsidRPr="00ED35A9">
              <w:rPr>
                <w:szCs w:val="28"/>
                <w:lang w:val="uk-UA"/>
              </w:rPr>
              <w:t>Чи підвищить рівень виявлення відсутності відповіді на лікування у пацієнтів з МР/Риф-ТБ, які проходили курс лікування із застосуванням довгострокових або короткострокових схем, складених відповідно до настанов ВООЗ</w:t>
            </w:r>
            <w:r w:rsidR="004E40CA" w:rsidRPr="00ED35A9">
              <w:rPr>
                <w:szCs w:val="28"/>
                <w:lang w:val="uk-UA"/>
              </w:rPr>
              <w:t xml:space="preserve">, проведення моніторингу з використанням </w:t>
            </w:r>
            <w:proofErr w:type="spellStart"/>
            <w:r w:rsidR="004E40CA" w:rsidRPr="00ED35A9">
              <w:rPr>
                <w:szCs w:val="28"/>
                <w:lang w:val="uk-UA"/>
              </w:rPr>
              <w:t>культурального</w:t>
            </w:r>
            <w:proofErr w:type="spellEnd"/>
            <w:r w:rsidR="004E40CA" w:rsidRPr="00ED35A9">
              <w:rPr>
                <w:szCs w:val="28"/>
                <w:lang w:val="uk-UA"/>
              </w:rPr>
              <w:t xml:space="preserve"> дослідження щомісяця, на додачу до мікроскопії мокротиння</w:t>
            </w:r>
            <w:r w:rsidRPr="00ED35A9">
              <w:rPr>
                <w:szCs w:val="28"/>
                <w:lang w:val="uk-UA"/>
              </w:rPr>
              <w:t>?</w:t>
            </w:r>
          </w:p>
        </w:tc>
      </w:tr>
    </w:tbl>
    <w:p w:rsidR="00877D83" w:rsidRPr="00ED35A9" w:rsidRDefault="00877D83" w:rsidP="007D6764">
      <w:pPr>
        <w:spacing w:before="120" w:line="252" w:lineRule="auto"/>
        <w:rPr>
          <w:szCs w:val="28"/>
          <w:lang w:val="uk-UA"/>
        </w:rPr>
      </w:pPr>
      <w:r w:rsidRPr="00ED35A9">
        <w:rPr>
          <w:szCs w:val="28"/>
          <w:lang w:val="uk-UA"/>
        </w:rPr>
        <w:t xml:space="preserve">За даними попередніх досліджень, проведення </w:t>
      </w:r>
      <w:proofErr w:type="spellStart"/>
      <w:r w:rsidRPr="00ED35A9">
        <w:rPr>
          <w:szCs w:val="28"/>
          <w:lang w:val="uk-UA"/>
        </w:rPr>
        <w:t>культурального</w:t>
      </w:r>
      <w:proofErr w:type="spellEnd"/>
      <w:r w:rsidRPr="00ED35A9">
        <w:rPr>
          <w:szCs w:val="28"/>
          <w:lang w:val="uk-UA"/>
        </w:rPr>
        <w:t xml:space="preserve"> дослідження щомісяця є оптимальною стратегією для найбільш раннього виявлення відсутності відповіді на лікування, що й було умовно рекомендовано ВООЗ у 2011 р. як пріоритетний підхід </w:t>
      </w:r>
      <w:r w:rsidRPr="00ED35A9">
        <w:rPr>
          <w:i/>
          <w:szCs w:val="28"/>
          <w:lang w:val="uk-UA"/>
        </w:rPr>
        <w:t>(2, 68, 69)</w:t>
      </w:r>
      <w:r w:rsidRPr="00ED35A9">
        <w:rPr>
          <w:szCs w:val="28"/>
          <w:lang w:val="uk-UA"/>
        </w:rPr>
        <w:t xml:space="preserve">. Очікується, що результати </w:t>
      </w:r>
      <w:r w:rsidR="007234EB" w:rsidRPr="00ED35A9">
        <w:rPr>
          <w:szCs w:val="28"/>
          <w:lang w:val="uk-UA"/>
        </w:rPr>
        <w:t>аналізу</w:t>
      </w:r>
      <w:r w:rsidRPr="00ED35A9">
        <w:rPr>
          <w:szCs w:val="28"/>
          <w:lang w:val="uk-UA"/>
        </w:rPr>
        <w:t xml:space="preserve"> доказових даних </w:t>
      </w:r>
      <w:r w:rsidR="007234EB" w:rsidRPr="00ED35A9">
        <w:rPr>
          <w:szCs w:val="28"/>
          <w:lang w:val="uk-UA"/>
        </w:rPr>
        <w:t xml:space="preserve">щодо цього питання </w:t>
      </w:r>
      <w:r w:rsidRPr="00ED35A9">
        <w:rPr>
          <w:szCs w:val="28"/>
          <w:lang w:val="uk-UA"/>
        </w:rPr>
        <w:t xml:space="preserve">вплинуть на </w:t>
      </w:r>
      <w:r w:rsidR="00CD5FFC" w:rsidRPr="00ED35A9">
        <w:rPr>
          <w:szCs w:val="28"/>
          <w:lang w:val="uk-UA"/>
        </w:rPr>
        <w:t xml:space="preserve">нинішню редакцію </w:t>
      </w:r>
      <w:r w:rsidRPr="00ED35A9">
        <w:rPr>
          <w:szCs w:val="28"/>
          <w:lang w:val="uk-UA"/>
        </w:rPr>
        <w:t xml:space="preserve">рекомендацій ВООЗ </w:t>
      </w:r>
      <w:r w:rsidR="00CD5FFC" w:rsidRPr="00ED35A9">
        <w:rPr>
          <w:szCs w:val="28"/>
          <w:lang w:val="uk-UA"/>
        </w:rPr>
        <w:t xml:space="preserve">від </w:t>
      </w:r>
      <w:r w:rsidRPr="00ED35A9">
        <w:rPr>
          <w:szCs w:val="28"/>
          <w:lang w:val="uk-UA"/>
        </w:rPr>
        <w:t xml:space="preserve">2011 р. </w:t>
      </w:r>
      <w:r w:rsidRPr="00ED35A9">
        <w:rPr>
          <w:i/>
          <w:szCs w:val="28"/>
          <w:lang w:val="uk-UA"/>
        </w:rPr>
        <w:t>(2)</w:t>
      </w:r>
      <w:r w:rsidRPr="00ED35A9">
        <w:rPr>
          <w:szCs w:val="28"/>
          <w:lang w:val="uk-UA"/>
        </w:rPr>
        <w:t xml:space="preserve">. З того часу відбулися певні зміни у методах лікування МРТБ, наприклад, було впроваджено більш широке застосування </w:t>
      </w:r>
      <w:proofErr w:type="spellStart"/>
      <w:r w:rsidRPr="00ED35A9">
        <w:rPr>
          <w:szCs w:val="28"/>
          <w:lang w:val="uk-UA"/>
        </w:rPr>
        <w:t>фторхінолонів</w:t>
      </w:r>
      <w:proofErr w:type="spellEnd"/>
      <w:r w:rsidRPr="00ED35A9">
        <w:rPr>
          <w:szCs w:val="28"/>
          <w:lang w:val="uk-UA"/>
        </w:rPr>
        <w:t xml:space="preserve"> останнього покоління, </w:t>
      </w:r>
      <w:proofErr w:type="spellStart"/>
      <w:r w:rsidRPr="00ED35A9">
        <w:rPr>
          <w:szCs w:val="28"/>
          <w:lang w:val="uk-UA"/>
        </w:rPr>
        <w:t>бедаквіліну</w:t>
      </w:r>
      <w:proofErr w:type="spellEnd"/>
      <w:r w:rsidRPr="00ED35A9">
        <w:rPr>
          <w:szCs w:val="28"/>
          <w:lang w:val="uk-UA"/>
        </w:rPr>
        <w:t xml:space="preserve"> та </w:t>
      </w:r>
      <w:proofErr w:type="spellStart"/>
      <w:r w:rsidRPr="00ED35A9">
        <w:rPr>
          <w:szCs w:val="28"/>
          <w:lang w:val="uk-UA"/>
        </w:rPr>
        <w:t>лінезоліду</w:t>
      </w:r>
      <w:proofErr w:type="spellEnd"/>
      <w:r w:rsidRPr="00ED35A9">
        <w:rPr>
          <w:szCs w:val="28"/>
          <w:lang w:val="uk-UA"/>
        </w:rPr>
        <w:t xml:space="preserve">, відзначено тенденцію до більшої тривалості інтенсивної фази та впроваджено використання короткострокової схеми, що може вплинути на швидкість і надійність </w:t>
      </w:r>
      <w:proofErr w:type="spellStart"/>
      <w:r w:rsidRPr="00ED35A9">
        <w:rPr>
          <w:szCs w:val="28"/>
          <w:lang w:val="uk-UA"/>
        </w:rPr>
        <w:t>культуральної</w:t>
      </w:r>
      <w:proofErr w:type="spellEnd"/>
      <w:r w:rsidRPr="00ED35A9">
        <w:rPr>
          <w:szCs w:val="28"/>
          <w:lang w:val="uk-UA"/>
        </w:rPr>
        <w:t xml:space="preserve"> конверсії на фазі продовження, коли це запитання PICO стає найбільш актуальним.</w:t>
      </w:r>
    </w:p>
    <w:p w:rsidR="00877D83" w:rsidRPr="00ED35A9" w:rsidRDefault="00877D83" w:rsidP="007D6764">
      <w:pPr>
        <w:spacing w:line="252" w:lineRule="auto"/>
        <w:rPr>
          <w:szCs w:val="28"/>
          <w:lang w:val="uk-UA"/>
        </w:rPr>
      </w:pPr>
      <w:r w:rsidRPr="00ED35A9">
        <w:rPr>
          <w:szCs w:val="28"/>
          <w:lang w:val="uk-UA"/>
        </w:rPr>
        <w:t xml:space="preserve">Досягнення тривалої бактеріологічної конверсії з динамікою від позитивної до негативної широко використовується для оцінювання реакції на лікування як для медикаментозно-чутливого, так і для ЛС-ТБ. </w:t>
      </w:r>
      <w:proofErr w:type="spellStart"/>
      <w:r w:rsidRPr="00ED35A9">
        <w:rPr>
          <w:szCs w:val="28"/>
          <w:lang w:val="uk-UA"/>
        </w:rPr>
        <w:t>Культуральне</w:t>
      </w:r>
      <w:proofErr w:type="spellEnd"/>
      <w:r w:rsidRPr="00ED35A9">
        <w:rPr>
          <w:szCs w:val="28"/>
          <w:lang w:val="uk-UA"/>
        </w:rPr>
        <w:t xml:space="preserve"> дослідження є більш чутливим тестом для бактеріологічного підтвердження ТБ, ніж пряма мікроскопія мокротиння та інші дослідження біологічних зразків. </w:t>
      </w:r>
      <w:proofErr w:type="spellStart"/>
      <w:r w:rsidRPr="00ED35A9">
        <w:rPr>
          <w:szCs w:val="28"/>
          <w:lang w:val="uk-UA"/>
        </w:rPr>
        <w:t>Культуральне</w:t>
      </w:r>
      <w:proofErr w:type="spellEnd"/>
      <w:r w:rsidRPr="00ED35A9">
        <w:rPr>
          <w:szCs w:val="28"/>
          <w:lang w:val="uk-UA"/>
        </w:rPr>
        <w:t xml:space="preserve"> дослідження також допомагає при проведенні ТМЧ за методом </w:t>
      </w:r>
      <w:proofErr w:type="spellStart"/>
      <w:r w:rsidRPr="00ED35A9">
        <w:rPr>
          <w:szCs w:val="28"/>
          <w:lang w:val="uk-UA"/>
        </w:rPr>
        <w:t>фенотипування</w:t>
      </w:r>
      <w:proofErr w:type="spellEnd"/>
      <w:r w:rsidRPr="00ED35A9">
        <w:rPr>
          <w:szCs w:val="28"/>
          <w:lang w:val="uk-UA"/>
        </w:rPr>
        <w:t xml:space="preserve">, що є критично важливим під час діагностики ТБ. Проте виконання </w:t>
      </w:r>
      <w:proofErr w:type="spellStart"/>
      <w:r w:rsidRPr="00ED35A9">
        <w:rPr>
          <w:szCs w:val="28"/>
          <w:lang w:val="uk-UA"/>
        </w:rPr>
        <w:t>культуральних</w:t>
      </w:r>
      <w:proofErr w:type="spellEnd"/>
      <w:r w:rsidRPr="00ED35A9">
        <w:rPr>
          <w:szCs w:val="28"/>
          <w:lang w:val="uk-UA"/>
        </w:rPr>
        <w:t xml:space="preserve"> досліджень потребує значної логістики та оснащених належним чином лабораторій для обмеження ризику виникнення крос-контамінації, забезпечення належного </w:t>
      </w:r>
      <w:r w:rsidR="00CD5FFC" w:rsidRPr="00ED35A9">
        <w:rPr>
          <w:szCs w:val="28"/>
          <w:lang w:val="uk-UA"/>
        </w:rPr>
        <w:t xml:space="preserve">росту </w:t>
      </w:r>
      <w:r w:rsidRPr="00ED35A9">
        <w:rPr>
          <w:szCs w:val="28"/>
          <w:lang w:val="uk-UA"/>
        </w:rPr>
        <w:lastRenderedPageBreak/>
        <w:t>бактері</w:t>
      </w:r>
      <w:r w:rsidR="00CD5FFC" w:rsidRPr="00ED35A9">
        <w:rPr>
          <w:szCs w:val="28"/>
          <w:lang w:val="uk-UA"/>
        </w:rPr>
        <w:t xml:space="preserve">й </w:t>
      </w:r>
      <w:r w:rsidRPr="00ED35A9">
        <w:rPr>
          <w:szCs w:val="28"/>
          <w:lang w:val="uk-UA"/>
        </w:rPr>
        <w:t xml:space="preserve">та відповідності іншим стандартам якості. Крім вимог щодо ресурсів, проведення </w:t>
      </w:r>
      <w:proofErr w:type="spellStart"/>
      <w:r w:rsidRPr="00ED35A9">
        <w:rPr>
          <w:szCs w:val="28"/>
          <w:lang w:val="uk-UA"/>
        </w:rPr>
        <w:t>культурального</w:t>
      </w:r>
      <w:proofErr w:type="spellEnd"/>
      <w:r w:rsidRPr="00ED35A9">
        <w:rPr>
          <w:szCs w:val="28"/>
          <w:lang w:val="uk-UA"/>
        </w:rPr>
        <w:t xml:space="preserve"> дослідження потребує певного часу – очікування результатів може тривати тижні або місяці, що істотно контрастує з відносно швидким отриманням результатів прямої мікроскопії (проте мікроскопія не може підтвердити </w:t>
      </w:r>
      <w:proofErr w:type="spellStart"/>
      <w:r w:rsidRPr="00ED35A9">
        <w:rPr>
          <w:szCs w:val="28"/>
          <w:lang w:val="uk-UA"/>
        </w:rPr>
        <w:t>мікобактеріальну</w:t>
      </w:r>
      <w:proofErr w:type="spellEnd"/>
      <w:r w:rsidRPr="00ED35A9">
        <w:rPr>
          <w:szCs w:val="28"/>
          <w:lang w:val="uk-UA"/>
        </w:rPr>
        <w:t xml:space="preserve"> життєздатність). Хоча за допомогою молекулярних технік зараз можна провести швидке та надійне діагностування, вони не можуть замінити </w:t>
      </w:r>
      <w:proofErr w:type="spellStart"/>
      <w:r w:rsidRPr="00ED35A9">
        <w:rPr>
          <w:szCs w:val="28"/>
          <w:lang w:val="uk-UA"/>
        </w:rPr>
        <w:t>культуральне</w:t>
      </w:r>
      <w:proofErr w:type="spellEnd"/>
      <w:r w:rsidRPr="00ED35A9">
        <w:rPr>
          <w:szCs w:val="28"/>
          <w:lang w:val="uk-UA"/>
        </w:rPr>
        <w:t xml:space="preserve"> дослідження або мікроскопію при проведенні моніторингу бактеріологічного статусу протягом лікування.</w:t>
      </w:r>
    </w:p>
    <w:p w:rsidR="00877D83" w:rsidRPr="00ED35A9" w:rsidRDefault="00877D83" w:rsidP="007D6764">
      <w:pPr>
        <w:spacing w:line="252" w:lineRule="auto"/>
        <w:rPr>
          <w:szCs w:val="28"/>
          <w:lang w:val="uk-UA"/>
        </w:rPr>
      </w:pPr>
      <w:r w:rsidRPr="00ED35A9">
        <w:rPr>
          <w:szCs w:val="28"/>
          <w:lang w:val="uk-UA"/>
        </w:rPr>
        <w:t xml:space="preserve">Доказові дані, використані для дослідження додаткової цінності </w:t>
      </w:r>
      <w:proofErr w:type="spellStart"/>
      <w:r w:rsidRPr="00ED35A9">
        <w:rPr>
          <w:szCs w:val="28"/>
          <w:lang w:val="uk-UA"/>
        </w:rPr>
        <w:t>культуральних</w:t>
      </w:r>
      <w:proofErr w:type="spellEnd"/>
      <w:r w:rsidRPr="00ED35A9">
        <w:rPr>
          <w:szCs w:val="28"/>
          <w:lang w:val="uk-UA"/>
        </w:rPr>
        <w:t xml:space="preserve"> досліджень порівняно із застосуванням лише мікроскопії мокротиння, а також визначення оптимальної частоти моніторингу, було отримано з додаткової вибірки ІДП з Південної Африки, наданих ВООЗ для оновлення 2018 р. Загалом до цієї вибірки було включено дані 26 522 пацієнтів. З них 22 760 записів було виключено з наступних причин: 11 236 – смертельні наслідки або втрата з-під нагляду; 698 – успішний результат, але тривалість лікування становила менше 17,5 місяця; 1357 – наявність у записах менше шести посівів; 1632 – відсутність записів про вихідні </w:t>
      </w:r>
      <w:proofErr w:type="spellStart"/>
      <w:r w:rsidRPr="00ED35A9">
        <w:rPr>
          <w:szCs w:val="28"/>
          <w:lang w:val="uk-UA"/>
        </w:rPr>
        <w:t>культуральні</w:t>
      </w:r>
      <w:proofErr w:type="spellEnd"/>
      <w:r w:rsidRPr="00ED35A9">
        <w:rPr>
          <w:szCs w:val="28"/>
          <w:lang w:val="uk-UA"/>
        </w:rPr>
        <w:t xml:space="preserve"> дослідження; 2502 – наявність негативних результатів базових </w:t>
      </w:r>
      <w:proofErr w:type="spellStart"/>
      <w:r w:rsidRPr="00ED35A9">
        <w:rPr>
          <w:szCs w:val="28"/>
          <w:lang w:val="uk-UA"/>
        </w:rPr>
        <w:t>культуральних</w:t>
      </w:r>
      <w:proofErr w:type="spellEnd"/>
      <w:r w:rsidRPr="00ED35A9">
        <w:rPr>
          <w:szCs w:val="28"/>
          <w:lang w:val="uk-UA"/>
        </w:rPr>
        <w:t xml:space="preserve"> досліджень; 2920 – негативний результат вихідної мікроскопії мокротиння або відсутність записів про вихідну мікроскопію; 2415 – недостатня кількість даних мікроскопії для порівняння з даними </w:t>
      </w:r>
      <w:proofErr w:type="spellStart"/>
      <w:r w:rsidRPr="00ED35A9">
        <w:rPr>
          <w:szCs w:val="28"/>
          <w:lang w:val="uk-UA"/>
        </w:rPr>
        <w:t>культурального</w:t>
      </w:r>
      <w:proofErr w:type="spellEnd"/>
      <w:r w:rsidRPr="00ED35A9">
        <w:rPr>
          <w:szCs w:val="28"/>
          <w:lang w:val="uk-UA"/>
        </w:rPr>
        <w:t xml:space="preserve"> дослідження. Отже, для відповіді на запитання PICO 7 (МР/Риф-ТБ, 2018 р.) залишилися ІДП 3762 пацієнтів з МР/Риф-ТБ (з них 1,8% були дітьми віком &lt;15 років), що отримували лікування МРТБ між 2010 та 2015 рр. із застосуванням довгострокових схем та мали результати мікроскопічних </w:t>
      </w:r>
      <w:r w:rsidR="00EB4080" w:rsidRPr="00ED35A9">
        <w:rPr>
          <w:szCs w:val="28"/>
          <w:lang w:val="uk-UA"/>
        </w:rPr>
        <w:t>і</w:t>
      </w:r>
      <w:r w:rsidRPr="00ED35A9">
        <w:rPr>
          <w:szCs w:val="28"/>
          <w:lang w:val="uk-UA"/>
        </w:rPr>
        <w:t xml:space="preserve"> </w:t>
      </w:r>
      <w:proofErr w:type="spellStart"/>
      <w:r w:rsidRPr="00ED35A9">
        <w:rPr>
          <w:szCs w:val="28"/>
          <w:lang w:val="uk-UA"/>
        </w:rPr>
        <w:t>культуральних</w:t>
      </w:r>
      <w:proofErr w:type="spellEnd"/>
      <w:r w:rsidRPr="00ED35A9">
        <w:rPr>
          <w:szCs w:val="28"/>
          <w:lang w:val="uk-UA"/>
        </w:rPr>
        <w:t xml:space="preserve"> досліджень, які проводили щомісяця протягом лікування. Приблизно 60% з цих пацієнтів мали ВІЛ-позитивний статус. Аналіз зосереджувався на визначенні, чи </w:t>
      </w:r>
      <w:r w:rsidR="00EB4080" w:rsidRPr="00ED35A9">
        <w:rPr>
          <w:szCs w:val="28"/>
          <w:lang w:val="uk-UA"/>
        </w:rPr>
        <w:t xml:space="preserve">є </w:t>
      </w:r>
      <w:r w:rsidRPr="00ED35A9">
        <w:rPr>
          <w:szCs w:val="28"/>
          <w:lang w:val="uk-UA"/>
        </w:rPr>
        <w:t xml:space="preserve">необхідним проведення </w:t>
      </w:r>
      <w:proofErr w:type="spellStart"/>
      <w:r w:rsidRPr="00ED35A9">
        <w:rPr>
          <w:szCs w:val="28"/>
          <w:lang w:val="uk-UA"/>
        </w:rPr>
        <w:t>культурального</w:t>
      </w:r>
      <w:proofErr w:type="spellEnd"/>
      <w:r w:rsidRPr="00ED35A9">
        <w:rPr>
          <w:szCs w:val="28"/>
          <w:lang w:val="uk-UA"/>
        </w:rPr>
        <w:t xml:space="preserve"> дослідження щомісяця порівняно з мікроскопією мокротиння щомісяця або </w:t>
      </w:r>
      <w:proofErr w:type="spellStart"/>
      <w:r w:rsidRPr="00ED35A9">
        <w:rPr>
          <w:szCs w:val="28"/>
          <w:lang w:val="uk-UA"/>
        </w:rPr>
        <w:t>культуральним</w:t>
      </w:r>
      <w:proofErr w:type="spellEnd"/>
      <w:r w:rsidRPr="00ED35A9">
        <w:rPr>
          <w:szCs w:val="28"/>
          <w:lang w:val="uk-UA"/>
        </w:rPr>
        <w:t xml:space="preserve"> дослідженням </w:t>
      </w:r>
      <w:proofErr w:type="spellStart"/>
      <w:r w:rsidRPr="00ED35A9">
        <w:rPr>
          <w:szCs w:val="28"/>
          <w:lang w:val="uk-UA"/>
        </w:rPr>
        <w:t>щодвамісяці</w:t>
      </w:r>
      <w:proofErr w:type="spellEnd"/>
      <w:r w:rsidRPr="00ED35A9">
        <w:rPr>
          <w:szCs w:val="28"/>
          <w:lang w:val="uk-UA"/>
        </w:rPr>
        <w:t>, щоб не пропустити невдачу лікування у пацієнтів з МР/Риф-ТБ. Також було обговорено ризики невдачі лікування у пацієнтів, що не мають конверсії мокротиння через 6 міс лікування або пізніше (</w:t>
      </w:r>
      <w:r w:rsidRPr="00ED35A9">
        <w:rPr>
          <w:i/>
          <w:szCs w:val="28"/>
          <w:lang w:val="uk-UA"/>
        </w:rPr>
        <w:t>див.</w:t>
      </w:r>
      <w:r w:rsidRPr="00ED35A9">
        <w:rPr>
          <w:szCs w:val="28"/>
          <w:lang w:val="uk-UA"/>
        </w:rPr>
        <w:t xml:space="preserve"> також «Впровадження рекомендацій» у цьому розділі та таблицю 5.1). За цими даними неможливо визначити результат при набутті (посиленні) додаткової медикаментозної резистентності та оцінити, чи частота проведення </w:t>
      </w:r>
      <w:proofErr w:type="spellStart"/>
      <w:r w:rsidRPr="00ED35A9">
        <w:rPr>
          <w:szCs w:val="28"/>
          <w:lang w:val="uk-UA"/>
        </w:rPr>
        <w:t>культурального</w:t>
      </w:r>
      <w:proofErr w:type="spellEnd"/>
      <w:r w:rsidRPr="00ED35A9">
        <w:rPr>
          <w:szCs w:val="28"/>
          <w:lang w:val="uk-UA"/>
        </w:rPr>
        <w:t xml:space="preserve"> дослідження або мікроскопії мала ідентичний вплив на невдачу лікування МРТБ у пацієнтів на короткостроковій схемі протягом 9–12 міс, як передбачено </w:t>
      </w:r>
      <w:r w:rsidR="00CD5FFC" w:rsidRPr="00ED35A9">
        <w:rPr>
          <w:szCs w:val="28"/>
          <w:lang w:val="uk-UA"/>
        </w:rPr>
        <w:t xml:space="preserve">оригінальною </w:t>
      </w:r>
      <w:r w:rsidRPr="00ED35A9">
        <w:rPr>
          <w:szCs w:val="28"/>
          <w:lang w:val="uk-UA"/>
        </w:rPr>
        <w:t>версією запитання PICO</w:t>
      </w:r>
      <w:r w:rsidR="00480CDB" w:rsidRPr="00ED35A9">
        <w:rPr>
          <w:szCs w:val="28"/>
          <w:lang w:val="uk-UA"/>
        </w:rPr>
        <w:t> </w:t>
      </w:r>
      <w:r w:rsidRPr="00ED35A9">
        <w:rPr>
          <w:szCs w:val="28"/>
          <w:lang w:val="uk-UA"/>
        </w:rPr>
        <w:t>7 (МР/Риф-ТБ, 2018 р.).</w:t>
      </w:r>
    </w:p>
    <w:p w:rsidR="00877D83" w:rsidRPr="00ED35A9" w:rsidRDefault="00877D83" w:rsidP="007D6764">
      <w:pPr>
        <w:spacing w:line="252" w:lineRule="auto"/>
        <w:rPr>
          <w:szCs w:val="28"/>
          <w:lang w:val="uk-UA"/>
        </w:rPr>
      </w:pPr>
      <w:r w:rsidRPr="00ED35A9">
        <w:rPr>
          <w:szCs w:val="28"/>
          <w:lang w:val="uk-UA"/>
        </w:rPr>
        <w:t xml:space="preserve">При проведенні МА ІДП було порівняно: 1) ефективність цих двох методів, враховуючи чутливість/специфічність; 2) частоту проведення </w:t>
      </w:r>
      <w:proofErr w:type="spellStart"/>
      <w:r w:rsidRPr="00ED35A9">
        <w:rPr>
          <w:szCs w:val="28"/>
          <w:lang w:val="uk-UA"/>
        </w:rPr>
        <w:t>культурального</w:t>
      </w:r>
      <w:proofErr w:type="spellEnd"/>
      <w:r w:rsidRPr="00ED35A9">
        <w:rPr>
          <w:szCs w:val="28"/>
          <w:lang w:val="uk-UA"/>
        </w:rPr>
        <w:t xml:space="preserve"> дослідження щомісяця та </w:t>
      </w:r>
      <w:proofErr w:type="spellStart"/>
      <w:r w:rsidRPr="00ED35A9">
        <w:rPr>
          <w:szCs w:val="28"/>
          <w:lang w:val="uk-UA"/>
        </w:rPr>
        <w:t>щодвамісяці</w:t>
      </w:r>
      <w:proofErr w:type="spellEnd"/>
      <w:r w:rsidRPr="00ED35A9">
        <w:rPr>
          <w:szCs w:val="28"/>
          <w:lang w:val="uk-UA"/>
        </w:rPr>
        <w:t xml:space="preserve"> із визначенням </w:t>
      </w:r>
      <w:r w:rsidRPr="00ED35A9">
        <w:rPr>
          <w:szCs w:val="28"/>
          <w:lang w:val="uk-UA"/>
        </w:rPr>
        <w:lastRenderedPageBreak/>
        <w:t>мінімальної частоти тестування, необхідної для попередження необґрунтованих затримок при будь-якому перегляді лікування. Метою було порівняння двох видів тестування у контексті прогнозу невдачі лікування або виникнення рецидиву.</w:t>
      </w:r>
    </w:p>
    <w:p w:rsidR="00877D83" w:rsidRPr="00B57F35" w:rsidRDefault="00877D83" w:rsidP="007D6764">
      <w:pPr>
        <w:spacing w:line="252" w:lineRule="auto"/>
        <w:rPr>
          <w:spacing w:val="2"/>
          <w:szCs w:val="28"/>
          <w:lang w:val="uk-UA"/>
        </w:rPr>
      </w:pPr>
      <w:r w:rsidRPr="00B57F35">
        <w:rPr>
          <w:spacing w:val="2"/>
          <w:szCs w:val="28"/>
          <w:lang w:val="uk-UA"/>
        </w:rPr>
        <w:t xml:space="preserve">Було відзначено, що </w:t>
      </w:r>
      <w:proofErr w:type="spellStart"/>
      <w:r w:rsidRPr="00B57F35">
        <w:rPr>
          <w:spacing w:val="2"/>
          <w:szCs w:val="28"/>
          <w:lang w:val="uk-UA"/>
        </w:rPr>
        <w:t>культуральне</w:t>
      </w:r>
      <w:proofErr w:type="spellEnd"/>
      <w:r w:rsidRPr="00B57F35">
        <w:rPr>
          <w:spacing w:val="2"/>
          <w:szCs w:val="28"/>
          <w:lang w:val="uk-UA"/>
        </w:rPr>
        <w:t xml:space="preserve"> дослідження, яке проводили щомісяця, мало вищу чутливість, ніж мікроскопія мокротиння, яку теж проводили щомісяця (0,93 проти 0,51), проте дещо нижчу специфічність (0,97 проти 0,99). Так само, при порівнянні </w:t>
      </w:r>
      <w:proofErr w:type="spellStart"/>
      <w:r w:rsidRPr="00B57F35">
        <w:rPr>
          <w:spacing w:val="2"/>
          <w:szCs w:val="28"/>
          <w:lang w:val="uk-UA"/>
        </w:rPr>
        <w:t>культуральних</w:t>
      </w:r>
      <w:proofErr w:type="spellEnd"/>
      <w:r w:rsidRPr="00B57F35">
        <w:rPr>
          <w:spacing w:val="2"/>
          <w:szCs w:val="28"/>
          <w:lang w:val="uk-UA"/>
        </w:rPr>
        <w:t xml:space="preserve"> досліджень, що проводили щомісяця та </w:t>
      </w:r>
      <w:proofErr w:type="spellStart"/>
      <w:r w:rsidRPr="00B57F35">
        <w:rPr>
          <w:spacing w:val="2"/>
          <w:szCs w:val="28"/>
          <w:lang w:val="uk-UA"/>
        </w:rPr>
        <w:t>щодвамісяці</w:t>
      </w:r>
      <w:proofErr w:type="spellEnd"/>
      <w:r w:rsidRPr="00B57F35">
        <w:rPr>
          <w:spacing w:val="2"/>
          <w:szCs w:val="28"/>
          <w:lang w:val="uk-UA"/>
        </w:rPr>
        <w:t xml:space="preserve">, у першому випадку чутливість була набагато вищою (0,93 проти 0,73), проте специфічність – дещо нижчою (0,97 проти 0,98). При проведенні </w:t>
      </w:r>
      <w:proofErr w:type="spellStart"/>
      <w:r w:rsidRPr="00B57F35">
        <w:rPr>
          <w:spacing w:val="2"/>
          <w:szCs w:val="28"/>
          <w:lang w:val="uk-UA"/>
        </w:rPr>
        <w:t>культуральних</w:t>
      </w:r>
      <w:proofErr w:type="spellEnd"/>
      <w:r w:rsidRPr="00B57F35">
        <w:rPr>
          <w:spacing w:val="2"/>
          <w:szCs w:val="28"/>
          <w:lang w:val="uk-UA"/>
        </w:rPr>
        <w:t xml:space="preserve"> досліджень щомісяця підвищу</w:t>
      </w:r>
      <w:r w:rsidR="00EB4080" w:rsidRPr="00B57F35">
        <w:rPr>
          <w:spacing w:val="2"/>
          <w:szCs w:val="28"/>
          <w:lang w:val="uk-UA"/>
        </w:rPr>
        <w:t xml:space="preserve">валась </w:t>
      </w:r>
      <w:r w:rsidRPr="00B57F35">
        <w:rPr>
          <w:spacing w:val="2"/>
          <w:szCs w:val="28"/>
          <w:lang w:val="uk-UA"/>
        </w:rPr>
        <w:t>кількість виявлених пацієнтів з істинно</w:t>
      </w:r>
      <w:r w:rsidR="00EB4080" w:rsidRPr="00B57F35">
        <w:rPr>
          <w:spacing w:val="2"/>
          <w:szCs w:val="28"/>
          <w:lang w:val="uk-UA"/>
        </w:rPr>
        <w:t xml:space="preserve"> </w:t>
      </w:r>
      <w:r w:rsidRPr="00B57F35">
        <w:rPr>
          <w:spacing w:val="2"/>
          <w:szCs w:val="28"/>
          <w:lang w:val="uk-UA"/>
        </w:rPr>
        <w:t xml:space="preserve">позитивним бактеріологічним результатом на 13 осіб на кожну 1000 пацієнтів та скорочується кількість </w:t>
      </w:r>
      <w:proofErr w:type="spellStart"/>
      <w:r w:rsidRPr="00B57F35">
        <w:rPr>
          <w:spacing w:val="2"/>
          <w:szCs w:val="28"/>
          <w:lang w:val="uk-UA"/>
        </w:rPr>
        <w:t>хибнонегативних</w:t>
      </w:r>
      <w:proofErr w:type="spellEnd"/>
      <w:r w:rsidRPr="00B57F35">
        <w:rPr>
          <w:spacing w:val="2"/>
          <w:szCs w:val="28"/>
          <w:lang w:val="uk-UA"/>
        </w:rPr>
        <w:t xml:space="preserve"> результатів на 13 випадків на кожну 1000 пацієнтів при порівнянні з проведенням тільки мікроскопії мокротиння. Натомість, за прогностичними даними, проведення </w:t>
      </w:r>
      <w:proofErr w:type="spellStart"/>
      <w:r w:rsidRPr="00B57F35">
        <w:rPr>
          <w:spacing w:val="2"/>
          <w:szCs w:val="28"/>
          <w:lang w:val="uk-UA"/>
        </w:rPr>
        <w:t>культурального</w:t>
      </w:r>
      <w:proofErr w:type="spellEnd"/>
      <w:r w:rsidRPr="00B57F35">
        <w:rPr>
          <w:spacing w:val="2"/>
          <w:szCs w:val="28"/>
          <w:lang w:val="uk-UA"/>
        </w:rPr>
        <w:t xml:space="preserve"> дослідження щомісяця призведе до скорочення на 17 випадків на кожну 1000 істинно</w:t>
      </w:r>
      <w:r w:rsidR="00EB4080" w:rsidRPr="00B57F35">
        <w:rPr>
          <w:spacing w:val="2"/>
          <w:szCs w:val="28"/>
          <w:lang w:val="uk-UA"/>
        </w:rPr>
        <w:t xml:space="preserve"> </w:t>
      </w:r>
      <w:r w:rsidRPr="00B57F35">
        <w:rPr>
          <w:spacing w:val="2"/>
          <w:szCs w:val="28"/>
          <w:lang w:val="uk-UA"/>
        </w:rPr>
        <w:t xml:space="preserve">негативних та підвищення на 17 випадків на кожну 1000 </w:t>
      </w:r>
      <w:proofErr w:type="spellStart"/>
      <w:r w:rsidRPr="00B57F35">
        <w:rPr>
          <w:spacing w:val="2"/>
          <w:szCs w:val="28"/>
          <w:lang w:val="uk-UA"/>
        </w:rPr>
        <w:t>хибнопозитивних</w:t>
      </w:r>
      <w:proofErr w:type="spellEnd"/>
      <w:r w:rsidRPr="00B57F35">
        <w:rPr>
          <w:spacing w:val="2"/>
          <w:szCs w:val="28"/>
          <w:lang w:val="uk-UA"/>
        </w:rPr>
        <w:t xml:space="preserve"> результатів невдачі лікування, тобто лікування може бути продовжене у випадку отримання </w:t>
      </w:r>
      <w:proofErr w:type="spellStart"/>
      <w:r w:rsidRPr="00B57F35">
        <w:rPr>
          <w:spacing w:val="2"/>
          <w:szCs w:val="28"/>
          <w:lang w:val="uk-UA"/>
        </w:rPr>
        <w:t>хибнопозитивного</w:t>
      </w:r>
      <w:proofErr w:type="spellEnd"/>
      <w:r w:rsidRPr="00B57F35">
        <w:rPr>
          <w:spacing w:val="2"/>
          <w:szCs w:val="28"/>
          <w:lang w:val="uk-UA"/>
        </w:rPr>
        <w:t xml:space="preserve"> або пропущеного істинно</w:t>
      </w:r>
      <w:r w:rsidR="00EB4080" w:rsidRPr="00B57F35">
        <w:rPr>
          <w:spacing w:val="2"/>
          <w:szCs w:val="28"/>
          <w:lang w:val="uk-UA"/>
        </w:rPr>
        <w:t xml:space="preserve"> </w:t>
      </w:r>
      <w:r w:rsidRPr="00B57F35">
        <w:rPr>
          <w:spacing w:val="2"/>
          <w:szCs w:val="28"/>
          <w:lang w:val="uk-UA"/>
        </w:rPr>
        <w:t xml:space="preserve">негативного результату. Додаткова незручність для пацієнта та програми вважається незначною, оскільки взяття мокротиння та багатьох інших біологічних зразків зазвичай є </w:t>
      </w:r>
      <w:proofErr w:type="spellStart"/>
      <w:r w:rsidRPr="00B57F35">
        <w:rPr>
          <w:spacing w:val="2"/>
          <w:szCs w:val="28"/>
          <w:lang w:val="uk-UA"/>
        </w:rPr>
        <w:t>неінвазивною</w:t>
      </w:r>
      <w:proofErr w:type="spellEnd"/>
      <w:r w:rsidRPr="00B57F35">
        <w:rPr>
          <w:spacing w:val="2"/>
          <w:szCs w:val="28"/>
          <w:lang w:val="uk-UA"/>
        </w:rPr>
        <w:t xml:space="preserve"> та загальноприйнятою практикою у багатьох програмах. В умовах проведення тестування щомісяця отримання єдиного </w:t>
      </w:r>
      <w:proofErr w:type="spellStart"/>
      <w:r w:rsidRPr="00B57F35">
        <w:rPr>
          <w:spacing w:val="2"/>
          <w:szCs w:val="28"/>
          <w:lang w:val="uk-UA"/>
        </w:rPr>
        <w:t>хибнопозитивного</w:t>
      </w:r>
      <w:proofErr w:type="spellEnd"/>
      <w:r w:rsidRPr="00B57F35">
        <w:rPr>
          <w:spacing w:val="2"/>
          <w:szCs w:val="28"/>
          <w:lang w:val="uk-UA"/>
        </w:rPr>
        <w:t xml:space="preserve"> результату навряд чи </w:t>
      </w:r>
      <w:proofErr w:type="spellStart"/>
      <w:r w:rsidRPr="00B57F35">
        <w:rPr>
          <w:spacing w:val="2"/>
          <w:szCs w:val="28"/>
          <w:lang w:val="uk-UA"/>
        </w:rPr>
        <w:t>завдасть</w:t>
      </w:r>
      <w:proofErr w:type="spellEnd"/>
      <w:r w:rsidRPr="00B57F35">
        <w:rPr>
          <w:spacing w:val="2"/>
          <w:szCs w:val="28"/>
          <w:lang w:val="uk-UA"/>
        </w:rPr>
        <w:t xml:space="preserve"> шкоди пацієнту, оскільки рішення щодо лікування зазвичай приймають на підставі двох послідовних позитивних результатів (щоб відзначити продовження позитивного ефекту лікування або виявити реверсію), а вплив одного нетипового тесту триватиме лише до повторення тесту через місяць.</w:t>
      </w:r>
    </w:p>
    <w:p w:rsidR="00877D83" w:rsidRPr="00B57F35" w:rsidRDefault="00877D83" w:rsidP="007D6764">
      <w:pPr>
        <w:spacing w:line="252" w:lineRule="auto"/>
        <w:rPr>
          <w:spacing w:val="2"/>
          <w:szCs w:val="28"/>
          <w:lang w:val="uk-UA"/>
        </w:rPr>
      </w:pPr>
      <w:r w:rsidRPr="00B57F35">
        <w:rPr>
          <w:spacing w:val="2"/>
          <w:szCs w:val="28"/>
          <w:lang w:val="uk-UA"/>
        </w:rPr>
        <w:t>Приблизні ризики відсутності успіху лікування істотно зроста</w:t>
      </w:r>
      <w:r w:rsidR="00EB4080" w:rsidRPr="00B57F35">
        <w:rPr>
          <w:spacing w:val="2"/>
          <w:szCs w:val="28"/>
          <w:lang w:val="uk-UA"/>
        </w:rPr>
        <w:t xml:space="preserve">ли </w:t>
      </w:r>
      <w:r w:rsidRPr="00B57F35">
        <w:rPr>
          <w:spacing w:val="2"/>
          <w:szCs w:val="28"/>
          <w:lang w:val="uk-UA"/>
        </w:rPr>
        <w:t xml:space="preserve">із кожним додатковим місяцем без бактеріологічної конверсії – від 3,6 на кінець 1-го місяця до 45 на 8-му місяці при використанні </w:t>
      </w:r>
      <w:proofErr w:type="spellStart"/>
      <w:r w:rsidRPr="00B57F35">
        <w:rPr>
          <w:spacing w:val="2"/>
          <w:szCs w:val="28"/>
          <w:lang w:val="uk-UA"/>
        </w:rPr>
        <w:t>культурального</w:t>
      </w:r>
      <w:proofErr w:type="spellEnd"/>
      <w:r w:rsidRPr="00B57F35">
        <w:rPr>
          <w:spacing w:val="2"/>
          <w:szCs w:val="28"/>
          <w:lang w:val="uk-UA"/>
        </w:rPr>
        <w:t xml:space="preserve"> дослідження (таблиця 5.1). Проте, якщо моніторинг проводять або за допомогою мікроскопії мокротиння, або </w:t>
      </w:r>
      <w:proofErr w:type="spellStart"/>
      <w:r w:rsidRPr="00B57F35">
        <w:rPr>
          <w:spacing w:val="2"/>
          <w:szCs w:val="28"/>
          <w:lang w:val="uk-UA"/>
        </w:rPr>
        <w:t>культурального</w:t>
      </w:r>
      <w:proofErr w:type="spellEnd"/>
      <w:r w:rsidRPr="00B57F35">
        <w:rPr>
          <w:spacing w:val="2"/>
          <w:szCs w:val="28"/>
          <w:lang w:val="uk-UA"/>
        </w:rPr>
        <w:t xml:space="preserve"> дослідження, неможливо чітко виявити порогове значення, при якому ризик невдачі лікування зростає настільки, що може бути надійним маркером неефективності схеми. Визначення клініцистом моменту, коли виникає необхідність зміни лікування, має покладатися на його бажання мінімізувати ризик невдачі і, зокрема, мінімізувати ризик пролонгації не</w:t>
      </w:r>
      <w:r w:rsidR="00710AA9" w:rsidRPr="00B57F35">
        <w:rPr>
          <w:spacing w:val="2"/>
          <w:szCs w:val="28"/>
          <w:lang w:val="uk-UA"/>
        </w:rPr>
        <w:t xml:space="preserve">ефективної </w:t>
      </w:r>
      <w:r w:rsidRPr="00B57F35">
        <w:rPr>
          <w:spacing w:val="2"/>
          <w:szCs w:val="28"/>
          <w:lang w:val="uk-UA"/>
        </w:rPr>
        <w:t>схеми.</w:t>
      </w:r>
    </w:p>
    <w:p w:rsidR="00877D83" w:rsidRPr="00ED35A9" w:rsidRDefault="00877D83" w:rsidP="00877D83">
      <w:pPr>
        <w:spacing w:before="120" w:after="120"/>
        <w:ind w:firstLine="0"/>
        <w:jc w:val="center"/>
        <w:rPr>
          <w:b/>
          <w:szCs w:val="28"/>
          <w:lang w:val="uk-UA"/>
        </w:rPr>
      </w:pPr>
      <w:r w:rsidRPr="00ED35A9">
        <w:rPr>
          <w:b/>
          <w:szCs w:val="28"/>
          <w:lang w:val="uk-UA"/>
        </w:rPr>
        <w:lastRenderedPageBreak/>
        <w:t>Таблиця 5.1. Приблизне співвідношення ризиків (95% ДІ) невдачі лікування у пацієнтів з МР/Риф-ТБ без конверсії мокротиння на кінець послідовних місяців лікування порівняно з пацієнтами з конверсією, наведене за типами тестування; МА ІДП для запитання PICO 7</w:t>
      </w:r>
      <w:r w:rsidRPr="00ED35A9">
        <w:rPr>
          <w:b/>
          <w:szCs w:val="28"/>
          <w:lang w:val="uk-UA"/>
        </w:rPr>
        <w:br/>
        <w:t>(Південна Африка, n=3762)</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851"/>
        <w:gridCol w:w="850"/>
        <w:gridCol w:w="851"/>
        <w:gridCol w:w="850"/>
        <w:gridCol w:w="992"/>
        <w:gridCol w:w="993"/>
        <w:gridCol w:w="992"/>
      </w:tblGrid>
      <w:tr w:rsidR="00877D83" w:rsidRPr="00ED35A9" w:rsidTr="00B57F35">
        <w:tc>
          <w:tcPr>
            <w:tcW w:w="2269" w:type="dxa"/>
            <w:vMerge w:val="restart"/>
            <w:shd w:val="clear" w:color="auto" w:fill="auto"/>
            <w:tcMar>
              <w:left w:w="57" w:type="dxa"/>
              <w:right w:w="57" w:type="dxa"/>
            </w:tcMar>
          </w:tcPr>
          <w:p w:rsidR="00877D83" w:rsidRPr="00ED35A9" w:rsidRDefault="00877D83" w:rsidP="00CD5FFC">
            <w:pPr>
              <w:ind w:firstLine="0"/>
              <w:jc w:val="center"/>
              <w:rPr>
                <w:b/>
                <w:szCs w:val="28"/>
                <w:highlight w:val="yellow"/>
                <w:lang w:val="uk-UA"/>
              </w:rPr>
            </w:pPr>
            <w:r w:rsidRPr="00ED35A9">
              <w:rPr>
                <w:b/>
                <w:szCs w:val="28"/>
                <w:lang w:val="uk-UA"/>
              </w:rPr>
              <w:t xml:space="preserve">Співвідношення ризиків відповідно до </w:t>
            </w:r>
          </w:p>
        </w:tc>
        <w:tc>
          <w:tcPr>
            <w:tcW w:w="7229" w:type="dxa"/>
            <w:gridSpan w:val="8"/>
            <w:tcMar>
              <w:left w:w="57" w:type="dxa"/>
              <w:right w:w="57" w:type="dxa"/>
            </w:tcMar>
          </w:tcPr>
          <w:p w:rsidR="00877D83" w:rsidRPr="00ED35A9" w:rsidRDefault="00877D83" w:rsidP="00877D83">
            <w:pPr>
              <w:ind w:firstLine="0"/>
              <w:jc w:val="center"/>
              <w:rPr>
                <w:b/>
                <w:szCs w:val="28"/>
                <w:lang w:val="uk-UA"/>
              </w:rPr>
            </w:pPr>
            <w:r w:rsidRPr="00ED35A9">
              <w:rPr>
                <w:b/>
                <w:szCs w:val="28"/>
                <w:lang w:val="uk-UA"/>
              </w:rPr>
              <w:t>Місяць</w:t>
            </w:r>
          </w:p>
        </w:tc>
      </w:tr>
      <w:tr w:rsidR="00877D83" w:rsidRPr="00ED35A9" w:rsidTr="00B57F35">
        <w:tc>
          <w:tcPr>
            <w:tcW w:w="2269" w:type="dxa"/>
            <w:vMerge/>
            <w:shd w:val="clear" w:color="auto" w:fill="auto"/>
            <w:tcMar>
              <w:left w:w="57" w:type="dxa"/>
              <w:right w:w="57" w:type="dxa"/>
            </w:tcMar>
          </w:tcPr>
          <w:p w:rsidR="00877D83" w:rsidRPr="00ED35A9" w:rsidRDefault="00877D83" w:rsidP="00877D83">
            <w:pPr>
              <w:ind w:firstLine="0"/>
              <w:jc w:val="center"/>
              <w:rPr>
                <w:b/>
                <w:szCs w:val="28"/>
                <w:lang w:val="uk-UA"/>
              </w:rPr>
            </w:pPr>
          </w:p>
        </w:tc>
        <w:tc>
          <w:tcPr>
            <w:tcW w:w="850"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1</w:t>
            </w:r>
          </w:p>
        </w:tc>
        <w:tc>
          <w:tcPr>
            <w:tcW w:w="851"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2</w:t>
            </w:r>
          </w:p>
        </w:tc>
        <w:tc>
          <w:tcPr>
            <w:tcW w:w="850"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3</w:t>
            </w:r>
          </w:p>
        </w:tc>
        <w:tc>
          <w:tcPr>
            <w:tcW w:w="851"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4</w:t>
            </w:r>
          </w:p>
        </w:tc>
        <w:tc>
          <w:tcPr>
            <w:tcW w:w="850"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5</w:t>
            </w:r>
          </w:p>
        </w:tc>
        <w:tc>
          <w:tcPr>
            <w:tcW w:w="992"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6</w:t>
            </w:r>
          </w:p>
        </w:tc>
        <w:tc>
          <w:tcPr>
            <w:tcW w:w="993"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7</w:t>
            </w:r>
          </w:p>
        </w:tc>
        <w:tc>
          <w:tcPr>
            <w:tcW w:w="992" w:type="dxa"/>
            <w:tcMar>
              <w:left w:w="57" w:type="dxa"/>
              <w:right w:w="57" w:type="dxa"/>
            </w:tcMar>
            <w:vAlign w:val="center"/>
          </w:tcPr>
          <w:p w:rsidR="00877D83" w:rsidRPr="00ED35A9" w:rsidRDefault="00877D83" w:rsidP="00877D83">
            <w:pPr>
              <w:ind w:firstLine="0"/>
              <w:jc w:val="center"/>
              <w:rPr>
                <w:b/>
                <w:szCs w:val="28"/>
                <w:lang w:val="uk-UA"/>
              </w:rPr>
            </w:pPr>
            <w:r w:rsidRPr="00ED35A9">
              <w:rPr>
                <w:b/>
                <w:szCs w:val="28"/>
                <w:lang w:val="uk-UA"/>
              </w:rPr>
              <w:t>8</w:t>
            </w:r>
          </w:p>
        </w:tc>
      </w:tr>
      <w:tr w:rsidR="00877D83" w:rsidRPr="00ED35A9" w:rsidTr="00B57F35">
        <w:tc>
          <w:tcPr>
            <w:tcW w:w="2269" w:type="dxa"/>
            <w:vMerge w:val="restart"/>
            <w:tcMar>
              <w:left w:w="57" w:type="dxa"/>
              <w:right w:w="57" w:type="dxa"/>
            </w:tcMar>
          </w:tcPr>
          <w:p w:rsidR="00877D83" w:rsidRPr="00ED35A9" w:rsidRDefault="00877D83" w:rsidP="00CD5FFC">
            <w:pPr>
              <w:ind w:firstLine="0"/>
              <w:jc w:val="left"/>
              <w:rPr>
                <w:szCs w:val="28"/>
                <w:lang w:val="uk-UA"/>
              </w:rPr>
            </w:pPr>
            <w:proofErr w:type="spellStart"/>
            <w:r w:rsidRPr="00ED35A9">
              <w:rPr>
                <w:szCs w:val="28"/>
                <w:lang w:val="uk-UA"/>
              </w:rPr>
              <w:t>Культуральн</w:t>
            </w:r>
            <w:r w:rsidR="00CD5FFC" w:rsidRPr="00ED35A9">
              <w:rPr>
                <w:szCs w:val="28"/>
                <w:lang w:val="uk-UA"/>
              </w:rPr>
              <w:t>ого</w:t>
            </w:r>
            <w:proofErr w:type="spellEnd"/>
            <w:r w:rsidRPr="00ED35A9">
              <w:rPr>
                <w:szCs w:val="28"/>
                <w:lang w:val="uk-UA"/>
              </w:rPr>
              <w:t xml:space="preserve"> дослідження</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3,6</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4,1</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5,2</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7,4</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10,3</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16,4</w:t>
            </w:r>
          </w:p>
        </w:tc>
        <w:tc>
          <w:tcPr>
            <w:tcW w:w="993"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24,7</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44,5</w:t>
            </w:r>
          </w:p>
        </w:tc>
      </w:tr>
      <w:tr w:rsidR="00877D83" w:rsidRPr="00ED35A9" w:rsidTr="00B57F35">
        <w:tc>
          <w:tcPr>
            <w:tcW w:w="2269" w:type="dxa"/>
            <w:vMerge/>
            <w:tcMar>
              <w:left w:w="57" w:type="dxa"/>
              <w:right w:w="57" w:type="dxa"/>
            </w:tcMar>
          </w:tcPr>
          <w:p w:rsidR="00877D83" w:rsidRPr="00ED35A9" w:rsidRDefault="00877D83" w:rsidP="00877D83">
            <w:pPr>
              <w:ind w:firstLine="0"/>
              <w:jc w:val="left"/>
              <w:rPr>
                <w:szCs w:val="28"/>
                <w:lang w:val="uk-UA"/>
              </w:rPr>
            </w:pPr>
          </w:p>
        </w:tc>
        <w:tc>
          <w:tcPr>
            <w:tcW w:w="850"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(2,11;</w:t>
            </w:r>
          </w:p>
          <w:p w:rsidR="00877D83" w:rsidRPr="00ED35A9" w:rsidRDefault="00877D83" w:rsidP="00877D83">
            <w:pPr>
              <w:ind w:firstLine="0"/>
              <w:jc w:val="left"/>
              <w:rPr>
                <w:szCs w:val="28"/>
                <w:lang w:val="uk-UA"/>
              </w:rPr>
            </w:pPr>
            <w:r w:rsidRPr="00ED35A9">
              <w:rPr>
                <w:szCs w:val="28"/>
                <w:lang w:val="uk-UA"/>
              </w:rPr>
              <w:t>5,97)</w:t>
            </w:r>
          </w:p>
        </w:tc>
        <w:tc>
          <w:tcPr>
            <w:tcW w:w="851"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(2,76;</w:t>
            </w:r>
          </w:p>
          <w:p w:rsidR="00877D83" w:rsidRPr="00ED35A9" w:rsidRDefault="00877D83" w:rsidP="00877D83">
            <w:pPr>
              <w:ind w:firstLine="0"/>
              <w:jc w:val="left"/>
              <w:rPr>
                <w:szCs w:val="28"/>
                <w:lang w:val="uk-UA"/>
              </w:rPr>
            </w:pPr>
            <w:r w:rsidRPr="00ED35A9">
              <w:rPr>
                <w:szCs w:val="28"/>
                <w:lang w:val="uk-UA"/>
              </w:rPr>
              <w:t>6,09)</w:t>
            </w:r>
          </w:p>
        </w:tc>
        <w:tc>
          <w:tcPr>
            <w:tcW w:w="850"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(3,55;</w:t>
            </w:r>
          </w:p>
          <w:p w:rsidR="00877D83" w:rsidRPr="00ED35A9" w:rsidRDefault="00877D83" w:rsidP="00877D83">
            <w:pPr>
              <w:ind w:firstLine="0"/>
              <w:jc w:val="left"/>
              <w:rPr>
                <w:szCs w:val="28"/>
                <w:lang w:val="uk-UA"/>
              </w:rPr>
            </w:pPr>
            <w:r w:rsidRPr="00ED35A9">
              <w:rPr>
                <w:szCs w:val="28"/>
                <w:lang w:val="uk-UA"/>
              </w:rPr>
              <w:t>7,55)</w:t>
            </w:r>
          </w:p>
        </w:tc>
        <w:tc>
          <w:tcPr>
            <w:tcW w:w="851"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(5,00;</w:t>
            </w:r>
          </w:p>
          <w:p w:rsidR="00877D83" w:rsidRPr="00ED35A9" w:rsidRDefault="00877D83" w:rsidP="00877D83">
            <w:pPr>
              <w:ind w:firstLine="0"/>
              <w:jc w:val="left"/>
              <w:rPr>
                <w:szCs w:val="28"/>
                <w:lang w:val="uk-UA"/>
              </w:rPr>
            </w:pPr>
            <w:r w:rsidRPr="00ED35A9">
              <w:rPr>
                <w:szCs w:val="28"/>
                <w:lang w:val="uk-UA"/>
              </w:rPr>
              <w:t>10,8)</w:t>
            </w:r>
          </w:p>
        </w:tc>
        <w:tc>
          <w:tcPr>
            <w:tcW w:w="850"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(6,88;</w:t>
            </w:r>
          </w:p>
          <w:p w:rsidR="00877D83" w:rsidRPr="00ED35A9" w:rsidRDefault="00877D83" w:rsidP="00877D83">
            <w:pPr>
              <w:ind w:firstLine="0"/>
              <w:jc w:val="left"/>
              <w:rPr>
                <w:szCs w:val="28"/>
                <w:lang w:val="uk-UA"/>
              </w:rPr>
            </w:pPr>
            <w:r w:rsidRPr="00ED35A9">
              <w:rPr>
                <w:szCs w:val="28"/>
                <w:lang w:val="uk-UA"/>
              </w:rPr>
              <w:t>15,38)</w:t>
            </w:r>
          </w:p>
        </w:tc>
        <w:tc>
          <w:tcPr>
            <w:tcW w:w="992"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(10,72;</w:t>
            </w:r>
          </w:p>
          <w:p w:rsidR="00877D83" w:rsidRPr="00ED35A9" w:rsidRDefault="00877D83" w:rsidP="00877D83">
            <w:pPr>
              <w:ind w:firstLine="0"/>
              <w:jc w:val="left"/>
              <w:rPr>
                <w:szCs w:val="28"/>
                <w:lang w:val="uk-UA"/>
              </w:rPr>
            </w:pPr>
            <w:r w:rsidRPr="00ED35A9">
              <w:rPr>
                <w:szCs w:val="28"/>
                <w:lang w:val="uk-UA"/>
              </w:rPr>
              <w:t>25)</w:t>
            </w:r>
          </w:p>
        </w:tc>
        <w:tc>
          <w:tcPr>
            <w:tcW w:w="993"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(15,53;</w:t>
            </w:r>
          </w:p>
          <w:p w:rsidR="00877D83" w:rsidRPr="00ED35A9" w:rsidRDefault="00877D83" w:rsidP="00877D83">
            <w:pPr>
              <w:ind w:firstLine="0"/>
              <w:jc w:val="left"/>
              <w:rPr>
                <w:szCs w:val="28"/>
                <w:lang w:val="uk-UA"/>
              </w:rPr>
            </w:pPr>
            <w:r w:rsidRPr="00ED35A9">
              <w:rPr>
                <w:szCs w:val="28"/>
                <w:lang w:val="uk-UA"/>
              </w:rPr>
              <w:t>39,20)</w:t>
            </w:r>
          </w:p>
        </w:tc>
        <w:tc>
          <w:tcPr>
            <w:tcW w:w="992" w:type="dxa"/>
            <w:tcMar>
              <w:left w:w="57" w:type="dxa"/>
              <w:right w:w="57" w:type="dxa"/>
            </w:tcMar>
            <w:vAlign w:val="bottom"/>
          </w:tcPr>
          <w:p w:rsidR="00877D83" w:rsidRPr="00ED35A9" w:rsidRDefault="00877D83" w:rsidP="00877D83">
            <w:pPr>
              <w:ind w:firstLine="0"/>
              <w:jc w:val="left"/>
              <w:rPr>
                <w:szCs w:val="28"/>
                <w:lang w:val="uk-UA"/>
              </w:rPr>
            </w:pPr>
            <w:r w:rsidRPr="00ED35A9">
              <w:rPr>
                <w:szCs w:val="28"/>
                <w:lang w:val="uk-UA"/>
              </w:rPr>
              <w:t>(26,53;</w:t>
            </w:r>
          </w:p>
          <w:p w:rsidR="00877D83" w:rsidRPr="00ED35A9" w:rsidRDefault="00877D83" w:rsidP="00877D83">
            <w:pPr>
              <w:ind w:firstLine="0"/>
              <w:jc w:val="left"/>
              <w:rPr>
                <w:szCs w:val="28"/>
                <w:lang w:val="uk-UA"/>
              </w:rPr>
            </w:pPr>
            <w:r w:rsidRPr="00ED35A9">
              <w:rPr>
                <w:szCs w:val="28"/>
                <w:lang w:val="uk-UA"/>
              </w:rPr>
              <w:t>74,46)</w:t>
            </w:r>
          </w:p>
        </w:tc>
      </w:tr>
      <w:tr w:rsidR="00877D83" w:rsidRPr="00ED35A9" w:rsidTr="00B57F35">
        <w:tc>
          <w:tcPr>
            <w:tcW w:w="2269" w:type="dxa"/>
            <w:vMerge w:val="restart"/>
            <w:tcMar>
              <w:left w:w="57" w:type="dxa"/>
              <w:right w:w="57" w:type="dxa"/>
            </w:tcMar>
          </w:tcPr>
          <w:p w:rsidR="00877D83" w:rsidRPr="00ED35A9" w:rsidRDefault="00877D83" w:rsidP="00CD5FFC">
            <w:pPr>
              <w:ind w:firstLine="0"/>
              <w:jc w:val="left"/>
              <w:rPr>
                <w:szCs w:val="28"/>
                <w:lang w:val="uk-UA"/>
              </w:rPr>
            </w:pPr>
            <w:r w:rsidRPr="00ED35A9">
              <w:rPr>
                <w:szCs w:val="28"/>
                <w:lang w:val="uk-UA"/>
              </w:rPr>
              <w:t>Мікроскопі</w:t>
            </w:r>
            <w:r w:rsidR="00CD5FFC" w:rsidRPr="00ED35A9">
              <w:rPr>
                <w:szCs w:val="28"/>
                <w:lang w:val="uk-UA"/>
              </w:rPr>
              <w:t>ї</w:t>
            </w:r>
            <w:r w:rsidRPr="00ED35A9">
              <w:rPr>
                <w:szCs w:val="28"/>
                <w:lang w:val="uk-UA"/>
              </w:rPr>
              <w:t xml:space="preserve"> мокротиння</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1,9</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2,7</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3,2</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4,2</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6,8</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10,4</w:t>
            </w:r>
          </w:p>
        </w:tc>
        <w:tc>
          <w:tcPr>
            <w:tcW w:w="993"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16,5</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28,9</w:t>
            </w:r>
          </w:p>
        </w:tc>
      </w:tr>
      <w:tr w:rsidR="00877D83" w:rsidRPr="00ED35A9" w:rsidTr="00B57F35">
        <w:tc>
          <w:tcPr>
            <w:tcW w:w="2269" w:type="dxa"/>
            <w:vMerge/>
            <w:tcMar>
              <w:left w:w="57" w:type="dxa"/>
              <w:right w:w="57" w:type="dxa"/>
            </w:tcMar>
          </w:tcPr>
          <w:p w:rsidR="00877D83" w:rsidRPr="00ED35A9" w:rsidRDefault="00877D83" w:rsidP="00877D83">
            <w:pPr>
              <w:ind w:firstLine="0"/>
              <w:jc w:val="left"/>
              <w:rPr>
                <w:szCs w:val="28"/>
                <w:lang w:val="uk-UA"/>
              </w:rPr>
            </w:pP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(1,27;</w:t>
            </w:r>
          </w:p>
          <w:p w:rsidR="00877D83" w:rsidRPr="00ED35A9" w:rsidRDefault="00877D83" w:rsidP="00877D83">
            <w:pPr>
              <w:ind w:firstLine="0"/>
              <w:jc w:val="left"/>
              <w:rPr>
                <w:szCs w:val="28"/>
                <w:lang w:val="uk-UA"/>
              </w:rPr>
            </w:pPr>
            <w:r w:rsidRPr="00ED35A9">
              <w:rPr>
                <w:szCs w:val="28"/>
                <w:lang w:val="uk-UA"/>
              </w:rPr>
              <w:t>2,73)</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(1,82;</w:t>
            </w:r>
          </w:p>
          <w:p w:rsidR="00877D83" w:rsidRPr="00ED35A9" w:rsidRDefault="00877D83" w:rsidP="00877D83">
            <w:pPr>
              <w:ind w:firstLine="0"/>
              <w:jc w:val="left"/>
              <w:rPr>
                <w:szCs w:val="28"/>
                <w:lang w:val="uk-UA"/>
              </w:rPr>
            </w:pPr>
            <w:r w:rsidRPr="00ED35A9">
              <w:rPr>
                <w:szCs w:val="28"/>
                <w:lang w:val="uk-UA"/>
              </w:rPr>
              <w:t>3,88)</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(2,11;</w:t>
            </w:r>
          </w:p>
          <w:p w:rsidR="00877D83" w:rsidRPr="00ED35A9" w:rsidRDefault="00877D83" w:rsidP="00877D83">
            <w:pPr>
              <w:ind w:firstLine="0"/>
              <w:jc w:val="left"/>
              <w:rPr>
                <w:szCs w:val="28"/>
                <w:lang w:val="uk-UA"/>
              </w:rPr>
            </w:pPr>
            <w:r w:rsidRPr="00ED35A9">
              <w:rPr>
                <w:szCs w:val="28"/>
                <w:lang w:val="uk-UA"/>
              </w:rPr>
              <w:t>4,73)</w:t>
            </w:r>
          </w:p>
        </w:tc>
        <w:tc>
          <w:tcPr>
            <w:tcW w:w="851"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(2,69;</w:t>
            </w:r>
          </w:p>
          <w:p w:rsidR="00877D83" w:rsidRPr="00ED35A9" w:rsidRDefault="00877D83" w:rsidP="00877D83">
            <w:pPr>
              <w:ind w:firstLine="0"/>
              <w:jc w:val="left"/>
              <w:rPr>
                <w:szCs w:val="28"/>
                <w:lang w:val="uk-UA"/>
              </w:rPr>
            </w:pPr>
            <w:r w:rsidRPr="00ED35A9">
              <w:rPr>
                <w:szCs w:val="28"/>
                <w:lang w:val="uk-UA"/>
              </w:rPr>
              <w:t>6,48)</w:t>
            </w:r>
          </w:p>
        </w:tc>
        <w:tc>
          <w:tcPr>
            <w:tcW w:w="850"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(4,19;</w:t>
            </w:r>
          </w:p>
          <w:p w:rsidR="00877D83" w:rsidRPr="00ED35A9" w:rsidRDefault="00877D83" w:rsidP="00877D83">
            <w:pPr>
              <w:ind w:firstLine="0"/>
              <w:jc w:val="left"/>
              <w:rPr>
                <w:szCs w:val="28"/>
                <w:lang w:val="uk-UA"/>
              </w:rPr>
            </w:pPr>
            <w:r w:rsidRPr="00ED35A9">
              <w:rPr>
                <w:szCs w:val="28"/>
                <w:lang w:val="uk-UA"/>
              </w:rPr>
              <w:t>10,97)</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(6,00;</w:t>
            </w:r>
          </w:p>
          <w:p w:rsidR="00877D83" w:rsidRPr="00ED35A9" w:rsidRDefault="00877D83" w:rsidP="00877D83">
            <w:pPr>
              <w:ind w:firstLine="0"/>
              <w:jc w:val="left"/>
              <w:rPr>
                <w:szCs w:val="28"/>
                <w:lang w:val="uk-UA"/>
              </w:rPr>
            </w:pPr>
            <w:r w:rsidRPr="00ED35A9">
              <w:rPr>
                <w:szCs w:val="28"/>
                <w:lang w:val="uk-UA"/>
              </w:rPr>
              <w:t>17,92)</w:t>
            </w:r>
          </w:p>
        </w:tc>
        <w:tc>
          <w:tcPr>
            <w:tcW w:w="993"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(9,15;</w:t>
            </w:r>
          </w:p>
          <w:p w:rsidR="00877D83" w:rsidRPr="00ED35A9" w:rsidRDefault="00877D83" w:rsidP="00877D83">
            <w:pPr>
              <w:ind w:firstLine="0"/>
              <w:jc w:val="left"/>
              <w:rPr>
                <w:szCs w:val="28"/>
                <w:lang w:val="uk-UA"/>
              </w:rPr>
            </w:pPr>
            <w:r w:rsidRPr="00ED35A9">
              <w:rPr>
                <w:szCs w:val="28"/>
                <w:lang w:val="uk-UA"/>
              </w:rPr>
              <w:t>29,77)</w:t>
            </w:r>
          </w:p>
        </w:tc>
        <w:tc>
          <w:tcPr>
            <w:tcW w:w="992" w:type="dxa"/>
            <w:tcMar>
              <w:left w:w="57" w:type="dxa"/>
              <w:right w:w="57" w:type="dxa"/>
            </w:tcMar>
            <w:vAlign w:val="center"/>
          </w:tcPr>
          <w:p w:rsidR="00877D83" w:rsidRPr="00ED35A9" w:rsidRDefault="00877D83" w:rsidP="00877D83">
            <w:pPr>
              <w:ind w:firstLine="0"/>
              <w:jc w:val="left"/>
              <w:rPr>
                <w:szCs w:val="28"/>
                <w:lang w:val="uk-UA"/>
              </w:rPr>
            </w:pPr>
            <w:r w:rsidRPr="00ED35A9">
              <w:rPr>
                <w:szCs w:val="28"/>
                <w:lang w:val="uk-UA"/>
              </w:rPr>
              <w:t>(14,87;</w:t>
            </w:r>
          </w:p>
          <w:p w:rsidR="00877D83" w:rsidRPr="00ED35A9" w:rsidRDefault="00877D83" w:rsidP="00877D83">
            <w:pPr>
              <w:ind w:firstLine="0"/>
              <w:jc w:val="left"/>
              <w:rPr>
                <w:szCs w:val="28"/>
                <w:lang w:val="uk-UA"/>
              </w:rPr>
            </w:pPr>
            <w:r w:rsidRPr="00ED35A9">
              <w:rPr>
                <w:szCs w:val="28"/>
                <w:lang w:val="uk-UA"/>
              </w:rPr>
              <w:t>56,14)</w:t>
            </w:r>
          </w:p>
        </w:tc>
      </w:tr>
    </w:tbl>
    <w:p w:rsidR="00877D83" w:rsidRPr="00ED35A9" w:rsidRDefault="00877D83" w:rsidP="00B57F35">
      <w:pPr>
        <w:spacing w:before="120" w:line="228" w:lineRule="auto"/>
        <w:rPr>
          <w:szCs w:val="28"/>
          <w:lang w:val="uk-UA"/>
        </w:rPr>
      </w:pPr>
      <w:r w:rsidRPr="00ED35A9">
        <w:rPr>
          <w:szCs w:val="28"/>
          <w:lang w:val="uk-UA"/>
        </w:rPr>
        <w:t xml:space="preserve">При оцінюванні точності тестування було відзначено помірну достовірність, тому ГРН було прийнято рішення, що за звичайних умов </w:t>
      </w:r>
      <w:proofErr w:type="spellStart"/>
      <w:r w:rsidRPr="00ED35A9">
        <w:rPr>
          <w:szCs w:val="28"/>
          <w:lang w:val="uk-UA"/>
        </w:rPr>
        <w:t>культуральне</w:t>
      </w:r>
      <w:proofErr w:type="spellEnd"/>
      <w:r w:rsidRPr="00ED35A9">
        <w:rPr>
          <w:szCs w:val="28"/>
          <w:lang w:val="uk-UA"/>
        </w:rPr>
        <w:t xml:space="preserve"> дослідження є більш чутливим при визначенні позитивного бактеріального статусу, ніж мікроскопія мокротиння. Проте загальну якість доказових даних визначено як низьку. Наведені результати можуть варіюватися в окремих пацієнтів або в популяції з профілем, що істотно відрізняється від наявного в аналізі, наприклад, в умовах низької поширеності ВІЛ, у дітей, у пацієнтів з </w:t>
      </w:r>
      <w:proofErr w:type="spellStart"/>
      <w:r w:rsidRPr="00ED35A9">
        <w:rPr>
          <w:szCs w:val="28"/>
          <w:lang w:val="uk-UA"/>
        </w:rPr>
        <w:t>позалегеневими</w:t>
      </w:r>
      <w:proofErr w:type="spellEnd"/>
      <w:r w:rsidRPr="00ED35A9">
        <w:rPr>
          <w:szCs w:val="28"/>
          <w:lang w:val="uk-UA"/>
        </w:rPr>
        <w:t xml:space="preserve"> формами захворювання або в осіб, що проходили лікування МРТБ із застосуванням короткострокових схем. 3762 пацієнти, яких було включено до аналізу, мали дуже подібні клінічні характеристики до 22 760 виключених осіб, хоча в них відзначено дещо нижчу ймовірність </w:t>
      </w:r>
      <w:proofErr w:type="spellStart"/>
      <w:r w:rsidRPr="00ED35A9">
        <w:rPr>
          <w:szCs w:val="28"/>
          <w:lang w:val="uk-UA"/>
        </w:rPr>
        <w:t>коінфекції</w:t>
      </w:r>
      <w:proofErr w:type="spellEnd"/>
      <w:r w:rsidRPr="00ED35A9">
        <w:rPr>
          <w:szCs w:val="28"/>
          <w:lang w:val="uk-UA"/>
        </w:rPr>
        <w:t xml:space="preserve"> ВІЛ, попереднього лікування або резистентності до препаратів другого ряду. Проте показник невдачі лікування у включених до аналізу осіб становив лише 3%, тоді як у виключених з аналізу – 12,7%.</w:t>
      </w:r>
    </w:p>
    <w:p w:rsidR="00877D83" w:rsidRPr="00ED35A9" w:rsidRDefault="00877D83" w:rsidP="00B57F35">
      <w:pPr>
        <w:spacing w:line="228" w:lineRule="auto"/>
        <w:rPr>
          <w:b/>
          <w:szCs w:val="28"/>
          <w:lang w:val="uk-UA"/>
        </w:rPr>
      </w:pPr>
      <w:bookmarkStart w:id="51" w:name="bookmark50"/>
      <w:bookmarkStart w:id="52" w:name="_Toc417570604"/>
      <w:r w:rsidRPr="00ED35A9">
        <w:rPr>
          <w:b/>
          <w:szCs w:val="28"/>
          <w:lang w:val="uk-UA"/>
        </w:rPr>
        <w:t>Зауваження щодо підгруп</w:t>
      </w:r>
      <w:bookmarkEnd w:id="51"/>
      <w:bookmarkEnd w:id="52"/>
    </w:p>
    <w:p w:rsidR="00877D83" w:rsidRPr="00ED35A9" w:rsidRDefault="00877D83" w:rsidP="00B57F35">
      <w:pPr>
        <w:spacing w:line="228" w:lineRule="auto"/>
        <w:rPr>
          <w:szCs w:val="28"/>
          <w:lang w:val="uk-UA"/>
        </w:rPr>
      </w:pPr>
      <w:r w:rsidRPr="00ED35A9">
        <w:rPr>
          <w:szCs w:val="28"/>
          <w:lang w:val="uk-UA"/>
        </w:rPr>
        <w:t>Рекомендації стосуються будь-яких довгострокових схем незалежно від кількості використаних препаратів груп А, В або С, а також незалежно від наявності ін’єкційної (інтенсивної) фази лікування. ГРН вважає, що наведені висновки можуть стосуватися й інших ключових підгруп пацієнтів.</w:t>
      </w:r>
    </w:p>
    <w:p w:rsidR="00877D83" w:rsidRPr="00ED35A9" w:rsidRDefault="00877D83" w:rsidP="00B57F35">
      <w:pPr>
        <w:spacing w:line="228" w:lineRule="auto"/>
        <w:rPr>
          <w:szCs w:val="28"/>
          <w:lang w:val="uk-UA"/>
        </w:rPr>
      </w:pPr>
      <w:r w:rsidRPr="00ED35A9">
        <w:rPr>
          <w:b/>
          <w:i/>
          <w:szCs w:val="28"/>
          <w:lang w:val="uk-UA"/>
        </w:rPr>
        <w:t xml:space="preserve">Пацієнти віком &lt;15 років </w:t>
      </w:r>
      <w:r w:rsidRPr="00ED35A9">
        <w:rPr>
          <w:szCs w:val="28"/>
          <w:lang w:val="uk-UA"/>
        </w:rPr>
        <w:t xml:space="preserve">з МР/Риф-ТБ складали менше 2% МА ІДП, проведеного для запитання PICO 7 (МР/Риф-ТБ, 2018 р.). Діти молодшого віку зазвичай не можуть спонтанно виділити достатню кількість мокротиння для проведення бактеріологічного дослідження (зазвичай у багатьох з них визначають негативний результат за мікроскопією мокротиння). У таких пацієнтів </w:t>
      </w:r>
      <w:proofErr w:type="spellStart"/>
      <w:r w:rsidRPr="00ED35A9">
        <w:rPr>
          <w:szCs w:val="28"/>
          <w:lang w:val="uk-UA"/>
        </w:rPr>
        <w:t>культуральне</w:t>
      </w:r>
      <w:proofErr w:type="spellEnd"/>
      <w:r w:rsidRPr="00ED35A9">
        <w:rPr>
          <w:szCs w:val="28"/>
          <w:lang w:val="uk-UA"/>
        </w:rPr>
        <w:t xml:space="preserve"> дослідження може бути більш чутливим засобом виявлення життєздатних мікобактерій ТБ, навіть якщо у мокротинні або в інших зразках наявною є незначна їх кількість – нижче порогової чутливості прямої мікроскопії. При цьому у дітей, що не можуть відхаркувати, можна брати шлункові аспірати або індуковане мокротиння, проте повторення таких тестів щомісяця може бути неприйнятним.</w:t>
      </w:r>
    </w:p>
    <w:p w:rsidR="00877D83" w:rsidRPr="00ED35A9" w:rsidRDefault="00877D83" w:rsidP="00B57F35">
      <w:pPr>
        <w:spacing w:line="228" w:lineRule="auto"/>
        <w:rPr>
          <w:szCs w:val="28"/>
          <w:lang w:val="uk-UA"/>
        </w:rPr>
      </w:pPr>
      <w:proofErr w:type="spellStart"/>
      <w:r w:rsidRPr="00ED35A9">
        <w:rPr>
          <w:b/>
          <w:i/>
          <w:szCs w:val="28"/>
          <w:lang w:val="uk-UA"/>
        </w:rPr>
        <w:lastRenderedPageBreak/>
        <w:t>Позалегеневе</w:t>
      </w:r>
      <w:proofErr w:type="spellEnd"/>
      <w:r w:rsidRPr="00ED35A9">
        <w:rPr>
          <w:b/>
          <w:i/>
          <w:szCs w:val="28"/>
          <w:lang w:val="uk-UA"/>
        </w:rPr>
        <w:t xml:space="preserve"> захворювання</w:t>
      </w:r>
      <w:r w:rsidRPr="00ED35A9">
        <w:rPr>
          <w:szCs w:val="28"/>
          <w:lang w:val="uk-UA"/>
        </w:rPr>
        <w:t xml:space="preserve"> зазвичай є </w:t>
      </w:r>
      <w:proofErr w:type="spellStart"/>
      <w:r w:rsidRPr="00ED35A9">
        <w:rPr>
          <w:szCs w:val="28"/>
          <w:lang w:val="uk-UA"/>
        </w:rPr>
        <w:t>олігобацилярним</w:t>
      </w:r>
      <w:proofErr w:type="spellEnd"/>
      <w:r w:rsidRPr="00ED35A9">
        <w:rPr>
          <w:szCs w:val="28"/>
          <w:lang w:val="uk-UA"/>
        </w:rPr>
        <w:t xml:space="preserve">, а біологічні зразки можуть не містити мікобактерій ТБ або містити незначну їх кількість. В таких ситуаціях при проведенні </w:t>
      </w:r>
      <w:proofErr w:type="spellStart"/>
      <w:r w:rsidRPr="00ED35A9">
        <w:rPr>
          <w:szCs w:val="28"/>
          <w:lang w:val="uk-UA"/>
        </w:rPr>
        <w:t>культурального</w:t>
      </w:r>
      <w:proofErr w:type="spellEnd"/>
      <w:r w:rsidRPr="00ED35A9">
        <w:rPr>
          <w:szCs w:val="28"/>
          <w:lang w:val="uk-UA"/>
        </w:rPr>
        <w:t xml:space="preserve"> дослідження існує більша ймовірність виявлення </w:t>
      </w:r>
      <w:proofErr w:type="spellStart"/>
      <w:r w:rsidRPr="00ED35A9">
        <w:rPr>
          <w:szCs w:val="28"/>
          <w:lang w:val="uk-UA"/>
        </w:rPr>
        <w:t>персистентного</w:t>
      </w:r>
      <w:proofErr w:type="spellEnd"/>
      <w:r w:rsidRPr="00ED35A9">
        <w:rPr>
          <w:szCs w:val="28"/>
          <w:lang w:val="uk-UA"/>
        </w:rPr>
        <w:t xml:space="preserve"> захворювання, незважаючи на певні складнощі, пов’язані з відбором зразків. Пряму мікроскопію все одно слід проводити, оскільки вона може надати позитивний результат набагато швидше, ніж </w:t>
      </w:r>
      <w:proofErr w:type="spellStart"/>
      <w:r w:rsidRPr="00ED35A9">
        <w:rPr>
          <w:szCs w:val="28"/>
          <w:lang w:val="uk-UA"/>
        </w:rPr>
        <w:t>бакпосів</w:t>
      </w:r>
      <w:proofErr w:type="spellEnd"/>
      <w:r w:rsidRPr="00ED35A9">
        <w:rPr>
          <w:szCs w:val="28"/>
          <w:lang w:val="uk-UA"/>
        </w:rPr>
        <w:t xml:space="preserve">. </w:t>
      </w:r>
    </w:p>
    <w:p w:rsidR="00877D83" w:rsidRPr="00ED35A9" w:rsidRDefault="00877D83" w:rsidP="00B57F35">
      <w:pPr>
        <w:spacing w:line="228" w:lineRule="auto"/>
        <w:rPr>
          <w:szCs w:val="28"/>
          <w:lang w:val="uk-UA"/>
        </w:rPr>
      </w:pPr>
      <w:r w:rsidRPr="00ED35A9">
        <w:rPr>
          <w:b/>
          <w:i/>
          <w:szCs w:val="28"/>
          <w:lang w:val="uk-UA"/>
        </w:rPr>
        <w:t xml:space="preserve">ВІЛ-негативні особи </w:t>
      </w:r>
      <w:r w:rsidRPr="00ED35A9">
        <w:rPr>
          <w:szCs w:val="28"/>
          <w:lang w:val="uk-UA"/>
        </w:rPr>
        <w:t xml:space="preserve">з ТБ зазвичай мають більш високу кількість бактерій у мокротинні, тому вищою є вірогідність виявлення мікобактерій ТБ при проведенні мікроскопії мокротиння. В таких ситуаціях різниця чутливості мікроскопії та </w:t>
      </w:r>
      <w:proofErr w:type="spellStart"/>
      <w:r w:rsidRPr="00ED35A9">
        <w:rPr>
          <w:szCs w:val="28"/>
          <w:lang w:val="uk-UA"/>
        </w:rPr>
        <w:t>бакпосіву</w:t>
      </w:r>
      <w:proofErr w:type="spellEnd"/>
      <w:r w:rsidRPr="00ED35A9">
        <w:rPr>
          <w:szCs w:val="28"/>
          <w:lang w:val="uk-UA"/>
        </w:rPr>
        <w:t xml:space="preserve"> буде менш вираженою, оскільки менша кількість пацієнтів матимуть підпорогові показники кількості бактерій. Проте попередні дослідження із вибіркою даних з різних регіонів, в яких показник позитивного ВІЛ-статусу був низьким, ще у 2011 р. стали підґрунтям для визначення рекомендацій ВООЗ щодо комбінованого застосування мікроскопії та </w:t>
      </w:r>
      <w:proofErr w:type="spellStart"/>
      <w:r w:rsidRPr="00ED35A9">
        <w:rPr>
          <w:szCs w:val="28"/>
          <w:lang w:val="uk-UA"/>
        </w:rPr>
        <w:t>культурального</w:t>
      </w:r>
      <w:proofErr w:type="spellEnd"/>
      <w:r w:rsidRPr="00ED35A9">
        <w:rPr>
          <w:szCs w:val="28"/>
          <w:lang w:val="uk-UA"/>
        </w:rPr>
        <w:t xml:space="preserve"> дослідження, бажано щомісяця.</w:t>
      </w:r>
    </w:p>
    <w:p w:rsidR="00877D83" w:rsidRPr="00ED35A9" w:rsidRDefault="00877D83" w:rsidP="00B57F35">
      <w:pPr>
        <w:spacing w:line="228" w:lineRule="auto"/>
        <w:rPr>
          <w:szCs w:val="28"/>
          <w:lang w:val="uk-UA"/>
        </w:rPr>
      </w:pPr>
      <w:r w:rsidRPr="00ED35A9">
        <w:rPr>
          <w:b/>
          <w:i/>
          <w:szCs w:val="28"/>
          <w:lang w:val="uk-UA"/>
        </w:rPr>
        <w:t>Пацієнти на короткостроковій схемі лікування МРТБ</w:t>
      </w:r>
      <w:r w:rsidRPr="00ED35A9">
        <w:rPr>
          <w:szCs w:val="28"/>
          <w:lang w:val="uk-UA"/>
        </w:rPr>
        <w:t xml:space="preserve"> мають скорочену тривалість інтенсивної фази та загального лікування. Вони отримують 7 препаратів на початковій фазі, і, якщо відповідають критеріям включення/виключення, зазвичай мають більш сприятливий прогноз, ніж при проведенні стандартного лікування МРТБ. Таким чином, пацієнти на короткострокових схемах лікування МРТБ можуть потребувати проведення менш частого моніторингу лікування або моніторингу без </w:t>
      </w:r>
      <w:proofErr w:type="spellStart"/>
      <w:r w:rsidRPr="00ED35A9">
        <w:rPr>
          <w:szCs w:val="28"/>
          <w:lang w:val="uk-UA"/>
        </w:rPr>
        <w:t>культуральних</w:t>
      </w:r>
      <w:proofErr w:type="spellEnd"/>
      <w:r w:rsidRPr="00ED35A9">
        <w:rPr>
          <w:szCs w:val="28"/>
          <w:lang w:val="uk-UA"/>
        </w:rPr>
        <w:t xml:space="preserve"> досліджень. Хоча поточний аналіз не включав пацієнтів на короткострокових схемах лікування, ГРН пропонує під час впровадження програми з лікування ТБ із застосуванням цієї схеми частіше проводити </w:t>
      </w:r>
      <w:proofErr w:type="spellStart"/>
      <w:r w:rsidRPr="00ED35A9">
        <w:rPr>
          <w:szCs w:val="28"/>
          <w:lang w:val="uk-UA"/>
        </w:rPr>
        <w:t>культуральне</w:t>
      </w:r>
      <w:proofErr w:type="spellEnd"/>
      <w:r w:rsidRPr="00ED35A9">
        <w:rPr>
          <w:szCs w:val="28"/>
          <w:lang w:val="uk-UA"/>
        </w:rPr>
        <w:t xml:space="preserve"> дослідження, особливо після завершення інтенсивної фази лікування, для бактеріологічного підтвердження відповіді на лікування в тих пацієнтів, у яких терапію було завершено без ознак невдачі лікування. Будь-які ознаки рецидиву після припинення лікування також слід виявляти за допомогою проведення мікроскопії мокротиння, </w:t>
      </w:r>
      <w:proofErr w:type="spellStart"/>
      <w:r w:rsidRPr="00ED35A9">
        <w:rPr>
          <w:szCs w:val="28"/>
          <w:lang w:val="uk-UA"/>
        </w:rPr>
        <w:t>культурального</w:t>
      </w:r>
      <w:proofErr w:type="spellEnd"/>
      <w:r w:rsidRPr="00ED35A9">
        <w:rPr>
          <w:szCs w:val="28"/>
          <w:lang w:val="uk-UA"/>
        </w:rPr>
        <w:t xml:space="preserve"> дослідження та ТМЧ.</w:t>
      </w:r>
    </w:p>
    <w:p w:rsidR="00877D83" w:rsidRPr="00ED35A9" w:rsidRDefault="00877D83" w:rsidP="00B57F35">
      <w:pPr>
        <w:spacing w:line="228" w:lineRule="auto"/>
        <w:rPr>
          <w:b/>
          <w:szCs w:val="28"/>
          <w:lang w:val="uk-UA"/>
        </w:rPr>
      </w:pPr>
      <w:r w:rsidRPr="00ED35A9">
        <w:rPr>
          <w:b/>
          <w:szCs w:val="28"/>
          <w:lang w:val="uk-UA"/>
        </w:rPr>
        <w:t>Впровадження рекомендацій</w:t>
      </w:r>
    </w:p>
    <w:p w:rsidR="00877D83" w:rsidRPr="00ED35A9" w:rsidRDefault="00877D83" w:rsidP="00B57F35">
      <w:pPr>
        <w:spacing w:line="228" w:lineRule="auto"/>
        <w:rPr>
          <w:szCs w:val="28"/>
          <w:lang w:val="uk-UA"/>
        </w:rPr>
      </w:pPr>
      <w:r w:rsidRPr="00ED35A9">
        <w:rPr>
          <w:szCs w:val="28"/>
          <w:lang w:val="uk-UA"/>
        </w:rPr>
        <w:t xml:space="preserve">Для забезпечення належної лабораторної діагностики ТБ необхідною умовою є взяття якісних зразків мокротиння. Крім того, в лабораторіях має бути достатньо місця для забезпечення якості, безпечності та ефективності надання послуг клієнтам, які проходять тестування, із дотриманням норм безпеки для лабораторного персоналу, пацієнтів та відвідувачів </w:t>
      </w:r>
      <w:r w:rsidRPr="00ED35A9">
        <w:rPr>
          <w:i/>
          <w:szCs w:val="28"/>
          <w:lang w:val="uk-UA"/>
        </w:rPr>
        <w:t>(70)</w:t>
      </w:r>
      <w:r w:rsidRPr="00ED35A9">
        <w:rPr>
          <w:szCs w:val="28"/>
          <w:lang w:val="uk-UA"/>
        </w:rPr>
        <w:t xml:space="preserve">. Деякі країни мають певні труднощі, пов’язані із впровадженням та забезпеченням належної якості </w:t>
      </w:r>
      <w:proofErr w:type="spellStart"/>
      <w:r w:rsidRPr="00ED35A9">
        <w:rPr>
          <w:szCs w:val="28"/>
          <w:lang w:val="uk-UA"/>
        </w:rPr>
        <w:t>культурального</w:t>
      </w:r>
      <w:proofErr w:type="spellEnd"/>
      <w:r w:rsidRPr="00ED35A9">
        <w:rPr>
          <w:szCs w:val="28"/>
          <w:lang w:val="uk-UA"/>
        </w:rPr>
        <w:t xml:space="preserve"> дослідження мокротиння, що впливає на дану рекомендацію, оскільки вона передбачає доступ до лабораторій з контролем якості для проведення </w:t>
      </w:r>
      <w:proofErr w:type="spellStart"/>
      <w:r w:rsidRPr="00ED35A9">
        <w:rPr>
          <w:szCs w:val="28"/>
          <w:lang w:val="uk-UA"/>
        </w:rPr>
        <w:t>бакпосіву</w:t>
      </w:r>
      <w:proofErr w:type="spellEnd"/>
      <w:r w:rsidRPr="00ED35A9">
        <w:rPr>
          <w:szCs w:val="28"/>
          <w:lang w:val="uk-UA"/>
        </w:rPr>
        <w:t xml:space="preserve">. Мікроскопія мокротиння та </w:t>
      </w:r>
      <w:proofErr w:type="spellStart"/>
      <w:r w:rsidRPr="00ED35A9">
        <w:rPr>
          <w:szCs w:val="28"/>
          <w:lang w:val="uk-UA"/>
        </w:rPr>
        <w:t>культуральне</w:t>
      </w:r>
      <w:proofErr w:type="spellEnd"/>
      <w:r w:rsidRPr="00ED35A9">
        <w:rPr>
          <w:szCs w:val="28"/>
          <w:lang w:val="uk-UA"/>
        </w:rPr>
        <w:t xml:space="preserve"> дослідження також залежать від якості зразка мокротиння, тому необхідною умовою для отримання </w:t>
      </w:r>
      <w:proofErr w:type="spellStart"/>
      <w:r w:rsidRPr="00ED35A9">
        <w:rPr>
          <w:szCs w:val="28"/>
          <w:lang w:val="uk-UA"/>
        </w:rPr>
        <w:t>валідного</w:t>
      </w:r>
      <w:proofErr w:type="spellEnd"/>
      <w:r w:rsidRPr="00ED35A9">
        <w:rPr>
          <w:szCs w:val="28"/>
          <w:lang w:val="uk-UA"/>
        </w:rPr>
        <w:t xml:space="preserve"> результату </w:t>
      </w:r>
      <w:proofErr w:type="spellStart"/>
      <w:r w:rsidRPr="00ED35A9">
        <w:rPr>
          <w:szCs w:val="28"/>
          <w:lang w:val="uk-UA"/>
        </w:rPr>
        <w:t>культурального</w:t>
      </w:r>
      <w:proofErr w:type="spellEnd"/>
      <w:r w:rsidRPr="00ED35A9">
        <w:rPr>
          <w:szCs w:val="28"/>
          <w:lang w:val="uk-UA"/>
        </w:rPr>
        <w:t xml:space="preserve"> дослідження є взяття зразків належної якості із дотриманням стандартів щодо підтримки життєздатності мікобактерії ТБ під час їх транспортування до лабораторії.</w:t>
      </w:r>
    </w:p>
    <w:p w:rsidR="00877D83" w:rsidRPr="00ED35A9" w:rsidRDefault="00877D83" w:rsidP="00877D83">
      <w:pPr>
        <w:rPr>
          <w:szCs w:val="28"/>
          <w:lang w:val="uk-UA"/>
        </w:rPr>
      </w:pPr>
      <w:r w:rsidRPr="00ED35A9">
        <w:rPr>
          <w:szCs w:val="28"/>
          <w:lang w:val="uk-UA"/>
        </w:rPr>
        <w:lastRenderedPageBreak/>
        <w:t>При лікуванні пацієнтів з МРТБ у програмних умовах лікар зазвичай покладається не лише на результати бактеріологічних тестів, а й враховує певні маркери відповіді на лікування або прогресування захворювання, зокрема загальний стан пацієнта, поступове підвищення показників маси тіла, динаміку проявів захворювання, показники аналізу крові та результати візуального обстеження (наприклад, рентгенографії грудної кліт</w:t>
      </w:r>
      <w:r w:rsidR="00236DCB" w:rsidRPr="00ED35A9">
        <w:rPr>
          <w:szCs w:val="28"/>
          <w:lang w:val="uk-UA"/>
        </w:rPr>
        <w:t>к</w:t>
      </w:r>
      <w:r w:rsidRPr="00ED35A9">
        <w:rPr>
          <w:szCs w:val="28"/>
          <w:lang w:val="uk-UA"/>
        </w:rPr>
        <w:t xml:space="preserve">и). Потенційне використання дослідження </w:t>
      </w:r>
      <w:proofErr w:type="spellStart"/>
      <w:r w:rsidRPr="00ED35A9">
        <w:rPr>
          <w:szCs w:val="28"/>
          <w:lang w:val="uk-UA"/>
        </w:rPr>
        <w:t>Xpert</w:t>
      </w:r>
      <w:proofErr w:type="spellEnd"/>
      <w:r w:rsidRPr="00ED35A9">
        <w:rPr>
          <w:szCs w:val="28"/>
          <w:lang w:val="uk-UA"/>
        </w:rPr>
        <w:t xml:space="preserve"> MTB/RIF при проведенні моніторингу реакції на лікування ще має бути визначене </w:t>
      </w:r>
      <w:r w:rsidRPr="00ED35A9">
        <w:rPr>
          <w:i/>
          <w:szCs w:val="28"/>
          <w:lang w:val="uk-UA"/>
        </w:rPr>
        <w:t>(71, 72)</w:t>
      </w:r>
      <w:r w:rsidRPr="00ED35A9">
        <w:rPr>
          <w:szCs w:val="28"/>
          <w:lang w:val="uk-UA"/>
        </w:rPr>
        <w:t>.</w:t>
      </w:r>
    </w:p>
    <w:p w:rsidR="00877D83" w:rsidRPr="00ED35A9" w:rsidRDefault="00877D83" w:rsidP="00877D83">
      <w:pPr>
        <w:rPr>
          <w:szCs w:val="28"/>
          <w:lang w:val="uk-UA"/>
        </w:rPr>
      </w:pPr>
      <w:r w:rsidRPr="00ED35A9">
        <w:rPr>
          <w:szCs w:val="28"/>
          <w:lang w:val="uk-UA"/>
        </w:rPr>
        <w:t xml:space="preserve">Впровадження більш частого </w:t>
      </w:r>
      <w:proofErr w:type="spellStart"/>
      <w:r w:rsidRPr="00ED35A9">
        <w:rPr>
          <w:szCs w:val="28"/>
          <w:lang w:val="uk-UA"/>
        </w:rPr>
        <w:t>культурального</w:t>
      </w:r>
      <w:proofErr w:type="spellEnd"/>
      <w:r w:rsidRPr="00ED35A9">
        <w:rPr>
          <w:szCs w:val="28"/>
          <w:lang w:val="uk-UA"/>
        </w:rPr>
        <w:t xml:space="preserve"> дослідження потребуватиме наявності належних ресурсів як для лабораторій, що проводять тестування, так і для пацієнтів, яким може знадобитися більше часу на відвідування закладів, і, подекуди, оплачувати тестування. Врахування цінностей і вподобань пацієнта є важливими умовою забезпечення більш прийнятного та пацієнт-орієнтованого надання медичних послуг. Розширення моніторингу не слід впроваджувати за рахунок перенавантаження лабораторій або порушення рівності доступу до послуг охорони здоров’я шляхом </w:t>
      </w:r>
      <w:r w:rsidR="00711E83" w:rsidRPr="00ED35A9">
        <w:rPr>
          <w:szCs w:val="28"/>
          <w:lang w:val="uk-UA"/>
        </w:rPr>
        <w:t xml:space="preserve">запозичення </w:t>
      </w:r>
      <w:r w:rsidRPr="00ED35A9">
        <w:rPr>
          <w:szCs w:val="28"/>
          <w:lang w:val="uk-UA"/>
        </w:rPr>
        <w:t>ресурсів з інших важливих компонентів програми.</w:t>
      </w:r>
    </w:p>
    <w:p w:rsidR="00877D83" w:rsidRPr="00ED35A9" w:rsidRDefault="00877D83" w:rsidP="00877D83">
      <w:pPr>
        <w:rPr>
          <w:b/>
          <w:szCs w:val="28"/>
          <w:lang w:val="uk-UA"/>
        </w:rPr>
      </w:pPr>
      <w:r w:rsidRPr="00ED35A9">
        <w:rPr>
          <w:b/>
          <w:szCs w:val="28"/>
          <w:lang w:val="uk-UA"/>
        </w:rPr>
        <w:t>Моніторинг та оцінювання</w:t>
      </w:r>
    </w:p>
    <w:p w:rsidR="00877D83" w:rsidRPr="00ED35A9" w:rsidRDefault="00877D83" w:rsidP="00877D83">
      <w:pPr>
        <w:rPr>
          <w:szCs w:val="28"/>
          <w:lang w:val="uk-UA"/>
        </w:rPr>
      </w:pPr>
      <w:r w:rsidRPr="00ED35A9">
        <w:rPr>
          <w:szCs w:val="28"/>
          <w:lang w:val="uk-UA"/>
        </w:rPr>
        <w:t xml:space="preserve">Результати </w:t>
      </w:r>
      <w:proofErr w:type="spellStart"/>
      <w:r w:rsidRPr="00ED35A9">
        <w:rPr>
          <w:szCs w:val="28"/>
          <w:lang w:val="uk-UA"/>
        </w:rPr>
        <w:t>культурального</w:t>
      </w:r>
      <w:proofErr w:type="spellEnd"/>
      <w:r w:rsidRPr="00ED35A9">
        <w:rPr>
          <w:szCs w:val="28"/>
          <w:lang w:val="uk-UA"/>
        </w:rPr>
        <w:t xml:space="preserve"> дослідження та мікроскопії мокротиння пацієнтів, що проходять лікування МРТБ, необхідно заносити до Реєстру протитуберкульозної терапії другого ряду, а також до відповідних лабораторних реєстрів </w:t>
      </w:r>
      <w:r w:rsidRPr="00ED35A9">
        <w:rPr>
          <w:i/>
          <w:szCs w:val="28"/>
          <w:lang w:val="uk-UA"/>
        </w:rPr>
        <w:t>(12)</w:t>
      </w:r>
      <w:r w:rsidRPr="00ED35A9">
        <w:rPr>
          <w:szCs w:val="28"/>
          <w:lang w:val="uk-UA"/>
        </w:rPr>
        <w:t xml:space="preserve">. Іноді такі реєстри можуть бути складовою частиною електронної лабораторної або </w:t>
      </w:r>
      <w:proofErr w:type="spellStart"/>
      <w:r w:rsidRPr="00ED35A9">
        <w:rPr>
          <w:szCs w:val="28"/>
          <w:lang w:val="uk-UA"/>
        </w:rPr>
        <w:t>пацієнтської</w:t>
      </w:r>
      <w:proofErr w:type="spellEnd"/>
      <w:r w:rsidRPr="00ED35A9">
        <w:rPr>
          <w:szCs w:val="28"/>
          <w:lang w:val="uk-UA"/>
        </w:rPr>
        <w:t xml:space="preserve"> інформаційної системи, що істотно полегшує доступ до даних кількох користувачів у реальному часі, а також може сприяти обмеженню виникнення помилок. Для менеджерів програми лікування ТБ важливим є оцінювання записів у Реєстрі протитуберкульозної терапії другого ряду щодо повноти дослідження як </w:t>
      </w:r>
      <w:proofErr w:type="spellStart"/>
      <w:r w:rsidRPr="00ED35A9">
        <w:rPr>
          <w:szCs w:val="28"/>
          <w:lang w:val="uk-UA"/>
        </w:rPr>
        <w:t>культурального</w:t>
      </w:r>
      <w:proofErr w:type="spellEnd"/>
      <w:r w:rsidRPr="00ED35A9">
        <w:rPr>
          <w:szCs w:val="28"/>
          <w:lang w:val="uk-UA"/>
        </w:rPr>
        <w:t xml:space="preserve">, так і мікроскопії мокротиння, виявлення будь-яких розбіжностей між двома способами та визначення, чи результати досліджень або рішення про заміну схеми є когерентними (наприклад, чи достатньою є кількість негативних результатів </w:t>
      </w:r>
      <w:proofErr w:type="spellStart"/>
      <w:r w:rsidRPr="00ED35A9">
        <w:rPr>
          <w:szCs w:val="28"/>
          <w:lang w:val="uk-UA"/>
        </w:rPr>
        <w:t>культуральних</w:t>
      </w:r>
      <w:proofErr w:type="spellEnd"/>
      <w:r w:rsidRPr="00ED35A9">
        <w:rPr>
          <w:szCs w:val="28"/>
          <w:lang w:val="uk-UA"/>
        </w:rPr>
        <w:t xml:space="preserve"> досліджень, щоб результат лікування класифікувати як «Курс лікування завершено»?). Занесення до </w:t>
      </w:r>
      <w:proofErr w:type="spellStart"/>
      <w:r w:rsidRPr="00ED35A9">
        <w:rPr>
          <w:szCs w:val="28"/>
          <w:lang w:val="uk-UA"/>
        </w:rPr>
        <w:t>пацієнтських</w:t>
      </w:r>
      <w:proofErr w:type="spellEnd"/>
      <w:r w:rsidRPr="00ED35A9">
        <w:rPr>
          <w:szCs w:val="28"/>
          <w:lang w:val="uk-UA"/>
        </w:rPr>
        <w:t xml:space="preserve"> інформаційних систем таких індикаторів ефективності, як показники контамінації, час оброблення та кількість </w:t>
      </w:r>
      <w:proofErr w:type="spellStart"/>
      <w:r w:rsidRPr="00ED35A9">
        <w:rPr>
          <w:szCs w:val="28"/>
          <w:lang w:val="uk-UA"/>
        </w:rPr>
        <w:t>культуральних</w:t>
      </w:r>
      <w:proofErr w:type="spellEnd"/>
      <w:r w:rsidRPr="00ED35A9">
        <w:rPr>
          <w:szCs w:val="28"/>
          <w:lang w:val="uk-UA"/>
        </w:rPr>
        <w:t xml:space="preserve"> досліджень без отримання належного результату тестування, допоможе покращити якість медичної допомоги. У випадку повторного отримання позитивного результату </w:t>
      </w:r>
      <w:proofErr w:type="spellStart"/>
      <w:r w:rsidRPr="00ED35A9">
        <w:rPr>
          <w:szCs w:val="28"/>
          <w:lang w:val="uk-UA"/>
        </w:rPr>
        <w:t>культурального</w:t>
      </w:r>
      <w:proofErr w:type="spellEnd"/>
      <w:r w:rsidRPr="00ED35A9">
        <w:rPr>
          <w:szCs w:val="28"/>
          <w:lang w:val="uk-UA"/>
        </w:rPr>
        <w:t xml:space="preserve"> дослідження важливим є повторне проведення тестування на медикаментозну чутливість або резистентність.</w:t>
      </w:r>
    </w:p>
    <w:p w:rsidR="00182F4F" w:rsidRPr="00ED35A9" w:rsidRDefault="00182F4F">
      <w:pPr>
        <w:spacing w:after="160" w:line="259" w:lineRule="auto"/>
        <w:ind w:firstLine="0"/>
        <w:jc w:val="left"/>
        <w:rPr>
          <w:rFonts w:cs="Times New Roman"/>
          <w:szCs w:val="28"/>
          <w:lang w:val="uk-UA"/>
        </w:rPr>
      </w:pPr>
      <w:r w:rsidRPr="00ED35A9">
        <w:rPr>
          <w:rFonts w:cs="Times New Roman"/>
          <w:szCs w:val="28"/>
          <w:lang w:val="uk-UA"/>
        </w:rPr>
        <w:br w:type="page"/>
      </w:r>
    </w:p>
    <w:p w:rsidR="00E91B80" w:rsidRPr="00ED35A9" w:rsidRDefault="00E91B80" w:rsidP="00E91B80">
      <w:pPr>
        <w:pStyle w:val="2"/>
        <w:rPr>
          <w:lang w:val="uk-UA"/>
        </w:rPr>
      </w:pPr>
      <w:bookmarkStart w:id="53" w:name="_Toc18416324"/>
      <w:bookmarkEnd w:id="49"/>
      <w:bookmarkEnd w:id="50"/>
      <w:r w:rsidRPr="00ED35A9">
        <w:rPr>
          <w:lang w:val="uk-UA"/>
        </w:rPr>
        <w:lastRenderedPageBreak/>
        <w:t xml:space="preserve">Розділ 6. Початок </w:t>
      </w:r>
      <w:proofErr w:type="spellStart"/>
      <w:r w:rsidRPr="00ED35A9">
        <w:rPr>
          <w:lang w:val="uk-UA"/>
        </w:rPr>
        <w:t>антиретровірусної</w:t>
      </w:r>
      <w:proofErr w:type="spellEnd"/>
      <w:r w:rsidRPr="00ED35A9">
        <w:rPr>
          <w:lang w:val="uk-UA"/>
        </w:rPr>
        <w:t xml:space="preserve"> терапії у пацієнтів на схемах протитуберкульозних препаратів другого ряду</w:t>
      </w:r>
      <w:bookmarkEnd w:id="53"/>
    </w:p>
    <w:tbl>
      <w:tblPr>
        <w:tblStyle w:val="a8"/>
        <w:tblW w:w="0" w:type="auto"/>
        <w:tblInd w:w="108" w:type="dxa"/>
        <w:shd w:val="clear" w:color="auto" w:fill="DEEAF6" w:themeFill="accent1" w:themeFillTint="33"/>
        <w:tblLook w:val="04A0" w:firstRow="1" w:lastRow="0" w:firstColumn="1" w:lastColumn="0" w:noHBand="0" w:noVBand="1"/>
      </w:tblPr>
      <w:tblGrid>
        <w:gridCol w:w="9356"/>
      </w:tblGrid>
      <w:tr w:rsidR="00E91B80" w:rsidRPr="00850C2F" w:rsidTr="008E33EA">
        <w:tc>
          <w:tcPr>
            <w:tcW w:w="9356" w:type="dxa"/>
            <w:shd w:val="clear" w:color="auto" w:fill="DEEAF6" w:themeFill="accent1" w:themeFillTint="33"/>
          </w:tcPr>
          <w:p w:rsidR="00E91B80" w:rsidRPr="00ED35A9" w:rsidRDefault="00E91B80" w:rsidP="008E33EA">
            <w:pPr>
              <w:spacing w:before="120" w:after="120"/>
              <w:ind w:firstLine="0"/>
              <w:jc w:val="center"/>
              <w:rPr>
                <w:szCs w:val="28"/>
                <w:lang w:val="uk-UA"/>
              </w:rPr>
            </w:pPr>
            <w:bookmarkStart w:id="54" w:name="bookmark54"/>
            <w:bookmarkStart w:id="55" w:name="_Toc417570608"/>
            <w:r w:rsidRPr="00ED35A9">
              <w:rPr>
                <w:b/>
                <w:szCs w:val="28"/>
                <w:lang w:val="uk-UA"/>
              </w:rPr>
              <w:t>Рекомендації</w:t>
            </w:r>
          </w:p>
          <w:p w:rsidR="00E91B80" w:rsidRPr="00ED35A9" w:rsidRDefault="00E91B80" w:rsidP="008E33EA">
            <w:pPr>
              <w:spacing w:after="120"/>
              <w:ind w:firstLine="0"/>
              <w:rPr>
                <w:szCs w:val="28"/>
                <w:lang w:val="uk-UA"/>
              </w:rPr>
            </w:pPr>
            <w:r w:rsidRPr="00ED35A9">
              <w:rPr>
                <w:szCs w:val="28"/>
                <w:lang w:val="uk-UA"/>
              </w:rPr>
              <w:t>6.1. Починати АРТ рекомендовано в усіх пацієнтів з ВІЛ та ЛС-ТБ, що потребують застосування ПТП другого ряду, незалежно від кількості клітин CD4 якомога раніше (протягом перших восьми тижнів) після початку протитуберкульозної терапії (наполеглива рекомендація, дуже низька якість доказових даних).</w:t>
            </w:r>
          </w:p>
        </w:tc>
      </w:tr>
    </w:tbl>
    <w:bookmarkEnd w:id="54"/>
    <w:bookmarkEnd w:id="55"/>
    <w:p w:rsidR="00E91B80" w:rsidRPr="00ED35A9" w:rsidRDefault="00E91B80" w:rsidP="00E91B80">
      <w:pPr>
        <w:spacing w:before="120"/>
        <w:rPr>
          <w:rFonts w:cs="Times New Roman"/>
          <w:b/>
          <w:szCs w:val="28"/>
          <w:lang w:val="uk-UA"/>
        </w:rPr>
      </w:pPr>
      <w:r w:rsidRPr="00ED35A9">
        <w:rPr>
          <w:rFonts w:cs="Times New Roman"/>
          <w:b/>
          <w:szCs w:val="28"/>
          <w:lang w:val="uk-UA"/>
        </w:rPr>
        <w:t>Обґрунтування та доказові дані</w:t>
      </w:r>
    </w:p>
    <w:p w:rsidR="00E91B80" w:rsidRPr="00ED35A9" w:rsidRDefault="00E91B80" w:rsidP="00E91B80">
      <w:pPr>
        <w:spacing w:after="120"/>
        <w:rPr>
          <w:rFonts w:cs="Times New Roman"/>
          <w:szCs w:val="28"/>
          <w:lang w:val="uk-UA"/>
        </w:rPr>
      </w:pPr>
      <w:r w:rsidRPr="00ED35A9">
        <w:rPr>
          <w:rFonts w:cs="Times New Roman"/>
          <w:szCs w:val="28"/>
          <w:lang w:val="uk-UA"/>
        </w:rPr>
        <w:t>Рекомендації цього розділу дають відповідь на одне запитання PICO (</w:t>
      </w:r>
      <w:r w:rsidRPr="00ED35A9">
        <w:rPr>
          <w:rFonts w:cs="Times New Roman"/>
          <w:i/>
          <w:szCs w:val="28"/>
          <w:lang w:val="uk-UA"/>
        </w:rPr>
        <w:t>див.</w:t>
      </w:r>
      <w:r w:rsidRPr="00ED35A9">
        <w:rPr>
          <w:rFonts w:cs="Times New Roman"/>
          <w:szCs w:val="28"/>
          <w:lang w:val="uk-UA"/>
        </w:rPr>
        <w:t xml:space="preserve"> додаток 1)</w:t>
      </w:r>
      <w:r w:rsidRPr="00ED35A9">
        <w:rPr>
          <w:szCs w:val="28"/>
          <w:lang w:val="uk-UA"/>
        </w:rPr>
        <w:t>.</w:t>
      </w:r>
    </w:p>
    <w:tbl>
      <w:tblPr>
        <w:tblStyle w:val="a8"/>
        <w:tblW w:w="0" w:type="auto"/>
        <w:tblInd w:w="108" w:type="dxa"/>
        <w:tblLook w:val="04A0" w:firstRow="1" w:lastRow="0" w:firstColumn="1" w:lastColumn="0" w:noHBand="0" w:noVBand="1"/>
      </w:tblPr>
      <w:tblGrid>
        <w:gridCol w:w="9356"/>
      </w:tblGrid>
      <w:tr w:rsidR="00E91B80" w:rsidRPr="00850C2F" w:rsidTr="008E33EA">
        <w:tc>
          <w:tcPr>
            <w:tcW w:w="9356" w:type="dxa"/>
          </w:tcPr>
          <w:p w:rsidR="00E91B80" w:rsidRPr="00ED35A9" w:rsidRDefault="00E91B80" w:rsidP="008E33EA">
            <w:pPr>
              <w:spacing w:before="120"/>
              <w:ind w:firstLine="0"/>
              <w:rPr>
                <w:b/>
                <w:i/>
                <w:szCs w:val="28"/>
                <w:lang w:val="uk-UA"/>
              </w:rPr>
            </w:pPr>
            <w:r w:rsidRPr="00ED35A9">
              <w:rPr>
                <w:b/>
                <w:i/>
                <w:szCs w:val="28"/>
                <w:lang w:val="uk-UA"/>
              </w:rPr>
              <w:t>Запитання PICO 6 (ЛС-ТБ, 20</w:t>
            </w:r>
            <w:r w:rsidR="006D00C8" w:rsidRPr="00ED35A9">
              <w:rPr>
                <w:b/>
                <w:i/>
                <w:szCs w:val="28"/>
                <w:lang w:val="uk-UA"/>
              </w:rPr>
              <w:t>11 р.)</w:t>
            </w:r>
          </w:p>
          <w:p w:rsidR="00E91B80" w:rsidRPr="00ED35A9" w:rsidRDefault="00E91B80" w:rsidP="008E33EA">
            <w:pPr>
              <w:spacing w:after="120"/>
              <w:ind w:firstLine="0"/>
              <w:rPr>
                <w:szCs w:val="28"/>
                <w:lang w:val="uk-UA"/>
              </w:rPr>
            </w:pPr>
            <w:r w:rsidRPr="00ED35A9">
              <w:rPr>
                <w:szCs w:val="28"/>
                <w:lang w:val="uk-UA"/>
              </w:rPr>
              <w:t xml:space="preserve">Чи застосування препаратів із перехресною токсичністю та потенційно адитивним ефектом у пацієнтів з ВІЛ-інфекцією та ЛС-ТБ, що отримують АРТ, призведе до підвищення чи зниження показників </w:t>
            </w:r>
            <w:r w:rsidR="006D127C" w:rsidRPr="00ED35A9">
              <w:rPr>
                <w:szCs w:val="28"/>
                <w:lang w:val="uk-UA"/>
              </w:rPr>
              <w:t>одужання</w:t>
            </w:r>
            <w:r w:rsidRPr="00ED35A9">
              <w:rPr>
                <w:szCs w:val="28"/>
                <w:lang w:val="uk-UA"/>
              </w:rPr>
              <w:t xml:space="preserve"> або інших результатів лікування порівняно до уникнення застосування таких препаратів</w:t>
            </w:r>
            <w:r w:rsidRPr="00ED35A9">
              <w:rPr>
                <w:rStyle w:val="ac"/>
                <w:szCs w:val="28"/>
                <w:lang w:val="uk-UA"/>
              </w:rPr>
              <w:footnoteReference w:id="25"/>
            </w:r>
            <w:r w:rsidRPr="00ED35A9">
              <w:rPr>
                <w:szCs w:val="28"/>
                <w:lang w:val="uk-UA"/>
              </w:rPr>
              <w:t>?</w:t>
            </w:r>
          </w:p>
        </w:tc>
      </w:tr>
    </w:tbl>
    <w:p w:rsidR="00E91B80" w:rsidRPr="00ED35A9" w:rsidRDefault="00E91B80" w:rsidP="00E91B80">
      <w:pPr>
        <w:spacing w:before="120"/>
        <w:rPr>
          <w:rFonts w:cs="Times New Roman"/>
          <w:szCs w:val="28"/>
          <w:lang w:val="uk-UA"/>
        </w:rPr>
      </w:pPr>
      <w:r w:rsidRPr="00ED35A9">
        <w:rPr>
          <w:szCs w:val="28"/>
          <w:lang w:val="uk-UA"/>
        </w:rPr>
        <w:t xml:space="preserve">Для </w:t>
      </w:r>
      <w:r w:rsidRPr="00ED35A9">
        <w:rPr>
          <w:rFonts w:cs="Times New Roman"/>
          <w:szCs w:val="28"/>
          <w:lang w:val="uk-UA"/>
        </w:rPr>
        <w:t>оцін</w:t>
      </w:r>
      <w:r w:rsidRPr="00ED35A9">
        <w:rPr>
          <w:szCs w:val="28"/>
          <w:lang w:val="uk-UA"/>
        </w:rPr>
        <w:t xml:space="preserve">ювання </w:t>
      </w:r>
      <w:r w:rsidRPr="00ED35A9">
        <w:rPr>
          <w:rFonts w:cs="Times New Roman"/>
          <w:szCs w:val="28"/>
          <w:lang w:val="uk-UA"/>
        </w:rPr>
        <w:t>результатів лікування пацієнтів</w:t>
      </w:r>
      <w:r w:rsidRPr="00ED35A9">
        <w:rPr>
          <w:szCs w:val="28"/>
          <w:lang w:val="uk-UA"/>
        </w:rPr>
        <w:t xml:space="preserve"> було </w:t>
      </w:r>
      <w:proofErr w:type="spellStart"/>
      <w:r w:rsidRPr="00ED35A9">
        <w:rPr>
          <w:rFonts w:cs="Times New Roman"/>
          <w:szCs w:val="28"/>
          <w:lang w:val="uk-UA"/>
        </w:rPr>
        <w:t>переглянут</w:t>
      </w:r>
      <w:r w:rsidRPr="00ED35A9">
        <w:rPr>
          <w:szCs w:val="28"/>
          <w:lang w:val="uk-UA"/>
        </w:rPr>
        <w:t>о</w:t>
      </w:r>
      <w:proofErr w:type="spellEnd"/>
      <w:r w:rsidRPr="00ED35A9">
        <w:rPr>
          <w:szCs w:val="28"/>
          <w:lang w:val="uk-UA"/>
        </w:rPr>
        <w:t xml:space="preserve"> </w:t>
      </w:r>
      <w:r w:rsidRPr="00ED35A9">
        <w:rPr>
          <w:rFonts w:cs="Times New Roman"/>
          <w:szCs w:val="28"/>
          <w:lang w:val="uk-UA"/>
        </w:rPr>
        <w:t>доказові дані 10</w:t>
      </w:r>
      <w:r w:rsidRPr="00ED35A9">
        <w:rPr>
          <w:szCs w:val="28"/>
          <w:lang w:val="uk-UA"/>
        </w:rPr>
        <w:t> </w:t>
      </w:r>
      <w:r w:rsidRPr="00ED35A9">
        <w:rPr>
          <w:rFonts w:cs="Times New Roman"/>
          <w:szCs w:val="28"/>
          <w:lang w:val="uk-UA"/>
        </w:rPr>
        <w:t xml:space="preserve">досліджень </w:t>
      </w:r>
      <w:r w:rsidRPr="00ED35A9">
        <w:rPr>
          <w:rFonts w:cs="Times New Roman"/>
          <w:i/>
          <w:szCs w:val="28"/>
          <w:lang w:val="uk-UA"/>
        </w:rPr>
        <w:t>(73</w:t>
      </w:r>
      <w:r w:rsidRPr="00ED35A9">
        <w:rPr>
          <w:i/>
          <w:szCs w:val="28"/>
          <w:lang w:val="uk-UA"/>
        </w:rPr>
        <w:t>–</w:t>
      </w:r>
      <w:r w:rsidRPr="00ED35A9">
        <w:rPr>
          <w:rFonts w:cs="Times New Roman"/>
          <w:i/>
          <w:szCs w:val="28"/>
          <w:lang w:val="uk-UA"/>
        </w:rPr>
        <w:t>82)</w:t>
      </w:r>
      <w:r w:rsidRPr="00ED35A9">
        <w:rPr>
          <w:szCs w:val="28"/>
          <w:lang w:val="uk-UA"/>
        </w:rPr>
        <w:t xml:space="preserve"> із </w:t>
      </w:r>
      <w:r w:rsidRPr="00ED35A9">
        <w:rPr>
          <w:rFonts w:cs="Times New Roman"/>
          <w:szCs w:val="28"/>
          <w:lang w:val="uk-UA"/>
        </w:rPr>
        <w:t>спільн</w:t>
      </w:r>
      <w:r w:rsidRPr="00ED35A9">
        <w:rPr>
          <w:szCs w:val="28"/>
          <w:lang w:val="uk-UA"/>
        </w:rPr>
        <w:t xml:space="preserve">им застосуванням </w:t>
      </w:r>
      <w:r w:rsidRPr="00ED35A9">
        <w:rPr>
          <w:rFonts w:cs="Times New Roman"/>
          <w:szCs w:val="28"/>
          <w:lang w:val="uk-UA"/>
        </w:rPr>
        <w:t xml:space="preserve">ПТП другого ряду та </w:t>
      </w:r>
      <w:proofErr w:type="spellStart"/>
      <w:r w:rsidRPr="00ED35A9">
        <w:rPr>
          <w:szCs w:val="28"/>
          <w:lang w:val="uk-UA"/>
        </w:rPr>
        <w:t>антиретровірусних</w:t>
      </w:r>
      <w:proofErr w:type="spellEnd"/>
      <w:r w:rsidRPr="00ED35A9">
        <w:rPr>
          <w:szCs w:val="28"/>
          <w:lang w:val="uk-UA"/>
        </w:rPr>
        <w:t xml:space="preserve"> препаратів</w:t>
      </w:r>
      <w:r w:rsidRPr="00ED35A9">
        <w:rPr>
          <w:rFonts w:cs="Times New Roman"/>
          <w:szCs w:val="28"/>
          <w:lang w:val="uk-UA"/>
        </w:rPr>
        <w:t>. Жодні дан</w:t>
      </w:r>
      <w:r w:rsidRPr="00ED35A9">
        <w:rPr>
          <w:szCs w:val="28"/>
          <w:lang w:val="uk-UA"/>
        </w:rPr>
        <w:t xml:space="preserve">і </w:t>
      </w:r>
      <w:r w:rsidRPr="00ED35A9">
        <w:rPr>
          <w:rFonts w:cs="Times New Roman"/>
          <w:szCs w:val="28"/>
          <w:lang w:val="uk-UA"/>
        </w:rPr>
        <w:t>не надходили з</w:t>
      </w:r>
      <w:r w:rsidRPr="00ED35A9">
        <w:rPr>
          <w:szCs w:val="28"/>
          <w:lang w:val="uk-UA"/>
        </w:rPr>
        <w:t xml:space="preserve"> </w:t>
      </w:r>
      <w:r w:rsidRPr="00ED35A9">
        <w:rPr>
          <w:rFonts w:cs="Times New Roman"/>
          <w:szCs w:val="28"/>
          <w:lang w:val="uk-UA"/>
        </w:rPr>
        <w:t xml:space="preserve">РКД. </w:t>
      </w:r>
      <w:r w:rsidRPr="00ED35A9">
        <w:rPr>
          <w:szCs w:val="28"/>
          <w:lang w:val="uk-UA"/>
        </w:rPr>
        <w:t xml:space="preserve">Були </w:t>
      </w:r>
      <w:r w:rsidRPr="00ED35A9">
        <w:rPr>
          <w:rFonts w:cs="Times New Roman"/>
          <w:szCs w:val="28"/>
          <w:lang w:val="uk-UA"/>
        </w:rPr>
        <w:t>доступн</w:t>
      </w:r>
      <w:r w:rsidRPr="00ED35A9">
        <w:rPr>
          <w:szCs w:val="28"/>
          <w:lang w:val="uk-UA"/>
        </w:rPr>
        <w:t xml:space="preserve">ими ІДП </w:t>
      </w:r>
      <w:r w:rsidRPr="00ED35A9">
        <w:rPr>
          <w:rFonts w:cs="Times New Roman"/>
          <w:szCs w:val="28"/>
          <w:lang w:val="uk-UA"/>
        </w:rPr>
        <w:t>217</w:t>
      </w:r>
      <w:r w:rsidRPr="00ED35A9">
        <w:rPr>
          <w:szCs w:val="28"/>
          <w:lang w:val="uk-UA"/>
        </w:rPr>
        <w:t> </w:t>
      </w:r>
      <w:r w:rsidRPr="00ED35A9">
        <w:rPr>
          <w:rFonts w:cs="Times New Roman"/>
          <w:szCs w:val="28"/>
          <w:lang w:val="uk-UA"/>
        </w:rPr>
        <w:t xml:space="preserve">пацієнтів із </w:t>
      </w:r>
      <w:r w:rsidRPr="00ED35A9">
        <w:rPr>
          <w:szCs w:val="28"/>
          <w:lang w:val="uk-UA"/>
        </w:rPr>
        <w:t>ЛС-</w:t>
      </w:r>
      <w:r w:rsidRPr="00ED35A9">
        <w:rPr>
          <w:rFonts w:cs="Times New Roman"/>
          <w:szCs w:val="28"/>
          <w:lang w:val="uk-UA"/>
        </w:rPr>
        <w:t xml:space="preserve">ТБ, 127 з них отримували АРТ. Рівень </w:t>
      </w:r>
      <w:r w:rsidRPr="00ED35A9">
        <w:rPr>
          <w:szCs w:val="28"/>
          <w:lang w:val="uk-UA"/>
        </w:rPr>
        <w:t xml:space="preserve">якості </w:t>
      </w:r>
      <w:r w:rsidRPr="00ED35A9">
        <w:rPr>
          <w:rFonts w:cs="Times New Roman"/>
          <w:szCs w:val="28"/>
          <w:lang w:val="uk-UA"/>
        </w:rPr>
        <w:t>доказов</w:t>
      </w:r>
      <w:r w:rsidRPr="00ED35A9">
        <w:rPr>
          <w:szCs w:val="28"/>
          <w:lang w:val="uk-UA"/>
        </w:rPr>
        <w:t xml:space="preserve">их даних в окремих обсерваційних </w:t>
      </w:r>
      <w:r w:rsidRPr="00ED35A9">
        <w:rPr>
          <w:rFonts w:cs="Times New Roman"/>
          <w:szCs w:val="28"/>
          <w:lang w:val="uk-UA"/>
        </w:rPr>
        <w:t>дослідженнях варіював від низько</w:t>
      </w:r>
      <w:r w:rsidRPr="00ED35A9">
        <w:rPr>
          <w:szCs w:val="28"/>
          <w:lang w:val="uk-UA"/>
        </w:rPr>
        <w:t xml:space="preserve">го </w:t>
      </w:r>
      <w:r w:rsidRPr="00ED35A9">
        <w:rPr>
          <w:rFonts w:cs="Times New Roman"/>
          <w:szCs w:val="28"/>
          <w:lang w:val="uk-UA"/>
        </w:rPr>
        <w:t>до дуже низько</w:t>
      </w:r>
      <w:r w:rsidRPr="00ED35A9">
        <w:rPr>
          <w:szCs w:val="28"/>
          <w:lang w:val="uk-UA"/>
        </w:rPr>
        <w:t>го</w:t>
      </w:r>
      <w:r w:rsidRPr="00ED35A9">
        <w:rPr>
          <w:rFonts w:cs="Times New Roman"/>
          <w:szCs w:val="28"/>
          <w:lang w:val="uk-UA"/>
        </w:rPr>
        <w:t>.</w:t>
      </w:r>
    </w:p>
    <w:p w:rsidR="00E91B80" w:rsidRPr="00ED35A9" w:rsidRDefault="00E91B80" w:rsidP="00E91B80">
      <w:pPr>
        <w:rPr>
          <w:rFonts w:cs="Times New Roman"/>
          <w:szCs w:val="28"/>
          <w:lang w:val="uk-UA"/>
        </w:rPr>
      </w:pPr>
      <w:bookmarkStart w:id="56" w:name="bookmark56"/>
      <w:bookmarkStart w:id="57" w:name="_Toc417570610"/>
      <w:r w:rsidRPr="00ED35A9">
        <w:rPr>
          <w:rFonts w:cs="Times New Roman"/>
          <w:b/>
          <w:szCs w:val="28"/>
          <w:lang w:val="uk-UA"/>
        </w:rPr>
        <w:t>Висновки</w:t>
      </w:r>
      <w:bookmarkEnd w:id="56"/>
      <w:bookmarkEnd w:id="57"/>
    </w:p>
    <w:p w:rsidR="00E91B80" w:rsidRPr="00ED35A9" w:rsidRDefault="00E91B80" w:rsidP="00E91B80">
      <w:pPr>
        <w:rPr>
          <w:rFonts w:cs="Times New Roman"/>
          <w:szCs w:val="28"/>
          <w:lang w:val="uk-UA"/>
        </w:rPr>
      </w:pPr>
      <w:r w:rsidRPr="00ED35A9">
        <w:rPr>
          <w:rFonts w:cs="Times New Roman"/>
          <w:szCs w:val="28"/>
          <w:lang w:val="uk-UA"/>
        </w:rPr>
        <w:t xml:space="preserve">Зібрані ІДП з </w:t>
      </w:r>
      <w:proofErr w:type="spellStart"/>
      <w:r w:rsidRPr="00ED35A9">
        <w:rPr>
          <w:szCs w:val="28"/>
          <w:lang w:val="uk-UA"/>
        </w:rPr>
        <w:t>проспективних</w:t>
      </w:r>
      <w:proofErr w:type="spellEnd"/>
      <w:r w:rsidRPr="00ED35A9">
        <w:rPr>
          <w:szCs w:val="28"/>
          <w:lang w:val="uk-UA"/>
        </w:rPr>
        <w:t xml:space="preserve"> </w:t>
      </w:r>
      <w:proofErr w:type="spellStart"/>
      <w:r w:rsidRPr="00ED35A9">
        <w:rPr>
          <w:rFonts w:cs="Times New Roman"/>
          <w:szCs w:val="28"/>
          <w:lang w:val="uk-UA"/>
        </w:rPr>
        <w:t>когортних</w:t>
      </w:r>
      <w:proofErr w:type="spellEnd"/>
      <w:r w:rsidRPr="00ED35A9">
        <w:rPr>
          <w:rFonts w:cs="Times New Roman"/>
          <w:szCs w:val="28"/>
          <w:lang w:val="uk-UA"/>
        </w:rPr>
        <w:t xml:space="preserve"> досліджень показали нижчий ризик смерт</w:t>
      </w:r>
      <w:r w:rsidRPr="00ED35A9">
        <w:rPr>
          <w:szCs w:val="28"/>
          <w:lang w:val="uk-UA"/>
        </w:rPr>
        <w:t xml:space="preserve">ності, </w:t>
      </w:r>
      <w:r w:rsidRPr="00ED35A9">
        <w:rPr>
          <w:rFonts w:cs="Times New Roman"/>
          <w:szCs w:val="28"/>
          <w:lang w:val="uk-UA"/>
        </w:rPr>
        <w:t xml:space="preserve">вищу ймовірність </w:t>
      </w:r>
      <w:r w:rsidR="006D127C" w:rsidRPr="00ED35A9">
        <w:rPr>
          <w:rFonts w:cs="Times New Roman"/>
          <w:szCs w:val="28"/>
          <w:lang w:val="uk-UA"/>
        </w:rPr>
        <w:t>одужання</w:t>
      </w:r>
      <w:r w:rsidRPr="00ED35A9">
        <w:rPr>
          <w:rFonts w:cs="Times New Roman"/>
          <w:szCs w:val="28"/>
          <w:lang w:val="uk-UA"/>
        </w:rPr>
        <w:t xml:space="preserve"> </w:t>
      </w:r>
      <w:r w:rsidRPr="00ED35A9">
        <w:rPr>
          <w:szCs w:val="28"/>
          <w:lang w:val="uk-UA"/>
        </w:rPr>
        <w:t xml:space="preserve">та </w:t>
      </w:r>
      <w:r w:rsidRPr="00ED35A9">
        <w:rPr>
          <w:rFonts w:cs="Times New Roman"/>
          <w:szCs w:val="28"/>
          <w:lang w:val="uk-UA"/>
        </w:rPr>
        <w:t>зменшення ознак і симптомів ТБ у пацієнт</w:t>
      </w:r>
      <w:r w:rsidRPr="00ED35A9">
        <w:rPr>
          <w:szCs w:val="28"/>
          <w:lang w:val="uk-UA"/>
        </w:rPr>
        <w:t xml:space="preserve">ів на </w:t>
      </w:r>
      <w:r w:rsidRPr="00ED35A9">
        <w:rPr>
          <w:rFonts w:cs="Times New Roman"/>
          <w:szCs w:val="28"/>
          <w:lang w:val="uk-UA"/>
        </w:rPr>
        <w:t>АРТ</w:t>
      </w:r>
      <w:r w:rsidRPr="00ED35A9">
        <w:rPr>
          <w:szCs w:val="28"/>
          <w:lang w:val="uk-UA"/>
        </w:rPr>
        <w:t xml:space="preserve"> </w:t>
      </w:r>
      <w:r w:rsidRPr="00ED35A9">
        <w:rPr>
          <w:rFonts w:cs="Times New Roman"/>
          <w:szCs w:val="28"/>
          <w:lang w:val="uk-UA"/>
        </w:rPr>
        <w:t>порівнян</w:t>
      </w:r>
      <w:r w:rsidRPr="00ED35A9">
        <w:rPr>
          <w:szCs w:val="28"/>
          <w:lang w:val="uk-UA"/>
        </w:rPr>
        <w:t xml:space="preserve">о </w:t>
      </w:r>
      <w:r w:rsidRPr="00ED35A9">
        <w:rPr>
          <w:rFonts w:cs="Times New Roman"/>
          <w:szCs w:val="28"/>
          <w:lang w:val="uk-UA"/>
        </w:rPr>
        <w:t xml:space="preserve">з </w:t>
      </w:r>
      <w:r w:rsidRPr="00ED35A9">
        <w:rPr>
          <w:szCs w:val="28"/>
          <w:lang w:val="uk-UA"/>
        </w:rPr>
        <w:t>особами</w:t>
      </w:r>
      <w:r w:rsidRPr="00ED35A9">
        <w:rPr>
          <w:rFonts w:cs="Times New Roman"/>
          <w:szCs w:val="28"/>
          <w:lang w:val="uk-UA"/>
        </w:rPr>
        <w:t xml:space="preserve">, </w:t>
      </w:r>
      <w:r w:rsidRPr="00ED35A9">
        <w:rPr>
          <w:szCs w:val="28"/>
          <w:lang w:val="uk-UA"/>
        </w:rPr>
        <w:t xml:space="preserve">що </w:t>
      </w:r>
      <w:r w:rsidRPr="00ED35A9">
        <w:rPr>
          <w:rFonts w:cs="Times New Roman"/>
          <w:szCs w:val="28"/>
          <w:lang w:val="uk-UA"/>
        </w:rPr>
        <w:t xml:space="preserve">не </w:t>
      </w:r>
      <w:r w:rsidRPr="00ED35A9">
        <w:rPr>
          <w:szCs w:val="28"/>
          <w:lang w:val="uk-UA"/>
        </w:rPr>
        <w:t xml:space="preserve">приймали </w:t>
      </w:r>
      <w:proofErr w:type="spellStart"/>
      <w:r w:rsidRPr="00ED35A9">
        <w:rPr>
          <w:szCs w:val="28"/>
          <w:lang w:val="uk-UA"/>
        </w:rPr>
        <w:t>антиретровірусні</w:t>
      </w:r>
      <w:proofErr w:type="spellEnd"/>
      <w:r w:rsidRPr="00ED35A9">
        <w:rPr>
          <w:szCs w:val="28"/>
          <w:lang w:val="uk-UA"/>
        </w:rPr>
        <w:t xml:space="preserve"> препарати </w:t>
      </w:r>
      <w:r w:rsidRPr="00ED35A9">
        <w:rPr>
          <w:rFonts w:cs="Times New Roman"/>
          <w:szCs w:val="28"/>
          <w:lang w:val="uk-UA"/>
        </w:rPr>
        <w:t>(низька якість доказових даних). Існують доказові дані низької якості по інших результатах, які бул</w:t>
      </w:r>
      <w:r w:rsidRPr="00ED35A9">
        <w:rPr>
          <w:szCs w:val="28"/>
          <w:lang w:val="uk-UA"/>
        </w:rPr>
        <w:t xml:space="preserve">о </w:t>
      </w:r>
      <w:r w:rsidRPr="00ED35A9">
        <w:rPr>
          <w:rFonts w:cs="Times New Roman"/>
          <w:szCs w:val="28"/>
          <w:lang w:val="uk-UA"/>
        </w:rPr>
        <w:t>визначен</w:t>
      </w:r>
      <w:r w:rsidRPr="00ED35A9">
        <w:rPr>
          <w:szCs w:val="28"/>
          <w:lang w:val="uk-UA"/>
        </w:rPr>
        <w:t xml:space="preserve">о </w:t>
      </w:r>
      <w:r w:rsidRPr="00ED35A9">
        <w:rPr>
          <w:rFonts w:cs="Times New Roman"/>
          <w:szCs w:val="28"/>
          <w:lang w:val="uk-UA"/>
        </w:rPr>
        <w:t xml:space="preserve">як критичні або важливі для прийняття рішень (наприклад, СНЯ </w:t>
      </w:r>
      <w:r w:rsidRPr="00ED35A9">
        <w:rPr>
          <w:szCs w:val="28"/>
          <w:lang w:val="uk-UA"/>
        </w:rPr>
        <w:t xml:space="preserve">при застосуванні </w:t>
      </w:r>
      <w:r w:rsidRPr="00ED35A9">
        <w:rPr>
          <w:rFonts w:cs="Times New Roman"/>
          <w:szCs w:val="28"/>
          <w:lang w:val="uk-UA"/>
        </w:rPr>
        <w:t xml:space="preserve">препаратів другого ряду для </w:t>
      </w:r>
      <w:r w:rsidRPr="00ED35A9">
        <w:rPr>
          <w:szCs w:val="28"/>
          <w:lang w:val="uk-UA"/>
        </w:rPr>
        <w:t xml:space="preserve">лікування </w:t>
      </w:r>
      <w:r w:rsidRPr="00ED35A9">
        <w:rPr>
          <w:rFonts w:cs="Times New Roman"/>
          <w:szCs w:val="28"/>
          <w:lang w:val="uk-UA"/>
        </w:rPr>
        <w:t xml:space="preserve">ЛС-ТБ, частота конверсії мокротиння </w:t>
      </w:r>
      <w:r w:rsidRPr="00ED35A9">
        <w:rPr>
          <w:szCs w:val="28"/>
          <w:lang w:val="uk-UA"/>
        </w:rPr>
        <w:t xml:space="preserve">при проведенні </w:t>
      </w:r>
      <w:r w:rsidRPr="00ED35A9">
        <w:rPr>
          <w:rFonts w:cs="Times New Roman"/>
          <w:szCs w:val="28"/>
          <w:lang w:val="uk-UA"/>
        </w:rPr>
        <w:t xml:space="preserve">мікроскопії або </w:t>
      </w:r>
      <w:proofErr w:type="spellStart"/>
      <w:r w:rsidRPr="00ED35A9">
        <w:rPr>
          <w:rFonts w:cs="Times New Roman"/>
          <w:szCs w:val="28"/>
          <w:lang w:val="uk-UA"/>
        </w:rPr>
        <w:t>культурально</w:t>
      </w:r>
      <w:r w:rsidRPr="00ED35A9">
        <w:rPr>
          <w:szCs w:val="28"/>
          <w:lang w:val="uk-UA"/>
        </w:rPr>
        <w:t>го</w:t>
      </w:r>
      <w:proofErr w:type="spellEnd"/>
      <w:r w:rsidRPr="00ED35A9">
        <w:rPr>
          <w:szCs w:val="28"/>
          <w:lang w:val="uk-UA"/>
        </w:rPr>
        <w:t xml:space="preserve"> </w:t>
      </w:r>
      <w:r w:rsidRPr="00ED35A9">
        <w:rPr>
          <w:rFonts w:cs="Times New Roman"/>
          <w:szCs w:val="28"/>
          <w:lang w:val="uk-UA"/>
        </w:rPr>
        <w:t>дослідженн</w:t>
      </w:r>
      <w:r w:rsidRPr="00ED35A9">
        <w:rPr>
          <w:szCs w:val="28"/>
          <w:lang w:val="uk-UA"/>
        </w:rPr>
        <w:t>я</w:t>
      </w:r>
      <w:r w:rsidRPr="00ED35A9">
        <w:rPr>
          <w:rFonts w:cs="Times New Roman"/>
          <w:szCs w:val="28"/>
          <w:lang w:val="uk-UA"/>
        </w:rPr>
        <w:t xml:space="preserve">, взаємодія </w:t>
      </w:r>
      <w:proofErr w:type="spellStart"/>
      <w:r w:rsidRPr="00ED35A9">
        <w:rPr>
          <w:szCs w:val="28"/>
          <w:lang w:val="uk-UA"/>
        </w:rPr>
        <w:t>антиретровірусних</w:t>
      </w:r>
      <w:proofErr w:type="spellEnd"/>
      <w:r w:rsidRPr="00ED35A9">
        <w:rPr>
          <w:szCs w:val="28"/>
          <w:lang w:val="uk-UA"/>
        </w:rPr>
        <w:t xml:space="preserve"> препаратів та </w:t>
      </w:r>
      <w:r w:rsidRPr="00ED35A9">
        <w:rPr>
          <w:rFonts w:cs="Times New Roman"/>
          <w:szCs w:val="28"/>
          <w:lang w:val="uk-UA"/>
        </w:rPr>
        <w:t xml:space="preserve">ПТП, відмова від лікування). </w:t>
      </w:r>
      <w:r w:rsidRPr="00ED35A9">
        <w:rPr>
          <w:szCs w:val="28"/>
          <w:lang w:val="uk-UA"/>
        </w:rPr>
        <w:lastRenderedPageBreak/>
        <w:t xml:space="preserve">Наявні </w:t>
      </w:r>
      <w:r w:rsidRPr="00ED35A9">
        <w:rPr>
          <w:rFonts w:cs="Times New Roman"/>
          <w:szCs w:val="28"/>
          <w:lang w:val="uk-UA"/>
        </w:rPr>
        <w:t xml:space="preserve">дані не дозволяють оцінити ряд інших важливих </w:t>
      </w:r>
      <w:r w:rsidRPr="00ED35A9">
        <w:rPr>
          <w:szCs w:val="28"/>
          <w:lang w:val="uk-UA"/>
        </w:rPr>
        <w:t>наслідків</w:t>
      </w:r>
      <w:r w:rsidRPr="00ED35A9">
        <w:rPr>
          <w:rFonts w:cs="Times New Roman"/>
          <w:szCs w:val="28"/>
          <w:lang w:val="uk-UA"/>
        </w:rPr>
        <w:t>, а саме</w:t>
      </w:r>
      <w:r w:rsidRPr="00ED35A9">
        <w:rPr>
          <w:szCs w:val="28"/>
          <w:lang w:val="uk-UA"/>
        </w:rPr>
        <w:t xml:space="preserve"> – </w:t>
      </w:r>
      <w:r w:rsidRPr="00ED35A9">
        <w:rPr>
          <w:rFonts w:cs="Times New Roman"/>
          <w:szCs w:val="28"/>
          <w:lang w:val="uk-UA"/>
        </w:rPr>
        <w:t xml:space="preserve">уникнення набуття додаткової </w:t>
      </w:r>
      <w:r w:rsidR="00480CDB" w:rsidRPr="00ED35A9">
        <w:rPr>
          <w:rFonts w:cs="Times New Roman"/>
          <w:szCs w:val="28"/>
          <w:lang w:val="uk-UA"/>
        </w:rPr>
        <w:t>медикаментозної</w:t>
      </w:r>
      <w:r w:rsidRPr="00ED35A9">
        <w:rPr>
          <w:rFonts w:cs="Times New Roman"/>
          <w:szCs w:val="28"/>
          <w:lang w:val="uk-UA"/>
        </w:rPr>
        <w:t xml:space="preserve"> </w:t>
      </w:r>
      <w:r w:rsidRPr="00ED35A9">
        <w:rPr>
          <w:szCs w:val="28"/>
          <w:lang w:val="uk-UA"/>
        </w:rPr>
        <w:t>резистентності</w:t>
      </w:r>
      <w:r w:rsidRPr="00ED35A9">
        <w:rPr>
          <w:rFonts w:cs="Times New Roman"/>
          <w:szCs w:val="28"/>
          <w:lang w:val="uk-UA"/>
        </w:rPr>
        <w:t xml:space="preserve">, запобігання передачі ТБ, підтримання </w:t>
      </w:r>
      <w:proofErr w:type="spellStart"/>
      <w:r w:rsidRPr="00ED35A9">
        <w:rPr>
          <w:rFonts w:cs="Times New Roman"/>
          <w:szCs w:val="28"/>
          <w:lang w:val="uk-UA"/>
        </w:rPr>
        <w:t>безрецидивного</w:t>
      </w:r>
      <w:proofErr w:type="spellEnd"/>
      <w:r w:rsidRPr="00ED35A9">
        <w:rPr>
          <w:rFonts w:cs="Times New Roman"/>
          <w:szCs w:val="28"/>
          <w:lang w:val="uk-UA"/>
        </w:rPr>
        <w:t xml:space="preserve"> </w:t>
      </w:r>
      <w:r w:rsidR="006D127C" w:rsidRPr="00ED35A9">
        <w:rPr>
          <w:rFonts w:cs="Times New Roman"/>
          <w:szCs w:val="28"/>
          <w:lang w:val="uk-UA"/>
        </w:rPr>
        <w:t>одужання</w:t>
      </w:r>
      <w:r w:rsidRPr="00ED35A9">
        <w:rPr>
          <w:rFonts w:cs="Times New Roman"/>
          <w:szCs w:val="28"/>
          <w:lang w:val="uk-UA"/>
        </w:rPr>
        <w:t>, встановлення оптимальної тривалості лікування МРТБ, уник</w:t>
      </w:r>
      <w:r w:rsidRPr="00ED35A9">
        <w:rPr>
          <w:szCs w:val="28"/>
          <w:lang w:val="uk-UA"/>
        </w:rPr>
        <w:t xml:space="preserve">нення </w:t>
      </w:r>
      <w:r w:rsidRPr="00ED35A9">
        <w:rPr>
          <w:rFonts w:cs="Times New Roman"/>
          <w:szCs w:val="28"/>
          <w:lang w:val="uk-UA"/>
        </w:rPr>
        <w:t>зайвого лікування МРТБ, скорочення витрат</w:t>
      </w:r>
      <w:r w:rsidRPr="00ED35A9">
        <w:rPr>
          <w:szCs w:val="28"/>
          <w:lang w:val="uk-UA"/>
        </w:rPr>
        <w:t xml:space="preserve">, </w:t>
      </w:r>
      <w:r w:rsidRPr="00ED35A9">
        <w:rPr>
          <w:rFonts w:cs="Times New Roman"/>
          <w:szCs w:val="28"/>
          <w:lang w:val="uk-UA"/>
        </w:rPr>
        <w:t xml:space="preserve">покращення доступу до </w:t>
      </w:r>
      <w:r w:rsidRPr="00ED35A9">
        <w:rPr>
          <w:szCs w:val="28"/>
          <w:lang w:val="uk-UA"/>
        </w:rPr>
        <w:t xml:space="preserve">отримання </w:t>
      </w:r>
      <w:r w:rsidRPr="00ED35A9">
        <w:rPr>
          <w:rFonts w:cs="Times New Roman"/>
          <w:szCs w:val="28"/>
          <w:lang w:val="uk-UA"/>
        </w:rPr>
        <w:t>відповідн</w:t>
      </w:r>
      <w:r w:rsidRPr="00ED35A9">
        <w:rPr>
          <w:szCs w:val="28"/>
          <w:lang w:val="uk-UA"/>
        </w:rPr>
        <w:t>их послуг з лікування та догляду</w:t>
      </w:r>
      <w:r w:rsidRPr="00ED35A9">
        <w:rPr>
          <w:rFonts w:cs="Times New Roman"/>
          <w:szCs w:val="28"/>
          <w:lang w:val="uk-UA"/>
        </w:rPr>
        <w:t>.</w:t>
      </w:r>
    </w:p>
    <w:p w:rsidR="00E91B80" w:rsidRPr="00ED35A9" w:rsidRDefault="00E91B80" w:rsidP="00E91B80">
      <w:pPr>
        <w:rPr>
          <w:rFonts w:cs="Times New Roman"/>
          <w:szCs w:val="28"/>
          <w:lang w:val="uk-UA"/>
        </w:rPr>
      </w:pPr>
      <w:bookmarkStart w:id="58" w:name="bookmark57"/>
      <w:bookmarkStart w:id="59" w:name="_Toc417570611"/>
      <w:r w:rsidRPr="00ED35A9">
        <w:rPr>
          <w:rFonts w:cs="Times New Roman"/>
          <w:b/>
          <w:szCs w:val="28"/>
          <w:lang w:val="uk-UA"/>
        </w:rPr>
        <w:t>Переваги</w:t>
      </w:r>
      <w:bookmarkEnd w:id="58"/>
      <w:bookmarkEnd w:id="59"/>
    </w:p>
    <w:p w:rsidR="00E91B80" w:rsidRPr="00ED35A9" w:rsidRDefault="00E91B80" w:rsidP="00E91B80">
      <w:pPr>
        <w:rPr>
          <w:rFonts w:cs="Times New Roman"/>
          <w:szCs w:val="28"/>
          <w:lang w:val="uk-UA"/>
        </w:rPr>
      </w:pPr>
      <w:r w:rsidRPr="00ED35A9">
        <w:rPr>
          <w:szCs w:val="28"/>
          <w:lang w:val="uk-UA"/>
        </w:rPr>
        <w:t xml:space="preserve">Наполеглива </w:t>
      </w:r>
      <w:r w:rsidRPr="00ED35A9">
        <w:rPr>
          <w:rFonts w:cs="Times New Roman"/>
          <w:szCs w:val="28"/>
          <w:lang w:val="uk-UA"/>
        </w:rPr>
        <w:t xml:space="preserve">рекомендація щодо </w:t>
      </w:r>
      <w:r w:rsidRPr="00ED35A9">
        <w:rPr>
          <w:szCs w:val="28"/>
          <w:lang w:val="uk-UA"/>
        </w:rPr>
        <w:t xml:space="preserve">призначення </w:t>
      </w:r>
      <w:r w:rsidRPr="00ED35A9">
        <w:rPr>
          <w:rFonts w:cs="Times New Roman"/>
          <w:szCs w:val="28"/>
          <w:lang w:val="uk-UA"/>
        </w:rPr>
        <w:t>АРТ базується частково на непрямих доказ</w:t>
      </w:r>
      <w:r w:rsidRPr="00ED35A9">
        <w:rPr>
          <w:szCs w:val="28"/>
          <w:lang w:val="uk-UA"/>
        </w:rPr>
        <w:t xml:space="preserve">ових даних </w:t>
      </w:r>
      <w:r w:rsidRPr="00ED35A9">
        <w:rPr>
          <w:rFonts w:cs="Times New Roman"/>
          <w:szCs w:val="28"/>
          <w:lang w:val="uk-UA"/>
        </w:rPr>
        <w:t xml:space="preserve">її </w:t>
      </w:r>
      <w:r w:rsidRPr="00ED35A9">
        <w:rPr>
          <w:szCs w:val="28"/>
          <w:lang w:val="uk-UA"/>
        </w:rPr>
        <w:t xml:space="preserve">застосування у </w:t>
      </w:r>
      <w:r w:rsidRPr="00ED35A9">
        <w:rPr>
          <w:rFonts w:cs="Times New Roman"/>
          <w:szCs w:val="28"/>
          <w:lang w:val="uk-UA"/>
        </w:rPr>
        <w:t>пацієнт</w:t>
      </w:r>
      <w:r w:rsidRPr="00ED35A9">
        <w:rPr>
          <w:szCs w:val="28"/>
          <w:lang w:val="uk-UA"/>
        </w:rPr>
        <w:t xml:space="preserve">ів </w:t>
      </w:r>
      <w:r w:rsidRPr="00ED35A9">
        <w:rPr>
          <w:rFonts w:cs="Times New Roman"/>
          <w:szCs w:val="28"/>
          <w:lang w:val="uk-UA"/>
        </w:rPr>
        <w:t>з активн</w:t>
      </w:r>
      <w:r w:rsidRPr="00ED35A9">
        <w:rPr>
          <w:szCs w:val="28"/>
          <w:lang w:val="uk-UA"/>
        </w:rPr>
        <w:t xml:space="preserve">ою формою </w:t>
      </w:r>
      <w:r w:rsidRPr="00ED35A9">
        <w:rPr>
          <w:rFonts w:cs="Times New Roman"/>
          <w:szCs w:val="28"/>
          <w:lang w:val="uk-UA"/>
        </w:rPr>
        <w:t xml:space="preserve">ТБ, які </w:t>
      </w:r>
      <w:r w:rsidRPr="00ED35A9">
        <w:rPr>
          <w:szCs w:val="28"/>
          <w:lang w:val="uk-UA"/>
        </w:rPr>
        <w:t xml:space="preserve">свідчать про </w:t>
      </w:r>
      <w:r w:rsidRPr="00ED35A9">
        <w:rPr>
          <w:rFonts w:cs="Times New Roman"/>
          <w:szCs w:val="28"/>
          <w:lang w:val="uk-UA"/>
        </w:rPr>
        <w:t>значн</w:t>
      </w:r>
      <w:r w:rsidRPr="00ED35A9">
        <w:rPr>
          <w:szCs w:val="28"/>
          <w:lang w:val="uk-UA"/>
        </w:rPr>
        <w:t xml:space="preserve">ий </w:t>
      </w:r>
      <w:r w:rsidRPr="00ED35A9">
        <w:rPr>
          <w:rFonts w:cs="Times New Roman"/>
          <w:szCs w:val="28"/>
          <w:lang w:val="uk-UA"/>
        </w:rPr>
        <w:t>корисн</w:t>
      </w:r>
      <w:r w:rsidRPr="00ED35A9">
        <w:rPr>
          <w:szCs w:val="28"/>
          <w:lang w:val="uk-UA"/>
        </w:rPr>
        <w:t xml:space="preserve">ий </w:t>
      </w:r>
      <w:r w:rsidRPr="00ED35A9">
        <w:rPr>
          <w:rFonts w:cs="Times New Roman"/>
          <w:szCs w:val="28"/>
          <w:lang w:val="uk-UA"/>
        </w:rPr>
        <w:t>ефект</w:t>
      </w:r>
      <w:r w:rsidRPr="00ED35A9">
        <w:rPr>
          <w:szCs w:val="28"/>
          <w:lang w:val="uk-UA"/>
        </w:rPr>
        <w:t xml:space="preserve"> та </w:t>
      </w:r>
      <w:r w:rsidRPr="00ED35A9">
        <w:rPr>
          <w:rFonts w:cs="Times New Roman"/>
          <w:szCs w:val="28"/>
          <w:lang w:val="uk-UA"/>
        </w:rPr>
        <w:t>дуже висок</w:t>
      </w:r>
      <w:r w:rsidRPr="00ED35A9">
        <w:rPr>
          <w:szCs w:val="28"/>
          <w:lang w:val="uk-UA"/>
        </w:rPr>
        <w:t xml:space="preserve">ий показник </w:t>
      </w:r>
      <w:r w:rsidRPr="00ED35A9">
        <w:rPr>
          <w:rFonts w:cs="Times New Roman"/>
          <w:szCs w:val="28"/>
          <w:lang w:val="uk-UA"/>
        </w:rPr>
        <w:t>смертн</w:t>
      </w:r>
      <w:r w:rsidRPr="00ED35A9">
        <w:rPr>
          <w:szCs w:val="28"/>
          <w:lang w:val="uk-UA"/>
        </w:rPr>
        <w:t>ості</w:t>
      </w:r>
      <w:r w:rsidRPr="00ED35A9">
        <w:rPr>
          <w:rFonts w:cs="Times New Roman"/>
          <w:szCs w:val="28"/>
          <w:lang w:val="uk-UA"/>
        </w:rPr>
        <w:t xml:space="preserve">, коли АРТ не надається </w:t>
      </w:r>
      <w:r w:rsidRPr="00ED35A9">
        <w:rPr>
          <w:rFonts w:cs="Times New Roman"/>
          <w:i/>
          <w:szCs w:val="28"/>
          <w:lang w:val="uk-UA"/>
        </w:rPr>
        <w:t>(83)</w:t>
      </w:r>
      <w:r w:rsidRPr="00ED35A9">
        <w:rPr>
          <w:rFonts w:cs="Times New Roman"/>
          <w:szCs w:val="28"/>
          <w:lang w:val="uk-UA"/>
        </w:rPr>
        <w:t xml:space="preserve">, особливо у пацієнтів з </w:t>
      </w:r>
      <w:r w:rsidRPr="00ED35A9">
        <w:rPr>
          <w:szCs w:val="28"/>
          <w:lang w:val="uk-UA"/>
        </w:rPr>
        <w:t xml:space="preserve">вираженою </w:t>
      </w:r>
      <w:proofErr w:type="spellStart"/>
      <w:r w:rsidRPr="00ED35A9">
        <w:rPr>
          <w:rFonts w:cs="Times New Roman"/>
          <w:szCs w:val="28"/>
          <w:lang w:val="uk-UA"/>
        </w:rPr>
        <w:t>імуно</w:t>
      </w:r>
      <w:r w:rsidRPr="00ED35A9">
        <w:rPr>
          <w:szCs w:val="28"/>
          <w:lang w:val="uk-UA"/>
        </w:rPr>
        <w:t>супресією</w:t>
      </w:r>
      <w:proofErr w:type="spellEnd"/>
      <w:r w:rsidRPr="00ED35A9">
        <w:rPr>
          <w:szCs w:val="28"/>
          <w:lang w:val="uk-UA"/>
        </w:rPr>
        <w:t xml:space="preserve"> </w:t>
      </w:r>
      <w:r w:rsidRPr="00ED35A9">
        <w:rPr>
          <w:rFonts w:cs="Times New Roman"/>
          <w:szCs w:val="28"/>
          <w:lang w:val="uk-UA"/>
        </w:rPr>
        <w:t>(</w:t>
      </w:r>
      <w:r w:rsidRPr="00ED35A9">
        <w:rPr>
          <w:szCs w:val="28"/>
          <w:lang w:val="uk-UA"/>
        </w:rPr>
        <w:t xml:space="preserve">кількість </w:t>
      </w:r>
      <w:r w:rsidRPr="00ED35A9">
        <w:rPr>
          <w:rFonts w:cs="Times New Roman"/>
          <w:szCs w:val="28"/>
          <w:lang w:val="uk-UA"/>
        </w:rPr>
        <w:t>клітин CD4&lt;50 кл</w:t>
      </w:r>
      <w:r w:rsidRPr="00ED35A9">
        <w:rPr>
          <w:szCs w:val="28"/>
          <w:lang w:val="uk-UA"/>
        </w:rPr>
        <w:t>ітин</w:t>
      </w:r>
      <w:r w:rsidRPr="00ED35A9">
        <w:rPr>
          <w:rFonts w:cs="Times New Roman"/>
          <w:szCs w:val="28"/>
          <w:lang w:val="uk-UA"/>
        </w:rPr>
        <w:t>/мм</w:t>
      </w:r>
      <w:r w:rsidRPr="00ED35A9">
        <w:rPr>
          <w:szCs w:val="28"/>
          <w:vertAlign w:val="superscript"/>
          <w:lang w:val="uk-UA"/>
        </w:rPr>
        <w:t>3</w:t>
      </w:r>
      <w:r w:rsidRPr="00ED35A9">
        <w:rPr>
          <w:rFonts w:cs="Times New Roman"/>
          <w:szCs w:val="28"/>
          <w:lang w:val="uk-UA"/>
        </w:rPr>
        <w:t xml:space="preserve">) </w:t>
      </w:r>
      <w:r w:rsidRPr="00ED35A9">
        <w:rPr>
          <w:rFonts w:cs="Times New Roman"/>
          <w:i/>
          <w:szCs w:val="28"/>
          <w:lang w:val="uk-UA"/>
        </w:rPr>
        <w:t>(84,</w:t>
      </w:r>
      <w:r w:rsidRPr="00ED35A9">
        <w:rPr>
          <w:i/>
          <w:szCs w:val="28"/>
          <w:lang w:val="uk-UA"/>
        </w:rPr>
        <w:t xml:space="preserve"> </w:t>
      </w:r>
      <w:r w:rsidRPr="00ED35A9">
        <w:rPr>
          <w:rFonts w:cs="Times New Roman"/>
          <w:i/>
          <w:szCs w:val="28"/>
          <w:lang w:val="uk-UA"/>
        </w:rPr>
        <w:t>85)</w:t>
      </w:r>
      <w:r w:rsidRPr="00ED35A9">
        <w:rPr>
          <w:rFonts w:cs="Times New Roman"/>
          <w:szCs w:val="28"/>
          <w:lang w:val="uk-UA"/>
        </w:rPr>
        <w:t>. За відсутності інших специфічних даних</w:t>
      </w:r>
      <w:r w:rsidRPr="00ED35A9">
        <w:rPr>
          <w:szCs w:val="28"/>
          <w:lang w:val="uk-UA"/>
        </w:rPr>
        <w:t xml:space="preserve"> у </w:t>
      </w:r>
      <w:r w:rsidRPr="00ED35A9">
        <w:rPr>
          <w:rFonts w:cs="Times New Roman"/>
          <w:szCs w:val="28"/>
          <w:lang w:val="uk-UA"/>
        </w:rPr>
        <w:t xml:space="preserve">пацієнтів з ЛС-ТБ, що отримують ПТП другого ряду, рішення про початок АРТ не має відрізнятися від підходу до </w:t>
      </w:r>
      <w:r w:rsidRPr="00ED35A9">
        <w:rPr>
          <w:szCs w:val="28"/>
          <w:lang w:val="uk-UA"/>
        </w:rPr>
        <w:t xml:space="preserve">лікування </w:t>
      </w:r>
      <w:r w:rsidRPr="00ED35A9">
        <w:rPr>
          <w:rFonts w:cs="Times New Roman"/>
          <w:szCs w:val="28"/>
          <w:lang w:val="uk-UA"/>
        </w:rPr>
        <w:t>ВІЛ-позитивних пацієнтів із чутливим ТБ. Таким чином, АРТ слід починати незалежно від кількості клітин CD4</w:t>
      </w:r>
      <w:r w:rsidRPr="00ED35A9">
        <w:rPr>
          <w:szCs w:val="28"/>
          <w:lang w:val="uk-UA"/>
        </w:rPr>
        <w:t xml:space="preserve"> </w:t>
      </w:r>
      <w:r w:rsidRPr="00ED35A9">
        <w:rPr>
          <w:rFonts w:cs="Times New Roman"/>
          <w:szCs w:val="28"/>
          <w:lang w:val="uk-UA"/>
        </w:rPr>
        <w:t>як</w:t>
      </w:r>
      <w:r w:rsidRPr="00ED35A9">
        <w:rPr>
          <w:szCs w:val="28"/>
          <w:lang w:val="uk-UA"/>
        </w:rPr>
        <w:t>омога скоріше</w:t>
      </w:r>
      <w:r w:rsidRPr="00ED35A9">
        <w:rPr>
          <w:rFonts w:cs="Times New Roman"/>
          <w:szCs w:val="28"/>
          <w:lang w:val="uk-UA"/>
        </w:rPr>
        <w:t xml:space="preserve">, в ідеалі </w:t>
      </w:r>
      <w:r w:rsidRPr="00ED35A9">
        <w:rPr>
          <w:szCs w:val="28"/>
          <w:lang w:val="uk-UA"/>
        </w:rPr>
        <w:t xml:space="preserve">– на другому </w:t>
      </w:r>
      <w:r w:rsidRPr="00ED35A9">
        <w:rPr>
          <w:rFonts w:cs="Times New Roman"/>
          <w:szCs w:val="28"/>
          <w:lang w:val="uk-UA"/>
        </w:rPr>
        <w:t xml:space="preserve">тижні, </w:t>
      </w:r>
      <w:r w:rsidRPr="00ED35A9">
        <w:rPr>
          <w:szCs w:val="28"/>
          <w:lang w:val="uk-UA"/>
        </w:rPr>
        <w:t xml:space="preserve">але </w:t>
      </w:r>
      <w:r w:rsidRPr="00ED35A9">
        <w:rPr>
          <w:rFonts w:cs="Times New Roman"/>
          <w:szCs w:val="28"/>
          <w:lang w:val="uk-UA"/>
        </w:rPr>
        <w:t xml:space="preserve">не пізніше </w:t>
      </w:r>
      <w:r w:rsidRPr="00ED35A9">
        <w:rPr>
          <w:szCs w:val="28"/>
          <w:lang w:val="uk-UA"/>
        </w:rPr>
        <w:t xml:space="preserve">восьмого </w:t>
      </w:r>
      <w:r w:rsidRPr="00ED35A9">
        <w:rPr>
          <w:rFonts w:cs="Times New Roman"/>
          <w:szCs w:val="28"/>
          <w:lang w:val="uk-UA"/>
        </w:rPr>
        <w:t>тижн</w:t>
      </w:r>
      <w:r w:rsidRPr="00ED35A9">
        <w:rPr>
          <w:szCs w:val="28"/>
          <w:lang w:val="uk-UA"/>
        </w:rPr>
        <w:t xml:space="preserve">я </w:t>
      </w:r>
      <w:r w:rsidRPr="00ED35A9">
        <w:rPr>
          <w:rFonts w:cs="Times New Roman"/>
          <w:szCs w:val="28"/>
          <w:lang w:val="uk-UA"/>
        </w:rPr>
        <w:t xml:space="preserve">після початку протитуберкульозної терапії </w:t>
      </w:r>
      <w:r w:rsidRPr="00ED35A9">
        <w:rPr>
          <w:rFonts w:cs="Times New Roman"/>
          <w:i/>
          <w:szCs w:val="28"/>
          <w:lang w:val="uk-UA"/>
        </w:rPr>
        <w:t>(83,</w:t>
      </w:r>
      <w:r w:rsidRPr="00ED35A9">
        <w:rPr>
          <w:i/>
          <w:szCs w:val="28"/>
          <w:lang w:val="uk-UA"/>
        </w:rPr>
        <w:t xml:space="preserve"> </w:t>
      </w:r>
      <w:r w:rsidRPr="00ED35A9">
        <w:rPr>
          <w:rFonts w:cs="Times New Roman"/>
          <w:i/>
          <w:szCs w:val="28"/>
          <w:lang w:val="uk-UA"/>
        </w:rPr>
        <w:t>86)</w:t>
      </w:r>
      <w:r w:rsidRPr="00ED35A9">
        <w:rPr>
          <w:rFonts w:cs="Times New Roman"/>
          <w:szCs w:val="28"/>
          <w:lang w:val="uk-UA"/>
        </w:rPr>
        <w:t>.</w:t>
      </w:r>
      <w:bookmarkStart w:id="60" w:name="bookmark58"/>
      <w:bookmarkStart w:id="61" w:name="_Toc417570612"/>
    </w:p>
    <w:p w:rsidR="00E91B80" w:rsidRPr="00ED35A9" w:rsidRDefault="00E91B80" w:rsidP="00E91B80">
      <w:pPr>
        <w:rPr>
          <w:rFonts w:cs="Times New Roman"/>
          <w:szCs w:val="28"/>
          <w:lang w:val="uk-UA"/>
        </w:rPr>
      </w:pPr>
      <w:r w:rsidRPr="00ED35A9">
        <w:rPr>
          <w:rFonts w:cs="Times New Roman"/>
          <w:b/>
          <w:szCs w:val="28"/>
          <w:lang w:val="uk-UA"/>
        </w:rPr>
        <w:t>Ризики</w:t>
      </w:r>
      <w:bookmarkEnd w:id="60"/>
      <w:bookmarkEnd w:id="61"/>
    </w:p>
    <w:p w:rsidR="00E91B80" w:rsidRPr="00ED35A9" w:rsidRDefault="00E91B80" w:rsidP="00E91B80">
      <w:pPr>
        <w:rPr>
          <w:rFonts w:cs="Times New Roman"/>
          <w:szCs w:val="28"/>
          <w:lang w:val="uk-UA"/>
        </w:rPr>
      </w:pPr>
      <w:r w:rsidRPr="00ED35A9">
        <w:rPr>
          <w:rFonts w:cs="Times New Roman"/>
          <w:szCs w:val="28"/>
          <w:lang w:val="uk-UA"/>
        </w:rPr>
        <w:t>Успішне впровадження цієї рекомендації буде залежати від наявності більшої кількості надавачів</w:t>
      </w:r>
      <w:r w:rsidRPr="00ED35A9">
        <w:rPr>
          <w:szCs w:val="28"/>
          <w:lang w:val="uk-UA"/>
        </w:rPr>
        <w:t xml:space="preserve"> послуг</w:t>
      </w:r>
      <w:r w:rsidRPr="00ED35A9">
        <w:rPr>
          <w:rFonts w:cs="Times New Roman"/>
          <w:szCs w:val="28"/>
          <w:lang w:val="uk-UA"/>
        </w:rPr>
        <w:t>, які пройшли спеціальн</w:t>
      </w:r>
      <w:r w:rsidRPr="00ED35A9">
        <w:rPr>
          <w:szCs w:val="28"/>
          <w:lang w:val="uk-UA"/>
        </w:rPr>
        <w:t xml:space="preserve">у </w:t>
      </w:r>
      <w:r w:rsidRPr="00ED35A9">
        <w:rPr>
          <w:rFonts w:cs="Times New Roman"/>
          <w:szCs w:val="28"/>
          <w:lang w:val="uk-UA"/>
        </w:rPr>
        <w:t xml:space="preserve">підготовку щодо догляду </w:t>
      </w:r>
      <w:r w:rsidRPr="00ED35A9">
        <w:rPr>
          <w:szCs w:val="28"/>
          <w:lang w:val="uk-UA"/>
        </w:rPr>
        <w:t xml:space="preserve">за пацієнтами з </w:t>
      </w:r>
      <w:r w:rsidRPr="00ED35A9">
        <w:rPr>
          <w:rFonts w:cs="Times New Roman"/>
          <w:szCs w:val="28"/>
          <w:lang w:val="uk-UA"/>
        </w:rPr>
        <w:t>ВІЛ</w:t>
      </w:r>
      <w:r w:rsidRPr="00ED35A9">
        <w:rPr>
          <w:szCs w:val="28"/>
          <w:lang w:val="uk-UA"/>
        </w:rPr>
        <w:t>/</w:t>
      </w:r>
      <w:r w:rsidRPr="00ED35A9">
        <w:rPr>
          <w:rFonts w:cs="Times New Roman"/>
          <w:szCs w:val="28"/>
          <w:lang w:val="uk-UA"/>
        </w:rPr>
        <w:t xml:space="preserve">ЛС-ТБ </w:t>
      </w:r>
      <w:r w:rsidRPr="00ED35A9">
        <w:rPr>
          <w:szCs w:val="28"/>
          <w:lang w:val="uk-UA"/>
        </w:rPr>
        <w:t xml:space="preserve">та </w:t>
      </w:r>
      <w:r w:rsidRPr="00ED35A9">
        <w:rPr>
          <w:rFonts w:cs="Times New Roman"/>
          <w:szCs w:val="28"/>
          <w:lang w:val="uk-UA"/>
        </w:rPr>
        <w:t xml:space="preserve">взаємодії препаратів. Ймовірно знадобиться значне </w:t>
      </w:r>
      <w:r w:rsidRPr="00ED35A9">
        <w:rPr>
          <w:szCs w:val="28"/>
          <w:lang w:val="uk-UA"/>
        </w:rPr>
        <w:t xml:space="preserve">підвищення рівня </w:t>
      </w:r>
      <w:r w:rsidRPr="00ED35A9">
        <w:rPr>
          <w:rFonts w:cs="Times New Roman"/>
          <w:szCs w:val="28"/>
          <w:lang w:val="uk-UA"/>
        </w:rPr>
        <w:t>доступу пацієнтів до лікування,</w:t>
      </w:r>
      <w:r w:rsidRPr="00ED35A9">
        <w:rPr>
          <w:szCs w:val="28"/>
          <w:lang w:val="uk-UA"/>
        </w:rPr>
        <w:t xml:space="preserve"> </w:t>
      </w:r>
      <w:r w:rsidRPr="00ED35A9">
        <w:rPr>
          <w:rFonts w:cs="Times New Roman"/>
          <w:szCs w:val="28"/>
          <w:lang w:val="uk-UA"/>
        </w:rPr>
        <w:t>доступності</w:t>
      </w:r>
      <w:r w:rsidRPr="00ED35A9">
        <w:rPr>
          <w:szCs w:val="28"/>
          <w:lang w:val="uk-UA"/>
        </w:rPr>
        <w:t xml:space="preserve"> самого лікування та надання </w:t>
      </w:r>
      <w:r w:rsidRPr="00ED35A9">
        <w:rPr>
          <w:rFonts w:cs="Times New Roman"/>
          <w:szCs w:val="28"/>
          <w:lang w:val="uk-UA"/>
        </w:rPr>
        <w:t>додатков</w:t>
      </w:r>
      <w:r w:rsidRPr="00ED35A9">
        <w:rPr>
          <w:szCs w:val="28"/>
          <w:lang w:val="uk-UA"/>
        </w:rPr>
        <w:t xml:space="preserve">ої </w:t>
      </w:r>
      <w:r w:rsidRPr="00ED35A9">
        <w:rPr>
          <w:rFonts w:cs="Times New Roman"/>
          <w:szCs w:val="28"/>
          <w:lang w:val="uk-UA"/>
        </w:rPr>
        <w:t>підтримк</w:t>
      </w:r>
      <w:r w:rsidRPr="00ED35A9">
        <w:rPr>
          <w:szCs w:val="28"/>
          <w:lang w:val="uk-UA"/>
        </w:rPr>
        <w:t xml:space="preserve">и </w:t>
      </w:r>
      <w:r w:rsidRPr="00ED35A9">
        <w:rPr>
          <w:rFonts w:cs="Times New Roman"/>
          <w:szCs w:val="28"/>
          <w:lang w:val="uk-UA"/>
        </w:rPr>
        <w:t xml:space="preserve">для забезпечення прихильності. Потреба у </w:t>
      </w:r>
      <w:r w:rsidRPr="00ED35A9">
        <w:rPr>
          <w:szCs w:val="28"/>
          <w:lang w:val="uk-UA"/>
        </w:rPr>
        <w:t xml:space="preserve">підвищенні рівня </w:t>
      </w:r>
      <w:r w:rsidRPr="00ED35A9">
        <w:rPr>
          <w:rFonts w:cs="Times New Roman"/>
          <w:szCs w:val="28"/>
          <w:lang w:val="uk-UA"/>
        </w:rPr>
        <w:t xml:space="preserve">інтеграції послуг </w:t>
      </w:r>
      <w:r w:rsidRPr="00ED35A9">
        <w:rPr>
          <w:szCs w:val="28"/>
          <w:lang w:val="uk-UA"/>
        </w:rPr>
        <w:t xml:space="preserve">щодо лікування </w:t>
      </w:r>
      <w:r w:rsidRPr="00ED35A9">
        <w:rPr>
          <w:rFonts w:cs="Times New Roman"/>
          <w:szCs w:val="28"/>
          <w:lang w:val="uk-UA"/>
        </w:rPr>
        <w:t xml:space="preserve">ВІЛ </w:t>
      </w:r>
      <w:r w:rsidRPr="00ED35A9">
        <w:rPr>
          <w:szCs w:val="28"/>
          <w:lang w:val="uk-UA"/>
        </w:rPr>
        <w:t xml:space="preserve">і </w:t>
      </w:r>
      <w:r w:rsidRPr="00ED35A9">
        <w:rPr>
          <w:rFonts w:cs="Times New Roman"/>
          <w:szCs w:val="28"/>
          <w:lang w:val="uk-UA"/>
        </w:rPr>
        <w:t xml:space="preserve">ТБ для ефективного </w:t>
      </w:r>
      <w:r w:rsidRPr="00ED35A9">
        <w:rPr>
          <w:szCs w:val="28"/>
          <w:lang w:val="uk-UA"/>
        </w:rPr>
        <w:t xml:space="preserve">ведення </w:t>
      </w:r>
      <w:r w:rsidRPr="00ED35A9">
        <w:rPr>
          <w:rFonts w:cs="Times New Roman"/>
          <w:szCs w:val="28"/>
          <w:lang w:val="uk-UA"/>
        </w:rPr>
        <w:t>пацієнтів</w:t>
      </w:r>
      <w:r w:rsidRPr="00ED35A9">
        <w:rPr>
          <w:szCs w:val="28"/>
          <w:lang w:val="uk-UA"/>
        </w:rPr>
        <w:t xml:space="preserve"> та </w:t>
      </w:r>
      <w:r w:rsidRPr="00ED35A9">
        <w:rPr>
          <w:rFonts w:cs="Times New Roman"/>
          <w:szCs w:val="28"/>
          <w:lang w:val="uk-UA"/>
        </w:rPr>
        <w:t>своєчасн</w:t>
      </w:r>
      <w:r w:rsidRPr="00ED35A9">
        <w:rPr>
          <w:szCs w:val="28"/>
          <w:lang w:val="uk-UA"/>
        </w:rPr>
        <w:t xml:space="preserve">ого виявлення небезпечних явищ </w:t>
      </w:r>
      <w:r w:rsidRPr="00ED35A9">
        <w:rPr>
          <w:rFonts w:cs="Times New Roman"/>
          <w:szCs w:val="28"/>
          <w:lang w:val="uk-UA"/>
        </w:rPr>
        <w:t>протягом лікування потребуватиме більшо</w:t>
      </w:r>
      <w:r w:rsidRPr="00ED35A9">
        <w:rPr>
          <w:szCs w:val="28"/>
          <w:lang w:val="uk-UA"/>
        </w:rPr>
        <w:t xml:space="preserve">го обсягу </w:t>
      </w:r>
      <w:r w:rsidRPr="00ED35A9">
        <w:rPr>
          <w:rFonts w:cs="Times New Roman"/>
          <w:szCs w:val="28"/>
          <w:lang w:val="uk-UA"/>
        </w:rPr>
        <w:t>ресурсів. Для зручності користувача</w:t>
      </w:r>
      <w:r w:rsidRPr="00ED35A9">
        <w:rPr>
          <w:szCs w:val="28"/>
          <w:lang w:val="uk-UA"/>
        </w:rPr>
        <w:t xml:space="preserve"> </w:t>
      </w:r>
      <w:r w:rsidRPr="00ED35A9">
        <w:rPr>
          <w:rFonts w:cs="Times New Roman"/>
          <w:szCs w:val="28"/>
          <w:lang w:val="uk-UA"/>
        </w:rPr>
        <w:t>до публікації ц</w:t>
      </w:r>
      <w:r w:rsidRPr="00ED35A9">
        <w:rPr>
          <w:szCs w:val="28"/>
          <w:lang w:val="uk-UA"/>
        </w:rPr>
        <w:t xml:space="preserve">ієї </w:t>
      </w:r>
      <w:r w:rsidRPr="00ED35A9">
        <w:rPr>
          <w:rFonts w:cs="Times New Roman"/>
          <w:szCs w:val="28"/>
          <w:lang w:val="uk-UA"/>
        </w:rPr>
        <w:t>настанов</w:t>
      </w:r>
      <w:r w:rsidRPr="00ED35A9">
        <w:rPr>
          <w:szCs w:val="28"/>
          <w:lang w:val="uk-UA"/>
        </w:rPr>
        <w:t xml:space="preserve">и </w:t>
      </w:r>
      <w:r w:rsidRPr="00ED35A9">
        <w:rPr>
          <w:rFonts w:cs="Times New Roman"/>
          <w:szCs w:val="28"/>
          <w:lang w:val="uk-UA"/>
        </w:rPr>
        <w:t xml:space="preserve">додається таблиця </w:t>
      </w:r>
      <w:r w:rsidRPr="00ED35A9">
        <w:rPr>
          <w:szCs w:val="28"/>
          <w:lang w:val="uk-UA"/>
        </w:rPr>
        <w:t xml:space="preserve">побічних реакцій, що можуть виникнути внаслідок взаємодії </w:t>
      </w:r>
      <w:proofErr w:type="spellStart"/>
      <w:r w:rsidRPr="00ED35A9">
        <w:rPr>
          <w:rFonts w:cs="Times New Roman"/>
          <w:szCs w:val="28"/>
          <w:lang w:val="uk-UA"/>
        </w:rPr>
        <w:t>антиретровірусни</w:t>
      </w:r>
      <w:r w:rsidRPr="00ED35A9">
        <w:rPr>
          <w:szCs w:val="28"/>
          <w:lang w:val="uk-UA"/>
        </w:rPr>
        <w:t>х</w:t>
      </w:r>
      <w:proofErr w:type="spellEnd"/>
      <w:r w:rsidRPr="00ED35A9">
        <w:rPr>
          <w:szCs w:val="28"/>
          <w:lang w:val="uk-UA"/>
        </w:rPr>
        <w:t xml:space="preserve"> </w:t>
      </w:r>
      <w:r w:rsidRPr="00ED35A9">
        <w:rPr>
          <w:rFonts w:cs="Times New Roman"/>
          <w:szCs w:val="28"/>
          <w:lang w:val="uk-UA"/>
        </w:rPr>
        <w:t>препарат</w:t>
      </w:r>
      <w:r w:rsidRPr="00ED35A9">
        <w:rPr>
          <w:szCs w:val="28"/>
          <w:lang w:val="uk-UA"/>
        </w:rPr>
        <w:t xml:space="preserve">ів </w:t>
      </w:r>
      <w:r w:rsidRPr="00ED35A9">
        <w:rPr>
          <w:rFonts w:cs="Times New Roman"/>
          <w:szCs w:val="28"/>
          <w:lang w:val="uk-UA"/>
        </w:rPr>
        <w:t>та</w:t>
      </w:r>
      <w:r w:rsidRPr="00ED35A9">
        <w:rPr>
          <w:szCs w:val="28"/>
          <w:lang w:val="uk-UA"/>
        </w:rPr>
        <w:t xml:space="preserve"> ПТП</w:t>
      </w:r>
      <w:r w:rsidRPr="00ED35A9">
        <w:rPr>
          <w:rFonts w:cs="Times New Roman"/>
          <w:szCs w:val="28"/>
          <w:lang w:val="uk-UA"/>
        </w:rPr>
        <w:t xml:space="preserve">. Оновлена інформація </w:t>
      </w:r>
      <w:r w:rsidRPr="00ED35A9">
        <w:rPr>
          <w:szCs w:val="28"/>
          <w:lang w:val="uk-UA"/>
        </w:rPr>
        <w:t xml:space="preserve">щодо </w:t>
      </w:r>
      <w:r w:rsidRPr="00ED35A9">
        <w:rPr>
          <w:rFonts w:cs="Times New Roman"/>
          <w:szCs w:val="28"/>
          <w:lang w:val="uk-UA"/>
        </w:rPr>
        <w:t>взаємоді</w:t>
      </w:r>
      <w:r w:rsidRPr="00ED35A9">
        <w:rPr>
          <w:szCs w:val="28"/>
          <w:lang w:val="uk-UA"/>
        </w:rPr>
        <w:t xml:space="preserve">ї </w:t>
      </w:r>
      <w:proofErr w:type="spellStart"/>
      <w:r w:rsidRPr="00ED35A9">
        <w:rPr>
          <w:rFonts w:cs="Times New Roman"/>
          <w:szCs w:val="28"/>
          <w:lang w:val="uk-UA"/>
        </w:rPr>
        <w:t>антиретровірусни</w:t>
      </w:r>
      <w:r w:rsidRPr="00ED35A9">
        <w:rPr>
          <w:szCs w:val="28"/>
          <w:lang w:val="uk-UA"/>
        </w:rPr>
        <w:t>х</w:t>
      </w:r>
      <w:proofErr w:type="spellEnd"/>
      <w:r w:rsidRPr="00ED35A9">
        <w:rPr>
          <w:szCs w:val="28"/>
          <w:lang w:val="uk-UA"/>
        </w:rPr>
        <w:t xml:space="preserve"> </w:t>
      </w:r>
      <w:r w:rsidRPr="00ED35A9">
        <w:rPr>
          <w:rFonts w:cs="Times New Roman"/>
          <w:szCs w:val="28"/>
          <w:lang w:val="uk-UA"/>
        </w:rPr>
        <w:t xml:space="preserve">препаратів </w:t>
      </w:r>
      <w:r w:rsidRPr="00ED35A9">
        <w:rPr>
          <w:szCs w:val="28"/>
          <w:lang w:val="uk-UA"/>
        </w:rPr>
        <w:t xml:space="preserve">та ПТП </w:t>
      </w:r>
      <w:r w:rsidRPr="00ED35A9">
        <w:rPr>
          <w:rFonts w:cs="Times New Roman"/>
          <w:szCs w:val="28"/>
          <w:lang w:val="uk-UA"/>
        </w:rPr>
        <w:t xml:space="preserve">доступна онлайн </w:t>
      </w:r>
      <w:r w:rsidRPr="00ED35A9">
        <w:rPr>
          <w:rFonts w:cs="Times New Roman"/>
          <w:i/>
          <w:szCs w:val="28"/>
          <w:lang w:val="uk-UA"/>
        </w:rPr>
        <w:t>(35)</w:t>
      </w:r>
      <w:r w:rsidRPr="00ED35A9">
        <w:rPr>
          <w:rFonts w:cs="Times New Roman"/>
          <w:szCs w:val="28"/>
          <w:lang w:val="uk-UA"/>
        </w:rPr>
        <w:t>.</w:t>
      </w:r>
    </w:p>
    <w:p w:rsidR="00E91B80" w:rsidRPr="00ED35A9" w:rsidRDefault="00E91B80" w:rsidP="00E91B80">
      <w:pPr>
        <w:rPr>
          <w:rFonts w:cs="Times New Roman"/>
          <w:b/>
          <w:szCs w:val="28"/>
          <w:lang w:val="uk-UA"/>
        </w:rPr>
      </w:pPr>
      <w:bookmarkStart w:id="62" w:name="bookmark59"/>
      <w:bookmarkStart w:id="63" w:name="_Toc417570613"/>
      <w:r w:rsidRPr="00ED35A9">
        <w:rPr>
          <w:rFonts w:cs="Times New Roman"/>
          <w:b/>
          <w:szCs w:val="28"/>
          <w:lang w:val="uk-UA"/>
        </w:rPr>
        <w:t>Цінн</w:t>
      </w:r>
      <w:r w:rsidRPr="00ED35A9">
        <w:rPr>
          <w:b/>
          <w:szCs w:val="28"/>
          <w:lang w:val="uk-UA"/>
        </w:rPr>
        <w:t xml:space="preserve">ість </w:t>
      </w:r>
      <w:r w:rsidRPr="00ED35A9">
        <w:rPr>
          <w:rFonts w:cs="Times New Roman"/>
          <w:b/>
          <w:szCs w:val="28"/>
          <w:lang w:val="uk-UA"/>
        </w:rPr>
        <w:t xml:space="preserve">та </w:t>
      </w:r>
      <w:bookmarkEnd w:id="62"/>
      <w:bookmarkEnd w:id="63"/>
      <w:r w:rsidRPr="00ED35A9">
        <w:rPr>
          <w:b/>
          <w:szCs w:val="28"/>
          <w:lang w:val="uk-UA"/>
        </w:rPr>
        <w:t>переваги</w:t>
      </w:r>
    </w:p>
    <w:p w:rsidR="00E91B80" w:rsidRPr="00DB1EC9" w:rsidRDefault="00E91B80" w:rsidP="00E91B80">
      <w:pPr>
        <w:rPr>
          <w:spacing w:val="-2"/>
          <w:lang w:val="uk-UA"/>
        </w:rPr>
      </w:pPr>
      <w:r w:rsidRPr="00DB1EC9">
        <w:rPr>
          <w:rFonts w:cs="Times New Roman"/>
          <w:spacing w:val="-2"/>
          <w:szCs w:val="28"/>
          <w:lang w:val="uk-UA"/>
        </w:rPr>
        <w:t>Висок</w:t>
      </w:r>
      <w:r w:rsidRPr="00DB1EC9">
        <w:rPr>
          <w:spacing w:val="-2"/>
          <w:szCs w:val="28"/>
          <w:lang w:val="uk-UA"/>
        </w:rPr>
        <w:t xml:space="preserve">у </w:t>
      </w:r>
      <w:r w:rsidRPr="00DB1EC9">
        <w:rPr>
          <w:rFonts w:cs="Times New Roman"/>
          <w:spacing w:val="-2"/>
          <w:szCs w:val="28"/>
          <w:lang w:val="uk-UA"/>
        </w:rPr>
        <w:t>цінніст</w:t>
      </w:r>
      <w:r w:rsidRPr="00DB1EC9">
        <w:rPr>
          <w:spacing w:val="-2"/>
          <w:szCs w:val="28"/>
          <w:lang w:val="uk-UA"/>
        </w:rPr>
        <w:t xml:space="preserve">ь мають </w:t>
      </w:r>
      <w:r w:rsidRPr="00DB1EC9">
        <w:rPr>
          <w:rFonts w:cs="Times New Roman"/>
          <w:spacing w:val="-2"/>
          <w:szCs w:val="28"/>
          <w:lang w:val="uk-UA"/>
        </w:rPr>
        <w:t xml:space="preserve">такі результати, як </w:t>
      </w:r>
      <w:r w:rsidRPr="00DB1EC9">
        <w:rPr>
          <w:spacing w:val="-2"/>
          <w:szCs w:val="28"/>
          <w:lang w:val="uk-UA"/>
        </w:rPr>
        <w:t>запобігання передчасної смерті та</w:t>
      </w:r>
      <w:r w:rsidRPr="00DB1EC9">
        <w:rPr>
          <w:rFonts w:cs="Times New Roman"/>
          <w:spacing w:val="-2"/>
          <w:szCs w:val="28"/>
          <w:lang w:val="uk-UA"/>
        </w:rPr>
        <w:t xml:space="preserve"> передачі ТБ, а нижч</w:t>
      </w:r>
      <w:r w:rsidRPr="00DB1EC9">
        <w:rPr>
          <w:spacing w:val="-2"/>
          <w:szCs w:val="28"/>
          <w:lang w:val="uk-UA"/>
        </w:rPr>
        <w:t xml:space="preserve">у </w:t>
      </w:r>
      <w:r w:rsidRPr="00DB1EC9">
        <w:rPr>
          <w:rFonts w:cs="Times New Roman"/>
          <w:spacing w:val="-2"/>
          <w:szCs w:val="28"/>
          <w:lang w:val="uk-UA"/>
        </w:rPr>
        <w:t xml:space="preserve">цінність </w:t>
      </w:r>
      <w:r w:rsidRPr="00DB1EC9">
        <w:rPr>
          <w:spacing w:val="-2"/>
          <w:szCs w:val="28"/>
          <w:lang w:val="uk-UA"/>
        </w:rPr>
        <w:t xml:space="preserve">– </w:t>
      </w:r>
      <w:r w:rsidRPr="00DB1EC9">
        <w:rPr>
          <w:rFonts w:cs="Times New Roman"/>
          <w:spacing w:val="-2"/>
          <w:szCs w:val="28"/>
          <w:lang w:val="uk-UA"/>
        </w:rPr>
        <w:t xml:space="preserve">ресурси, необхідні для забезпечення доступності АРТ для всіх пацієнтів з </w:t>
      </w:r>
      <w:proofErr w:type="spellStart"/>
      <w:r w:rsidRPr="00DB1EC9">
        <w:rPr>
          <w:rFonts w:cs="Times New Roman"/>
          <w:spacing w:val="-2"/>
          <w:szCs w:val="28"/>
          <w:lang w:val="uk-UA"/>
        </w:rPr>
        <w:t>коінфекцією</w:t>
      </w:r>
      <w:proofErr w:type="spellEnd"/>
      <w:r w:rsidRPr="00DB1EC9">
        <w:rPr>
          <w:rFonts w:cs="Times New Roman"/>
          <w:spacing w:val="-2"/>
          <w:szCs w:val="28"/>
          <w:lang w:val="uk-UA"/>
        </w:rPr>
        <w:t xml:space="preserve"> МРТБ </w:t>
      </w:r>
      <w:r w:rsidRPr="00DB1EC9">
        <w:rPr>
          <w:spacing w:val="-2"/>
          <w:szCs w:val="28"/>
          <w:lang w:val="uk-UA"/>
        </w:rPr>
        <w:t xml:space="preserve">та </w:t>
      </w:r>
      <w:r w:rsidRPr="00DB1EC9">
        <w:rPr>
          <w:rFonts w:cs="Times New Roman"/>
          <w:spacing w:val="-2"/>
          <w:szCs w:val="28"/>
          <w:lang w:val="uk-UA"/>
        </w:rPr>
        <w:t>ВІЛ</w:t>
      </w:r>
      <w:r w:rsidRPr="00DB1EC9">
        <w:rPr>
          <w:spacing w:val="-2"/>
          <w:szCs w:val="28"/>
          <w:lang w:val="uk-UA"/>
        </w:rPr>
        <w:t>.</w:t>
      </w:r>
    </w:p>
    <w:p w:rsidR="004B5B7F" w:rsidRPr="00ED35A9" w:rsidRDefault="004B5B7F" w:rsidP="000E0B10">
      <w:pPr>
        <w:rPr>
          <w:rFonts w:cs="Times New Roman"/>
          <w:szCs w:val="28"/>
          <w:lang w:val="uk-UA"/>
        </w:rPr>
      </w:pPr>
      <w:r w:rsidRPr="00ED35A9">
        <w:rPr>
          <w:rFonts w:cs="Times New Roman"/>
          <w:szCs w:val="28"/>
          <w:lang w:val="uk-UA"/>
        </w:rPr>
        <w:br w:type="page"/>
      </w:r>
    </w:p>
    <w:p w:rsidR="00EA471D" w:rsidRPr="00ED35A9" w:rsidRDefault="00EA471D" w:rsidP="00EA471D">
      <w:pPr>
        <w:pStyle w:val="2"/>
        <w:rPr>
          <w:lang w:val="uk-UA"/>
        </w:rPr>
      </w:pPr>
      <w:bookmarkStart w:id="64" w:name="_Toc18416325"/>
      <w:r w:rsidRPr="00ED35A9">
        <w:rPr>
          <w:lang w:val="uk-UA"/>
        </w:rPr>
        <w:lastRenderedPageBreak/>
        <w:t xml:space="preserve">Розділ 7. Хірургічні втручання у пацієнтів з </w:t>
      </w:r>
      <w:proofErr w:type="spellStart"/>
      <w:r w:rsidRPr="00ED35A9">
        <w:rPr>
          <w:lang w:val="uk-UA"/>
        </w:rPr>
        <w:t>мультирезистентним</w:t>
      </w:r>
      <w:proofErr w:type="spellEnd"/>
      <w:r w:rsidRPr="00ED35A9">
        <w:rPr>
          <w:lang w:val="uk-UA"/>
        </w:rPr>
        <w:t xml:space="preserve"> туберкульозом</w:t>
      </w:r>
      <w:bookmarkEnd w:id="64"/>
    </w:p>
    <w:tbl>
      <w:tblPr>
        <w:tblStyle w:val="a8"/>
        <w:tblW w:w="0" w:type="auto"/>
        <w:tblInd w:w="108" w:type="dxa"/>
        <w:shd w:val="clear" w:color="auto" w:fill="DEEAF6" w:themeFill="accent1" w:themeFillTint="33"/>
        <w:tblLook w:val="04A0" w:firstRow="1" w:lastRow="0" w:firstColumn="1" w:lastColumn="0" w:noHBand="0" w:noVBand="1"/>
      </w:tblPr>
      <w:tblGrid>
        <w:gridCol w:w="9356"/>
      </w:tblGrid>
      <w:tr w:rsidR="00EA471D" w:rsidRPr="00850C2F" w:rsidTr="00694CFC">
        <w:tc>
          <w:tcPr>
            <w:tcW w:w="9356" w:type="dxa"/>
            <w:shd w:val="clear" w:color="auto" w:fill="DEEAF6" w:themeFill="accent1" w:themeFillTint="33"/>
          </w:tcPr>
          <w:p w:rsidR="00EA471D" w:rsidRPr="00ED35A9" w:rsidRDefault="00EA471D" w:rsidP="00694CFC">
            <w:pPr>
              <w:spacing w:before="120" w:after="120"/>
              <w:ind w:firstLine="0"/>
              <w:jc w:val="center"/>
              <w:rPr>
                <w:b/>
                <w:szCs w:val="28"/>
                <w:lang w:val="uk-UA"/>
              </w:rPr>
            </w:pPr>
            <w:bookmarkStart w:id="65" w:name="bookmark61"/>
            <w:bookmarkStart w:id="66" w:name="_Toc417570615"/>
            <w:r w:rsidRPr="00ED35A9">
              <w:rPr>
                <w:b/>
                <w:szCs w:val="28"/>
                <w:lang w:val="uk-UA"/>
              </w:rPr>
              <w:t>Рекомендації</w:t>
            </w:r>
          </w:p>
          <w:p w:rsidR="00EA471D" w:rsidRPr="00ED35A9" w:rsidRDefault="00EA471D" w:rsidP="00694CFC">
            <w:pPr>
              <w:spacing w:after="120"/>
              <w:ind w:firstLine="0"/>
              <w:rPr>
                <w:szCs w:val="28"/>
                <w:lang w:val="uk-UA"/>
              </w:rPr>
            </w:pPr>
            <w:r w:rsidRPr="00ED35A9">
              <w:rPr>
                <w:szCs w:val="28"/>
                <w:lang w:val="uk-UA"/>
              </w:rPr>
              <w:t>7.1. У пацієнтів з Риф-ТБ або МРТБ вибіркову часткову резекцію легені (</w:t>
            </w:r>
            <w:proofErr w:type="spellStart"/>
            <w:r w:rsidRPr="00ED35A9">
              <w:rPr>
                <w:szCs w:val="28"/>
                <w:lang w:val="uk-UA"/>
              </w:rPr>
              <w:t>лобектомію</w:t>
            </w:r>
            <w:proofErr w:type="spellEnd"/>
            <w:r w:rsidRPr="00ED35A9">
              <w:rPr>
                <w:szCs w:val="28"/>
                <w:lang w:val="uk-UA"/>
              </w:rPr>
              <w:t xml:space="preserve"> або клиноподібну резекцію) можна проводити одночасно із застосовуванням рекомендованої схеми лікування МРТБ (умовна рекомендація, дуже низька якість доказових даних).</w:t>
            </w:r>
          </w:p>
        </w:tc>
      </w:tr>
    </w:tbl>
    <w:bookmarkEnd w:id="65"/>
    <w:bookmarkEnd w:id="66"/>
    <w:p w:rsidR="00EA471D" w:rsidRPr="00ED35A9" w:rsidRDefault="00EA471D" w:rsidP="00EA471D">
      <w:pPr>
        <w:spacing w:before="120"/>
        <w:rPr>
          <w:b/>
          <w:szCs w:val="28"/>
          <w:lang w:val="uk-UA"/>
        </w:rPr>
      </w:pPr>
      <w:r w:rsidRPr="00ED35A9">
        <w:rPr>
          <w:b/>
          <w:szCs w:val="28"/>
          <w:lang w:val="uk-UA"/>
        </w:rPr>
        <w:t>Обґрунтування та доказові дані</w:t>
      </w:r>
    </w:p>
    <w:p w:rsidR="00EA471D" w:rsidRPr="00ED35A9" w:rsidRDefault="00EA471D" w:rsidP="00EA471D">
      <w:pPr>
        <w:spacing w:after="120"/>
        <w:rPr>
          <w:szCs w:val="28"/>
          <w:lang w:val="uk-UA"/>
        </w:rPr>
      </w:pPr>
      <w:r w:rsidRPr="00ED35A9">
        <w:rPr>
          <w:szCs w:val="28"/>
          <w:lang w:val="uk-UA"/>
        </w:rPr>
        <w:t>Рекомендації цього розділу дають відповідь на одне запитання PICO (</w:t>
      </w:r>
      <w:r w:rsidRPr="00ED35A9">
        <w:rPr>
          <w:i/>
          <w:szCs w:val="28"/>
          <w:lang w:val="uk-UA"/>
        </w:rPr>
        <w:t>див.</w:t>
      </w:r>
      <w:r w:rsidRPr="00ED35A9">
        <w:rPr>
          <w:szCs w:val="28"/>
          <w:lang w:val="uk-UA"/>
        </w:rPr>
        <w:t xml:space="preserve"> Додаток 1).</w:t>
      </w:r>
    </w:p>
    <w:tbl>
      <w:tblPr>
        <w:tblStyle w:val="a8"/>
        <w:tblW w:w="0" w:type="auto"/>
        <w:tblInd w:w="108" w:type="dxa"/>
        <w:tblLook w:val="04A0" w:firstRow="1" w:lastRow="0" w:firstColumn="1" w:lastColumn="0" w:noHBand="0" w:noVBand="1"/>
      </w:tblPr>
      <w:tblGrid>
        <w:gridCol w:w="9356"/>
      </w:tblGrid>
      <w:tr w:rsidR="00EA471D" w:rsidRPr="00850C2F" w:rsidTr="00694CFC">
        <w:tc>
          <w:tcPr>
            <w:tcW w:w="9356" w:type="dxa"/>
          </w:tcPr>
          <w:p w:rsidR="00EA471D" w:rsidRPr="00ED35A9" w:rsidRDefault="00EA471D" w:rsidP="00694CFC">
            <w:pPr>
              <w:spacing w:before="120"/>
              <w:ind w:firstLine="0"/>
              <w:rPr>
                <w:szCs w:val="28"/>
                <w:lang w:val="uk-UA"/>
              </w:rPr>
            </w:pPr>
            <w:r w:rsidRPr="00ED35A9">
              <w:rPr>
                <w:b/>
                <w:i/>
                <w:szCs w:val="28"/>
                <w:lang w:val="uk-UA"/>
              </w:rPr>
              <w:t>Запитання PICO 4 (ЛС-ТБ, 2016 р.)</w:t>
            </w:r>
          </w:p>
          <w:p w:rsidR="00EA471D" w:rsidRPr="00ED35A9" w:rsidRDefault="00EA471D" w:rsidP="00C757EE">
            <w:pPr>
              <w:spacing w:after="120"/>
              <w:ind w:firstLine="0"/>
              <w:rPr>
                <w:szCs w:val="28"/>
                <w:lang w:val="uk-UA"/>
              </w:rPr>
            </w:pPr>
            <w:r w:rsidRPr="00ED35A9">
              <w:rPr>
                <w:szCs w:val="28"/>
                <w:lang w:val="uk-UA"/>
              </w:rPr>
              <w:t xml:space="preserve">Чи призведе до </w:t>
            </w:r>
            <w:r w:rsidR="006D127C" w:rsidRPr="00ED35A9">
              <w:rPr>
                <w:szCs w:val="28"/>
                <w:lang w:val="uk-UA"/>
              </w:rPr>
              <w:t>одужання</w:t>
            </w:r>
            <w:r w:rsidRPr="00ED35A9">
              <w:rPr>
                <w:szCs w:val="28"/>
                <w:lang w:val="uk-UA"/>
              </w:rPr>
              <w:t xml:space="preserve"> або інших наслідків застосування наступних двох </w:t>
            </w:r>
            <w:proofErr w:type="spellStart"/>
            <w:r w:rsidRPr="00ED35A9">
              <w:rPr>
                <w:szCs w:val="28"/>
                <w:lang w:val="uk-UA"/>
              </w:rPr>
              <w:t>втручань</w:t>
            </w:r>
            <w:proofErr w:type="spellEnd"/>
            <w:r w:rsidRPr="00ED35A9">
              <w:rPr>
                <w:szCs w:val="28"/>
                <w:lang w:val="uk-UA"/>
              </w:rPr>
              <w:t xml:space="preserve"> </w:t>
            </w:r>
            <w:r w:rsidR="00C757EE" w:rsidRPr="00ED35A9">
              <w:rPr>
                <w:szCs w:val="28"/>
                <w:lang w:val="uk-UA"/>
              </w:rPr>
              <w:t xml:space="preserve">– </w:t>
            </w:r>
            <w:r w:rsidRPr="00ED35A9">
              <w:rPr>
                <w:szCs w:val="28"/>
                <w:lang w:val="uk-UA"/>
              </w:rPr>
              <w:t>затримка початку лікування та вибіркове хірургічне втручання</w:t>
            </w:r>
            <w:r w:rsidR="00C757EE" w:rsidRPr="00ED35A9">
              <w:rPr>
                <w:szCs w:val="28"/>
                <w:lang w:val="uk-UA"/>
              </w:rPr>
              <w:t xml:space="preserve"> – </w:t>
            </w:r>
            <w:r w:rsidRPr="00ED35A9">
              <w:rPr>
                <w:szCs w:val="28"/>
                <w:lang w:val="uk-UA"/>
              </w:rPr>
              <w:t>при лікуванні пацієнтів з МРТБ</w:t>
            </w:r>
            <w:r w:rsidRPr="00ED35A9">
              <w:rPr>
                <w:szCs w:val="28"/>
                <w:vertAlign w:val="superscript"/>
                <w:lang w:val="uk-UA"/>
              </w:rPr>
              <w:footnoteReference w:id="26"/>
            </w:r>
            <w:r w:rsidRPr="00ED35A9">
              <w:rPr>
                <w:szCs w:val="28"/>
                <w:lang w:val="uk-UA"/>
              </w:rPr>
              <w:t>?</w:t>
            </w:r>
          </w:p>
        </w:tc>
      </w:tr>
    </w:tbl>
    <w:p w:rsidR="00EA471D" w:rsidRPr="00ED35A9" w:rsidRDefault="00EA471D" w:rsidP="00EA471D">
      <w:pPr>
        <w:spacing w:before="120"/>
        <w:rPr>
          <w:szCs w:val="28"/>
          <w:lang w:val="uk-UA"/>
        </w:rPr>
      </w:pPr>
      <w:r w:rsidRPr="00ED35A9">
        <w:rPr>
          <w:szCs w:val="28"/>
          <w:lang w:val="uk-UA"/>
        </w:rPr>
        <w:t xml:space="preserve">Хірургічне втручання застосовували для лікування пацієнтів з ТБ ще до початку хіміотерапії. У багатьох країнах воно залишається одним із варіантів лікування ТБ. За багатьох обставин виникають певні труднощі при виборі належних схем лікування МР/Риф-ТБ через ризик виникнення серйозних ускладнень, тож роль </w:t>
      </w:r>
      <w:proofErr w:type="spellStart"/>
      <w:r w:rsidRPr="00ED35A9">
        <w:rPr>
          <w:szCs w:val="28"/>
          <w:lang w:val="uk-UA"/>
        </w:rPr>
        <w:t>пульмонарної</w:t>
      </w:r>
      <w:proofErr w:type="spellEnd"/>
      <w:r w:rsidRPr="00ED35A9">
        <w:rPr>
          <w:szCs w:val="28"/>
          <w:lang w:val="uk-UA"/>
        </w:rPr>
        <w:t xml:space="preserve"> хірургії проходить переоцінювання з огляду на скорочення кількості легеневої тканини з невиліковною патологією, зниження рівня бактеріального навантаження і таким чином покращення прогнозу. Для відповіді на це запитання було проведено МА ІДП із врахуванням ефективності різних видів вибіркового хірургічного втручання як додаткового заходу до комбінованої терапії МРТБ </w:t>
      </w:r>
      <w:r w:rsidRPr="00ED35A9">
        <w:rPr>
          <w:i/>
          <w:szCs w:val="28"/>
          <w:lang w:val="uk-UA"/>
        </w:rPr>
        <w:t>(87)</w:t>
      </w:r>
      <w:r w:rsidRPr="00ED35A9">
        <w:rPr>
          <w:szCs w:val="28"/>
          <w:lang w:val="uk-UA"/>
        </w:rPr>
        <w:t xml:space="preserve">, а також систематичний огляд і </w:t>
      </w:r>
      <w:proofErr w:type="spellStart"/>
      <w:r w:rsidRPr="00ED35A9">
        <w:rPr>
          <w:szCs w:val="28"/>
          <w:lang w:val="uk-UA"/>
        </w:rPr>
        <w:t>метааналіз</w:t>
      </w:r>
      <w:proofErr w:type="spellEnd"/>
      <w:r w:rsidRPr="00ED35A9">
        <w:rPr>
          <w:szCs w:val="28"/>
          <w:lang w:val="uk-UA"/>
        </w:rPr>
        <w:t xml:space="preserve"> на рівні дослідження </w:t>
      </w:r>
      <w:r w:rsidRPr="00ED35A9">
        <w:rPr>
          <w:i/>
          <w:szCs w:val="28"/>
          <w:lang w:val="uk-UA"/>
        </w:rPr>
        <w:t>(88)</w:t>
      </w:r>
      <w:r w:rsidRPr="00ED35A9">
        <w:rPr>
          <w:szCs w:val="28"/>
          <w:lang w:val="uk-UA"/>
        </w:rPr>
        <w:t xml:space="preserve"> (</w:t>
      </w:r>
      <w:r w:rsidRPr="00ED35A9">
        <w:rPr>
          <w:i/>
          <w:szCs w:val="28"/>
          <w:lang w:val="uk-UA"/>
        </w:rPr>
        <w:t>див.</w:t>
      </w:r>
      <w:r w:rsidRPr="00ED35A9">
        <w:rPr>
          <w:szCs w:val="28"/>
          <w:lang w:val="uk-UA"/>
        </w:rPr>
        <w:t xml:space="preserve"> онлайн-додаток 7; ЛС-ТБ, 2016 р.). Демографічні, клінічні, бактеріологічні, хірургічні дані та результати лікування пацієнтів з МРТБ були отримані з 26 </w:t>
      </w:r>
      <w:proofErr w:type="spellStart"/>
      <w:r w:rsidRPr="00ED35A9">
        <w:rPr>
          <w:szCs w:val="28"/>
          <w:lang w:val="uk-UA"/>
        </w:rPr>
        <w:t>когортних</w:t>
      </w:r>
      <w:proofErr w:type="spellEnd"/>
      <w:r w:rsidRPr="00ED35A9">
        <w:rPr>
          <w:szCs w:val="28"/>
          <w:lang w:val="uk-UA"/>
        </w:rPr>
        <w:t xml:space="preserve"> досліджень з використанням індивідуальних даних дорослих пацієнтів (</w:t>
      </w:r>
      <w:proofErr w:type="spellStart"/>
      <w:r w:rsidRPr="00ED35A9">
        <w:rPr>
          <w:szCs w:val="28"/>
          <w:lang w:val="uk-UA"/>
        </w:rPr>
        <w:t>ІДПд</w:t>
      </w:r>
      <w:proofErr w:type="spellEnd"/>
      <w:r w:rsidRPr="00ED35A9">
        <w:rPr>
          <w:szCs w:val="28"/>
          <w:lang w:val="uk-UA"/>
        </w:rPr>
        <w:t xml:space="preserve">) </w:t>
      </w:r>
      <w:r w:rsidRPr="00ED35A9">
        <w:rPr>
          <w:i/>
          <w:szCs w:val="28"/>
          <w:lang w:val="uk-UA"/>
        </w:rPr>
        <w:t>(42)</w:t>
      </w:r>
      <w:r w:rsidRPr="00ED35A9">
        <w:rPr>
          <w:szCs w:val="28"/>
          <w:lang w:val="uk-UA"/>
        </w:rPr>
        <w:t xml:space="preserve">. Підсумки аналізу наведено у таблицях GRADE, що складаються з трьох верств, в яких порівнюють успіх лікування (наприклад, </w:t>
      </w:r>
      <w:r w:rsidR="006D127C" w:rsidRPr="00ED35A9">
        <w:rPr>
          <w:szCs w:val="28"/>
          <w:lang w:val="uk-UA"/>
        </w:rPr>
        <w:t>одужання</w:t>
      </w:r>
      <w:r w:rsidRPr="00ED35A9">
        <w:rPr>
          <w:szCs w:val="28"/>
          <w:lang w:val="uk-UA"/>
        </w:rPr>
        <w:t xml:space="preserve"> та завершення лікування) із різними комбінаціями невдачі лікування, виникнення рецидиву захворювання, смертельними наслідками та випадками втрати пацієнта з-під нагляду. Два набори таких даних були підготовлені для: 1) часткової резекції </w:t>
      </w:r>
      <w:proofErr w:type="spellStart"/>
      <w:r w:rsidRPr="00ED35A9">
        <w:rPr>
          <w:szCs w:val="28"/>
          <w:lang w:val="uk-UA"/>
        </w:rPr>
        <w:t>легенів</w:t>
      </w:r>
      <w:proofErr w:type="spellEnd"/>
      <w:r w:rsidRPr="00ED35A9">
        <w:rPr>
          <w:szCs w:val="28"/>
          <w:lang w:val="uk-UA"/>
        </w:rPr>
        <w:t>; 2) </w:t>
      </w:r>
      <w:proofErr w:type="spellStart"/>
      <w:r w:rsidRPr="00ED35A9">
        <w:rPr>
          <w:szCs w:val="28"/>
          <w:lang w:val="uk-UA"/>
        </w:rPr>
        <w:t>пневмонектомії</w:t>
      </w:r>
      <w:proofErr w:type="spellEnd"/>
      <w:r w:rsidRPr="00ED35A9">
        <w:rPr>
          <w:szCs w:val="28"/>
          <w:lang w:val="uk-UA"/>
        </w:rPr>
        <w:t>.</w:t>
      </w:r>
    </w:p>
    <w:p w:rsidR="00EA471D" w:rsidRPr="00ED35A9" w:rsidRDefault="00EA471D" w:rsidP="00EA471D">
      <w:pPr>
        <w:rPr>
          <w:szCs w:val="28"/>
          <w:lang w:val="uk-UA"/>
        </w:rPr>
      </w:pPr>
      <w:r w:rsidRPr="00ED35A9">
        <w:rPr>
          <w:szCs w:val="28"/>
          <w:lang w:val="uk-UA"/>
        </w:rPr>
        <w:t xml:space="preserve">За даними </w:t>
      </w:r>
      <w:proofErr w:type="spellStart"/>
      <w:r w:rsidRPr="00ED35A9">
        <w:rPr>
          <w:szCs w:val="28"/>
          <w:lang w:val="uk-UA"/>
        </w:rPr>
        <w:t>метааналізу</w:t>
      </w:r>
      <w:proofErr w:type="spellEnd"/>
      <w:r w:rsidRPr="00ED35A9">
        <w:rPr>
          <w:szCs w:val="28"/>
          <w:lang w:val="uk-UA"/>
        </w:rPr>
        <w:t xml:space="preserve"> на рівні дослідження, в якому було розглянуто всі види хірургічного втручання, відзначено значуще покращення показників </w:t>
      </w:r>
      <w:r w:rsidR="006D127C" w:rsidRPr="00ED35A9">
        <w:rPr>
          <w:szCs w:val="28"/>
          <w:lang w:val="uk-UA"/>
        </w:rPr>
        <w:t>одужання</w:t>
      </w:r>
      <w:r w:rsidRPr="00ED35A9">
        <w:rPr>
          <w:szCs w:val="28"/>
          <w:lang w:val="uk-UA"/>
        </w:rPr>
        <w:t xml:space="preserve"> та отримання успішних результатів лікування у пацієнтів, </w:t>
      </w:r>
      <w:r w:rsidR="008B02F2" w:rsidRPr="00ED35A9">
        <w:rPr>
          <w:szCs w:val="28"/>
          <w:lang w:val="uk-UA"/>
        </w:rPr>
        <w:t>в </w:t>
      </w:r>
      <w:r w:rsidRPr="00ED35A9">
        <w:rPr>
          <w:szCs w:val="28"/>
          <w:lang w:val="uk-UA"/>
        </w:rPr>
        <w:t xml:space="preserve">яких проводили хірургічні втручання. Проте, при порівнянні </w:t>
      </w:r>
      <w:proofErr w:type="spellStart"/>
      <w:r w:rsidRPr="00ED35A9">
        <w:rPr>
          <w:szCs w:val="28"/>
          <w:lang w:val="uk-UA"/>
        </w:rPr>
        <w:t>ІДПд</w:t>
      </w:r>
      <w:proofErr w:type="spellEnd"/>
      <w:r w:rsidRPr="00ED35A9">
        <w:rPr>
          <w:szCs w:val="28"/>
          <w:lang w:val="uk-UA"/>
        </w:rPr>
        <w:t xml:space="preserve">, яким </w:t>
      </w:r>
      <w:r w:rsidRPr="00ED35A9">
        <w:rPr>
          <w:szCs w:val="28"/>
          <w:lang w:val="uk-UA"/>
        </w:rPr>
        <w:lastRenderedPageBreak/>
        <w:t xml:space="preserve">проводили часткову резекцію легені та більш радикальну </w:t>
      </w:r>
      <w:proofErr w:type="spellStart"/>
      <w:r w:rsidRPr="00ED35A9">
        <w:rPr>
          <w:szCs w:val="28"/>
          <w:lang w:val="uk-UA"/>
        </w:rPr>
        <w:t>пневмонектомію</w:t>
      </w:r>
      <w:proofErr w:type="spellEnd"/>
      <w:r w:rsidRPr="00ED35A9">
        <w:rPr>
          <w:szCs w:val="28"/>
          <w:lang w:val="uk-UA"/>
        </w:rPr>
        <w:t xml:space="preserve">, </w:t>
      </w:r>
      <w:r w:rsidR="008B02F2" w:rsidRPr="00ED35A9">
        <w:rPr>
          <w:szCs w:val="28"/>
          <w:lang w:val="uk-UA"/>
        </w:rPr>
        <w:t>з </w:t>
      </w:r>
      <w:r w:rsidRPr="00ED35A9">
        <w:rPr>
          <w:szCs w:val="28"/>
          <w:lang w:val="uk-UA"/>
        </w:rPr>
        <w:t xml:space="preserve">пацієнтами, яких не оперували, було відзначено статистично значущі вищі показники </w:t>
      </w:r>
      <w:r w:rsidR="00710AA9" w:rsidRPr="00ED35A9">
        <w:rPr>
          <w:szCs w:val="28"/>
          <w:lang w:val="uk-UA"/>
        </w:rPr>
        <w:t>ефективності лікування</w:t>
      </w:r>
      <w:r w:rsidRPr="00ED35A9">
        <w:rPr>
          <w:szCs w:val="28"/>
          <w:lang w:val="uk-UA"/>
        </w:rPr>
        <w:t xml:space="preserve"> у тих осіб, в яких проводили часткову резекцію легені. У пацієнтів, в яких проводили </w:t>
      </w:r>
      <w:proofErr w:type="spellStart"/>
      <w:r w:rsidRPr="00ED35A9">
        <w:rPr>
          <w:szCs w:val="28"/>
          <w:lang w:val="uk-UA"/>
        </w:rPr>
        <w:t>пневмонектомію</w:t>
      </w:r>
      <w:proofErr w:type="spellEnd"/>
      <w:r w:rsidRPr="00ED35A9">
        <w:rPr>
          <w:szCs w:val="28"/>
          <w:lang w:val="uk-UA"/>
        </w:rPr>
        <w:t xml:space="preserve">, не відзначено кращих результатів лікування, ніж в осіб, в яких не проводили хірургічного втручання. Відзначено кращий прогноз за умови проведення часткової резекції легені після </w:t>
      </w:r>
      <w:proofErr w:type="spellStart"/>
      <w:r w:rsidRPr="00ED35A9">
        <w:rPr>
          <w:szCs w:val="28"/>
          <w:lang w:val="uk-UA"/>
        </w:rPr>
        <w:t>культуральної</w:t>
      </w:r>
      <w:proofErr w:type="spellEnd"/>
      <w:r w:rsidRPr="00ED35A9">
        <w:rPr>
          <w:szCs w:val="28"/>
          <w:lang w:val="uk-UA"/>
        </w:rPr>
        <w:t xml:space="preserve"> конверсії. Цей ефект не відзначено у пацієнтів, які пройшли </w:t>
      </w:r>
      <w:proofErr w:type="spellStart"/>
      <w:r w:rsidRPr="00ED35A9">
        <w:rPr>
          <w:szCs w:val="28"/>
          <w:lang w:val="uk-UA"/>
        </w:rPr>
        <w:t>пневмонектомію</w:t>
      </w:r>
      <w:proofErr w:type="spellEnd"/>
      <w:r w:rsidRPr="00ED35A9">
        <w:rPr>
          <w:szCs w:val="28"/>
          <w:lang w:val="uk-UA"/>
        </w:rPr>
        <w:t xml:space="preserve">. Проте існує декілька суттєвих зауважень щодо отриманих даних. Ймовірною є наявність систематичної похибки, оскільки хірургічне втручання проводили тільки в тих пацієнтів, яких вважали придатними до оперативного втручання. За даними аналізу </w:t>
      </w:r>
      <w:proofErr w:type="spellStart"/>
      <w:r w:rsidRPr="00ED35A9">
        <w:rPr>
          <w:szCs w:val="28"/>
          <w:lang w:val="uk-UA"/>
        </w:rPr>
        <w:t>ІДПд</w:t>
      </w:r>
      <w:proofErr w:type="spellEnd"/>
      <w:r w:rsidRPr="00ED35A9">
        <w:rPr>
          <w:szCs w:val="28"/>
          <w:lang w:val="uk-UA"/>
        </w:rPr>
        <w:t xml:space="preserve">, в жодного пацієнта із </w:t>
      </w:r>
      <w:proofErr w:type="spellStart"/>
      <w:r w:rsidRPr="00ED35A9">
        <w:rPr>
          <w:szCs w:val="28"/>
          <w:lang w:val="uk-UA"/>
        </w:rPr>
        <w:t>коінфекцією</w:t>
      </w:r>
      <w:proofErr w:type="spellEnd"/>
      <w:r w:rsidRPr="00ED35A9">
        <w:rPr>
          <w:szCs w:val="28"/>
          <w:lang w:val="uk-UA"/>
        </w:rPr>
        <w:t xml:space="preserve"> ВІЛ не проводили резекцію легені. Таким чином, було не можливо провести оцінювання ефекту хірургічного втручання у ВІЛ-інфікованих пацієнтів з МРТБ. Показники смертності істотно не відрізнялися у прооперованих пацієнтів та осіб, що отримували лише медикаментозне лікування</w:t>
      </w:r>
      <w:r w:rsidR="008B02F2" w:rsidRPr="00ED35A9">
        <w:rPr>
          <w:szCs w:val="28"/>
          <w:lang w:val="uk-UA"/>
        </w:rPr>
        <w:t xml:space="preserve">, проте </w:t>
      </w:r>
      <w:r w:rsidRPr="00ED35A9">
        <w:rPr>
          <w:szCs w:val="28"/>
          <w:lang w:val="uk-UA"/>
        </w:rPr>
        <w:t>результати можуть бути необ’єктивними, оскільки ризик смертності міг бути набагато вищим серед пацієнтів, яким було призначено хірургічне втручання, а</w:t>
      </w:r>
      <w:r w:rsidR="008B02F2" w:rsidRPr="00ED35A9">
        <w:rPr>
          <w:szCs w:val="28"/>
          <w:lang w:val="uk-UA"/>
        </w:rPr>
        <w:t>ле</w:t>
      </w:r>
      <w:r w:rsidRPr="00ED35A9">
        <w:rPr>
          <w:szCs w:val="28"/>
          <w:lang w:val="uk-UA"/>
        </w:rPr>
        <w:t xml:space="preserve"> вони не були прооперовані.</w:t>
      </w:r>
    </w:p>
    <w:p w:rsidR="00EA471D" w:rsidRPr="00ED35A9" w:rsidRDefault="00EA471D" w:rsidP="00EA471D">
      <w:pPr>
        <w:rPr>
          <w:b/>
          <w:szCs w:val="28"/>
          <w:lang w:val="uk-UA"/>
        </w:rPr>
      </w:pPr>
      <w:bookmarkStart w:id="67" w:name="bookmark63"/>
      <w:bookmarkStart w:id="68" w:name="_Toc417570617"/>
      <w:r w:rsidRPr="00ED35A9">
        <w:rPr>
          <w:b/>
          <w:szCs w:val="28"/>
          <w:lang w:val="uk-UA"/>
        </w:rPr>
        <w:t>Зауваження щодо підгруп</w:t>
      </w:r>
      <w:bookmarkEnd w:id="67"/>
      <w:bookmarkEnd w:id="68"/>
    </w:p>
    <w:p w:rsidR="00EA471D" w:rsidRPr="00ED35A9" w:rsidRDefault="00EA471D" w:rsidP="00EA471D">
      <w:pPr>
        <w:rPr>
          <w:szCs w:val="28"/>
          <w:lang w:val="uk-UA"/>
        </w:rPr>
      </w:pPr>
      <w:r w:rsidRPr="00ED35A9">
        <w:rPr>
          <w:szCs w:val="28"/>
          <w:lang w:val="uk-UA"/>
        </w:rPr>
        <w:t>Очікується, що відносні переваги хірургічного втручання істотно залежать від охоплених лікуванням популяційних підгруп. За даними проведеного аналізу, не виявлено чіткої диференціації за типами пацієнтів, які найкраще підходять до подібного втручання, або який саме тип інтервенції приніс би найбільше переваг. У середньостатистичного пацієнта, якого вважають придатним для хірургічного втручання, очікуваним є помірний ефект. У прооперованих пацієнтів з ТБ-ШМР шанси на успіх були статистично нижчими порівняно з іншими пацієнтами (</w:t>
      </w:r>
      <w:proofErr w:type="spellStart"/>
      <w:r w:rsidRPr="00ED35A9">
        <w:rPr>
          <w:szCs w:val="28"/>
          <w:lang w:val="uk-UA"/>
        </w:rPr>
        <w:t>aOR</w:t>
      </w:r>
      <w:proofErr w:type="spellEnd"/>
      <w:r w:rsidRPr="00ED35A9">
        <w:rPr>
          <w:szCs w:val="28"/>
          <w:lang w:val="uk-UA"/>
        </w:rPr>
        <w:t xml:space="preserve"> 0,4; 95% ДІ: 0,2–0,9). Ймовірно, ці дані є необ’єктивними, враховуючи, що прооперовані пацієнти повинні були мати </w:t>
      </w:r>
      <w:r w:rsidR="008B02F2" w:rsidRPr="00ED35A9">
        <w:rPr>
          <w:szCs w:val="28"/>
          <w:lang w:val="uk-UA"/>
        </w:rPr>
        <w:t>додаткові</w:t>
      </w:r>
      <w:r w:rsidRPr="00ED35A9">
        <w:rPr>
          <w:szCs w:val="28"/>
          <w:lang w:val="uk-UA"/>
        </w:rPr>
        <w:t xml:space="preserve"> фактори ризику отримання незадовільного результату лікування, які неможливо було врахувати.</w:t>
      </w:r>
    </w:p>
    <w:p w:rsidR="00EA471D" w:rsidRPr="00ED35A9" w:rsidRDefault="00EA471D" w:rsidP="00EA471D">
      <w:pPr>
        <w:rPr>
          <w:b/>
          <w:szCs w:val="28"/>
          <w:lang w:val="uk-UA"/>
        </w:rPr>
      </w:pPr>
      <w:r w:rsidRPr="00ED35A9">
        <w:rPr>
          <w:b/>
          <w:szCs w:val="28"/>
          <w:lang w:val="uk-UA"/>
        </w:rPr>
        <w:t>Впровадження рекомендацій</w:t>
      </w:r>
    </w:p>
    <w:p w:rsidR="00EA471D" w:rsidRPr="00ED35A9" w:rsidRDefault="00EA471D" w:rsidP="00EA471D">
      <w:pPr>
        <w:rPr>
          <w:szCs w:val="28"/>
          <w:lang w:val="uk-UA"/>
        </w:rPr>
      </w:pPr>
      <w:r w:rsidRPr="00ED35A9">
        <w:rPr>
          <w:szCs w:val="28"/>
          <w:lang w:val="uk-UA"/>
        </w:rPr>
        <w:t>Часткову резекцію легені у пацієнтів з МРТБ слід розглядати лише за наявності належних умов для проведення хірургічного втручання досвідченими хірургами після ретельного відбору кандидатів.</w:t>
      </w:r>
    </w:p>
    <w:p w:rsidR="00EA471D" w:rsidRPr="00ED35A9" w:rsidRDefault="00EA471D" w:rsidP="00EA471D">
      <w:pPr>
        <w:rPr>
          <w:b/>
          <w:szCs w:val="28"/>
          <w:lang w:val="uk-UA"/>
        </w:rPr>
      </w:pPr>
      <w:r w:rsidRPr="00ED35A9">
        <w:rPr>
          <w:b/>
          <w:szCs w:val="28"/>
          <w:lang w:val="uk-UA"/>
        </w:rPr>
        <w:t>Моніторинг та оцінювання</w:t>
      </w:r>
    </w:p>
    <w:p w:rsidR="00E91B80" w:rsidRPr="00ED35A9" w:rsidRDefault="00EA471D" w:rsidP="00EA471D">
      <w:pPr>
        <w:rPr>
          <w:rFonts w:cs="Times New Roman"/>
          <w:szCs w:val="28"/>
          <w:lang w:val="uk-UA"/>
        </w:rPr>
      </w:pPr>
      <w:r w:rsidRPr="00ED35A9">
        <w:rPr>
          <w:szCs w:val="28"/>
          <w:lang w:val="uk-UA"/>
        </w:rPr>
        <w:t xml:space="preserve">За аналізом ІДП, у випадках проведення хірургічного втручання показники смертності істотно не відрізнялись у прооперованих пацієнтів та осіб, що отримували лише медикаментозне лікування. Для проведення </w:t>
      </w:r>
      <w:r w:rsidR="008B02F2" w:rsidRPr="00ED35A9">
        <w:rPr>
          <w:szCs w:val="28"/>
          <w:lang w:val="uk-UA"/>
        </w:rPr>
        <w:t>ви</w:t>
      </w:r>
      <w:r w:rsidRPr="00ED35A9">
        <w:rPr>
          <w:szCs w:val="28"/>
          <w:lang w:val="uk-UA"/>
        </w:rPr>
        <w:t xml:space="preserve">важеного аналізу кількість даних щодо виникнення небезпечних явищ, хірургічних ускладнень або тривалих наслідків, деякі з яких можуть бути фатальними, була недостатньою. Незважаючи на невідомий обсяг </w:t>
      </w:r>
      <w:proofErr w:type="spellStart"/>
      <w:r w:rsidRPr="00ED35A9">
        <w:rPr>
          <w:szCs w:val="28"/>
          <w:lang w:val="uk-UA"/>
        </w:rPr>
        <w:t>періоперативних</w:t>
      </w:r>
      <w:proofErr w:type="spellEnd"/>
      <w:r w:rsidRPr="00ED35A9">
        <w:rPr>
          <w:szCs w:val="28"/>
          <w:lang w:val="uk-UA"/>
        </w:rPr>
        <w:t xml:space="preserve"> ускладнень, ГРН було прийнято рішення, що загалом хірургічне втручання має більше переваг.</w:t>
      </w:r>
      <w:r w:rsidR="00E91B80" w:rsidRPr="00ED35A9">
        <w:rPr>
          <w:rFonts w:cs="Times New Roman"/>
          <w:szCs w:val="28"/>
          <w:lang w:val="uk-UA"/>
        </w:rPr>
        <w:br w:type="page"/>
      </w:r>
    </w:p>
    <w:p w:rsidR="00A75154" w:rsidRPr="00ED35A9" w:rsidRDefault="00A75154" w:rsidP="00A75154">
      <w:pPr>
        <w:pStyle w:val="2"/>
        <w:rPr>
          <w:lang w:val="uk-UA"/>
        </w:rPr>
      </w:pPr>
      <w:bookmarkStart w:id="69" w:name="_Toc18416326"/>
      <w:r w:rsidRPr="00ED35A9">
        <w:rPr>
          <w:lang w:val="uk-UA"/>
        </w:rPr>
        <w:lastRenderedPageBreak/>
        <w:t>Розділ 8. Надання до</w:t>
      </w:r>
      <w:r w:rsidR="00B110B4" w:rsidRPr="00ED35A9">
        <w:rPr>
          <w:lang w:val="uk-UA"/>
        </w:rPr>
        <w:t>помоги та підтримки пацієнтам з </w:t>
      </w:r>
      <w:proofErr w:type="spellStart"/>
      <w:r w:rsidRPr="00ED35A9">
        <w:rPr>
          <w:lang w:val="uk-UA"/>
        </w:rPr>
        <w:t>мультирезистентним</w:t>
      </w:r>
      <w:proofErr w:type="spellEnd"/>
      <w:r w:rsidRPr="00ED35A9">
        <w:rPr>
          <w:lang w:val="uk-UA"/>
        </w:rPr>
        <w:t>/</w:t>
      </w:r>
      <w:proofErr w:type="spellStart"/>
      <w:r w:rsidRPr="00ED35A9">
        <w:rPr>
          <w:lang w:val="uk-UA"/>
        </w:rPr>
        <w:t>рифампіцин</w:t>
      </w:r>
      <w:proofErr w:type="spellEnd"/>
      <w:r w:rsidRPr="00ED35A9">
        <w:rPr>
          <w:lang w:val="uk-UA"/>
        </w:rPr>
        <w:t>-резистентним туберкульозом</w:t>
      </w:r>
      <w:bookmarkEnd w:id="69"/>
    </w:p>
    <w:tbl>
      <w:tblPr>
        <w:tblStyle w:val="a8"/>
        <w:tblW w:w="0" w:type="auto"/>
        <w:tblInd w:w="108" w:type="dxa"/>
        <w:shd w:val="clear" w:color="auto" w:fill="DEEAF6" w:themeFill="accent1" w:themeFillTint="33"/>
        <w:tblLook w:val="04A0" w:firstRow="1" w:lastRow="0" w:firstColumn="1" w:lastColumn="0" w:noHBand="0" w:noVBand="1"/>
      </w:tblPr>
      <w:tblGrid>
        <w:gridCol w:w="9356"/>
      </w:tblGrid>
      <w:tr w:rsidR="00A75154" w:rsidRPr="00850C2F" w:rsidTr="00694CFC">
        <w:tc>
          <w:tcPr>
            <w:tcW w:w="9356" w:type="dxa"/>
            <w:shd w:val="clear" w:color="auto" w:fill="DEEAF6" w:themeFill="accent1" w:themeFillTint="33"/>
          </w:tcPr>
          <w:p w:rsidR="00A75154" w:rsidRPr="00ED35A9" w:rsidRDefault="00A75154" w:rsidP="00694CFC">
            <w:pPr>
              <w:spacing w:before="120" w:after="120"/>
              <w:ind w:firstLine="0"/>
              <w:jc w:val="center"/>
              <w:rPr>
                <w:szCs w:val="28"/>
                <w:lang w:val="uk-UA"/>
              </w:rPr>
            </w:pPr>
            <w:bookmarkStart w:id="70" w:name="bookmark67"/>
            <w:bookmarkStart w:id="71" w:name="_Toc417570621"/>
            <w:r w:rsidRPr="00ED35A9">
              <w:rPr>
                <w:b/>
                <w:szCs w:val="28"/>
                <w:lang w:val="uk-UA"/>
              </w:rPr>
              <w:t>Рекомендації</w:t>
            </w:r>
          </w:p>
          <w:p w:rsidR="00A75154" w:rsidRPr="00ED35A9" w:rsidRDefault="00A75154" w:rsidP="00DB1EC9">
            <w:pPr>
              <w:spacing w:after="120" w:line="247" w:lineRule="auto"/>
              <w:ind w:firstLine="0"/>
              <w:rPr>
                <w:szCs w:val="28"/>
                <w:lang w:val="uk-UA"/>
              </w:rPr>
            </w:pPr>
            <w:r w:rsidRPr="00ED35A9">
              <w:rPr>
                <w:szCs w:val="28"/>
                <w:lang w:val="uk-UA"/>
              </w:rPr>
              <w:t>8.1. </w:t>
            </w:r>
            <w:r w:rsidRPr="00ED35A9">
              <w:rPr>
                <w:lang w:val="uk-UA"/>
              </w:rPr>
              <w:t>Рекомендовано забезпечити проведення просвітницьких заходів та консультування щодо захворювання й формування прихильності до лікування для пацієнтів, які проходять курс лікування ТБ (наполеглива рекомендація, помірна якість доказових даних).</w:t>
            </w:r>
          </w:p>
          <w:p w:rsidR="00A75154" w:rsidRPr="00ED35A9" w:rsidRDefault="00A75154" w:rsidP="00DB1EC9">
            <w:pPr>
              <w:spacing w:after="120" w:line="247" w:lineRule="auto"/>
              <w:ind w:firstLine="0"/>
              <w:rPr>
                <w:szCs w:val="28"/>
                <w:lang w:val="uk-UA"/>
              </w:rPr>
            </w:pPr>
            <w:r w:rsidRPr="00ED35A9">
              <w:rPr>
                <w:szCs w:val="28"/>
                <w:lang w:val="uk-UA"/>
              </w:rPr>
              <w:t>8.2. </w:t>
            </w:r>
            <w:r w:rsidRPr="00ED35A9">
              <w:rPr>
                <w:lang w:val="uk-UA"/>
              </w:rPr>
              <w:t xml:space="preserve">Рекомендовано запропонувати комплекс </w:t>
            </w:r>
            <w:proofErr w:type="spellStart"/>
            <w:r w:rsidRPr="00ED35A9">
              <w:rPr>
                <w:lang w:val="uk-UA"/>
              </w:rPr>
              <w:t>втручань</w:t>
            </w:r>
            <w:proofErr w:type="spellEnd"/>
            <w:r w:rsidRPr="00ED35A9">
              <w:rPr>
                <w:lang w:val="uk-UA"/>
              </w:rPr>
              <w:t xml:space="preserve"> з формування прихильності до лікування</w:t>
            </w:r>
            <w:r w:rsidRPr="00ED35A9">
              <w:rPr>
                <w:vertAlign w:val="superscript"/>
                <w:lang w:val="uk-UA"/>
              </w:rPr>
              <w:footnoteReference w:id="27"/>
            </w:r>
            <w:r w:rsidRPr="00ED35A9">
              <w:rPr>
                <w:lang w:val="uk-UA"/>
              </w:rPr>
              <w:t xml:space="preserve"> пацієнтам, які проходять курс лікування ТБ, разом з вибором варіанту проведення терапії</w:t>
            </w:r>
            <w:r w:rsidRPr="00ED35A9">
              <w:rPr>
                <w:vertAlign w:val="superscript"/>
                <w:lang w:val="uk-UA"/>
              </w:rPr>
              <w:footnoteReference w:id="28"/>
            </w:r>
            <w:r w:rsidRPr="00ED35A9">
              <w:rPr>
                <w:lang w:val="uk-UA"/>
              </w:rPr>
              <w:t xml:space="preserve"> (умовна рекомендація, низька якість доказових даних).</w:t>
            </w:r>
          </w:p>
          <w:p w:rsidR="00A75154" w:rsidRPr="00ED35A9" w:rsidRDefault="00A75154" w:rsidP="00DB1EC9">
            <w:pPr>
              <w:spacing w:line="247" w:lineRule="auto"/>
              <w:ind w:firstLine="0"/>
              <w:rPr>
                <w:lang w:val="uk-UA"/>
              </w:rPr>
            </w:pPr>
            <w:r w:rsidRPr="00ED35A9">
              <w:rPr>
                <w:szCs w:val="28"/>
                <w:lang w:val="uk-UA"/>
              </w:rPr>
              <w:t>8.3</w:t>
            </w:r>
            <w:r w:rsidRPr="00ED35A9">
              <w:rPr>
                <w:lang w:val="uk-UA"/>
              </w:rPr>
              <w:t>. Рекомендовано запропонувати один або декілька з наступних заходів щодо формування прихильності до лікування (комплементарних та не взаємовиключних) пацієнтам, які проходять курс лікування ТБ, або надавачам медичних послуг:</w:t>
            </w:r>
          </w:p>
          <w:p w:rsidR="00A75154" w:rsidRPr="00ED35A9" w:rsidRDefault="00A75154" w:rsidP="00DB1EC9">
            <w:pPr>
              <w:spacing w:line="247" w:lineRule="auto"/>
              <w:ind w:left="601" w:hanging="283"/>
              <w:rPr>
                <w:szCs w:val="28"/>
                <w:lang w:val="uk-UA"/>
              </w:rPr>
            </w:pPr>
            <w:r w:rsidRPr="00ED35A9">
              <w:rPr>
                <w:szCs w:val="28"/>
                <w:lang w:val="uk-UA"/>
              </w:rPr>
              <w:t>а) </w:t>
            </w:r>
            <w:r w:rsidRPr="00ED35A9">
              <w:rPr>
                <w:rStyle w:val="fontstyle01"/>
                <w:szCs w:val="28"/>
                <w:lang w:val="uk-UA"/>
              </w:rPr>
              <w:t>відстеження</w:t>
            </w:r>
            <w:r w:rsidRPr="00ED35A9">
              <w:rPr>
                <w:rStyle w:val="ac"/>
                <w:szCs w:val="28"/>
                <w:lang w:val="uk-UA"/>
              </w:rPr>
              <w:footnoteReference w:id="29"/>
            </w:r>
            <w:r w:rsidRPr="00ED35A9">
              <w:rPr>
                <w:rStyle w:val="fontstyle01"/>
                <w:szCs w:val="28"/>
                <w:lang w:val="uk-UA"/>
              </w:rPr>
              <w:t xml:space="preserve"> та/або контроль за прийомом лікарських засобів із застосуванням цифрових технологій</w:t>
            </w:r>
            <w:r w:rsidRPr="00ED35A9">
              <w:rPr>
                <w:rStyle w:val="ac"/>
                <w:szCs w:val="28"/>
                <w:lang w:val="uk-UA"/>
              </w:rPr>
              <w:footnoteReference w:id="30"/>
            </w:r>
            <w:r w:rsidRPr="00ED35A9">
              <w:rPr>
                <w:rStyle w:val="fontstyle01"/>
                <w:szCs w:val="28"/>
                <w:lang w:val="uk-UA"/>
              </w:rPr>
              <w:t xml:space="preserve"> (</w:t>
            </w:r>
            <w:r w:rsidRPr="00ED35A9">
              <w:rPr>
                <w:rStyle w:val="fontstyle31"/>
                <w:rFonts w:ascii="Times New Roman" w:hAnsi="Times New Roman"/>
                <w:color w:val="auto"/>
                <w:sz w:val="28"/>
                <w:szCs w:val="28"/>
                <w:lang w:val="uk-UA"/>
              </w:rPr>
              <w:t>умовна рекомендація, дуже низька якість доказових даних</w:t>
            </w:r>
            <w:r w:rsidRPr="00ED35A9">
              <w:rPr>
                <w:rStyle w:val="fontstyle01"/>
                <w:szCs w:val="28"/>
                <w:lang w:val="uk-UA"/>
              </w:rPr>
              <w:t>);</w:t>
            </w:r>
          </w:p>
          <w:p w:rsidR="00A75154" w:rsidRPr="00ED35A9" w:rsidRDefault="00A75154" w:rsidP="00DB1EC9">
            <w:pPr>
              <w:spacing w:line="247" w:lineRule="auto"/>
              <w:ind w:left="601" w:hanging="283"/>
              <w:rPr>
                <w:szCs w:val="28"/>
                <w:lang w:val="uk-UA"/>
              </w:rPr>
            </w:pPr>
            <w:r w:rsidRPr="00ED35A9">
              <w:rPr>
                <w:szCs w:val="28"/>
                <w:lang w:val="uk-UA"/>
              </w:rPr>
              <w:t>б) </w:t>
            </w:r>
            <w:r w:rsidRPr="00ED35A9">
              <w:rPr>
                <w:rStyle w:val="fontstyle01"/>
                <w:szCs w:val="28"/>
                <w:lang w:val="uk-UA"/>
              </w:rPr>
              <w:t>матеріальна підтримка пацієнта</w:t>
            </w:r>
            <w:r w:rsidRPr="00ED35A9">
              <w:rPr>
                <w:rStyle w:val="fontstyle01"/>
                <w:szCs w:val="28"/>
                <w:vertAlign w:val="superscript"/>
                <w:lang w:val="uk-UA"/>
              </w:rPr>
              <w:footnoteReference w:id="31"/>
            </w:r>
            <w:r w:rsidRPr="00ED35A9">
              <w:rPr>
                <w:rStyle w:val="fontstyle01"/>
                <w:szCs w:val="28"/>
                <w:lang w:val="uk-UA"/>
              </w:rPr>
              <w:t xml:space="preserve"> (умовна рекомендація, помірна якість доказових даних);</w:t>
            </w:r>
          </w:p>
          <w:p w:rsidR="00A75154" w:rsidRPr="00ED35A9" w:rsidRDefault="00A75154" w:rsidP="00DB1EC9">
            <w:pPr>
              <w:spacing w:line="247" w:lineRule="auto"/>
              <w:ind w:left="601" w:hanging="283"/>
              <w:rPr>
                <w:szCs w:val="28"/>
                <w:lang w:val="uk-UA"/>
              </w:rPr>
            </w:pPr>
            <w:r w:rsidRPr="00ED35A9">
              <w:rPr>
                <w:szCs w:val="28"/>
                <w:lang w:val="uk-UA"/>
              </w:rPr>
              <w:t>в) </w:t>
            </w:r>
            <w:r w:rsidRPr="00ED35A9">
              <w:rPr>
                <w:rStyle w:val="fontstyle01"/>
                <w:szCs w:val="28"/>
                <w:lang w:val="uk-UA"/>
              </w:rPr>
              <w:t>психологічна підтримка пацієнта</w:t>
            </w:r>
            <w:r w:rsidRPr="00ED35A9">
              <w:rPr>
                <w:rStyle w:val="fontstyle01"/>
                <w:szCs w:val="28"/>
                <w:vertAlign w:val="superscript"/>
                <w:lang w:val="uk-UA"/>
              </w:rPr>
              <w:footnoteReference w:id="32"/>
            </w:r>
            <w:r w:rsidRPr="00ED35A9">
              <w:rPr>
                <w:rStyle w:val="fontstyle01"/>
                <w:szCs w:val="28"/>
                <w:lang w:val="uk-UA"/>
              </w:rPr>
              <w:t xml:space="preserve"> (умовна рекомендація, низька якість доказових даних);</w:t>
            </w:r>
          </w:p>
          <w:p w:rsidR="00A75154" w:rsidRPr="00ED35A9" w:rsidRDefault="00A75154" w:rsidP="00DB1EC9">
            <w:pPr>
              <w:spacing w:after="120" w:line="247" w:lineRule="auto"/>
              <w:ind w:left="601" w:hanging="283"/>
              <w:rPr>
                <w:szCs w:val="28"/>
                <w:lang w:val="uk-UA"/>
              </w:rPr>
            </w:pPr>
            <w:r w:rsidRPr="00ED35A9">
              <w:rPr>
                <w:szCs w:val="28"/>
                <w:lang w:val="uk-UA"/>
              </w:rPr>
              <w:t>г) </w:t>
            </w:r>
            <w:r w:rsidRPr="00ED35A9">
              <w:rPr>
                <w:rStyle w:val="fontstyle01"/>
                <w:szCs w:val="28"/>
                <w:lang w:val="uk-UA"/>
              </w:rPr>
              <w:t>навчання персоналу</w:t>
            </w:r>
            <w:r w:rsidRPr="00ED35A9">
              <w:rPr>
                <w:rStyle w:val="fontstyle01"/>
                <w:szCs w:val="28"/>
                <w:vertAlign w:val="superscript"/>
                <w:lang w:val="uk-UA"/>
              </w:rPr>
              <w:footnoteReference w:id="33"/>
            </w:r>
            <w:r w:rsidRPr="00ED35A9">
              <w:rPr>
                <w:rStyle w:val="fontstyle01"/>
                <w:szCs w:val="28"/>
                <w:lang w:val="uk-UA"/>
              </w:rPr>
              <w:t xml:space="preserve"> (умовна рекомендація, низька якість доказових даних).</w:t>
            </w:r>
          </w:p>
          <w:p w:rsidR="00A75154" w:rsidRPr="00ED35A9" w:rsidRDefault="00A75154" w:rsidP="00DB1EC9">
            <w:pPr>
              <w:spacing w:line="247" w:lineRule="auto"/>
              <w:ind w:firstLine="0"/>
              <w:rPr>
                <w:szCs w:val="28"/>
                <w:lang w:val="uk-UA"/>
              </w:rPr>
            </w:pPr>
            <w:r w:rsidRPr="00ED35A9">
              <w:rPr>
                <w:szCs w:val="28"/>
                <w:lang w:val="uk-UA"/>
              </w:rPr>
              <w:t>8.4. </w:t>
            </w:r>
            <w:r w:rsidRPr="00ED35A9">
              <w:rPr>
                <w:rStyle w:val="fontstyle01"/>
                <w:szCs w:val="28"/>
                <w:lang w:val="uk-UA"/>
              </w:rPr>
              <w:t>Рекомендовано пропонувати пацієнтам, які проходять курс лікування ТБ, наступні варіанти нагляду за лікуванням:</w:t>
            </w:r>
          </w:p>
          <w:p w:rsidR="00A75154" w:rsidRPr="00ED35A9" w:rsidRDefault="00A75154" w:rsidP="00DB1EC9">
            <w:pPr>
              <w:tabs>
                <w:tab w:val="left" w:pos="1452"/>
              </w:tabs>
              <w:spacing w:line="247" w:lineRule="auto"/>
              <w:ind w:left="602" w:hanging="284"/>
              <w:rPr>
                <w:rStyle w:val="fontstyle01"/>
                <w:szCs w:val="28"/>
                <w:lang w:val="uk-UA"/>
              </w:rPr>
            </w:pPr>
            <w:r w:rsidRPr="00ED35A9">
              <w:rPr>
                <w:rStyle w:val="fontstyle01"/>
                <w:szCs w:val="28"/>
                <w:lang w:val="uk-UA"/>
              </w:rPr>
              <w:t>а) рекомендовано DOT на рівні громади або за місцем проживання</w:t>
            </w:r>
            <w:r w:rsidR="00480CDB" w:rsidRPr="00ED35A9">
              <w:rPr>
                <w:rStyle w:val="fontstyle01"/>
                <w:szCs w:val="28"/>
                <w:lang w:val="uk-UA"/>
              </w:rPr>
              <w:t>,</w:t>
            </w:r>
            <w:r w:rsidRPr="00ED35A9">
              <w:rPr>
                <w:rStyle w:val="fontstyle01"/>
                <w:szCs w:val="28"/>
                <w:lang w:val="uk-UA"/>
              </w:rPr>
              <w:t xml:space="preserve"> на відміну від DOT у закладі охорони здоров’я або лікування без нагляду (умовна рекомендація, помірна якість доказових даних);</w:t>
            </w:r>
          </w:p>
          <w:p w:rsidR="00A75154" w:rsidRPr="00ED35A9" w:rsidRDefault="00A75154" w:rsidP="00694CFC">
            <w:pPr>
              <w:tabs>
                <w:tab w:val="left" w:pos="1452"/>
              </w:tabs>
              <w:spacing w:line="228" w:lineRule="auto"/>
              <w:ind w:left="602" w:hanging="284"/>
              <w:rPr>
                <w:rStyle w:val="fontstyle01"/>
                <w:szCs w:val="28"/>
                <w:lang w:val="uk-UA"/>
              </w:rPr>
            </w:pPr>
            <w:r w:rsidRPr="00ED35A9">
              <w:rPr>
                <w:rStyle w:val="fontstyle01"/>
                <w:szCs w:val="28"/>
                <w:lang w:val="uk-UA"/>
              </w:rPr>
              <w:lastRenderedPageBreak/>
              <w:t>б) рекомендовано DOT під наглядом надавачів медичних послуг без медичної освіти, які пройшли відповідне навчання, або медичними працівниками</w:t>
            </w:r>
            <w:r w:rsidR="00B110B4" w:rsidRPr="00ED35A9">
              <w:rPr>
                <w:rStyle w:val="fontstyle01"/>
                <w:szCs w:val="28"/>
                <w:lang w:val="uk-UA"/>
              </w:rPr>
              <w:t>,</w:t>
            </w:r>
            <w:r w:rsidRPr="00ED35A9">
              <w:rPr>
                <w:rStyle w:val="fontstyle01"/>
                <w:szCs w:val="28"/>
                <w:lang w:val="uk-UA"/>
              </w:rPr>
              <w:t xml:space="preserve"> на відміну від DOT під наглядом членів родини або лікування без нагляду (умовна рекомендація, дуже низька якість доказових даних);</w:t>
            </w:r>
          </w:p>
          <w:p w:rsidR="00A75154" w:rsidRPr="00ED35A9" w:rsidRDefault="00A75154" w:rsidP="00694CFC">
            <w:pPr>
              <w:spacing w:after="120" w:line="228" w:lineRule="auto"/>
              <w:ind w:left="601" w:hanging="283"/>
              <w:rPr>
                <w:szCs w:val="28"/>
                <w:lang w:val="uk-UA"/>
              </w:rPr>
            </w:pPr>
            <w:r w:rsidRPr="00ED35A9">
              <w:rPr>
                <w:szCs w:val="28"/>
                <w:lang w:val="uk-UA"/>
              </w:rPr>
              <w:t xml:space="preserve">в) VOT може замінити DOT </w:t>
            </w:r>
            <w:r w:rsidRPr="00ED35A9">
              <w:rPr>
                <w:rStyle w:val="fontstyle01"/>
                <w:szCs w:val="28"/>
                <w:lang w:val="uk-UA"/>
              </w:rPr>
              <w:t xml:space="preserve">у разі доступності технологій </w:t>
            </w:r>
            <w:proofErr w:type="spellStart"/>
            <w:r w:rsidRPr="00ED35A9">
              <w:rPr>
                <w:rStyle w:val="fontstyle01"/>
                <w:szCs w:val="28"/>
                <w:lang w:val="uk-UA"/>
              </w:rPr>
              <w:t>відеозв’язку</w:t>
            </w:r>
            <w:proofErr w:type="spellEnd"/>
            <w:r w:rsidRPr="00ED35A9">
              <w:rPr>
                <w:rStyle w:val="fontstyle01"/>
                <w:szCs w:val="28"/>
                <w:lang w:val="uk-UA"/>
              </w:rPr>
              <w:t>, якщо можливо належним чином організувати та забезпечити все необхідне для цього нагляду надавачам</w:t>
            </w:r>
            <w:r w:rsidR="006A7B4D" w:rsidRPr="00ED35A9">
              <w:rPr>
                <w:rStyle w:val="fontstyle01"/>
                <w:szCs w:val="28"/>
                <w:lang w:val="uk-UA"/>
              </w:rPr>
              <w:t xml:space="preserve"> </w:t>
            </w:r>
            <w:r w:rsidRPr="00ED35A9">
              <w:rPr>
                <w:rStyle w:val="fontstyle01"/>
                <w:szCs w:val="28"/>
                <w:lang w:val="uk-UA"/>
              </w:rPr>
              <w:t>медичних послуг та пацієнтам</w:t>
            </w:r>
            <w:r w:rsidR="006A7B4D" w:rsidRPr="00ED35A9">
              <w:rPr>
                <w:rStyle w:val="fontstyle01"/>
                <w:szCs w:val="28"/>
                <w:lang w:val="uk-UA"/>
              </w:rPr>
              <w:t xml:space="preserve"> </w:t>
            </w:r>
            <w:r w:rsidRPr="00ED35A9">
              <w:rPr>
                <w:szCs w:val="28"/>
                <w:lang w:val="uk-UA"/>
              </w:rPr>
              <w:t>(умовна рекомендація, дуже низька якість доказових даних).</w:t>
            </w:r>
          </w:p>
          <w:p w:rsidR="00A75154" w:rsidRPr="00ED35A9" w:rsidRDefault="00A75154" w:rsidP="00694CFC">
            <w:pPr>
              <w:spacing w:after="120" w:line="228" w:lineRule="auto"/>
              <w:ind w:firstLine="0"/>
              <w:rPr>
                <w:szCs w:val="28"/>
                <w:lang w:val="uk-UA"/>
              </w:rPr>
            </w:pPr>
            <w:r w:rsidRPr="00ED35A9">
              <w:rPr>
                <w:szCs w:val="28"/>
                <w:lang w:val="uk-UA"/>
              </w:rPr>
              <w:t>8.5. Пацієнти з МРТБ мають проходити лікування переважно амбулаторно, а не за моделями, що переважно передбачають госпіталізацію (умовна рекомендація, дуже низька якість доказових даних).</w:t>
            </w:r>
          </w:p>
          <w:p w:rsidR="00A75154" w:rsidRPr="00ED35A9" w:rsidRDefault="00A75154" w:rsidP="00694CFC">
            <w:pPr>
              <w:spacing w:after="120" w:line="228" w:lineRule="auto"/>
              <w:ind w:firstLine="0"/>
              <w:rPr>
                <w:szCs w:val="28"/>
                <w:lang w:val="uk-UA"/>
              </w:rPr>
            </w:pPr>
            <w:r w:rsidRPr="00ED35A9">
              <w:rPr>
                <w:szCs w:val="28"/>
                <w:lang w:val="uk-UA"/>
              </w:rPr>
              <w:t>8.6. </w:t>
            </w:r>
            <w:r w:rsidRPr="00ED35A9">
              <w:rPr>
                <w:lang w:val="uk-UA"/>
              </w:rPr>
              <w:t>Рекомендовано впровадження децентралізованої моделі лікування пацієнтів з МРТБ</w:t>
            </w:r>
            <w:r w:rsidR="006A7B4D" w:rsidRPr="00ED35A9">
              <w:rPr>
                <w:lang w:val="uk-UA"/>
              </w:rPr>
              <w:t>,</w:t>
            </w:r>
            <w:r w:rsidRPr="00ED35A9">
              <w:rPr>
                <w:lang w:val="uk-UA"/>
              </w:rPr>
              <w:t xml:space="preserve"> на відміну від централізованої</w:t>
            </w:r>
            <w:r w:rsidRPr="00ED35A9">
              <w:rPr>
                <w:szCs w:val="28"/>
                <w:lang w:val="uk-UA"/>
              </w:rPr>
              <w:t xml:space="preserve"> (умовна рекомендація, дуже низька достовірність доказових даних).</w:t>
            </w:r>
          </w:p>
        </w:tc>
      </w:tr>
    </w:tbl>
    <w:bookmarkEnd w:id="70"/>
    <w:bookmarkEnd w:id="71"/>
    <w:p w:rsidR="00A75154" w:rsidRPr="00ED35A9" w:rsidRDefault="00A75154" w:rsidP="00A75154">
      <w:pPr>
        <w:spacing w:before="120"/>
        <w:rPr>
          <w:b/>
          <w:szCs w:val="28"/>
          <w:lang w:val="uk-UA"/>
        </w:rPr>
      </w:pPr>
      <w:r w:rsidRPr="00ED35A9">
        <w:rPr>
          <w:b/>
          <w:szCs w:val="28"/>
          <w:lang w:val="uk-UA"/>
        </w:rPr>
        <w:lastRenderedPageBreak/>
        <w:t>Обґрунтування та доказові дані</w:t>
      </w:r>
    </w:p>
    <w:p w:rsidR="00A75154" w:rsidRPr="00ED35A9" w:rsidRDefault="00A75154" w:rsidP="00DB1EC9">
      <w:pPr>
        <w:spacing w:after="120"/>
        <w:rPr>
          <w:szCs w:val="28"/>
          <w:lang w:val="uk-UA"/>
        </w:rPr>
      </w:pPr>
      <w:r w:rsidRPr="00ED35A9">
        <w:rPr>
          <w:szCs w:val="28"/>
          <w:lang w:val="uk-UA"/>
        </w:rPr>
        <w:t>Рекомендації цього розділу дають відповідь на три запитання PICO (</w:t>
      </w:r>
      <w:r w:rsidRPr="00ED35A9">
        <w:rPr>
          <w:i/>
          <w:szCs w:val="28"/>
          <w:lang w:val="uk-UA"/>
        </w:rPr>
        <w:t>див.</w:t>
      </w:r>
      <w:r w:rsidRPr="00ED35A9">
        <w:rPr>
          <w:szCs w:val="28"/>
          <w:lang w:val="uk-UA"/>
        </w:rPr>
        <w:t xml:space="preserve"> Додаток 1).</w:t>
      </w:r>
    </w:p>
    <w:tbl>
      <w:tblPr>
        <w:tblStyle w:val="a8"/>
        <w:tblW w:w="0" w:type="auto"/>
        <w:tblInd w:w="108" w:type="dxa"/>
        <w:tblLook w:val="04A0" w:firstRow="1" w:lastRow="0" w:firstColumn="1" w:lastColumn="0" w:noHBand="0" w:noVBand="1"/>
      </w:tblPr>
      <w:tblGrid>
        <w:gridCol w:w="9356"/>
      </w:tblGrid>
      <w:tr w:rsidR="00A75154" w:rsidRPr="00ED35A9" w:rsidTr="00694CFC">
        <w:tc>
          <w:tcPr>
            <w:tcW w:w="9356" w:type="dxa"/>
          </w:tcPr>
          <w:p w:rsidR="00A75154" w:rsidRPr="00ED35A9" w:rsidRDefault="00A75154" w:rsidP="00694CFC">
            <w:pPr>
              <w:spacing w:before="120"/>
              <w:ind w:firstLine="0"/>
              <w:rPr>
                <w:b/>
                <w:i/>
                <w:szCs w:val="28"/>
                <w:lang w:val="uk-UA"/>
              </w:rPr>
            </w:pPr>
            <w:r w:rsidRPr="00ED35A9">
              <w:rPr>
                <w:b/>
                <w:i/>
                <w:szCs w:val="28"/>
                <w:lang w:val="uk-UA"/>
              </w:rPr>
              <w:t>Запитання PICO 10 (ЛЧ-ТБ, 2017 р.)</w:t>
            </w:r>
          </w:p>
          <w:p w:rsidR="00A75154" w:rsidRPr="00ED35A9" w:rsidRDefault="00A75154" w:rsidP="00694CFC">
            <w:pPr>
              <w:spacing w:after="120"/>
              <w:ind w:firstLine="0"/>
              <w:rPr>
                <w:szCs w:val="28"/>
                <w:lang w:val="uk-UA"/>
              </w:rPr>
            </w:pPr>
            <w:r w:rsidRPr="00ED35A9">
              <w:rPr>
                <w:szCs w:val="28"/>
                <w:lang w:val="uk-UA"/>
              </w:rPr>
              <w:t>Чи сприятиме підвищення прихильності до лікування отриманню наведених нижче результатів у пацієнтів з ТБ</w:t>
            </w:r>
            <w:r w:rsidRPr="00ED35A9">
              <w:rPr>
                <w:szCs w:val="28"/>
                <w:vertAlign w:val="superscript"/>
                <w:lang w:val="uk-UA"/>
              </w:rPr>
              <w:t xml:space="preserve"> </w:t>
            </w:r>
            <w:r w:rsidRPr="00ED35A9">
              <w:rPr>
                <w:szCs w:val="28"/>
                <w:vertAlign w:val="superscript"/>
                <w:lang w:val="uk-UA"/>
              </w:rPr>
              <w:footnoteReference w:id="34"/>
            </w:r>
            <w:r w:rsidRPr="00ED35A9">
              <w:rPr>
                <w:szCs w:val="28"/>
                <w:lang w:val="uk-UA"/>
              </w:rPr>
              <w:t>?</w:t>
            </w:r>
          </w:p>
          <w:p w:rsidR="00A75154" w:rsidRPr="00ED35A9" w:rsidRDefault="00A75154" w:rsidP="00694CFC">
            <w:pPr>
              <w:ind w:firstLine="0"/>
              <w:rPr>
                <w:b/>
                <w:i/>
                <w:szCs w:val="28"/>
                <w:lang w:val="uk-UA"/>
              </w:rPr>
            </w:pPr>
            <w:r w:rsidRPr="00ED35A9">
              <w:rPr>
                <w:b/>
                <w:i/>
                <w:szCs w:val="28"/>
                <w:lang w:val="uk-UA"/>
              </w:rPr>
              <w:t>Запитання PICO 7 (ЛС-ТБ, 2011 р.)</w:t>
            </w:r>
          </w:p>
          <w:p w:rsidR="00A75154" w:rsidRPr="00ED35A9" w:rsidRDefault="00A75154" w:rsidP="00694CFC">
            <w:pPr>
              <w:spacing w:after="120"/>
              <w:ind w:firstLine="0"/>
              <w:rPr>
                <w:szCs w:val="28"/>
                <w:lang w:val="uk-UA"/>
              </w:rPr>
            </w:pPr>
            <w:r w:rsidRPr="00ED35A9">
              <w:rPr>
                <w:szCs w:val="28"/>
                <w:lang w:val="uk-UA"/>
              </w:rPr>
              <w:t>Чи проведення амбулаторного лікування у пацієнтів з МРТБ призведе до наведених нижче результатів порівняно зі стаціонарним лікуванням</w:t>
            </w:r>
            <w:r w:rsidRPr="00ED35A9">
              <w:rPr>
                <w:szCs w:val="28"/>
                <w:vertAlign w:val="superscript"/>
                <w:lang w:val="uk-UA"/>
              </w:rPr>
              <w:footnoteReference w:id="35"/>
            </w:r>
            <w:r w:rsidRPr="00ED35A9">
              <w:rPr>
                <w:szCs w:val="28"/>
                <w:lang w:val="uk-UA"/>
              </w:rPr>
              <w:t>?</w:t>
            </w:r>
          </w:p>
          <w:p w:rsidR="00A75154" w:rsidRPr="00ED35A9" w:rsidRDefault="00A75154" w:rsidP="00694CFC">
            <w:pPr>
              <w:ind w:firstLine="0"/>
              <w:rPr>
                <w:b/>
                <w:i/>
                <w:szCs w:val="28"/>
                <w:lang w:val="uk-UA"/>
              </w:rPr>
            </w:pPr>
            <w:r w:rsidRPr="00ED35A9">
              <w:rPr>
                <w:b/>
                <w:i/>
                <w:szCs w:val="28"/>
                <w:lang w:val="uk-UA"/>
              </w:rPr>
              <w:t>Запитання PICO 11 (ЛЧ-ТБ, 2017 р.)</w:t>
            </w:r>
          </w:p>
          <w:p w:rsidR="00A75154" w:rsidRPr="00ED35A9" w:rsidRDefault="00A75154" w:rsidP="00694CFC">
            <w:pPr>
              <w:spacing w:after="120"/>
              <w:ind w:firstLine="0"/>
              <w:rPr>
                <w:szCs w:val="28"/>
                <w:lang w:val="uk-UA"/>
              </w:rPr>
            </w:pPr>
            <w:r w:rsidRPr="00ED35A9">
              <w:rPr>
                <w:szCs w:val="28"/>
                <w:lang w:val="uk-UA"/>
              </w:rPr>
              <w:t>Чи надання децентралізованих послуг з лікування та догляду у пацієнтів з МРТБ призведе до наведених нижче результатів</w:t>
            </w:r>
            <w:r w:rsidRPr="00ED35A9">
              <w:rPr>
                <w:szCs w:val="28"/>
                <w:vertAlign w:val="superscript"/>
                <w:lang w:val="uk-UA"/>
              </w:rPr>
              <w:footnoteReference w:id="36"/>
            </w:r>
            <w:r w:rsidRPr="00ED35A9">
              <w:rPr>
                <w:szCs w:val="28"/>
                <w:lang w:val="uk-UA"/>
              </w:rPr>
              <w:t>?</w:t>
            </w:r>
          </w:p>
        </w:tc>
      </w:tr>
    </w:tbl>
    <w:p w:rsidR="00A75154" w:rsidRPr="00ED35A9" w:rsidRDefault="00A75154" w:rsidP="00DB1EC9">
      <w:pPr>
        <w:spacing w:line="233" w:lineRule="auto"/>
        <w:rPr>
          <w:szCs w:val="28"/>
          <w:lang w:val="uk-UA"/>
        </w:rPr>
      </w:pPr>
      <w:r w:rsidRPr="00ED35A9">
        <w:rPr>
          <w:b/>
          <w:i/>
          <w:szCs w:val="28"/>
          <w:lang w:val="uk-UA"/>
        </w:rPr>
        <w:lastRenderedPageBreak/>
        <w:t xml:space="preserve">Результати лікування. </w:t>
      </w:r>
      <w:r w:rsidRPr="00ED35A9">
        <w:rPr>
          <w:szCs w:val="28"/>
          <w:lang w:val="uk-UA"/>
        </w:rPr>
        <w:t xml:space="preserve">На сьогодні ВООЗ визначає DOT як проведення нагляду будь-якою особою, що спостерігає за прийомом препаратів пацієнтом у реальному часі. Спостереження за лікуванням не обов’язково має проводити медичний працівник, це може бути друг, родич або надавач послуг без медичної освіти, що надає підтримку або </w:t>
      </w:r>
      <w:r w:rsidR="006A7B4D" w:rsidRPr="00ED35A9">
        <w:rPr>
          <w:szCs w:val="28"/>
          <w:lang w:val="uk-UA"/>
        </w:rPr>
        <w:t xml:space="preserve">здійснює </w:t>
      </w:r>
      <w:r w:rsidRPr="00ED35A9">
        <w:rPr>
          <w:szCs w:val="28"/>
          <w:lang w:val="uk-UA"/>
        </w:rPr>
        <w:t>нагляд</w:t>
      </w:r>
      <w:r w:rsidR="006A7B4D" w:rsidRPr="00ED35A9">
        <w:rPr>
          <w:szCs w:val="28"/>
          <w:lang w:val="uk-UA"/>
        </w:rPr>
        <w:t xml:space="preserve"> </w:t>
      </w:r>
      <w:r w:rsidRPr="00ED35A9">
        <w:rPr>
          <w:szCs w:val="28"/>
          <w:lang w:val="uk-UA"/>
        </w:rPr>
        <w:t xml:space="preserve">за лікуванням. Нагляд за лікуванням можна також забезпечити за допомогою </w:t>
      </w:r>
      <w:proofErr w:type="spellStart"/>
      <w:r w:rsidRPr="00ED35A9">
        <w:rPr>
          <w:szCs w:val="28"/>
          <w:lang w:val="uk-UA"/>
        </w:rPr>
        <w:t>відеозв’язку</w:t>
      </w:r>
      <w:proofErr w:type="spellEnd"/>
      <w:r w:rsidRPr="00ED35A9">
        <w:rPr>
          <w:szCs w:val="28"/>
          <w:lang w:val="uk-UA"/>
        </w:rPr>
        <w:t xml:space="preserve"> у реальному часі або відеозапису</w:t>
      </w:r>
      <w:r w:rsidR="006A7B4D" w:rsidRPr="00ED35A9">
        <w:rPr>
          <w:szCs w:val="28"/>
          <w:lang w:val="uk-UA"/>
        </w:rPr>
        <w:t xml:space="preserve">, проте </w:t>
      </w:r>
      <w:r w:rsidRPr="00ED35A9">
        <w:rPr>
          <w:szCs w:val="28"/>
          <w:lang w:val="uk-UA"/>
        </w:rPr>
        <w:t>у цій настанові DOT означає лікування, отримане під безпосереднім наглядом іншої особи. В окремих дослідженнях використовують різне визначення терміну «прихильність до лікування». Проте загалом прихильність визначається як прийом &gt;90% препаратів в умовах безпосереднього спостереження іншою особою.</w:t>
      </w:r>
    </w:p>
    <w:p w:rsidR="00A75154" w:rsidRPr="00ED35A9" w:rsidRDefault="00A75154" w:rsidP="00DB1EC9">
      <w:pPr>
        <w:spacing w:line="233" w:lineRule="auto"/>
        <w:rPr>
          <w:szCs w:val="28"/>
          <w:lang w:val="uk-UA"/>
        </w:rPr>
      </w:pPr>
      <w:r w:rsidRPr="00ED35A9">
        <w:rPr>
          <w:szCs w:val="28"/>
          <w:lang w:val="uk-UA"/>
        </w:rPr>
        <w:t xml:space="preserve">При підготовці даної настанови було проведено систематичний огляд, що базувався на синтезі даних РКД </w:t>
      </w:r>
      <w:r w:rsidRPr="00ED35A9">
        <w:rPr>
          <w:i/>
          <w:szCs w:val="28"/>
          <w:lang w:val="uk-UA"/>
        </w:rPr>
        <w:t>(89–96)</w:t>
      </w:r>
      <w:r w:rsidRPr="00ED35A9">
        <w:rPr>
          <w:szCs w:val="28"/>
          <w:lang w:val="uk-UA"/>
        </w:rPr>
        <w:t xml:space="preserve"> та обсерваційних досліджень </w:t>
      </w:r>
      <w:r w:rsidR="00DB1EC9">
        <w:rPr>
          <w:szCs w:val="28"/>
          <w:lang w:val="uk-UA"/>
        </w:rPr>
        <w:br/>
      </w:r>
      <w:r w:rsidRPr="00ED35A9">
        <w:rPr>
          <w:i/>
          <w:szCs w:val="28"/>
          <w:lang w:val="uk-UA"/>
        </w:rPr>
        <w:t>(97–110)</w:t>
      </w:r>
      <w:r w:rsidRPr="00ED35A9">
        <w:rPr>
          <w:szCs w:val="28"/>
          <w:lang w:val="uk-UA"/>
        </w:rPr>
        <w:t xml:space="preserve">, причому перевагу надавали результатам РКД. Було проведено порівняння результатів DOT та </w:t>
      </w:r>
      <w:r w:rsidR="009C01B7" w:rsidRPr="00ED35A9">
        <w:rPr>
          <w:szCs w:val="28"/>
          <w:lang w:val="uk-UA"/>
        </w:rPr>
        <w:t xml:space="preserve">лікування без нагляду </w:t>
      </w:r>
      <w:r w:rsidRPr="00ED35A9">
        <w:rPr>
          <w:szCs w:val="28"/>
          <w:lang w:val="uk-UA"/>
        </w:rPr>
        <w:t>у стандартних умовах без надання послуг з додаткової підтримки прихильності. Послуги DOT надавалися медпрацівником, членом родини або громади вдома, у громаді пацієнта або у медичному закладі. Зазвичай послуги DOT надавали щоденно. Основн</w:t>
      </w:r>
      <w:r w:rsidR="006A7B4D" w:rsidRPr="00ED35A9">
        <w:rPr>
          <w:szCs w:val="28"/>
          <w:lang w:val="uk-UA"/>
        </w:rPr>
        <w:t xml:space="preserve">у </w:t>
      </w:r>
      <w:r w:rsidRPr="00ED35A9">
        <w:rPr>
          <w:szCs w:val="28"/>
          <w:lang w:val="uk-UA"/>
        </w:rPr>
        <w:t>уваг</w:t>
      </w:r>
      <w:r w:rsidR="006A7B4D" w:rsidRPr="00ED35A9">
        <w:rPr>
          <w:szCs w:val="28"/>
          <w:lang w:val="uk-UA"/>
        </w:rPr>
        <w:t xml:space="preserve">у </w:t>
      </w:r>
      <w:r w:rsidRPr="00ED35A9">
        <w:rPr>
          <w:szCs w:val="28"/>
          <w:lang w:val="uk-UA"/>
        </w:rPr>
        <w:t>ГРН приділила даним РКД із систематичного огляду. Якщо дані РКД були обмеженими або недоступними, проводили аналіз даних обсерваційних досліджень із зазначенням їх результатів</w:t>
      </w:r>
      <w:r w:rsidR="006A7B4D" w:rsidRPr="00ED35A9">
        <w:rPr>
          <w:szCs w:val="28"/>
          <w:lang w:val="uk-UA"/>
        </w:rPr>
        <w:t xml:space="preserve">, проте </w:t>
      </w:r>
      <w:r w:rsidRPr="00ED35A9">
        <w:rPr>
          <w:szCs w:val="28"/>
          <w:lang w:val="uk-UA"/>
        </w:rPr>
        <w:t>такі дані слід інтерпретувати обачливо через їх обмежену кількість у дослідженні, враховуючи, що зв’язок між ними зумовлений різними факторами. Наприклад, у неконтрольованих обсерваційних дослідженнях пацієнтам з більш тяжк</w:t>
      </w:r>
      <w:r w:rsidR="00C9737D" w:rsidRPr="00ED35A9">
        <w:rPr>
          <w:szCs w:val="28"/>
          <w:lang w:val="uk-UA"/>
        </w:rPr>
        <w:t xml:space="preserve">ою формою </w:t>
      </w:r>
      <w:r w:rsidRPr="00ED35A9">
        <w:rPr>
          <w:szCs w:val="28"/>
          <w:lang w:val="uk-UA"/>
        </w:rPr>
        <w:t>захворювання</w:t>
      </w:r>
      <w:r w:rsidR="00C9737D" w:rsidRPr="00ED35A9">
        <w:rPr>
          <w:szCs w:val="28"/>
          <w:lang w:val="uk-UA"/>
        </w:rPr>
        <w:t xml:space="preserve"> </w:t>
      </w:r>
      <w:r w:rsidRPr="00ED35A9">
        <w:rPr>
          <w:szCs w:val="28"/>
          <w:lang w:val="uk-UA"/>
        </w:rPr>
        <w:t>або з вищим ризиком відсутності прихильності до лікування ймовірніше призначали DOT, а пацієнтам з менш тяжк</w:t>
      </w:r>
      <w:r w:rsidR="00C9737D" w:rsidRPr="00ED35A9">
        <w:rPr>
          <w:szCs w:val="28"/>
          <w:lang w:val="uk-UA"/>
        </w:rPr>
        <w:t xml:space="preserve">ою формою </w:t>
      </w:r>
      <w:r w:rsidRPr="00ED35A9">
        <w:rPr>
          <w:szCs w:val="28"/>
          <w:lang w:val="uk-UA"/>
        </w:rPr>
        <w:t>захворювання</w:t>
      </w:r>
      <w:r w:rsidR="00C9737D" w:rsidRPr="00ED35A9">
        <w:rPr>
          <w:szCs w:val="28"/>
          <w:lang w:val="uk-UA"/>
        </w:rPr>
        <w:t xml:space="preserve"> </w:t>
      </w:r>
      <w:r w:rsidRPr="00ED35A9">
        <w:rPr>
          <w:szCs w:val="28"/>
          <w:lang w:val="uk-UA"/>
        </w:rPr>
        <w:t>або меншою ймовірністю порушень режиму –</w:t>
      </w:r>
      <w:r w:rsidR="009C01B7" w:rsidRPr="00ED35A9">
        <w:rPr>
          <w:szCs w:val="28"/>
          <w:lang w:val="uk-UA"/>
        </w:rPr>
        <w:t xml:space="preserve"> </w:t>
      </w:r>
      <w:r w:rsidRPr="00ED35A9">
        <w:rPr>
          <w:szCs w:val="28"/>
          <w:lang w:val="uk-UA"/>
        </w:rPr>
        <w:t>лікування</w:t>
      </w:r>
      <w:r w:rsidR="009C01B7" w:rsidRPr="00ED35A9">
        <w:rPr>
          <w:szCs w:val="28"/>
          <w:lang w:val="uk-UA"/>
        </w:rPr>
        <w:t xml:space="preserve"> без нагляду</w:t>
      </w:r>
      <w:r w:rsidRPr="00ED35A9">
        <w:rPr>
          <w:szCs w:val="28"/>
          <w:lang w:val="uk-UA"/>
        </w:rPr>
        <w:t>. Це також стосу</w:t>
      </w:r>
      <w:r w:rsidR="006A7B4D" w:rsidRPr="00ED35A9">
        <w:rPr>
          <w:szCs w:val="28"/>
          <w:lang w:val="uk-UA"/>
        </w:rPr>
        <w:t xml:space="preserve">валося </w:t>
      </w:r>
      <w:r w:rsidRPr="00ED35A9">
        <w:rPr>
          <w:szCs w:val="28"/>
          <w:lang w:val="uk-UA"/>
        </w:rPr>
        <w:t xml:space="preserve">вибору місця проведення DOT, надавачів послуг або інших </w:t>
      </w:r>
      <w:proofErr w:type="spellStart"/>
      <w:r w:rsidRPr="00ED35A9">
        <w:rPr>
          <w:szCs w:val="28"/>
          <w:lang w:val="uk-UA"/>
        </w:rPr>
        <w:t>втручань</w:t>
      </w:r>
      <w:proofErr w:type="spellEnd"/>
      <w:r w:rsidRPr="00ED35A9">
        <w:rPr>
          <w:szCs w:val="28"/>
          <w:lang w:val="uk-UA"/>
        </w:rPr>
        <w:t xml:space="preserve"> у </w:t>
      </w:r>
      <w:proofErr w:type="spellStart"/>
      <w:r w:rsidRPr="00ED35A9">
        <w:rPr>
          <w:szCs w:val="28"/>
          <w:lang w:val="uk-UA"/>
        </w:rPr>
        <w:t>когортних</w:t>
      </w:r>
      <w:proofErr w:type="spellEnd"/>
      <w:r w:rsidRPr="00ED35A9">
        <w:rPr>
          <w:szCs w:val="28"/>
          <w:lang w:val="uk-UA"/>
        </w:rPr>
        <w:t xml:space="preserve"> дослідженнях.</w:t>
      </w:r>
    </w:p>
    <w:p w:rsidR="00A75154" w:rsidRPr="00ED35A9" w:rsidRDefault="00A75154" w:rsidP="00DB1EC9">
      <w:pPr>
        <w:spacing w:line="233" w:lineRule="auto"/>
        <w:rPr>
          <w:szCs w:val="28"/>
          <w:lang w:val="uk-UA"/>
        </w:rPr>
      </w:pPr>
      <w:r w:rsidRPr="00ED35A9">
        <w:rPr>
          <w:szCs w:val="28"/>
          <w:lang w:val="uk-UA"/>
        </w:rPr>
        <w:t>За даними порівняння DOT із лікуванням</w:t>
      </w:r>
      <w:r w:rsidR="009C01B7" w:rsidRPr="00ED35A9">
        <w:rPr>
          <w:szCs w:val="28"/>
          <w:lang w:val="uk-UA"/>
        </w:rPr>
        <w:t xml:space="preserve"> без нагляду</w:t>
      </w:r>
      <w:r w:rsidRPr="00ED35A9">
        <w:rPr>
          <w:szCs w:val="28"/>
          <w:lang w:val="uk-UA"/>
        </w:rPr>
        <w:t xml:space="preserve">, пацієнти, що отримували послуги DOT, мали вищі показники успішного лікування, прихильності та конверсії мокротиння протягом двох місяців; також дещо знизився показник втрати з-під нагляду та набуття </w:t>
      </w:r>
      <w:r w:rsidR="00480CDB" w:rsidRPr="00ED35A9">
        <w:rPr>
          <w:rFonts w:cs="Times New Roman"/>
          <w:szCs w:val="28"/>
          <w:lang w:val="uk-UA"/>
        </w:rPr>
        <w:t xml:space="preserve">медикаментозної </w:t>
      </w:r>
      <w:r w:rsidRPr="00ED35A9">
        <w:rPr>
          <w:szCs w:val="28"/>
          <w:lang w:val="uk-UA"/>
        </w:rPr>
        <w:t xml:space="preserve">резистентності. Проте пацієнти, що отримували послуги DOT, мали дещо вищий показник рецидиву захворювання. ГРН було відзначено, що загалом недостатньо доказів для визначення чіткої переваги застосування тільки DOT над </w:t>
      </w:r>
      <w:r w:rsidR="009C01B7" w:rsidRPr="00ED35A9">
        <w:rPr>
          <w:szCs w:val="28"/>
          <w:lang w:val="uk-UA"/>
        </w:rPr>
        <w:t xml:space="preserve">лікуванням без нагляду </w:t>
      </w:r>
      <w:r w:rsidRPr="00ED35A9">
        <w:rPr>
          <w:szCs w:val="28"/>
          <w:lang w:val="uk-UA"/>
        </w:rPr>
        <w:t xml:space="preserve">або навпаки. Проте було виявлено доказові дані, за якими певні підгрупи пацієнтів (наприклад, ЛЖВ з ТБ) із ризиком відсутності прихильності до лікування ймовірно отримають більше переваг від DOT, ніж інші пацієнти; або впровадження конкретних моделей надання DOT (наприклад, залежно від місця або надавача послуг DOT) ймовірно є більш корисним за інші. Також відзначено, що результати лікування у пацієнтів, які отримували послуги з прихильності до лікування (наприклад, </w:t>
      </w:r>
      <w:r w:rsidRPr="00ED35A9">
        <w:rPr>
          <w:lang w:val="uk-UA"/>
        </w:rPr>
        <w:t>проведення просвітницьких заходів для пацієнтів</w:t>
      </w:r>
      <w:r w:rsidRPr="00ED35A9">
        <w:rPr>
          <w:szCs w:val="28"/>
          <w:lang w:val="uk-UA"/>
        </w:rPr>
        <w:t xml:space="preserve">, навчання персоналу, надання матеріальної та психологічної підтримки, використання </w:t>
      </w:r>
      <w:proofErr w:type="spellStart"/>
      <w:r w:rsidRPr="00ED35A9">
        <w:rPr>
          <w:szCs w:val="28"/>
          <w:lang w:val="uk-UA"/>
        </w:rPr>
        <w:t>трекерів</w:t>
      </w:r>
      <w:proofErr w:type="spellEnd"/>
      <w:r w:rsidRPr="00ED35A9">
        <w:rPr>
          <w:szCs w:val="28"/>
          <w:lang w:val="uk-UA"/>
        </w:rPr>
        <w:t xml:space="preserve"> та </w:t>
      </w:r>
      <w:r w:rsidRPr="00ED35A9">
        <w:rPr>
          <w:szCs w:val="28"/>
          <w:lang w:val="uk-UA"/>
        </w:rPr>
        <w:lastRenderedPageBreak/>
        <w:t xml:space="preserve">проведення моніторингу за лікуванням) у поєднанні з DOT або </w:t>
      </w:r>
      <w:r w:rsidR="009C01B7" w:rsidRPr="00ED35A9">
        <w:rPr>
          <w:szCs w:val="28"/>
          <w:lang w:val="uk-UA"/>
        </w:rPr>
        <w:t>лікуванням без нагляду</w:t>
      </w:r>
      <w:r w:rsidRPr="00ED35A9">
        <w:rPr>
          <w:szCs w:val="28"/>
          <w:lang w:val="uk-UA"/>
        </w:rPr>
        <w:t xml:space="preserve">, істотно покращувалися, порівняно лише з DOT або </w:t>
      </w:r>
      <w:r w:rsidR="009C01B7" w:rsidRPr="00ED35A9">
        <w:rPr>
          <w:szCs w:val="28"/>
          <w:lang w:val="uk-UA"/>
        </w:rPr>
        <w:t xml:space="preserve">лікуванням без нагляду </w:t>
      </w:r>
      <w:r w:rsidRPr="00ED35A9">
        <w:rPr>
          <w:szCs w:val="28"/>
          <w:lang w:val="uk-UA"/>
        </w:rPr>
        <w:t>(</w:t>
      </w:r>
      <w:r w:rsidRPr="00ED35A9">
        <w:rPr>
          <w:i/>
          <w:szCs w:val="28"/>
          <w:lang w:val="uk-UA"/>
        </w:rPr>
        <w:t>див.</w:t>
      </w:r>
      <w:r w:rsidRPr="00ED35A9">
        <w:rPr>
          <w:szCs w:val="28"/>
          <w:lang w:val="uk-UA"/>
        </w:rPr>
        <w:t xml:space="preserve"> нижче). Для порівняння DOT </w:t>
      </w:r>
      <w:r w:rsidR="009C01B7" w:rsidRPr="00ED35A9">
        <w:rPr>
          <w:szCs w:val="28"/>
          <w:lang w:val="uk-UA"/>
        </w:rPr>
        <w:t>та лікування без нагляду</w:t>
      </w:r>
      <w:r w:rsidRPr="00ED35A9">
        <w:rPr>
          <w:szCs w:val="28"/>
          <w:lang w:val="uk-UA"/>
        </w:rPr>
        <w:t xml:space="preserve"> у ВІЛ-позитивних пацієнтів з ТБ були доступними лише </w:t>
      </w:r>
      <w:proofErr w:type="spellStart"/>
      <w:r w:rsidRPr="00ED35A9">
        <w:rPr>
          <w:szCs w:val="28"/>
          <w:lang w:val="uk-UA"/>
        </w:rPr>
        <w:t>когортні</w:t>
      </w:r>
      <w:proofErr w:type="spellEnd"/>
      <w:r w:rsidRPr="00ED35A9">
        <w:rPr>
          <w:szCs w:val="28"/>
          <w:lang w:val="uk-UA"/>
        </w:rPr>
        <w:t xml:space="preserve"> дослідження </w:t>
      </w:r>
      <w:r w:rsidRPr="00ED35A9">
        <w:rPr>
          <w:i/>
          <w:szCs w:val="28"/>
          <w:lang w:val="uk-UA"/>
        </w:rPr>
        <w:t>(111–127)</w:t>
      </w:r>
      <w:r w:rsidRPr="00ED35A9">
        <w:rPr>
          <w:szCs w:val="28"/>
          <w:lang w:val="uk-UA"/>
        </w:rPr>
        <w:t xml:space="preserve">, більшість з яких проводили ще до періоду впровадження АРТ або невдовзі після появи </w:t>
      </w:r>
      <w:r w:rsidR="006A7B4D" w:rsidRPr="00ED35A9">
        <w:rPr>
          <w:szCs w:val="28"/>
          <w:lang w:val="uk-UA"/>
        </w:rPr>
        <w:t xml:space="preserve">початкової </w:t>
      </w:r>
      <w:r w:rsidRPr="00ED35A9">
        <w:rPr>
          <w:szCs w:val="28"/>
          <w:lang w:val="uk-UA"/>
        </w:rPr>
        <w:t xml:space="preserve">АРТ для ВІЛ-позитивних пацієнтів з ТБ </w:t>
      </w:r>
      <w:r w:rsidRPr="00ED35A9">
        <w:rPr>
          <w:i/>
          <w:szCs w:val="28"/>
          <w:lang w:val="uk-UA"/>
        </w:rPr>
        <w:t>(123–126)</w:t>
      </w:r>
      <w:r w:rsidRPr="00ED35A9">
        <w:rPr>
          <w:szCs w:val="28"/>
          <w:lang w:val="uk-UA"/>
        </w:rPr>
        <w:t>. Як зазначено вище, послуги DOT надавалися різними людьми у різних умовах, як у місцях проживання пацієнтів, так і в медичних закладах, подекуди – під час початкової інтенсивної фази та у стаціонарі. У декількох дослідження</w:t>
      </w:r>
      <w:r w:rsidR="009C01B7" w:rsidRPr="00ED35A9">
        <w:rPr>
          <w:szCs w:val="28"/>
          <w:lang w:val="uk-UA"/>
        </w:rPr>
        <w:t>х</w:t>
      </w:r>
      <w:r w:rsidRPr="00ED35A9">
        <w:rPr>
          <w:szCs w:val="28"/>
          <w:lang w:val="uk-UA"/>
        </w:rPr>
        <w:t xml:space="preserve"> застосовували заохочення або надавали послуги DOT лише пацієнтам, яких вважали особами з високим </w:t>
      </w:r>
      <w:r w:rsidR="006A7B4D" w:rsidRPr="00ED35A9">
        <w:rPr>
          <w:szCs w:val="28"/>
          <w:lang w:val="uk-UA"/>
        </w:rPr>
        <w:t>ризиком втрати з-під нагляду. У </w:t>
      </w:r>
      <w:r w:rsidRPr="00ED35A9">
        <w:rPr>
          <w:szCs w:val="28"/>
          <w:lang w:val="uk-UA"/>
        </w:rPr>
        <w:t xml:space="preserve">ВІЛ-позитивних пацієнтів з ТБ, що </w:t>
      </w:r>
      <w:r w:rsidR="009C01B7" w:rsidRPr="00ED35A9">
        <w:rPr>
          <w:szCs w:val="28"/>
          <w:lang w:val="uk-UA"/>
        </w:rPr>
        <w:t>отримували лікування без нагляду</w:t>
      </w:r>
      <w:r w:rsidRPr="00ED35A9">
        <w:rPr>
          <w:szCs w:val="28"/>
          <w:lang w:val="uk-UA"/>
        </w:rPr>
        <w:t xml:space="preserve">, відзначено нижчі показники ефективності лікування, завершення курсу лікування та одужання, а також вищі показники смертності, невдачі лікування та втрати з-під нагляду. Доказові дані свідчать про отримання більшої переваги від DOT у підгрупі ВІЛ-позитивних пацієнтів з ТБ, ніж у загальній групі пацієнтів з ТБ, тому застосування тільки </w:t>
      </w:r>
      <w:r w:rsidR="009C01B7" w:rsidRPr="00ED35A9">
        <w:rPr>
          <w:szCs w:val="28"/>
          <w:lang w:val="uk-UA"/>
        </w:rPr>
        <w:t xml:space="preserve">лікування без нагляду </w:t>
      </w:r>
      <w:r w:rsidRPr="00ED35A9">
        <w:rPr>
          <w:szCs w:val="28"/>
          <w:lang w:val="uk-UA"/>
        </w:rPr>
        <w:t>не рекомендовано для ВІЛ-позитивних пацієнтів з ТБ. Можливо, підвищений рівень взаємодії препаратів або більш тяжк</w:t>
      </w:r>
      <w:r w:rsidR="006A7B4D" w:rsidRPr="00ED35A9">
        <w:rPr>
          <w:szCs w:val="28"/>
          <w:lang w:val="uk-UA"/>
        </w:rPr>
        <w:t xml:space="preserve">а форма </w:t>
      </w:r>
      <w:r w:rsidRPr="00ED35A9">
        <w:rPr>
          <w:szCs w:val="28"/>
          <w:lang w:val="uk-UA"/>
        </w:rPr>
        <w:t xml:space="preserve">захворювання в цій когорті обумовлює отримання більших переваг від DOT, ніж від </w:t>
      </w:r>
      <w:r w:rsidR="009C01B7" w:rsidRPr="00ED35A9">
        <w:rPr>
          <w:szCs w:val="28"/>
          <w:lang w:val="uk-UA"/>
        </w:rPr>
        <w:t>лікування без нагляду</w:t>
      </w:r>
      <w:r w:rsidRPr="00ED35A9">
        <w:rPr>
          <w:szCs w:val="28"/>
          <w:lang w:val="uk-UA"/>
        </w:rPr>
        <w:t xml:space="preserve">. Під час проведення систематичного огляду також було розглянуто застосування DOT і </w:t>
      </w:r>
      <w:r w:rsidR="009C01B7" w:rsidRPr="00ED35A9">
        <w:rPr>
          <w:szCs w:val="28"/>
          <w:lang w:val="uk-UA"/>
        </w:rPr>
        <w:t xml:space="preserve">лікування без нагляду </w:t>
      </w:r>
      <w:r w:rsidRPr="00ED35A9">
        <w:rPr>
          <w:szCs w:val="28"/>
          <w:lang w:val="uk-UA"/>
        </w:rPr>
        <w:t>у пацієнтів з МРТБ</w:t>
      </w:r>
      <w:r w:rsidR="006A7B4D" w:rsidRPr="00ED35A9">
        <w:rPr>
          <w:szCs w:val="28"/>
          <w:lang w:val="uk-UA"/>
        </w:rPr>
        <w:t xml:space="preserve">, проте </w:t>
      </w:r>
      <w:r w:rsidRPr="00ED35A9">
        <w:rPr>
          <w:szCs w:val="28"/>
          <w:lang w:val="uk-UA"/>
        </w:rPr>
        <w:t xml:space="preserve">кількість даних </w:t>
      </w:r>
      <w:proofErr w:type="spellStart"/>
      <w:r w:rsidRPr="00ED35A9">
        <w:rPr>
          <w:szCs w:val="28"/>
          <w:lang w:val="uk-UA"/>
        </w:rPr>
        <w:t>когортного</w:t>
      </w:r>
      <w:proofErr w:type="spellEnd"/>
      <w:r w:rsidRPr="00ED35A9">
        <w:rPr>
          <w:szCs w:val="28"/>
          <w:lang w:val="uk-UA"/>
        </w:rPr>
        <w:t xml:space="preserve"> дослідження була обмеженою </w:t>
      </w:r>
      <w:r w:rsidRPr="00ED35A9">
        <w:rPr>
          <w:i/>
          <w:szCs w:val="28"/>
          <w:lang w:val="uk-UA"/>
        </w:rPr>
        <w:t>(114)</w:t>
      </w:r>
      <w:r w:rsidRPr="00ED35A9">
        <w:rPr>
          <w:szCs w:val="28"/>
          <w:lang w:val="uk-UA"/>
        </w:rPr>
        <w:t xml:space="preserve">. Було відзначено вищі показники смертності та низького рівня прихильності до лікування й нижчі показники завершення лікування у пацієнтів </w:t>
      </w:r>
      <w:r w:rsidR="009C01B7" w:rsidRPr="00ED35A9">
        <w:rPr>
          <w:szCs w:val="28"/>
          <w:lang w:val="uk-UA"/>
        </w:rPr>
        <w:t xml:space="preserve">з </w:t>
      </w:r>
      <w:r w:rsidRPr="00ED35A9">
        <w:rPr>
          <w:szCs w:val="28"/>
          <w:lang w:val="uk-UA"/>
        </w:rPr>
        <w:t xml:space="preserve">МРТБ, що </w:t>
      </w:r>
      <w:r w:rsidR="009C01B7" w:rsidRPr="00ED35A9">
        <w:rPr>
          <w:szCs w:val="28"/>
          <w:lang w:val="uk-UA"/>
        </w:rPr>
        <w:t>отримували лікування без нагляду</w:t>
      </w:r>
      <w:r w:rsidRPr="00ED35A9">
        <w:rPr>
          <w:szCs w:val="28"/>
          <w:lang w:val="uk-UA"/>
        </w:rPr>
        <w:t>, порівняно з особами, що отримували послуги DOT, проте різниця була незначною.</w:t>
      </w:r>
    </w:p>
    <w:p w:rsidR="00A75154" w:rsidRPr="00ED35A9" w:rsidRDefault="00A75154" w:rsidP="00DB1EC9">
      <w:pPr>
        <w:spacing w:line="233" w:lineRule="auto"/>
        <w:rPr>
          <w:szCs w:val="28"/>
          <w:lang w:val="uk-UA"/>
        </w:rPr>
      </w:pPr>
      <w:r w:rsidRPr="00ED35A9">
        <w:rPr>
          <w:b/>
          <w:i/>
          <w:szCs w:val="28"/>
          <w:lang w:val="uk-UA"/>
        </w:rPr>
        <w:t xml:space="preserve">Надавач послуг DOT. </w:t>
      </w:r>
      <w:r w:rsidRPr="00ED35A9">
        <w:rPr>
          <w:szCs w:val="28"/>
          <w:lang w:val="uk-UA"/>
        </w:rPr>
        <w:t xml:space="preserve">Для проведення аналізу впливу надавачів послуг DOT на прихильність до лікування порівняно із </w:t>
      </w:r>
      <w:r w:rsidR="00094733" w:rsidRPr="00ED35A9">
        <w:rPr>
          <w:szCs w:val="28"/>
          <w:lang w:val="uk-UA"/>
        </w:rPr>
        <w:t xml:space="preserve">лікуванням без нагляду </w:t>
      </w:r>
      <w:r w:rsidRPr="00ED35A9">
        <w:rPr>
          <w:szCs w:val="28"/>
          <w:lang w:val="uk-UA"/>
        </w:rPr>
        <w:t xml:space="preserve">було розглянуто наявні дані РКД </w:t>
      </w:r>
      <w:r w:rsidRPr="00ED35A9">
        <w:rPr>
          <w:i/>
          <w:szCs w:val="28"/>
          <w:lang w:val="uk-UA"/>
        </w:rPr>
        <w:t>(91, 93–95)</w:t>
      </w:r>
      <w:r w:rsidRPr="00ED35A9">
        <w:rPr>
          <w:szCs w:val="28"/>
          <w:lang w:val="uk-UA"/>
        </w:rPr>
        <w:t xml:space="preserve"> та обсерваційних досліджень </w:t>
      </w:r>
      <w:r w:rsidRPr="00ED35A9">
        <w:rPr>
          <w:i/>
          <w:szCs w:val="28"/>
          <w:lang w:val="uk-UA"/>
        </w:rPr>
        <w:t>(98, 99, 102, 104, 109, 112, 117, 119, 120, 122, 123, 127)</w:t>
      </w:r>
      <w:r w:rsidRPr="00ED35A9">
        <w:rPr>
          <w:szCs w:val="28"/>
          <w:lang w:val="uk-UA"/>
        </w:rPr>
        <w:t xml:space="preserve">. Надавачів цих послуг було </w:t>
      </w:r>
      <w:proofErr w:type="spellStart"/>
      <w:r w:rsidRPr="00ED35A9">
        <w:rPr>
          <w:szCs w:val="28"/>
          <w:lang w:val="uk-UA"/>
        </w:rPr>
        <w:t>розподілено</w:t>
      </w:r>
      <w:proofErr w:type="spellEnd"/>
      <w:r w:rsidRPr="00ED35A9">
        <w:rPr>
          <w:szCs w:val="28"/>
          <w:lang w:val="uk-UA"/>
        </w:rPr>
        <w:t xml:space="preserve"> на групи медичних працівників, працівників без медичної освіти та членів родини. До групи медичних працівників увійшли робітники різних рівнів системи охорони здоров’я, які проходили медичну підготовку: </w:t>
      </w:r>
      <w:proofErr w:type="spellStart"/>
      <w:r w:rsidRPr="00ED35A9">
        <w:rPr>
          <w:szCs w:val="28"/>
          <w:lang w:val="uk-UA"/>
        </w:rPr>
        <w:t>медсестри</w:t>
      </w:r>
      <w:proofErr w:type="spellEnd"/>
      <w:r w:rsidRPr="00ED35A9">
        <w:rPr>
          <w:szCs w:val="28"/>
          <w:lang w:val="uk-UA"/>
        </w:rPr>
        <w:t>, лікарі та медико-санітарні працівники з громади, що пройшли відповідну підготовку. До групи працівників без медичної освіти увійшли вчителі, волонтери з громади та традиційні цілителі. При наданні послуг DOT працівниками без медичної освіти було відзначено вищі показники успішного лікування та одужання, і дещо нижчий рівень показників втрати</w:t>
      </w:r>
      <w:r w:rsidRPr="00ED35A9">
        <w:rPr>
          <w:szCs w:val="28"/>
          <w:lang w:val="uk-UA"/>
        </w:rPr>
        <w:br/>
        <w:t xml:space="preserve">з-під нагляду, ніж при </w:t>
      </w:r>
      <w:r w:rsidR="00094733" w:rsidRPr="00ED35A9">
        <w:rPr>
          <w:szCs w:val="28"/>
          <w:lang w:val="uk-UA"/>
        </w:rPr>
        <w:t>лікуванні без нагляду</w:t>
      </w:r>
      <w:r w:rsidRPr="00ED35A9">
        <w:rPr>
          <w:szCs w:val="28"/>
          <w:lang w:val="uk-UA"/>
        </w:rPr>
        <w:t xml:space="preserve">. Пацієнти, що отримували послуги DOT від членів родини, мали вищі показники успішного лікування і нижчий рівень показників втрати з-під нагляду, ніж пацієнти, що </w:t>
      </w:r>
      <w:r w:rsidR="009C01B7" w:rsidRPr="00ED35A9">
        <w:rPr>
          <w:szCs w:val="28"/>
          <w:lang w:val="uk-UA"/>
        </w:rPr>
        <w:t>отримували лікування без нагляду</w:t>
      </w:r>
      <w:r w:rsidRPr="00ED35A9">
        <w:rPr>
          <w:szCs w:val="28"/>
          <w:lang w:val="uk-UA"/>
        </w:rPr>
        <w:t xml:space="preserve">. При наданні послуг DOT медичним працівником було відзначено вищі показники одужання та прихильності до лікування і нижчі показники рецидиву й набуття </w:t>
      </w:r>
      <w:r w:rsidR="00480CDB" w:rsidRPr="00ED35A9">
        <w:rPr>
          <w:rFonts w:cs="Times New Roman"/>
          <w:szCs w:val="28"/>
          <w:lang w:val="uk-UA"/>
        </w:rPr>
        <w:t xml:space="preserve">медикаментозної </w:t>
      </w:r>
      <w:r w:rsidRPr="00ED35A9">
        <w:rPr>
          <w:szCs w:val="28"/>
          <w:lang w:val="uk-UA"/>
        </w:rPr>
        <w:t xml:space="preserve">резистентності порівняно із </w:t>
      </w:r>
      <w:r w:rsidR="009C01B7" w:rsidRPr="00ED35A9">
        <w:rPr>
          <w:szCs w:val="28"/>
          <w:lang w:val="uk-UA"/>
        </w:rPr>
        <w:t>лікуванням без нагляду</w:t>
      </w:r>
      <w:r w:rsidRPr="00ED35A9">
        <w:rPr>
          <w:szCs w:val="28"/>
          <w:lang w:val="uk-UA"/>
        </w:rPr>
        <w:t xml:space="preserve">. Було також проведено порівняння результатів DOT, </w:t>
      </w:r>
      <w:r w:rsidRPr="00ED35A9">
        <w:rPr>
          <w:szCs w:val="28"/>
          <w:lang w:val="uk-UA"/>
        </w:rPr>
        <w:lastRenderedPageBreak/>
        <w:t xml:space="preserve">наданих медичними працівниками та надавачами послуг без медичної освіти. Доступними були лише дані обсерваційних досліджень </w:t>
      </w:r>
      <w:r w:rsidRPr="00ED35A9">
        <w:rPr>
          <w:i/>
          <w:szCs w:val="28"/>
          <w:lang w:val="uk-UA"/>
        </w:rPr>
        <w:t>(99, 102, 119, 128–132)</w:t>
      </w:r>
      <w:r w:rsidRPr="00ED35A9">
        <w:rPr>
          <w:szCs w:val="28"/>
          <w:lang w:val="uk-UA"/>
        </w:rPr>
        <w:t>. У пацієнтів, які отримували послуги DOT від працівників без медичної освіти (у порівнянні з медичними працівниками), було відзначено дещо вищий рівень ефективності лікування та нижчий рівень смертності, невдачі лікування та втрати з-під нагляду, хоча різниця не була статистично значущою.</w:t>
      </w:r>
    </w:p>
    <w:p w:rsidR="00A75154" w:rsidRPr="00ED35A9" w:rsidRDefault="00A75154" w:rsidP="00DB1EC9">
      <w:pPr>
        <w:spacing w:line="233" w:lineRule="auto"/>
        <w:rPr>
          <w:szCs w:val="28"/>
          <w:lang w:val="uk-UA"/>
        </w:rPr>
      </w:pPr>
      <w:r w:rsidRPr="00ED35A9">
        <w:rPr>
          <w:szCs w:val="28"/>
          <w:lang w:val="uk-UA"/>
        </w:rPr>
        <w:t xml:space="preserve">Коли послуги DOT надавали члени родини, порівняно з наданням цих послуг медичним працівником, було відзначено вищий рівень показників смертності, втрати з-під нагляду та невдачі лікування й нижчі показники успішного лікування, одужання та прихильності до лікування. Таким чином, хоча при наданні послуг DOT медичними працівниками, надавачами послуг без медичної освіти, що пройшли спеціальне навчання, та членами родини відзначено певні переваги порівняно із </w:t>
      </w:r>
      <w:r w:rsidR="009C01B7" w:rsidRPr="00ED35A9">
        <w:rPr>
          <w:szCs w:val="28"/>
          <w:lang w:val="uk-UA"/>
        </w:rPr>
        <w:t>лікуванням без нагляду</w:t>
      </w:r>
      <w:r w:rsidRPr="00ED35A9">
        <w:rPr>
          <w:szCs w:val="28"/>
          <w:lang w:val="uk-UA"/>
        </w:rPr>
        <w:t>, надання цих послуг навченими працівниками без медичної освіти та медиками є пріоритетним варіантом, тоді як нагляд членом родини є найменш пріоритетним варіантом надання послуг DOT.</w:t>
      </w:r>
    </w:p>
    <w:p w:rsidR="00A75154" w:rsidRPr="00ED35A9" w:rsidRDefault="00A75154" w:rsidP="00DB1EC9">
      <w:pPr>
        <w:spacing w:line="233" w:lineRule="auto"/>
        <w:rPr>
          <w:szCs w:val="28"/>
          <w:lang w:val="uk-UA"/>
        </w:rPr>
      </w:pPr>
      <w:r w:rsidRPr="00ED35A9">
        <w:rPr>
          <w:b/>
          <w:i/>
          <w:szCs w:val="28"/>
          <w:lang w:val="uk-UA"/>
        </w:rPr>
        <w:t xml:space="preserve">Місце надання послуг DOT. </w:t>
      </w:r>
      <w:r w:rsidRPr="00ED35A9">
        <w:rPr>
          <w:szCs w:val="28"/>
          <w:lang w:val="uk-UA"/>
        </w:rPr>
        <w:t xml:space="preserve">За даними РКД та обсерваційних досліджень було проаналізовано, яким чином місце надання послуг DOT впливає на результат лікування. Місця надання цих послуг було </w:t>
      </w:r>
      <w:proofErr w:type="spellStart"/>
      <w:r w:rsidRPr="00ED35A9">
        <w:rPr>
          <w:szCs w:val="28"/>
          <w:lang w:val="uk-UA"/>
        </w:rPr>
        <w:t>розподілено</w:t>
      </w:r>
      <w:proofErr w:type="spellEnd"/>
      <w:r w:rsidRPr="00ED35A9">
        <w:rPr>
          <w:szCs w:val="28"/>
          <w:lang w:val="uk-UA"/>
        </w:rPr>
        <w:t xml:space="preserve"> таким чином: у спільноті, </w:t>
      </w:r>
      <w:r w:rsidR="00480CDB" w:rsidRPr="00ED35A9">
        <w:rPr>
          <w:szCs w:val="28"/>
          <w:lang w:val="uk-UA"/>
        </w:rPr>
        <w:t>за</w:t>
      </w:r>
      <w:r w:rsidRPr="00ED35A9">
        <w:rPr>
          <w:szCs w:val="28"/>
          <w:lang w:val="uk-UA"/>
        </w:rPr>
        <w:t xml:space="preserve"> місц</w:t>
      </w:r>
      <w:r w:rsidR="00480CDB" w:rsidRPr="00ED35A9">
        <w:rPr>
          <w:szCs w:val="28"/>
          <w:lang w:val="uk-UA"/>
        </w:rPr>
        <w:t xml:space="preserve">ем </w:t>
      </w:r>
      <w:r w:rsidRPr="00ED35A9">
        <w:rPr>
          <w:szCs w:val="28"/>
          <w:lang w:val="uk-UA"/>
        </w:rPr>
        <w:t xml:space="preserve">проживання пацієнта або у медичному закладі </w:t>
      </w:r>
      <w:r w:rsidRPr="00ED35A9">
        <w:rPr>
          <w:i/>
          <w:szCs w:val="28"/>
          <w:lang w:val="uk-UA"/>
        </w:rPr>
        <w:t>(91, 93, 95, 97, 104, 109, 117, 119, 122, 123, 133–170)</w:t>
      </w:r>
      <w:r w:rsidRPr="00ED35A9">
        <w:rPr>
          <w:szCs w:val="28"/>
          <w:lang w:val="uk-UA"/>
        </w:rPr>
        <w:t xml:space="preserve">. DOT у спільноті або вдома було визначено як DOT, що надається у спільноті близько до місця проживання пацієнта або місця його роботи, тобто місце надання цих послуг знаходилось неподалік від пацієнтів. DOT у медичному закладі визначали як послуги, що надають у центрі охорони здоров’я, клініці або лікарні. Також відзначено окремі випадки, коли послуги DOT надавали медичні працівники у громаді або </w:t>
      </w:r>
      <w:r w:rsidR="00E41758" w:rsidRPr="00ED35A9">
        <w:rPr>
          <w:szCs w:val="28"/>
          <w:lang w:val="uk-UA"/>
        </w:rPr>
        <w:t xml:space="preserve">за </w:t>
      </w:r>
      <w:r w:rsidRPr="00ED35A9">
        <w:rPr>
          <w:szCs w:val="28"/>
          <w:lang w:val="uk-UA"/>
        </w:rPr>
        <w:t>місц</w:t>
      </w:r>
      <w:r w:rsidR="00E41758" w:rsidRPr="00ED35A9">
        <w:rPr>
          <w:szCs w:val="28"/>
          <w:lang w:val="uk-UA"/>
        </w:rPr>
        <w:t xml:space="preserve">ем </w:t>
      </w:r>
      <w:r w:rsidRPr="00ED35A9">
        <w:rPr>
          <w:szCs w:val="28"/>
          <w:lang w:val="uk-UA"/>
        </w:rPr>
        <w:t xml:space="preserve">проживання пацієнта. При порівнянні місць надання послуг DOT було відзначено, що надання цих послуг саме вдома або у громаді мало вищі показники ефективності лікування, одужання, завершення курсу лікування та конверсії мокротиння на 2-му місяці. Порівняно з DOT у медичному закладі, DOT у громаді або </w:t>
      </w:r>
      <w:r w:rsidR="00E41758" w:rsidRPr="00ED35A9">
        <w:rPr>
          <w:szCs w:val="28"/>
          <w:lang w:val="uk-UA"/>
        </w:rPr>
        <w:t>в</w:t>
      </w:r>
      <w:r w:rsidRPr="00ED35A9">
        <w:rPr>
          <w:szCs w:val="28"/>
          <w:lang w:val="uk-UA"/>
        </w:rPr>
        <w:t xml:space="preserve">дома також супроводжувалося нижчими показниками рівня смертності та невдачі лікування. За результатами РКД, при порівнянні DOT у громаді, вдома або у медичному закладі з </w:t>
      </w:r>
      <w:r w:rsidR="00094733" w:rsidRPr="00ED35A9">
        <w:rPr>
          <w:szCs w:val="28"/>
          <w:lang w:val="uk-UA"/>
        </w:rPr>
        <w:t>лікуванням без нагляду</w:t>
      </w:r>
      <w:r w:rsidRPr="00ED35A9">
        <w:rPr>
          <w:szCs w:val="28"/>
          <w:lang w:val="uk-UA"/>
        </w:rPr>
        <w:t xml:space="preserve"> значних відмінностей не відзначено. Проте у </w:t>
      </w:r>
      <w:proofErr w:type="spellStart"/>
      <w:r w:rsidRPr="00ED35A9">
        <w:rPr>
          <w:szCs w:val="28"/>
          <w:lang w:val="uk-UA"/>
        </w:rPr>
        <w:t>когортних</w:t>
      </w:r>
      <w:proofErr w:type="spellEnd"/>
      <w:r w:rsidRPr="00ED35A9">
        <w:rPr>
          <w:szCs w:val="28"/>
          <w:lang w:val="uk-UA"/>
        </w:rPr>
        <w:t xml:space="preserve"> дослідженнях відзначено вищі показники ефективності лікування та прихильності і нижчі показники втрати з-під нагляду при проведенні DOT у громаді або вдома, ніж при </w:t>
      </w:r>
      <w:r w:rsidR="009C01B7" w:rsidRPr="00ED35A9">
        <w:rPr>
          <w:szCs w:val="28"/>
          <w:lang w:val="uk-UA"/>
        </w:rPr>
        <w:t>лікуванні без нагляду</w:t>
      </w:r>
      <w:r w:rsidRPr="00ED35A9">
        <w:rPr>
          <w:szCs w:val="28"/>
          <w:lang w:val="uk-UA"/>
        </w:rPr>
        <w:t xml:space="preserve">. За даними обсерваційних </w:t>
      </w:r>
      <w:proofErr w:type="spellStart"/>
      <w:r w:rsidRPr="00ED35A9">
        <w:rPr>
          <w:szCs w:val="28"/>
          <w:lang w:val="uk-UA"/>
        </w:rPr>
        <w:t>когортних</w:t>
      </w:r>
      <w:proofErr w:type="spellEnd"/>
      <w:r w:rsidRPr="00ED35A9">
        <w:rPr>
          <w:szCs w:val="28"/>
          <w:lang w:val="uk-UA"/>
        </w:rPr>
        <w:t xml:space="preserve"> досліджень також відзначено нижчі показники ефективності лікування та дещо вищий рівень показників невдачі лікування і втрати з-під нагляду при наданні послуг DOT у медичному закладі, ніж при </w:t>
      </w:r>
      <w:r w:rsidR="009C01B7" w:rsidRPr="00ED35A9">
        <w:rPr>
          <w:szCs w:val="28"/>
          <w:lang w:val="uk-UA"/>
        </w:rPr>
        <w:t>лікуванні без нагляду</w:t>
      </w:r>
      <w:r w:rsidRPr="00ED35A9">
        <w:rPr>
          <w:szCs w:val="28"/>
          <w:lang w:val="uk-UA"/>
        </w:rPr>
        <w:t xml:space="preserve">. Таким чином, DOT у громаді або </w:t>
      </w:r>
      <w:r w:rsidR="00E41758" w:rsidRPr="00ED35A9">
        <w:rPr>
          <w:szCs w:val="28"/>
          <w:lang w:val="uk-UA"/>
        </w:rPr>
        <w:t xml:space="preserve">за </w:t>
      </w:r>
      <w:r w:rsidRPr="00ED35A9">
        <w:rPr>
          <w:szCs w:val="28"/>
          <w:lang w:val="uk-UA"/>
        </w:rPr>
        <w:t>місц</w:t>
      </w:r>
      <w:r w:rsidR="00E41758" w:rsidRPr="00ED35A9">
        <w:rPr>
          <w:szCs w:val="28"/>
          <w:lang w:val="uk-UA"/>
        </w:rPr>
        <w:t xml:space="preserve">ем </w:t>
      </w:r>
      <w:r w:rsidRPr="00ED35A9">
        <w:rPr>
          <w:szCs w:val="28"/>
          <w:lang w:val="uk-UA"/>
        </w:rPr>
        <w:t xml:space="preserve">проживання пацієнта є </w:t>
      </w:r>
      <w:proofErr w:type="spellStart"/>
      <w:r w:rsidRPr="00ED35A9">
        <w:rPr>
          <w:szCs w:val="28"/>
          <w:lang w:val="uk-UA"/>
        </w:rPr>
        <w:t>пріоритетнішим</w:t>
      </w:r>
      <w:proofErr w:type="spellEnd"/>
      <w:r w:rsidRPr="00ED35A9">
        <w:rPr>
          <w:szCs w:val="28"/>
          <w:lang w:val="uk-UA"/>
        </w:rPr>
        <w:t xml:space="preserve"> варіантом надання цих послуг, ніж DOT у медичному закладі та </w:t>
      </w:r>
      <w:r w:rsidR="00094733" w:rsidRPr="00ED35A9">
        <w:rPr>
          <w:szCs w:val="28"/>
          <w:lang w:val="uk-UA"/>
        </w:rPr>
        <w:t>лікування без нагляду</w:t>
      </w:r>
      <w:r w:rsidRPr="00ED35A9">
        <w:rPr>
          <w:szCs w:val="28"/>
          <w:lang w:val="uk-UA"/>
        </w:rPr>
        <w:t xml:space="preserve">. Поєднуючи доказові дані щодо надавачів послуг DOT та місць надання цих послуг, DOT слід надавати переважно вдома або у громаді із залученням медичного </w:t>
      </w:r>
      <w:r w:rsidRPr="00ED35A9">
        <w:rPr>
          <w:szCs w:val="28"/>
          <w:lang w:val="uk-UA"/>
        </w:rPr>
        <w:lastRenderedPageBreak/>
        <w:t xml:space="preserve">працівника або надавача послуг без медичної освіти, який пройшов спеціальне навчання. Надання послуг DOT у медичному закладі, DOT із залученням членів родини, а також </w:t>
      </w:r>
      <w:r w:rsidR="00094733" w:rsidRPr="00ED35A9">
        <w:rPr>
          <w:szCs w:val="28"/>
          <w:lang w:val="uk-UA"/>
        </w:rPr>
        <w:t>лікування без нагляду</w:t>
      </w:r>
      <w:r w:rsidRPr="00ED35A9">
        <w:rPr>
          <w:szCs w:val="28"/>
          <w:lang w:val="uk-UA"/>
        </w:rPr>
        <w:t>, не є пріоритетними варіантами.</w:t>
      </w:r>
    </w:p>
    <w:p w:rsidR="00A75154" w:rsidRPr="00ED35A9" w:rsidRDefault="00A75154" w:rsidP="00DB1EC9">
      <w:pPr>
        <w:spacing w:line="233" w:lineRule="auto"/>
        <w:rPr>
          <w:szCs w:val="28"/>
          <w:lang w:val="uk-UA"/>
        </w:rPr>
      </w:pPr>
      <w:r w:rsidRPr="00ED35A9">
        <w:rPr>
          <w:b/>
          <w:i/>
          <w:szCs w:val="28"/>
          <w:lang w:val="uk-UA"/>
        </w:rPr>
        <w:t>VOT.</w:t>
      </w:r>
      <w:r w:rsidRPr="00ED35A9">
        <w:rPr>
          <w:szCs w:val="28"/>
          <w:lang w:val="uk-UA"/>
        </w:rPr>
        <w:t xml:space="preserve"> Було оцінено дані тільки двох </w:t>
      </w:r>
      <w:proofErr w:type="spellStart"/>
      <w:r w:rsidRPr="00ED35A9">
        <w:rPr>
          <w:szCs w:val="28"/>
          <w:lang w:val="uk-UA"/>
        </w:rPr>
        <w:t>когортних</w:t>
      </w:r>
      <w:proofErr w:type="spellEnd"/>
      <w:r w:rsidRPr="00ED35A9">
        <w:rPr>
          <w:szCs w:val="28"/>
          <w:lang w:val="uk-UA"/>
        </w:rPr>
        <w:t xml:space="preserve"> досліджень, проведених у країнах з високим рівнем доходу; дані щодо країн з низьким або середнім рівнем доходу були відсутні </w:t>
      </w:r>
      <w:r w:rsidRPr="00ED35A9">
        <w:rPr>
          <w:i/>
          <w:szCs w:val="28"/>
          <w:lang w:val="uk-UA"/>
        </w:rPr>
        <w:t>(171, 172)</w:t>
      </w:r>
      <w:r w:rsidRPr="00ED35A9">
        <w:rPr>
          <w:szCs w:val="28"/>
          <w:lang w:val="uk-UA"/>
        </w:rPr>
        <w:t>. В цих дослідженнях порівнювали особисте надання послуг DOT із VOT, що проводили у реально</w:t>
      </w:r>
      <w:r w:rsidR="00E41758" w:rsidRPr="00ED35A9">
        <w:rPr>
          <w:szCs w:val="28"/>
          <w:lang w:val="uk-UA"/>
        </w:rPr>
        <w:t>му часі. У </w:t>
      </w:r>
      <w:r w:rsidRPr="00ED35A9">
        <w:rPr>
          <w:szCs w:val="28"/>
          <w:lang w:val="uk-UA"/>
        </w:rPr>
        <w:t>пацієнтів, які отримували VOT, не відзначено статистично значущої різниці у показниках завершення лікування та рівня смертності порівняно з</w:t>
      </w:r>
      <w:r w:rsidR="00E41758" w:rsidRPr="00ED35A9">
        <w:rPr>
          <w:szCs w:val="28"/>
          <w:lang w:val="uk-UA"/>
        </w:rPr>
        <w:t> </w:t>
      </w:r>
      <w:r w:rsidRPr="00ED35A9">
        <w:rPr>
          <w:szCs w:val="28"/>
          <w:lang w:val="uk-UA"/>
        </w:rPr>
        <w:t xml:space="preserve">пацієнтами, що отримували особисте DOT. Хоча були певні занепокоєння щодо упередженого характеру та низької достовірності отриманих доказових даних для VOT, оскільки дослідження проводили тільки у країнах з високим рівнем доходів, результати цих двох </w:t>
      </w:r>
      <w:proofErr w:type="spellStart"/>
      <w:r w:rsidRPr="00ED35A9">
        <w:rPr>
          <w:szCs w:val="28"/>
          <w:lang w:val="uk-UA"/>
        </w:rPr>
        <w:t>когортних</w:t>
      </w:r>
      <w:proofErr w:type="spellEnd"/>
      <w:r w:rsidRPr="00ED35A9">
        <w:rPr>
          <w:szCs w:val="28"/>
          <w:lang w:val="uk-UA"/>
        </w:rPr>
        <w:t xml:space="preserve"> досліджень свідчать, що надання особистих послуг DOT не було кращим за VOT. DOT є стандартом догляду, дотримання якого прагнуть при впровадженні більшості програм, навіть якщо на практиці багатьом пацієнтам доводиться </w:t>
      </w:r>
      <w:r w:rsidR="009C01B7" w:rsidRPr="00ED35A9">
        <w:rPr>
          <w:szCs w:val="28"/>
          <w:lang w:val="uk-UA"/>
        </w:rPr>
        <w:t xml:space="preserve">отримувати лікування без нагляду </w:t>
      </w:r>
      <w:r w:rsidRPr="00ED35A9">
        <w:rPr>
          <w:szCs w:val="28"/>
          <w:lang w:val="uk-UA"/>
        </w:rPr>
        <w:t xml:space="preserve">через нестачу ресурсів. Перевагою використання VOT є потенціальна можливість спостереження за прихильністю до лікування на відстані, навіть коли люди подорожують і не мають можливості відвідувати надавача DOT. VOT також є гнучкішим до розкладів людей, бо пропонує віртуальне спостереження в різні моменти часу протягом дня. VOT може допомогти у досягненні кращого рівня взаємодії з пацієнтами, потребує меншого обсягу витрат та створює меншу незручність порівняно з особистим DOT. VOT можна використовувати як окремий захід, разом із особистим DOT або іншими варіантами прийому лікарських засобів. Наприклад, не очікується, що VOT буде єдиним варіантом нагляду протягом усього курсу лікування. Крім того, технології, необхідні для надання VOT (наявність швидкісного інтернету і смартфону), стають все більш доступними в умовах обмежених ресурсів, а варіанти надання VOT еволюціонують (наприклад, розширені можливості комунікації у реальному часі порівняно із записом відео). Таким чином, у найближчому майбутньому ймовірною є поява доказових даних та досвіду найкращих практик, особливо з поточних РКД. Переваги VOT можуть стати більш явними у міру того, як програми зможуть обирати ті форми VOT, які найкраще відповідають їхнім потребам. Впровадження послуг VOT може бути особливо корисним для зниження рівня навантаження на системи охорони здоров’я у країнах </w:t>
      </w:r>
      <w:r w:rsidR="00E41758" w:rsidRPr="00ED35A9">
        <w:rPr>
          <w:szCs w:val="28"/>
          <w:lang w:val="uk-UA"/>
        </w:rPr>
        <w:t xml:space="preserve">з </w:t>
      </w:r>
      <w:r w:rsidRPr="00ED35A9">
        <w:rPr>
          <w:szCs w:val="28"/>
          <w:lang w:val="uk-UA"/>
        </w:rPr>
        <w:t>низьким та середнім рівнем доходів.</w:t>
      </w:r>
    </w:p>
    <w:p w:rsidR="00A75154" w:rsidRPr="00ED35A9" w:rsidRDefault="00A75154" w:rsidP="00DB1EC9">
      <w:pPr>
        <w:spacing w:line="233" w:lineRule="auto"/>
        <w:rPr>
          <w:szCs w:val="28"/>
          <w:lang w:val="uk-UA"/>
        </w:rPr>
      </w:pPr>
      <w:r w:rsidRPr="00ED35A9">
        <w:rPr>
          <w:b/>
          <w:i/>
          <w:szCs w:val="28"/>
          <w:lang w:val="uk-UA"/>
        </w:rPr>
        <w:t xml:space="preserve">Пакет комбінованих </w:t>
      </w:r>
      <w:proofErr w:type="spellStart"/>
      <w:r w:rsidRPr="00ED35A9">
        <w:rPr>
          <w:b/>
          <w:i/>
          <w:szCs w:val="28"/>
          <w:lang w:val="uk-UA"/>
        </w:rPr>
        <w:t>втручань</w:t>
      </w:r>
      <w:proofErr w:type="spellEnd"/>
      <w:r w:rsidRPr="00ED35A9">
        <w:rPr>
          <w:b/>
          <w:i/>
          <w:szCs w:val="28"/>
          <w:lang w:val="uk-UA"/>
        </w:rPr>
        <w:t xml:space="preserve"> з прихильності до лікування.</w:t>
      </w:r>
      <w:r w:rsidRPr="00ED35A9">
        <w:rPr>
          <w:szCs w:val="28"/>
          <w:lang w:val="uk-UA"/>
        </w:rPr>
        <w:t xml:space="preserve"> При проведенні огляду впливу комбінованих </w:t>
      </w:r>
      <w:proofErr w:type="spellStart"/>
      <w:r w:rsidRPr="00ED35A9">
        <w:rPr>
          <w:szCs w:val="28"/>
          <w:lang w:val="uk-UA"/>
        </w:rPr>
        <w:t>втручань</w:t>
      </w:r>
      <w:proofErr w:type="spellEnd"/>
      <w:r w:rsidRPr="00ED35A9">
        <w:rPr>
          <w:szCs w:val="28"/>
          <w:lang w:val="uk-UA"/>
        </w:rPr>
        <w:t xml:space="preserve"> з прихильності до лікування було проаналізовано </w:t>
      </w:r>
      <w:r w:rsidR="00E41758" w:rsidRPr="00ED35A9">
        <w:rPr>
          <w:szCs w:val="28"/>
          <w:lang w:val="uk-UA"/>
        </w:rPr>
        <w:t xml:space="preserve">дані </w:t>
      </w:r>
      <w:r w:rsidRPr="00ED35A9">
        <w:rPr>
          <w:szCs w:val="28"/>
          <w:lang w:val="uk-UA"/>
        </w:rPr>
        <w:t xml:space="preserve">як РКД, так і обсерваційних досліджень </w:t>
      </w:r>
      <w:r w:rsidRPr="00ED35A9">
        <w:rPr>
          <w:i/>
          <w:szCs w:val="28"/>
          <w:lang w:val="uk-UA"/>
        </w:rPr>
        <w:t>(137–143, 172–178)</w:t>
      </w:r>
      <w:r w:rsidRPr="00ED35A9">
        <w:rPr>
          <w:szCs w:val="28"/>
          <w:lang w:val="uk-UA"/>
        </w:rPr>
        <w:t>. При порівнянні даних пацієнтів, що отримували комбіновані втручання з прихильності до лі</w:t>
      </w:r>
      <w:r w:rsidR="00E41758" w:rsidRPr="00ED35A9">
        <w:rPr>
          <w:szCs w:val="28"/>
          <w:lang w:val="uk-UA"/>
        </w:rPr>
        <w:t xml:space="preserve">кування разом із DOT або </w:t>
      </w:r>
      <w:r w:rsidR="00094733" w:rsidRPr="00ED35A9">
        <w:rPr>
          <w:szCs w:val="28"/>
          <w:lang w:val="uk-UA"/>
        </w:rPr>
        <w:t xml:space="preserve">лікуванням без нагляду, з </w:t>
      </w:r>
      <w:r w:rsidRPr="00ED35A9">
        <w:rPr>
          <w:szCs w:val="28"/>
          <w:lang w:val="uk-UA"/>
        </w:rPr>
        <w:t xml:space="preserve">особами, що отримували тільки DOT або </w:t>
      </w:r>
      <w:r w:rsidR="00094733" w:rsidRPr="00ED35A9">
        <w:rPr>
          <w:szCs w:val="28"/>
          <w:lang w:val="uk-UA"/>
        </w:rPr>
        <w:t>лікування без нагляду</w:t>
      </w:r>
      <w:r w:rsidRPr="00ED35A9">
        <w:rPr>
          <w:szCs w:val="28"/>
          <w:lang w:val="uk-UA"/>
        </w:rPr>
        <w:t xml:space="preserve">, в пацієнтів, що отримували комбіновані втручання з прихильності до лікування, було відзначено вищий рівень ефективності </w:t>
      </w:r>
      <w:r w:rsidRPr="00ED35A9">
        <w:rPr>
          <w:szCs w:val="28"/>
          <w:lang w:val="uk-UA"/>
        </w:rPr>
        <w:lastRenderedPageBreak/>
        <w:t xml:space="preserve">лікування, прихильності, завершення курсу лікування та одужання, а також нижчий рівень смертності та втрати з-під нагляду. Було впроваджено різні втручання з прихильності до лікування (таблиця 8.1). До їх складу входили різні комбінації навчання пацієнтів, навчання персоналу, надання матеріальної підтримки (наприклад, продукти харчування, грошова винагорода, оплата проїзду, бонуси за досягнення цілей лікування), психологічної підтримки та послуг з консультування. Заходи для прихильності до лікування також включали відстеження (наприклад, візити </w:t>
      </w:r>
      <w:r w:rsidR="00E41758" w:rsidRPr="00ED35A9">
        <w:rPr>
          <w:szCs w:val="28"/>
          <w:lang w:val="uk-UA"/>
        </w:rPr>
        <w:t xml:space="preserve">до </w:t>
      </w:r>
      <w:r w:rsidRPr="00ED35A9">
        <w:rPr>
          <w:szCs w:val="28"/>
          <w:lang w:val="uk-UA"/>
        </w:rPr>
        <w:t>місця проживання пацієнта), використання цифрових технологій (наприклад, SMS, телефонні дзвінки) або моніторинг прийому препаратів. Такі заходи слід обирати із врахуванням індивідуальних потреб пацієнта, ресурсів надавача послуг та умов їх реалізації.</w:t>
      </w:r>
    </w:p>
    <w:p w:rsidR="00A75154" w:rsidRPr="00ED35A9" w:rsidRDefault="00A75154" w:rsidP="00DB1EC9">
      <w:pPr>
        <w:spacing w:before="120" w:after="120" w:line="233" w:lineRule="auto"/>
        <w:ind w:firstLine="0"/>
        <w:jc w:val="center"/>
        <w:rPr>
          <w:b/>
          <w:szCs w:val="28"/>
          <w:lang w:val="uk-UA"/>
        </w:rPr>
      </w:pPr>
      <w:r w:rsidRPr="00ED35A9">
        <w:rPr>
          <w:b/>
          <w:szCs w:val="28"/>
          <w:lang w:val="uk-UA"/>
        </w:rPr>
        <w:t>Таблиця 8.1. Комбіновані втручання з прихильності до лікування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77"/>
      </w:tblGrid>
      <w:tr w:rsidR="00A75154" w:rsidRPr="00ED35A9" w:rsidTr="00694CFC">
        <w:tc>
          <w:tcPr>
            <w:tcW w:w="3828" w:type="dxa"/>
            <w:tcMar>
              <w:left w:w="57" w:type="dxa"/>
              <w:right w:w="57" w:type="dxa"/>
            </w:tcMar>
          </w:tcPr>
          <w:p w:rsidR="00A75154" w:rsidRPr="00ED35A9" w:rsidRDefault="00A75154" w:rsidP="00DB1EC9">
            <w:pPr>
              <w:spacing w:line="233" w:lineRule="auto"/>
              <w:ind w:firstLine="0"/>
              <w:jc w:val="center"/>
              <w:rPr>
                <w:b/>
                <w:szCs w:val="28"/>
                <w:lang w:val="uk-UA"/>
              </w:rPr>
            </w:pPr>
            <w:r w:rsidRPr="00ED35A9">
              <w:rPr>
                <w:b/>
                <w:szCs w:val="28"/>
                <w:lang w:val="uk-UA"/>
              </w:rPr>
              <w:t>Захід</w:t>
            </w:r>
          </w:p>
        </w:tc>
        <w:tc>
          <w:tcPr>
            <w:tcW w:w="5577" w:type="dxa"/>
            <w:tcMar>
              <w:left w:w="57" w:type="dxa"/>
              <w:right w:w="57" w:type="dxa"/>
            </w:tcMar>
          </w:tcPr>
          <w:p w:rsidR="00A75154" w:rsidRPr="00ED35A9" w:rsidRDefault="00A75154" w:rsidP="00DB1EC9">
            <w:pPr>
              <w:spacing w:line="233" w:lineRule="auto"/>
              <w:ind w:firstLine="0"/>
              <w:jc w:val="center"/>
              <w:rPr>
                <w:b/>
                <w:szCs w:val="28"/>
                <w:lang w:val="uk-UA"/>
              </w:rPr>
            </w:pPr>
            <w:r w:rsidRPr="00ED35A9">
              <w:rPr>
                <w:b/>
                <w:szCs w:val="28"/>
                <w:lang w:val="uk-UA"/>
              </w:rPr>
              <w:t>Описання</w:t>
            </w:r>
          </w:p>
        </w:tc>
      </w:tr>
      <w:tr w:rsidR="00A75154" w:rsidRPr="00ED35A9"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Навчання пацієнта</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Навчання з медичних питань консультування.</w:t>
            </w:r>
          </w:p>
        </w:tc>
      </w:tr>
      <w:tr w:rsidR="00A75154" w:rsidRPr="00ED35A9"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Навчання персоналу</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Навчання, діаграми або наочні нагадування, навчальні та комп’ютерні засоби для нагадування та допомоги у прийнятті рішень.</w:t>
            </w:r>
          </w:p>
        </w:tc>
      </w:tr>
      <w:tr w:rsidR="00A75154" w:rsidRPr="00850C2F"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Матеріальна підтримка</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rStyle w:val="fontstyle01"/>
                <w:lang w:val="uk-UA"/>
              </w:rPr>
              <w:t>Надання продуктів харчування або фінансової допомоги</w:t>
            </w:r>
            <w:r w:rsidRPr="00ED35A9">
              <w:rPr>
                <w:szCs w:val="28"/>
                <w:lang w:val="uk-UA"/>
              </w:rPr>
              <w:t>: годування, продуктові набори, харчові добавки, продовольчі купони, проїзні на транспорт, кишенькові гроші, житлові пільги або фінансова винагорода.</w:t>
            </w:r>
          </w:p>
          <w:p w:rsidR="00A75154" w:rsidRPr="00ED35A9" w:rsidRDefault="00A75154" w:rsidP="00DB1EC9">
            <w:pPr>
              <w:spacing w:before="120" w:line="233" w:lineRule="auto"/>
              <w:ind w:firstLine="0"/>
              <w:jc w:val="left"/>
              <w:rPr>
                <w:szCs w:val="28"/>
                <w:lang w:val="uk-UA"/>
              </w:rPr>
            </w:pPr>
            <w:r w:rsidRPr="00ED35A9">
              <w:rPr>
                <w:szCs w:val="28"/>
                <w:lang w:val="uk-UA"/>
              </w:rPr>
              <w:t>Надання такої підтримки стосується непрямих витрат</w:t>
            </w:r>
            <w:r w:rsidRPr="00ED35A9">
              <w:rPr>
                <w:rStyle w:val="20"/>
                <w:lang w:val="uk-UA"/>
              </w:rPr>
              <w:t xml:space="preserve"> </w:t>
            </w:r>
            <w:r w:rsidRPr="00ED35A9">
              <w:rPr>
                <w:rStyle w:val="fontstyle01"/>
                <w:lang w:val="uk-UA"/>
              </w:rPr>
              <w:t xml:space="preserve">пацієнтів або їх опікунів щодо доступу до медичного обслуговування та, можливо, має на меті пом’якшення наслідків втрати доходу у зв’язку </w:t>
            </w:r>
            <w:r w:rsidR="00E41758" w:rsidRPr="00ED35A9">
              <w:rPr>
                <w:rStyle w:val="fontstyle01"/>
                <w:lang w:val="uk-UA"/>
              </w:rPr>
              <w:t>і</w:t>
            </w:r>
            <w:r w:rsidRPr="00ED35A9">
              <w:rPr>
                <w:rStyle w:val="fontstyle01"/>
                <w:lang w:val="uk-UA"/>
              </w:rPr>
              <w:t>з захворюванням</w:t>
            </w:r>
            <w:r w:rsidRPr="00ED35A9">
              <w:rPr>
                <w:szCs w:val="28"/>
                <w:lang w:val="uk-UA"/>
              </w:rPr>
              <w:t>.</w:t>
            </w:r>
          </w:p>
        </w:tc>
      </w:tr>
      <w:tr w:rsidR="00A75154" w:rsidRPr="00ED35A9"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Психологічна підтримка</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rStyle w:val="fontstyle01"/>
                <w:lang w:val="uk-UA"/>
              </w:rPr>
              <w:t>Проведення психологічних консультацій або груп взаємодопомоги</w:t>
            </w:r>
            <w:r w:rsidRPr="00ED35A9">
              <w:rPr>
                <w:szCs w:val="28"/>
                <w:lang w:val="uk-UA"/>
              </w:rPr>
              <w:t>.</w:t>
            </w:r>
          </w:p>
        </w:tc>
      </w:tr>
      <w:tr w:rsidR="00A75154" w:rsidRPr="00ED35A9"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Відстеження</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rStyle w:val="fontstyle01"/>
                <w:lang w:val="uk-UA"/>
              </w:rPr>
              <w:t>Спілкування з пацієнтом, зокрема за допомогою SMS-повідомлень, телефонних дзвінків (голосових повідомлень) або візитів до місця проживання пацієнта</w:t>
            </w:r>
            <w:r w:rsidRPr="00ED35A9">
              <w:rPr>
                <w:szCs w:val="28"/>
                <w:lang w:val="uk-UA"/>
              </w:rPr>
              <w:t>.</w:t>
            </w:r>
          </w:p>
        </w:tc>
      </w:tr>
      <w:tr w:rsidR="00A75154" w:rsidRPr="00850C2F" w:rsidTr="00694CFC">
        <w:tc>
          <w:tcPr>
            <w:tcW w:w="3828"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Цифровий монітор</w:t>
            </w:r>
            <w:r w:rsidR="00E41758" w:rsidRPr="00ED35A9">
              <w:rPr>
                <w:szCs w:val="28"/>
                <w:lang w:val="uk-UA"/>
              </w:rPr>
              <w:t>инг</w:t>
            </w:r>
            <w:r w:rsidRPr="00ED35A9">
              <w:rPr>
                <w:szCs w:val="28"/>
                <w:lang w:val="uk-UA"/>
              </w:rPr>
              <w:t xml:space="preserve"> прийому препаратів</w:t>
            </w:r>
          </w:p>
        </w:tc>
        <w:tc>
          <w:tcPr>
            <w:tcW w:w="5577" w:type="dxa"/>
            <w:tcMar>
              <w:left w:w="57" w:type="dxa"/>
              <w:right w:w="57" w:type="dxa"/>
            </w:tcMar>
          </w:tcPr>
          <w:p w:rsidR="00A75154" w:rsidRPr="00ED35A9" w:rsidRDefault="00A75154" w:rsidP="00DB1EC9">
            <w:pPr>
              <w:spacing w:line="233" w:lineRule="auto"/>
              <w:ind w:firstLine="0"/>
              <w:jc w:val="left"/>
              <w:rPr>
                <w:szCs w:val="28"/>
                <w:lang w:val="uk-UA"/>
              </w:rPr>
            </w:pPr>
            <w:r w:rsidRPr="00ED35A9">
              <w:rPr>
                <w:szCs w:val="28"/>
                <w:lang w:val="uk-UA"/>
              </w:rPr>
              <w:t xml:space="preserve">Цифровий прилад для контролю прийому препаратів вимірює час між відкриванням боксу з лікарськими засобами та може мати функцію голосового нагадування або надсилання </w:t>
            </w:r>
            <w:r w:rsidRPr="00ED35A9">
              <w:rPr>
                <w:rStyle w:val="fontstyle01"/>
                <w:lang w:val="uk-UA"/>
              </w:rPr>
              <w:t xml:space="preserve">SMS для нагадування пацієнту про необхідність прийняти </w:t>
            </w:r>
            <w:r w:rsidRPr="00ED35A9">
              <w:rPr>
                <w:szCs w:val="28"/>
                <w:lang w:val="uk-UA"/>
              </w:rPr>
              <w:t xml:space="preserve">препарати </w:t>
            </w:r>
            <w:r w:rsidR="00E41758" w:rsidRPr="00ED35A9">
              <w:rPr>
                <w:szCs w:val="28"/>
                <w:lang w:val="uk-UA"/>
              </w:rPr>
              <w:t>і</w:t>
            </w:r>
            <w:r w:rsidRPr="00ED35A9">
              <w:rPr>
                <w:rStyle w:val="fontstyle01"/>
                <w:lang w:val="uk-UA"/>
              </w:rPr>
              <w:t>з записом часу відкривання боксу</w:t>
            </w:r>
            <w:r w:rsidRPr="00ED35A9">
              <w:rPr>
                <w:szCs w:val="28"/>
                <w:lang w:val="uk-UA"/>
              </w:rPr>
              <w:t>.</w:t>
            </w:r>
          </w:p>
        </w:tc>
      </w:tr>
    </w:tbl>
    <w:p w:rsidR="00A75154" w:rsidRPr="00ED35A9" w:rsidRDefault="00A75154" w:rsidP="00A75154">
      <w:pPr>
        <w:spacing w:before="120"/>
        <w:rPr>
          <w:lang w:val="uk-UA"/>
        </w:rPr>
      </w:pPr>
      <w:r w:rsidRPr="00ED35A9">
        <w:rPr>
          <w:b/>
          <w:i/>
          <w:szCs w:val="28"/>
          <w:lang w:val="uk-UA"/>
        </w:rPr>
        <w:lastRenderedPageBreak/>
        <w:t xml:space="preserve">Відстеження та застосування цифрових технологій замість VOT. </w:t>
      </w:r>
      <w:r w:rsidRPr="00ED35A9">
        <w:rPr>
          <w:szCs w:val="28"/>
          <w:lang w:val="uk-UA"/>
        </w:rPr>
        <w:t xml:space="preserve">Під час проведення РКД та обсерваційних досліджень використовували різні методи відстеження </w:t>
      </w:r>
      <w:r w:rsidRPr="00ED35A9">
        <w:rPr>
          <w:i/>
          <w:szCs w:val="28"/>
          <w:lang w:val="uk-UA"/>
        </w:rPr>
        <w:t>(171, 172, 179–191)</w:t>
      </w:r>
      <w:r w:rsidRPr="00ED35A9">
        <w:rPr>
          <w:szCs w:val="28"/>
          <w:lang w:val="uk-UA"/>
        </w:rPr>
        <w:t xml:space="preserve">. Ці інтервенції могли включати SMS, телефонні дзвінки або автоматичні телефонні нагадування. Пацієнти, що пропустили прийом або не забрали лікарські засоби, отримували лист-нагадування або до місця їх проживання приходив медичний працівник. Для допомоги медичним працівникам у відстеженні пацієнтів також використовували цифровий прилад для прийому лікарських засобів або комп’ютерну систему в клініці. Цифрові прилади для контролю прийому препаратів можуть вимірювати час між відкриттям боксу з таблетками, мати функцію голосового нагадування, реєструвати відкриття боксу або надсилати </w:t>
      </w:r>
      <w:r w:rsidRPr="00ED35A9">
        <w:rPr>
          <w:rStyle w:val="fontstyle01"/>
          <w:lang w:val="uk-UA"/>
        </w:rPr>
        <w:t>SMS-повідомлення для нагадування пацієнту про необхідність прийняти ліки</w:t>
      </w:r>
      <w:r w:rsidRPr="00ED35A9">
        <w:rPr>
          <w:szCs w:val="28"/>
          <w:lang w:val="uk-UA"/>
        </w:rPr>
        <w:t xml:space="preserve">. </w:t>
      </w:r>
      <w:r w:rsidRPr="00ED35A9">
        <w:rPr>
          <w:lang w:val="uk-UA"/>
        </w:rPr>
        <w:t xml:space="preserve">При застосування методів відстеження, відвідування вдома або спілкування за допомогою мобільного телефону (SMS або телефонні дзвінки) відзначено вищі </w:t>
      </w:r>
      <w:r w:rsidRPr="00ED35A9">
        <w:rPr>
          <w:szCs w:val="28"/>
          <w:lang w:val="uk-UA"/>
        </w:rPr>
        <w:t xml:space="preserve">показники ефективності лікування, прихильності до лікування та конверсії мокротиння на 2-му місяці, а також нижчі показники смертності, втрати з-під нагляду та розвитку </w:t>
      </w:r>
      <w:r w:rsidR="00480CDB" w:rsidRPr="00ED35A9">
        <w:rPr>
          <w:rFonts w:cs="Times New Roman"/>
          <w:szCs w:val="28"/>
          <w:lang w:val="uk-UA"/>
        </w:rPr>
        <w:t xml:space="preserve">медикаментозної </w:t>
      </w:r>
      <w:r w:rsidRPr="00ED35A9">
        <w:rPr>
          <w:szCs w:val="28"/>
          <w:lang w:val="uk-UA"/>
        </w:rPr>
        <w:t xml:space="preserve">резистентності. </w:t>
      </w:r>
      <w:r w:rsidRPr="00ED35A9">
        <w:rPr>
          <w:lang w:val="uk-UA"/>
        </w:rPr>
        <w:t>При дослідженні ефективності заходів лише із застосуванням мобільного телефону (SMS або телефонні дзвінки)</w:t>
      </w:r>
      <w:r w:rsidRPr="00ED35A9">
        <w:rPr>
          <w:szCs w:val="28"/>
          <w:lang w:val="uk-UA"/>
        </w:rPr>
        <w:t xml:space="preserve"> було виявлено вищі показники ефективності лікування, одужання і конверсії мокротиння на 2-му місяці, а також нижчі показники невдачі лікування, </w:t>
      </w:r>
      <w:r w:rsidR="00E41758" w:rsidRPr="00ED35A9">
        <w:rPr>
          <w:szCs w:val="28"/>
          <w:lang w:val="uk-UA"/>
        </w:rPr>
        <w:t>в</w:t>
      </w:r>
      <w:r w:rsidR="00856E7D" w:rsidRPr="00ED35A9">
        <w:rPr>
          <w:szCs w:val="28"/>
          <w:lang w:val="uk-UA"/>
        </w:rPr>
        <w:t>трати</w:t>
      </w:r>
      <w:r w:rsidRPr="00ED35A9">
        <w:rPr>
          <w:szCs w:val="28"/>
          <w:lang w:val="uk-UA"/>
        </w:rPr>
        <w:t xml:space="preserve"> з-під нагляду, неналежної прихильності та несприятливих результатів. При застосуванні моніторингу прийому лікарських засобів відзначено вищі показники прихильності та більш сприятливі результати лікування, а при застосуванні комбінованих </w:t>
      </w:r>
      <w:proofErr w:type="spellStart"/>
      <w:r w:rsidRPr="00ED35A9">
        <w:rPr>
          <w:szCs w:val="28"/>
          <w:lang w:val="uk-UA"/>
        </w:rPr>
        <w:t>втручань</w:t>
      </w:r>
      <w:proofErr w:type="spellEnd"/>
      <w:r w:rsidRPr="00ED35A9">
        <w:rPr>
          <w:szCs w:val="28"/>
          <w:lang w:val="uk-UA"/>
        </w:rPr>
        <w:t xml:space="preserve"> з надсиланням SMS та використанням моніторингу прийому препаратів також відзначено вищий рівень прихильності, ніж за відсутності будь-яких </w:t>
      </w:r>
      <w:proofErr w:type="spellStart"/>
      <w:r w:rsidRPr="00ED35A9">
        <w:rPr>
          <w:szCs w:val="28"/>
          <w:lang w:val="uk-UA"/>
        </w:rPr>
        <w:t>втручань</w:t>
      </w:r>
      <w:proofErr w:type="spellEnd"/>
      <w:r w:rsidRPr="00ED35A9">
        <w:rPr>
          <w:szCs w:val="28"/>
          <w:lang w:val="uk-UA"/>
        </w:rPr>
        <w:t xml:space="preserve">. Проте слід зазначити, що для всіх медичних </w:t>
      </w:r>
      <w:proofErr w:type="spellStart"/>
      <w:r w:rsidRPr="00ED35A9">
        <w:rPr>
          <w:szCs w:val="28"/>
          <w:lang w:val="uk-UA"/>
        </w:rPr>
        <w:t>втручань</w:t>
      </w:r>
      <w:proofErr w:type="spellEnd"/>
      <w:r w:rsidRPr="00ED35A9">
        <w:rPr>
          <w:szCs w:val="28"/>
          <w:lang w:val="uk-UA"/>
        </w:rPr>
        <w:t xml:space="preserve"> із застосуванням цифрових технологій доступною була лише </w:t>
      </w:r>
      <w:r w:rsidRPr="00ED35A9">
        <w:rPr>
          <w:lang w:val="uk-UA"/>
        </w:rPr>
        <w:t xml:space="preserve">невелика кількість досліджень. Незважаючи на всі переваги </w:t>
      </w:r>
      <w:proofErr w:type="spellStart"/>
      <w:r w:rsidRPr="00ED35A9">
        <w:rPr>
          <w:lang w:val="uk-UA"/>
        </w:rPr>
        <w:t>втручань</w:t>
      </w:r>
      <w:proofErr w:type="spellEnd"/>
      <w:r w:rsidRPr="00ED35A9">
        <w:rPr>
          <w:lang w:val="uk-UA"/>
        </w:rPr>
        <w:t xml:space="preserve"> із застосуванням цифрових технологій та методів відстеження, включаючи VOT, все ж необхідно зберегти практику надання безпосередньої підтримки пацієнту із можливістю його взаємодії з медпрацівниками. Тому наведені втручання слід розглядати як засоби, що сприяють кращій комунікації з медпрацівником, але не замінюють інші втручання з формування прихильності до лікування. На практиці очікується, що SMS, телефонні дзвінки та VOT можуть замінити DOT на деякий період часу, але не на весь період лікування, сприяючи створенню пацієнт-орієнтованого підходу до лікування.</w:t>
      </w:r>
      <w:r w:rsidRPr="00ED35A9">
        <w:rPr>
          <w:rStyle w:val="fontstyle01"/>
          <w:lang w:val="uk-UA"/>
        </w:rPr>
        <w:t xml:space="preserve"> Втручання і</w:t>
      </w:r>
      <w:r w:rsidRPr="00ED35A9">
        <w:rPr>
          <w:szCs w:val="28"/>
          <w:lang w:val="uk-UA"/>
        </w:rPr>
        <w:t xml:space="preserve">з застосуванням мобільних телефонів, </w:t>
      </w:r>
      <w:proofErr w:type="spellStart"/>
      <w:r w:rsidRPr="00ED35A9">
        <w:rPr>
          <w:szCs w:val="28"/>
          <w:lang w:val="uk-UA"/>
        </w:rPr>
        <w:t>трекерів</w:t>
      </w:r>
      <w:proofErr w:type="spellEnd"/>
      <w:r w:rsidRPr="00ED35A9">
        <w:rPr>
          <w:szCs w:val="28"/>
          <w:lang w:val="uk-UA"/>
        </w:rPr>
        <w:t xml:space="preserve"> та VOT </w:t>
      </w:r>
      <w:r w:rsidRPr="00ED35A9">
        <w:rPr>
          <w:lang w:val="uk-UA"/>
        </w:rPr>
        <w:t>також сприятимуть розширенню доступу до медичних послуг внаслідок зменшення кількості візитів до клініки або відвідувань пацієнта вдома</w:t>
      </w:r>
      <w:r w:rsidRPr="00ED35A9">
        <w:rPr>
          <w:szCs w:val="28"/>
          <w:lang w:val="uk-UA"/>
        </w:rPr>
        <w:t xml:space="preserve">. </w:t>
      </w:r>
      <w:r w:rsidRPr="00ED35A9">
        <w:rPr>
          <w:lang w:val="uk-UA"/>
        </w:rPr>
        <w:t>Проте можливість пацієнтів брати участь у таких програмах залежить від їх проживання у районах з розвиненою телекомунікаційною інфраструктурою.</w:t>
      </w:r>
    </w:p>
    <w:p w:rsidR="00A75154" w:rsidRPr="00ED35A9" w:rsidRDefault="00A75154" w:rsidP="00A75154">
      <w:pPr>
        <w:rPr>
          <w:lang w:val="uk-UA"/>
        </w:rPr>
      </w:pPr>
      <w:r w:rsidRPr="00ED35A9">
        <w:rPr>
          <w:b/>
          <w:i/>
          <w:szCs w:val="28"/>
          <w:lang w:val="uk-UA"/>
        </w:rPr>
        <w:t>Матеріальна підтримка пацієнтів.</w:t>
      </w:r>
      <w:r w:rsidRPr="00ED35A9">
        <w:rPr>
          <w:szCs w:val="28"/>
          <w:lang w:val="uk-UA"/>
        </w:rPr>
        <w:t xml:space="preserve"> Вплив матеріальної підтримки було досліджено як у РКД </w:t>
      </w:r>
      <w:r w:rsidRPr="00ED35A9">
        <w:rPr>
          <w:i/>
          <w:szCs w:val="28"/>
          <w:lang w:val="uk-UA"/>
        </w:rPr>
        <w:t>(150–153)</w:t>
      </w:r>
      <w:r w:rsidRPr="00ED35A9">
        <w:rPr>
          <w:szCs w:val="28"/>
          <w:lang w:val="uk-UA"/>
        </w:rPr>
        <w:t xml:space="preserve">, так і в обсерваційних дослідженнях </w:t>
      </w:r>
      <w:r w:rsidRPr="00ED35A9">
        <w:rPr>
          <w:i/>
          <w:szCs w:val="28"/>
          <w:lang w:val="uk-UA"/>
        </w:rPr>
        <w:t>(159, 192–199)</w:t>
      </w:r>
      <w:r w:rsidRPr="00ED35A9">
        <w:rPr>
          <w:szCs w:val="28"/>
          <w:lang w:val="uk-UA"/>
        </w:rPr>
        <w:t xml:space="preserve">. Такі втручання включали надання харчування під час </w:t>
      </w:r>
      <w:r w:rsidRPr="00ED35A9">
        <w:rPr>
          <w:szCs w:val="28"/>
          <w:lang w:val="uk-UA"/>
        </w:rPr>
        <w:lastRenderedPageBreak/>
        <w:t xml:space="preserve">проведення DOT, забезпечення щомісячними продуктовими купонами, харчовими добавками та вітамінами. </w:t>
      </w:r>
      <w:r w:rsidRPr="00ED35A9">
        <w:rPr>
          <w:lang w:val="uk-UA"/>
        </w:rPr>
        <w:t xml:space="preserve">Продовольча підтримка пацієнтів та членів їх родин є важливим заохоченням для пацієнтів з ТБ, оскільки це знижує дуже великі для них витрати, пов’язані </w:t>
      </w:r>
      <w:r w:rsidR="00856E7D" w:rsidRPr="00ED35A9">
        <w:rPr>
          <w:lang w:val="uk-UA"/>
        </w:rPr>
        <w:t>і</w:t>
      </w:r>
      <w:r w:rsidRPr="00ED35A9">
        <w:rPr>
          <w:lang w:val="uk-UA"/>
        </w:rPr>
        <w:t xml:space="preserve">з захворюванням на ТБ. Надання продуктів харчування може бути не лише заохоченням, оскільки повноцінне харчування покращує результат лікування, підвищуючи імунітет. </w:t>
      </w:r>
      <w:r w:rsidRPr="00ED35A9">
        <w:rPr>
          <w:szCs w:val="28"/>
          <w:lang w:val="uk-UA"/>
        </w:rPr>
        <w:t xml:space="preserve">Іншими видами матеріальної підтримки можуть бути надання фінансової допомоги у вигляді фінансових заохочень, пільгового проїзду, грошової винагороди, житлових пільг або фінансових бонусів за досягнення цілей лікування. </w:t>
      </w:r>
      <w:r w:rsidRPr="00ED35A9">
        <w:rPr>
          <w:lang w:val="uk-UA"/>
        </w:rPr>
        <w:t>У пацієнтів, що отримували матеріальну підтримку, відзначено вищі показники ефективності лікування, завершення курсу лікування та кращі результати конверсії мокротиння, а також нижчі показники невдачі лікування та втрати з-під нагляду для подальшого спостереження, ніж у пацієнтів, що не отримували такої підтримки. Слід зазначити, що усі наведені дослідження проводили у країнах з низьким та середнім рівнем доходів, отже, вірогідно, такі заохочення за подібних умов мали значну цінність для пацієнтів. Проте надання матеріальної підтримки мало б значну цінність навіть для пацієнтів у країнах з високим рівнем доходів, особливо в яких не налагоджено систему соціального забезпечення, адже ТБ – це хвороба бідності.</w:t>
      </w:r>
      <w:r w:rsidRPr="00ED35A9">
        <w:rPr>
          <w:szCs w:val="28"/>
          <w:lang w:val="uk-UA"/>
        </w:rPr>
        <w:t xml:space="preserve"> </w:t>
      </w:r>
      <w:r w:rsidRPr="00ED35A9">
        <w:rPr>
          <w:lang w:val="uk-UA"/>
        </w:rPr>
        <w:t>Відповідно до результ</w:t>
      </w:r>
      <w:r w:rsidR="00856E7D" w:rsidRPr="00ED35A9">
        <w:rPr>
          <w:lang w:val="uk-UA"/>
        </w:rPr>
        <w:t>атів проаналізованих досліджень</w:t>
      </w:r>
      <w:r w:rsidRPr="00ED35A9">
        <w:rPr>
          <w:lang w:val="uk-UA"/>
        </w:rPr>
        <w:t xml:space="preserve"> виявлено, що матеріальну підтримку, зазвичай, надавали найбільш вразливим групам населення, що і сприяло більш справедливому та рівному доступу пацієнтів до медичних </w:t>
      </w:r>
      <w:r w:rsidRPr="00ED35A9">
        <w:rPr>
          <w:szCs w:val="28"/>
          <w:lang w:val="uk-UA"/>
        </w:rPr>
        <w:t xml:space="preserve">послуг. </w:t>
      </w:r>
      <w:r w:rsidRPr="00ED35A9">
        <w:rPr>
          <w:lang w:val="uk-UA"/>
        </w:rPr>
        <w:t xml:space="preserve">Проте, якщо такі заохочення застосовують несправедливо, проблема нерівного доступу до послуг охорони здоров’я може навпаки погіршитися. Розподіл матеріальної підтримки, певно, залежить від національного контексту та може мати різний вплив </w:t>
      </w:r>
      <w:r w:rsidR="00856E7D" w:rsidRPr="00ED35A9">
        <w:rPr>
          <w:lang w:val="uk-UA"/>
        </w:rPr>
        <w:t xml:space="preserve">в межах країни </w:t>
      </w:r>
      <w:r w:rsidRPr="00ED35A9">
        <w:rPr>
          <w:lang w:val="uk-UA"/>
        </w:rPr>
        <w:t>та між країнами.</w:t>
      </w:r>
    </w:p>
    <w:p w:rsidR="00A75154" w:rsidRPr="00ED35A9" w:rsidRDefault="00A75154" w:rsidP="00A75154">
      <w:pPr>
        <w:rPr>
          <w:szCs w:val="28"/>
          <w:lang w:val="uk-UA"/>
        </w:rPr>
      </w:pPr>
      <w:r w:rsidRPr="00ED35A9">
        <w:rPr>
          <w:b/>
          <w:i/>
          <w:szCs w:val="28"/>
          <w:lang w:val="uk-UA"/>
        </w:rPr>
        <w:t>Просвітницька робота або консультування пацієнта.</w:t>
      </w:r>
      <w:r w:rsidRPr="00ED35A9">
        <w:rPr>
          <w:szCs w:val="28"/>
          <w:lang w:val="uk-UA"/>
        </w:rPr>
        <w:t xml:space="preserve"> За даними огляду результатів РКД </w:t>
      </w:r>
      <w:r w:rsidRPr="00ED35A9">
        <w:rPr>
          <w:i/>
          <w:szCs w:val="28"/>
          <w:lang w:val="uk-UA"/>
        </w:rPr>
        <w:t>(145–148)</w:t>
      </w:r>
      <w:r w:rsidRPr="00ED35A9">
        <w:rPr>
          <w:szCs w:val="28"/>
          <w:lang w:val="uk-UA"/>
        </w:rPr>
        <w:t xml:space="preserve"> та обсерваційного дослідження </w:t>
      </w:r>
      <w:r w:rsidRPr="00ED35A9">
        <w:rPr>
          <w:i/>
          <w:szCs w:val="28"/>
          <w:lang w:val="uk-UA"/>
        </w:rPr>
        <w:t>(156</w:t>
      </w:r>
      <w:r w:rsidRPr="00ED35A9">
        <w:rPr>
          <w:szCs w:val="28"/>
          <w:lang w:val="uk-UA"/>
        </w:rPr>
        <w:t>)</w:t>
      </w:r>
      <w:r w:rsidRPr="00ED35A9">
        <w:rPr>
          <w:lang w:val="uk-UA"/>
        </w:rPr>
        <w:t xml:space="preserve"> було проведено аналіз переваг просвітницької роботи з пацієнтами. У пацієнтів, яких належним чином інформували або яким </w:t>
      </w:r>
      <w:r w:rsidRPr="00ED35A9">
        <w:rPr>
          <w:szCs w:val="28"/>
          <w:lang w:val="uk-UA"/>
        </w:rPr>
        <w:t xml:space="preserve">надавали консультації, було відзначено вищі показники щодо ефективності лікування, завершення курсу лікування, одужання та формування прихильності до лікування, а також нижчі показники їх втрати з-під нагляду для подальшого спостереження. </w:t>
      </w:r>
      <w:r w:rsidRPr="00ED35A9">
        <w:rPr>
          <w:lang w:val="uk-UA"/>
        </w:rPr>
        <w:t>Слід зазначити, що у даному контексті «консультування» відноситься до просвітництва, а не до психологічної допомоги</w:t>
      </w:r>
      <w:r w:rsidRPr="00ED35A9">
        <w:rPr>
          <w:szCs w:val="28"/>
          <w:lang w:val="uk-UA"/>
        </w:rPr>
        <w:t xml:space="preserve">. Санітарно-просвітницька робота з пацієнтами може включати проведення усного чи письмового інструктажу медпрацівником або фармацевтом. Такий інструктаж може проводитися одноразово по завершенню інтенсивної фази лікування або під час кожного прийому протягом подальшого спостереження. До інструктажу може бути залученим медпрацівник або представник з соціального оточення та члени родини пацієнта. Необхідно впевнитися, що просвітницьку роботу та консультування проводять відповідно до місцевих культурних норм. Крім того, може знадобитися докладання особливих зусиль при просвітництві пацієнтів з </w:t>
      </w:r>
      <w:proofErr w:type="spellStart"/>
      <w:r w:rsidRPr="00ED35A9">
        <w:rPr>
          <w:szCs w:val="28"/>
          <w:lang w:val="uk-UA"/>
        </w:rPr>
        <w:t>маргіналізованих</w:t>
      </w:r>
      <w:proofErr w:type="spellEnd"/>
      <w:r w:rsidRPr="00ED35A9">
        <w:rPr>
          <w:szCs w:val="28"/>
          <w:lang w:val="uk-UA"/>
        </w:rPr>
        <w:t xml:space="preserve"> груп населення.</w:t>
      </w:r>
    </w:p>
    <w:p w:rsidR="00A75154" w:rsidRPr="00ED35A9" w:rsidRDefault="00A75154" w:rsidP="00A75154">
      <w:pPr>
        <w:rPr>
          <w:szCs w:val="28"/>
          <w:lang w:val="uk-UA"/>
        </w:rPr>
      </w:pPr>
      <w:r w:rsidRPr="00ED35A9">
        <w:rPr>
          <w:b/>
          <w:i/>
          <w:szCs w:val="28"/>
          <w:lang w:val="uk-UA"/>
        </w:rPr>
        <w:lastRenderedPageBreak/>
        <w:t>Навчання персоналу.</w:t>
      </w:r>
      <w:r w:rsidRPr="00ED35A9">
        <w:rPr>
          <w:szCs w:val="28"/>
          <w:lang w:val="uk-UA"/>
        </w:rPr>
        <w:t xml:space="preserve"> Навчання персоналу може включати тренінги за принципом «рівний–рівному», </w:t>
      </w:r>
      <w:r w:rsidRPr="00ED35A9">
        <w:rPr>
          <w:rStyle w:val="fontstyle01"/>
          <w:lang w:val="uk-UA"/>
        </w:rPr>
        <w:t xml:space="preserve">надання візуальних засобів, що допоможуть розпочати розмову з пацієнтом, інші засоби, що </w:t>
      </w:r>
      <w:r w:rsidR="0096309D" w:rsidRPr="00ED35A9">
        <w:rPr>
          <w:rStyle w:val="fontstyle01"/>
          <w:lang w:val="uk-UA"/>
        </w:rPr>
        <w:t xml:space="preserve">стануть у нагоді під час </w:t>
      </w:r>
      <w:r w:rsidRPr="00ED35A9">
        <w:rPr>
          <w:rStyle w:val="fontstyle01"/>
          <w:lang w:val="uk-UA"/>
        </w:rPr>
        <w:t>прийнятт</w:t>
      </w:r>
      <w:r w:rsidR="0096309D" w:rsidRPr="00ED35A9">
        <w:rPr>
          <w:rStyle w:val="fontstyle01"/>
          <w:lang w:val="uk-UA"/>
        </w:rPr>
        <w:t xml:space="preserve">я </w:t>
      </w:r>
      <w:r w:rsidRPr="00ED35A9">
        <w:rPr>
          <w:rStyle w:val="fontstyle01"/>
          <w:lang w:val="uk-UA"/>
        </w:rPr>
        <w:t xml:space="preserve">рішень, такі як пам’ятки, а також навчання персоналу лабораторій. </w:t>
      </w:r>
      <w:r w:rsidRPr="00ED35A9">
        <w:rPr>
          <w:szCs w:val="28"/>
          <w:lang w:val="uk-UA"/>
        </w:rPr>
        <w:t xml:space="preserve">Ці втручання було розглянуто як у РКД, так і в обсерваційних дослідженнях </w:t>
      </w:r>
      <w:r w:rsidRPr="00ED35A9">
        <w:rPr>
          <w:i/>
          <w:szCs w:val="28"/>
          <w:lang w:val="uk-UA"/>
        </w:rPr>
        <w:t>(149, 150, 199, 200)</w:t>
      </w:r>
      <w:r w:rsidRPr="00ED35A9">
        <w:rPr>
          <w:szCs w:val="28"/>
          <w:lang w:val="uk-UA"/>
        </w:rPr>
        <w:t xml:space="preserve">. </w:t>
      </w:r>
      <w:r w:rsidRPr="00ED35A9">
        <w:rPr>
          <w:rStyle w:val="fontstyle01"/>
          <w:lang w:val="uk-UA"/>
        </w:rPr>
        <w:t xml:space="preserve">При навчанні персоналу відзначено вищі показники ефективності лікування та дещо нижчі показники смертності і втрати з-під нагляду. При навчанні персоналу результати лікування пацієнтів, вірогідно, </w:t>
      </w:r>
      <w:proofErr w:type="spellStart"/>
      <w:r w:rsidRPr="00ED35A9">
        <w:rPr>
          <w:rStyle w:val="fontstyle01"/>
          <w:lang w:val="uk-UA"/>
        </w:rPr>
        <w:t>покращаться</w:t>
      </w:r>
      <w:proofErr w:type="spellEnd"/>
      <w:r w:rsidRPr="00ED35A9">
        <w:rPr>
          <w:rStyle w:val="fontstyle01"/>
          <w:lang w:val="uk-UA"/>
        </w:rPr>
        <w:t>, а будь-які можливі прояви стигматизації з боку медпрацівників щодо пацієнта знизяться, оскільки персонал краще розумітиме природу захворювання та лікування ТБ.</w:t>
      </w:r>
    </w:p>
    <w:p w:rsidR="00A75154" w:rsidRPr="00ED35A9" w:rsidRDefault="00A75154" w:rsidP="00A75154">
      <w:pPr>
        <w:rPr>
          <w:szCs w:val="28"/>
          <w:lang w:val="uk-UA"/>
        </w:rPr>
      </w:pPr>
      <w:r w:rsidRPr="00ED35A9">
        <w:rPr>
          <w:b/>
          <w:i/>
          <w:szCs w:val="28"/>
          <w:lang w:val="uk-UA"/>
        </w:rPr>
        <w:t>Психологічна підтримка.</w:t>
      </w:r>
      <w:r w:rsidRPr="00ED35A9">
        <w:rPr>
          <w:szCs w:val="28"/>
          <w:lang w:val="uk-UA"/>
        </w:rPr>
        <w:t xml:space="preserve"> </w:t>
      </w:r>
      <w:r w:rsidRPr="00ED35A9">
        <w:rPr>
          <w:rStyle w:val="fontstyle01"/>
          <w:lang w:val="uk-UA"/>
        </w:rPr>
        <w:t xml:space="preserve">Психологічна підтримка може бути різною та включати групи взаємодопомоги, надання допомоги у припиненні вживання алкоголю та клуби для пацієнтів з ТБ </w:t>
      </w:r>
      <w:r w:rsidRPr="00ED35A9">
        <w:rPr>
          <w:i/>
          <w:szCs w:val="28"/>
          <w:lang w:val="uk-UA"/>
        </w:rPr>
        <w:t>(137, 155, 201)</w:t>
      </w:r>
      <w:r w:rsidRPr="00ED35A9">
        <w:rPr>
          <w:szCs w:val="28"/>
          <w:lang w:val="uk-UA"/>
        </w:rPr>
        <w:t xml:space="preserve">. </w:t>
      </w:r>
      <w:r w:rsidRPr="00ED35A9">
        <w:rPr>
          <w:rStyle w:val="fontstyle01"/>
          <w:lang w:val="uk-UA"/>
        </w:rPr>
        <w:t xml:space="preserve">У пацієнтів, що отримували психологічну підтримку, відзначено вищі показники щодо завершення курсу лікування та одужання, а також нижчі показники щодо невдачі лікування та втрати з-під нагляду. </w:t>
      </w:r>
      <w:r w:rsidRPr="00ED35A9">
        <w:rPr>
          <w:szCs w:val="28"/>
          <w:lang w:val="uk-UA"/>
        </w:rPr>
        <w:t xml:space="preserve">Проте у ГРН </w:t>
      </w:r>
      <w:proofErr w:type="spellStart"/>
      <w:r w:rsidRPr="00ED35A9">
        <w:rPr>
          <w:szCs w:val="28"/>
          <w:lang w:val="uk-UA"/>
        </w:rPr>
        <w:t>виникло</w:t>
      </w:r>
      <w:proofErr w:type="spellEnd"/>
      <w:r w:rsidRPr="00ED35A9">
        <w:rPr>
          <w:szCs w:val="28"/>
          <w:lang w:val="uk-UA"/>
        </w:rPr>
        <w:t xml:space="preserve"> занепокоєння </w:t>
      </w:r>
      <w:r w:rsidR="0096309D" w:rsidRPr="00ED35A9">
        <w:rPr>
          <w:szCs w:val="28"/>
          <w:lang w:val="uk-UA"/>
        </w:rPr>
        <w:t>стосовно</w:t>
      </w:r>
      <w:r w:rsidRPr="00ED35A9">
        <w:rPr>
          <w:szCs w:val="28"/>
          <w:lang w:val="uk-UA"/>
        </w:rPr>
        <w:t xml:space="preserve"> чинників, які могли спровокувати конфлікт у цих дослідженнях через ступінь тяжкості захворювання в групах, що отримували підтримку. Крім того, розподіл пацієнтів за групами підтримки не завжди був </w:t>
      </w:r>
      <w:proofErr w:type="spellStart"/>
      <w:r w:rsidRPr="00ED35A9">
        <w:rPr>
          <w:szCs w:val="28"/>
          <w:lang w:val="uk-UA"/>
        </w:rPr>
        <w:t>рандомізованим</w:t>
      </w:r>
      <w:proofErr w:type="spellEnd"/>
      <w:r w:rsidRPr="00ED35A9">
        <w:rPr>
          <w:szCs w:val="28"/>
          <w:lang w:val="uk-UA"/>
        </w:rPr>
        <w:t xml:space="preserve">. Враховуючи ці дані, необхідно також відзначити, що типи надання психологічної підтримки бувають дуже різними </w:t>
      </w:r>
      <w:r w:rsidRPr="00ED35A9">
        <w:rPr>
          <w:rStyle w:val="fontstyle01"/>
          <w:lang w:val="uk-UA"/>
        </w:rPr>
        <w:t>та не можуть відповідним чином бути відображеними у даному огляді</w:t>
      </w:r>
      <w:r w:rsidRPr="00ED35A9">
        <w:rPr>
          <w:szCs w:val="28"/>
          <w:lang w:val="uk-UA"/>
        </w:rPr>
        <w:t xml:space="preserve">. </w:t>
      </w:r>
      <w:r w:rsidRPr="00ED35A9">
        <w:rPr>
          <w:rStyle w:val="fontstyle01"/>
          <w:lang w:val="uk-UA"/>
        </w:rPr>
        <w:t xml:space="preserve">Щоб підвищити рівень доступу до послуг охорони здоров’я, психологічну підтримку насамперед слід надавати найбільш вразливим людям з </w:t>
      </w:r>
      <w:proofErr w:type="spellStart"/>
      <w:r w:rsidRPr="00ED35A9">
        <w:rPr>
          <w:rStyle w:val="fontstyle01"/>
          <w:lang w:val="uk-UA"/>
        </w:rPr>
        <w:t>маргіналізованих</w:t>
      </w:r>
      <w:proofErr w:type="spellEnd"/>
      <w:r w:rsidRPr="00ED35A9">
        <w:rPr>
          <w:rStyle w:val="fontstyle01"/>
          <w:lang w:val="uk-UA"/>
        </w:rPr>
        <w:t xml:space="preserve"> груп населення.</w:t>
      </w:r>
    </w:p>
    <w:p w:rsidR="00A75154" w:rsidRPr="00ED35A9" w:rsidRDefault="00A75154" w:rsidP="00A75154">
      <w:pPr>
        <w:rPr>
          <w:szCs w:val="28"/>
          <w:lang w:val="uk-UA"/>
        </w:rPr>
      </w:pPr>
      <w:r w:rsidRPr="00ED35A9">
        <w:rPr>
          <w:b/>
          <w:i/>
          <w:szCs w:val="28"/>
          <w:lang w:val="uk-UA"/>
        </w:rPr>
        <w:t>Амбулаторне лікування.</w:t>
      </w:r>
      <w:r w:rsidRPr="00ED35A9">
        <w:rPr>
          <w:szCs w:val="28"/>
          <w:lang w:val="uk-UA"/>
        </w:rPr>
        <w:t xml:space="preserve"> Результати моделей догляду за МРТБ, що переважно базувалися на досвіді амбулаторного лікування, було порівняно із лікуванням в умовах стаціонару. Дані для порівняння було отримано з дослідження щодо економічної ефективності, проведеного у чотирьох країнах</w:t>
      </w:r>
      <w:r w:rsidR="0096309D" w:rsidRPr="00ED35A9">
        <w:rPr>
          <w:szCs w:val="28"/>
          <w:lang w:val="uk-UA"/>
        </w:rPr>
        <w:t xml:space="preserve">: </w:t>
      </w:r>
      <w:r w:rsidRPr="00ED35A9">
        <w:rPr>
          <w:szCs w:val="28"/>
          <w:lang w:val="uk-UA"/>
        </w:rPr>
        <w:t>Естоні</w:t>
      </w:r>
      <w:r w:rsidR="0096309D" w:rsidRPr="00ED35A9">
        <w:rPr>
          <w:szCs w:val="28"/>
          <w:lang w:val="uk-UA"/>
        </w:rPr>
        <w:t xml:space="preserve">ї </w:t>
      </w:r>
      <w:r w:rsidRPr="00ED35A9">
        <w:rPr>
          <w:szCs w:val="28"/>
          <w:lang w:val="uk-UA"/>
        </w:rPr>
        <w:t>та Російськ</w:t>
      </w:r>
      <w:r w:rsidR="0096309D" w:rsidRPr="00ED35A9">
        <w:rPr>
          <w:szCs w:val="28"/>
          <w:lang w:val="uk-UA"/>
        </w:rPr>
        <w:t xml:space="preserve">ій </w:t>
      </w:r>
      <w:r w:rsidRPr="00ED35A9">
        <w:rPr>
          <w:szCs w:val="28"/>
          <w:lang w:val="uk-UA"/>
        </w:rPr>
        <w:t>Федераці</w:t>
      </w:r>
      <w:r w:rsidR="0096309D" w:rsidRPr="00ED35A9">
        <w:rPr>
          <w:szCs w:val="28"/>
          <w:lang w:val="uk-UA"/>
        </w:rPr>
        <w:t xml:space="preserve">ї </w:t>
      </w:r>
      <w:r w:rsidRPr="00ED35A9">
        <w:rPr>
          <w:szCs w:val="28"/>
          <w:lang w:val="uk-UA"/>
        </w:rPr>
        <w:t xml:space="preserve">(Томська область) </w:t>
      </w:r>
      <w:r w:rsidRPr="00ED35A9">
        <w:rPr>
          <w:i/>
          <w:szCs w:val="28"/>
          <w:lang w:val="uk-UA"/>
        </w:rPr>
        <w:t>(202)</w:t>
      </w:r>
      <w:r w:rsidRPr="00ED35A9">
        <w:rPr>
          <w:szCs w:val="28"/>
          <w:lang w:val="uk-UA"/>
        </w:rPr>
        <w:t xml:space="preserve">, Перу </w:t>
      </w:r>
      <w:r w:rsidRPr="00ED35A9">
        <w:rPr>
          <w:i/>
          <w:szCs w:val="28"/>
          <w:lang w:val="uk-UA"/>
        </w:rPr>
        <w:t>(203)</w:t>
      </w:r>
      <w:r w:rsidRPr="00ED35A9">
        <w:rPr>
          <w:szCs w:val="28"/>
          <w:lang w:val="uk-UA"/>
        </w:rPr>
        <w:t xml:space="preserve"> та Філіппін</w:t>
      </w:r>
      <w:r w:rsidR="0096309D" w:rsidRPr="00ED35A9">
        <w:rPr>
          <w:szCs w:val="28"/>
          <w:lang w:val="uk-UA"/>
        </w:rPr>
        <w:t xml:space="preserve">ах </w:t>
      </w:r>
      <w:r w:rsidRPr="00ED35A9">
        <w:rPr>
          <w:i/>
          <w:szCs w:val="28"/>
          <w:lang w:val="uk-UA"/>
        </w:rPr>
        <w:t>(204)</w:t>
      </w:r>
      <w:r w:rsidRPr="00ED35A9">
        <w:rPr>
          <w:szCs w:val="28"/>
          <w:lang w:val="uk-UA"/>
        </w:rPr>
        <w:t xml:space="preserve">. Дизайн цих обсерваційних досліджень не дозволив </w:t>
      </w:r>
      <w:r w:rsidR="0096309D" w:rsidRPr="00ED35A9">
        <w:rPr>
          <w:szCs w:val="28"/>
          <w:lang w:val="uk-UA"/>
        </w:rPr>
        <w:t>на</w:t>
      </w:r>
      <w:r w:rsidRPr="00ED35A9">
        <w:rPr>
          <w:szCs w:val="28"/>
          <w:lang w:val="uk-UA"/>
        </w:rPr>
        <w:t>прям</w:t>
      </w:r>
      <w:r w:rsidR="0096309D" w:rsidRPr="00ED35A9">
        <w:rPr>
          <w:szCs w:val="28"/>
          <w:lang w:val="uk-UA"/>
        </w:rPr>
        <w:t xml:space="preserve">у </w:t>
      </w:r>
      <w:r w:rsidRPr="00ED35A9">
        <w:rPr>
          <w:szCs w:val="28"/>
          <w:lang w:val="uk-UA"/>
        </w:rPr>
        <w:t xml:space="preserve">порівняти результати між моделями надання допомоги. Враховуючи, що жодне з цих досліджень не було РКД, якість доказових даних визначено як дуже низьку. На основі аналізу даних з цих чотирьох країн було визначено моделі економічної ефективності для всіх можливих країн-членів ВООЗ </w:t>
      </w:r>
      <w:r w:rsidRPr="00ED35A9">
        <w:rPr>
          <w:i/>
          <w:szCs w:val="28"/>
          <w:lang w:val="uk-UA"/>
        </w:rPr>
        <w:t>(205)</w:t>
      </w:r>
      <w:r w:rsidRPr="00ED35A9">
        <w:rPr>
          <w:szCs w:val="28"/>
          <w:lang w:val="uk-UA"/>
        </w:rPr>
        <w:t>.</w:t>
      </w:r>
    </w:p>
    <w:p w:rsidR="00A75154" w:rsidRPr="00ED35A9" w:rsidRDefault="00A75154" w:rsidP="00A75154">
      <w:pPr>
        <w:rPr>
          <w:szCs w:val="28"/>
          <w:lang w:val="uk-UA"/>
        </w:rPr>
      </w:pPr>
      <w:r w:rsidRPr="00ED35A9">
        <w:rPr>
          <w:szCs w:val="28"/>
          <w:lang w:val="uk-UA"/>
        </w:rPr>
        <w:t>Особлив</w:t>
      </w:r>
      <w:r w:rsidR="0096309D" w:rsidRPr="00ED35A9">
        <w:rPr>
          <w:szCs w:val="28"/>
          <w:lang w:val="uk-UA"/>
        </w:rPr>
        <w:t xml:space="preserve">у </w:t>
      </w:r>
      <w:r w:rsidRPr="00ED35A9">
        <w:rPr>
          <w:szCs w:val="28"/>
          <w:lang w:val="uk-UA"/>
        </w:rPr>
        <w:t>уваг</w:t>
      </w:r>
      <w:r w:rsidR="0096309D" w:rsidRPr="00ED35A9">
        <w:rPr>
          <w:szCs w:val="28"/>
          <w:lang w:val="uk-UA"/>
        </w:rPr>
        <w:t xml:space="preserve">у </w:t>
      </w:r>
      <w:r w:rsidRPr="00ED35A9">
        <w:rPr>
          <w:szCs w:val="28"/>
          <w:lang w:val="uk-UA"/>
        </w:rPr>
        <w:t>було приділено збереженню ресурсів, а також попередженню смертності та передачі МРТБ внаслідок затримки, пов’язаної з діагностикою та стаціонарним лікуванням. Необхідною є наявність резервних закладів для ведення пацієнтів, що потребують стаціонарного лікування. Це може знадобитись для лікування певних груп пацієнтів з особливим ризиком, зокрема дітей під час інтенсивної фази, які потребують постійного нагляду протягом певного періоду лікування.</w:t>
      </w:r>
    </w:p>
    <w:p w:rsidR="00A75154" w:rsidRPr="00ED35A9" w:rsidRDefault="00A75154" w:rsidP="00A75154">
      <w:pPr>
        <w:rPr>
          <w:szCs w:val="28"/>
          <w:lang w:val="uk-UA"/>
        </w:rPr>
      </w:pPr>
      <w:r w:rsidRPr="00ED35A9">
        <w:rPr>
          <w:b/>
          <w:i/>
          <w:szCs w:val="28"/>
          <w:lang w:val="uk-UA"/>
        </w:rPr>
        <w:lastRenderedPageBreak/>
        <w:t>Децентралізований догляд.</w:t>
      </w:r>
      <w:r w:rsidRPr="00ED35A9">
        <w:rPr>
          <w:szCs w:val="28"/>
          <w:lang w:val="uk-UA"/>
        </w:rPr>
        <w:t xml:space="preserve"> З розширенням впровадження </w:t>
      </w:r>
      <w:proofErr w:type="spellStart"/>
      <w:r w:rsidRPr="00ED35A9">
        <w:rPr>
          <w:szCs w:val="28"/>
          <w:lang w:val="uk-UA"/>
        </w:rPr>
        <w:t>Xpert</w:t>
      </w:r>
      <w:proofErr w:type="spellEnd"/>
      <w:r w:rsidRPr="00ED35A9">
        <w:rPr>
          <w:szCs w:val="28"/>
          <w:lang w:val="uk-UA"/>
        </w:rPr>
        <w:t xml:space="preserve"> MTB/RIF все більше пацієнтів проходять діагностику та отримують лікування МРТБ. Надання послуг з лікування та догляду у децентралізованих медичних закладах є практичним підходом до розширення масштабів надання допомоги пацієнтам, що потребують лікування МРТБ. Було проведено систематичний огляд для порівняння децентралізованого і централізованого підходів до лікування та догляду у пацієнтів з </w:t>
      </w:r>
      <w:proofErr w:type="spellStart"/>
      <w:r w:rsidRPr="00ED35A9">
        <w:rPr>
          <w:szCs w:val="28"/>
          <w:lang w:val="uk-UA"/>
        </w:rPr>
        <w:t>бактеріологічно</w:t>
      </w:r>
      <w:proofErr w:type="spellEnd"/>
      <w:r w:rsidRPr="00ED35A9">
        <w:rPr>
          <w:szCs w:val="28"/>
          <w:lang w:val="uk-UA"/>
        </w:rPr>
        <w:t xml:space="preserve"> підтвердженим або клінічно </w:t>
      </w:r>
      <w:proofErr w:type="spellStart"/>
      <w:r w:rsidRPr="00ED35A9">
        <w:rPr>
          <w:szCs w:val="28"/>
          <w:lang w:val="uk-UA"/>
        </w:rPr>
        <w:t>діагностованим</w:t>
      </w:r>
      <w:proofErr w:type="spellEnd"/>
      <w:r w:rsidRPr="00ED35A9">
        <w:rPr>
          <w:szCs w:val="28"/>
          <w:lang w:val="uk-UA"/>
        </w:rPr>
        <w:t xml:space="preserve"> МРТБ та виявлення доказових даних щодо можливого ризику зниження якості лікування та догляду при застосуванні децентралізованого підходу. Було проаналізовано дані обох РКД та обсерваційних досліджень, які здебільшого було проведено у країнах з низьким та середнім рівнем доходів </w:t>
      </w:r>
      <w:r w:rsidRPr="00ED35A9">
        <w:rPr>
          <w:i/>
          <w:szCs w:val="28"/>
          <w:lang w:val="uk-UA"/>
        </w:rPr>
        <w:t>(201, 206–213)</w:t>
      </w:r>
      <w:r w:rsidRPr="00ED35A9">
        <w:rPr>
          <w:szCs w:val="28"/>
          <w:lang w:val="uk-UA"/>
        </w:rPr>
        <w:t xml:space="preserve">. За даними проведеного огляду, підтверджено рекомендації попередньої настанови </w:t>
      </w:r>
      <w:r w:rsidRPr="00ED35A9">
        <w:rPr>
          <w:i/>
          <w:szCs w:val="28"/>
          <w:lang w:val="uk-UA"/>
        </w:rPr>
        <w:t>(2)</w:t>
      </w:r>
      <w:r w:rsidRPr="00ED35A9">
        <w:rPr>
          <w:szCs w:val="28"/>
          <w:lang w:val="uk-UA"/>
        </w:rPr>
        <w:t xml:space="preserve"> щодо переваг амбулаторного лікування над лікуванням у стаціонарі для пацієнтів з МРТБ, але доказові дані стосувалися лише порівняння лікування пацієнтів у лікарнях та за їх межами. В огляді децентралізований догляд було визначено як послуги, що надають у місцевій громаді, де проживає пацієнт, у неспеціалізованих або периферійних медичних закладах із залученням громадських медико-санітарних працівників або </w:t>
      </w:r>
      <w:proofErr w:type="spellStart"/>
      <w:r w:rsidRPr="00ED35A9">
        <w:rPr>
          <w:szCs w:val="28"/>
          <w:lang w:val="uk-UA"/>
        </w:rPr>
        <w:t>медсестер</w:t>
      </w:r>
      <w:proofErr w:type="spellEnd"/>
      <w:r w:rsidRPr="00ED35A9">
        <w:rPr>
          <w:szCs w:val="28"/>
          <w:lang w:val="uk-UA"/>
        </w:rPr>
        <w:t>, неспеціалізованих</w:t>
      </w:r>
      <w:r w:rsidR="0096309D" w:rsidRPr="00ED35A9">
        <w:rPr>
          <w:szCs w:val="28"/>
          <w:lang w:val="uk-UA"/>
        </w:rPr>
        <w:t xml:space="preserve"> лікарів, волонтерів або осіб з </w:t>
      </w:r>
      <w:r w:rsidRPr="00ED35A9">
        <w:rPr>
          <w:szCs w:val="28"/>
          <w:lang w:val="uk-UA"/>
        </w:rPr>
        <w:t>громади, що надають підтримку у лікуванні.</w:t>
      </w:r>
    </w:p>
    <w:p w:rsidR="00A75154" w:rsidRPr="00ED35A9" w:rsidRDefault="00A75154" w:rsidP="00A75154">
      <w:pPr>
        <w:rPr>
          <w:szCs w:val="28"/>
          <w:lang w:val="uk-UA"/>
        </w:rPr>
      </w:pPr>
      <w:r w:rsidRPr="00ED35A9">
        <w:rPr>
          <w:szCs w:val="28"/>
          <w:lang w:val="uk-UA"/>
        </w:rPr>
        <w:t xml:space="preserve">Послуги з догляду можуть надаватися у місцевому закладі, вдома або на робочому місці пацієнта. Крім ін’єкцій під час інтенсивної фази, до послуг з лікування та догляду входить DOT та надання підтримки пацієнту. У цій групі коротку фазу госпіталізації, тривалість якої становила менше 1 міс, застосовували при необхідності призначення </w:t>
      </w:r>
      <w:r w:rsidR="001605F7" w:rsidRPr="00ED35A9">
        <w:rPr>
          <w:szCs w:val="28"/>
          <w:lang w:val="uk-UA"/>
        </w:rPr>
        <w:t xml:space="preserve">інтенсивної </w:t>
      </w:r>
      <w:r w:rsidRPr="00ED35A9">
        <w:rPr>
          <w:szCs w:val="28"/>
          <w:lang w:val="uk-UA"/>
        </w:rPr>
        <w:t>фази лікування або у разі виникнення ускладнень лікування. Централізований догляд було визначено як лікування у стаціонарі, коли</w:t>
      </w:r>
      <w:r w:rsidR="0096309D" w:rsidRPr="00ED35A9">
        <w:rPr>
          <w:szCs w:val="28"/>
          <w:lang w:val="uk-UA"/>
        </w:rPr>
        <w:t xml:space="preserve"> догляд надавався лише у </w:t>
      </w:r>
      <w:r w:rsidRPr="00ED35A9">
        <w:rPr>
          <w:szCs w:val="28"/>
          <w:lang w:val="uk-UA"/>
        </w:rPr>
        <w:t xml:space="preserve">спеціалізованих закладах або спеціалістами з лікування ЛС-ТБ протягом усієї тривалості інтенсивної фази лікування або до моменту визначення конверсії мокротиння. Після цього пацієнти могли отримувати децентралізований догляд. Централізований догляд зазвичай проводили спеціалізовані лікарі або </w:t>
      </w:r>
      <w:proofErr w:type="spellStart"/>
      <w:r w:rsidRPr="00ED35A9">
        <w:rPr>
          <w:szCs w:val="28"/>
          <w:lang w:val="uk-UA"/>
        </w:rPr>
        <w:t>медсестри</w:t>
      </w:r>
      <w:proofErr w:type="spellEnd"/>
      <w:r w:rsidRPr="00ED35A9">
        <w:rPr>
          <w:szCs w:val="28"/>
          <w:lang w:val="uk-UA"/>
        </w:rPr>
        <w:t>, він також міг охоплювати надання послуг у централізованих амбулаторних закладах (амбулаторно-поліклінічні заклади, розташовані у централізованій лікарні або поруч із нею). За даними аналізу, відзначено вищі показники ефективності лікування та скорочення кількості випадків втрати з-під нагляду при наданні послуг з лікування та догляду у децентралізованих умовах, ніж у централізованих. Показники ризику виникнення смертельних наслідків та невдачі лікування мінімально відрізнялись у пацієнтів, що отримували децентралізований та централізований догляд.</w:t>
      </w:r>
    </w:p>
    <w:p w:rsidR="00A75154" w:rsidRPr="00ED35A9" w:rsidRDefault="00A75154" w:rsidP="00A75154">
      <w:pPr>
        <w:rPr>
          <w:szCs w:val="28"/>
          <w:lang w:val="uk-UA"/>
        </w:rPr>
      </w:pPr>
      <w:r w:rsidRPr="00ED35A9">
        <w:rPr>
          <w:szCs w:val="28"/>
          <w:lang w:val="uk-UA"/>
        </w:rPr>
        <w:t xml:space="preserve">Дані щодо небажаних явищ, прихильності до лікування, набуття </w:t>
      </w:r>
      <w:r w:rsidR="00480CDB" w:rsidRPr="00ED35A9">
        <w:rPr>
          <w:rFonts w:cs="Times New Roman"/>
          <w:szCs w:val="28"/>
          <w:lang w:val="uk-UA"/>
        </w:rPr>
        <w:t xml:space="preserve">медикаментозної </w:t>
      </w:r>
      <w:r w:rsidRPr="00ED35A9">
        <w:rPr>
          <w:szCs w:val="28"/>
          <w:lang w:val="uk-UA"/>
        </w:rPr>
        <w:t>резистентності та загальних витрат були обмеженими. До переглянутих досліджень було включено як ВІЛ-негативних, так і ВІЛ-позитивних осіб</w:t>
      </w:r>
      <w:r w:rsidR="0096309D" w:rsidRPr="00ED35A9">
        <w:rPr>
          <w:szCs w:val="28"/>
          <w:lang w:val="uk-UA"/>
        </w:rPr>
        <w:t>,</w:t>
      </w:r>
      <w:r w:rsidRPr="00ED35A9">
        <w:rPr>
          <w:szCs w:val="28"/>
          <w:lang w:val="uk-UA"/>
        </w:rPr>
        <w:t xml:space="preserve"> проте у цих дослідженнях не розподіляли пацієнтів </w:t>
      </w:r>
      <w:r w:rsidRPr="00ED35A9">
        <w:rPr>
          <w:szCs w:val="28"/>
          <w:lang w:val="uk-UA"/>
        </w:rPr>
        <w:lastRenderedPageBreak/>
        <w:t>відповідно до ВІЛ-статусу. Було проведено дискусію щодо якості цих даних. ГРН висловила певні занепокоєння, що медичні працівники могли для надання послуг централізованого догляду обирати таких пацієнтів, які, на їхню думку, могли мати гірший прогноз. В жодному з досліджень не проводили контроль щодо ризику такого викривлення.</w:t>
      </w:r>
    </w:p>
    <w:p w:rsidR="00A75154" w:rsidRPr="00ED35A9" w:rsidRDefault="00A75154" w:rsidP="00A75154">
      <w:pPr>
        <w:rPr>
          <w:b/>
          <w:szCs w:val="28"/>
          <w:lang w:val="uk-UA"/>
        </w:rPr>
      </w:pPr>
      <w:bookmarkStart w:id="72" w:name="bookmark69"/>
      <w:bookmarkStart w:id="73" w:name="_Toc417570623"/>
      <w:r w:rsidRPr="00ED35A9">
        <w:rPr>
          <w:b/>
          <w:szCs w:val="28"/>
          <w:lang w:val="uk-UA"/>
        </w:rPr>
        <w:t>Зауваження щодо підгруп</w:t>
      </w:r>
      <w:bookmarkEnd w:id="72"/>
      <w:bookmarkEnd w:id="73"/>
    </w:p>
    <w:p w:rsidR="00A75154" w:rsidRPr="00ED35A9" w:rsidRDefault="00A75154" w:rsidP="00A75154">
      <w:pPr>
        <w:rPr>
          <w:szCs w:val="28"/>
          <w:lang w:val="uk-UA"/>
        </w:rPr>
      </w:pPr>
      <w:r w:rsidRPr="00ED35A9">
        <w:rPr>
          <w:b/>
          <w:i/>
          <w:szCs w:val="28"/>
          <w:lang w:val="uk-UA"/>
        </w:rPr>
        <w:t>Проведення лікування.</w:t>
      </w:r>
      <w:r w:rsidRPr="00ED35A9">
        <w:rPr>
          <w:szCs w:val="28"/>
          <w:lang w:val="uk-UA"/>
        </w:rPr>
        <w:t xml:space="preserve"> </w:t>
      </w:r>
      <w:r w:rsidRPr="00ED35A9">
        <w:rPr>
          <w:rStyle w:val="fontstyle01"/>
          <w:lang w:val="uk-UA"/>
        </w:rPr>
        <w:t xml:space="preserve">Оглянуті доказові дані не надають змоги зробити висновки щодо переваг DOT порівняно з лікуванням без нагляду та навпаки, у пацієнтів з ТБ під час аналізу підгрупи ЛЖВ з ТБ було відзначено чіткі переваги застосування DOT з огляду на значне покращення результатів лікування. </w:t>
      </w:r>
      <w:r w:rsidRPr="00ED35A9">
        <w:rPr>
          <w:szCs w:val="28"/>
          <w:lang w:val="uk-UA"/>
        </w:rPr>
        <w:t>Вірогідно, що застосування DOT не є переважним для усіх пацієнтів, але, ймовірно</w:t>
      </w:r>
      <w:r w:rsidR="0096309D" w:rsidRPr="00ED35A9">
        <w:rPr>
          <w:szCs w:val="28"/>
          <w:lang w:val="uk-UA"/>
        </w:rPr>
        <w:t>,</w:t>
      </w:r>
      <w:r w:rsidRPr="00ED35A9">
        <w:rPr>
          <w:szCs w:val="28"/>
          <w:lang w:val="uk-UA"/>
        </w:rPr>
        <w:t xml:space="preserve"> </w:t>
      </w:r>
      <w:r w:rsidRPr="00ED35A9">
        <w:rPr>
          <w:rStyle w:val="fontstyle01"/>
          <w:lang w:val="uk-UA"/>
        </w:rPr>
        <w:t>таке лікування забезпечить більше переваг у певних підгрупах пацієнтів з ТБ</w:t>
      </w:r>
      <w:r w:rsidRPr="00ED35A9">
        <w:rPr>
          <w:szCs w:val="28"/>
          <w:lang w:val="uk-UA"/>
        </w:rPr>
        <w:t>. Окрім ВІЛ-позитивних пацієнтів з ТБ, інші фактори або групи пацієнтів</w:t>
      </w:r>
      <w:r w:rsidRPr="00ED35A9">
        <w:rPr>
          <w:rStyle w:val="fontstyle01"/>
          <w:lang w:val="uk-UA"/>
        </w:rPr>
        <w:t>, в яких застосування DOT могло б з більшою або меншою вірогідністю вплинути на формуван</w:t>
      </w:r>
      <w:r w:rsidR="0061320D" w:rsidRPr="00ED35A9">
        <w:rPr>
          <w:rStyle w:val="fontstyle01"/>
          <w:lang w:val="uk-UA"/>
        </w:rPr>
        <w:t>ня прихильності до лікування, в </w:t>
      </w:r>
      <w:r w:rsidRPr="00ED35A9">
        <w:rPr>
          <w:rStyle w:val="fontstyle01"/>
          <w:lang w:val="uk-UA"/>
        </w:rPr>
        <w:t>цьому систематичному огляді не розглядали.</w:t>
      </w:r>
    </w:p>
    <w:p w:rsidR="00A75154" w:rsidRPr="00ED35A9" w:rsidRDefault="00A75154" w:rsidP="00A75154">
      <w:pPr>
        <w:rPr>
          <w:szCs w:val="28"/>
          <w:lang w:val="uk-UA"/>
        </w:rPr>
      </w:pPr>
      <w:r w:rsidRPr="00ED35A9">
        <w:rPr>
          <w:b/>
          <w:i/>
          <w:szCs w:val="28"/>
          <w:lang w:val="uk-UA"/>
        </w:rPr>
        <w:t>Децентралізований догляд.</w:t>
      </w:r>
      <w:r w:rsidRPr="00ED35A9">
        <w:rPr>
          <w:szCs w:val="28"/>
          <w:lang w:val="uk-UA"/>
        </w:rPr>
        <w:t xml:space="preserve"> Децентралізований догляд може не підходити пацієнтам із ТБ важкого ступеня, з надзвичайно </w:t>
      </w:r>
      <w:proofErr w:type="spellStart"/>
      <w:r w:rsidR="001605F7" w:rsidRPr="00ED35A9">
        <w:rPr>
          <w:szCs w:val="28"/>
          <w:lang w:val="uk-UA"/>
        </w:rPr>
        <w:t>інфекційно</w:t>
      </w:r>
      <w:proofErr w:type="spellEnd"/>
      <w:r w:rsidR="001605F7" w:rsidRPr="00ED35A9">
        <w:rPr>
          <w:szCs w:val="28"/>
          <w:lang w:val="uk-UA"/>
        </w:rPr>
        <w:t xml:space="preserve"> небезпечними</w:t>
      </w:r>
      <w:r w:rsidRPr="00ED35A9">
        <w:rPr>
          <w:szCs w:val="28"/>
          <w:lang w:val="uk-UA"/>
        </w:rPr>
        <w:t xml:space="preserve"> формами захворювання або особам з низьким рівнем прихильності до лікування. Заходи щодо дотримання правил бе</w:t>
      </w:r>
      <w:r w:rsidR="0061320D" w:rsidRPr="00ED35A9">
        <w:rPr>
          <w:szCs w:val="28"/>
          <w:lang w:val="uk-UA"/>
        </w:rPr>
        <w:t>зпеки при лікуванні пацієнтів з </w:t>
      </w:r>
      <w:r w:rsidRPr="00ED35A9">
        <w:rPr>
          <w:szCs w:val="28"/>
          <w:lang w:val="uk-UA"/>
        </w:rPr>
        <w:t>МРТБ, особливо із застосуванням схем, що містять нові або експериментальні препарати, мають бути впроваджені також і в амбулаторних умовах. Наведені рекомендації щодо децентралізованого догляду не мають бути перешкодою для госпіталізації, якщо у ній виникає потреба. До проведеного огляду не було включено пацієнтів, що потребу</w:t>
      </w:r>
      <w:r w:rsidR="0061320D" w:rsidRPr="00ED35A9">
        <w:rPr>
          <w:szCs w:val="28"/>
          <w:lang w:val="uk-UA"/>
        </w:rPr>
        <w:t xml:space="preserve">вали </w:t>
      </w:r>
      <w:r w:rsidRPr="00ED35A9">
        <w:rPr>
          <w:szCs w:val="28"/>
          <w:lang w:val="uk-UA"/>
        </w:rPr>
        <w:t>хірургічного лікування.</w:t>
      </w:r>
    </w:p>
    <w:p w:rsidR="00A75154" w:rsidRPr="00ED35A9" w:rsidRDefault="00A75154" w:rsidP="00A75154">
      <w:pPr>
        <w:rPr>
          <w:b/>
          <w:szCs w:val="28"/>
          <w:lang w:val="uk-UA"/>
        </w:rPr>
      </w:pPr>
      <w:r w:rsidRPr="00ED35A9">
        <w:rPr>
          <w:b/>
          <w:szCs w:val="28"/>
          <w:lang w:val="uk-UA"/>
        </w:rPr>
        <w:t>Впровадження рекомендацій</w:t>
      </w:r>
    </w:p>
    <w:p w:rsidR="00A75154" w:rsidRPr="00ED35A9" w:rsidRDefault="00A75154" w:rsidP="00A75154">
      <w:pPr>
        <w:rPr>
          <w:szCs w:val="28"/>
          <w:lang w:val="uk-UA"/>
        </w:rPr>
      </w:pPr>
      <w:r w:rsidRPr="00ED35A9">
        <w:rPr>
          <w:b/>
          <w:i/>
          <w:szCs w:val="28"/>
          <w:lang w:val="uk-UA"/>
        </w:rPr>
        <w:t>Комбіновані втручання з прихильності до лікування.</w:t>
      </w:r>
      <w:r w:rsidRPr="00ED35A9">
        <w:rPr>
          <w:szCs w:val="28"/>
          <w:lang w:val="uk-UA"/>
        </w:rPr>
        <w:t xml:space="preserve"> Лише нагляду за лікуванням, вірогідно, буде недостатньо для забезпечення належних результатів лікування ТБ, тому також необхідним є забезпечення додатковими заходами з покращення прихильності до лікування. </w:t>
      </w:r>
      <w:r w:rsidRPr="00ED35A9">
        <w:rPr>
          <w:lang w:val="uk-UA"/>
        </w:rPr>
        <w:t xml:space="preserve">Просвітницьку роботу слід проводити з усіма пацієнтами, що проходять курс лікування ТБ. </w:t>
      </w:r>
      <w:r w:rsidRPr="00ED35A9">
        <w:rPr>
          <w:szCs w:val="28"/>
          <w:lang w:val="uk-UA"/>
        </w:rPr>
        <w:t xml:space="preserve">Також можна запропонувати пацієнтам з ТБ пакет інших заходів з формування прихильності до лікування. Такі втручання слід обирати на основі визначення індивідуальних потреб пацієнта, ресурсів надавача послуг та умов впровадження. Щодо </w:t>
      </w:r>
      <w:proofErr w:type="spellStart"/>
      <w:r w:rsidRPr="00ED35A9">
        <w:rPr>
          <w:szCs w:val="28"/>
          <w:lang w:val="uk-UA"/>
        </w:rPr>
        <w:t>втручань</w:t>
      </w:r>
      <w:proofErr w:type="spellEnd"/>
      <w:r w:rsidRPr="00ED35A9">
        <w:rPr>
          <w:szCs w:val="28"/>
          <w:lang w:val="uk-UA"/>
        </w:rPr>
        <w:t xml:space="preserve"> із застосуванням телефону або відео-зв’язку, </w:t>
      </w:r>
      <w:r w:rsidRPr="00ED35A9">
        <w:rPr>
          <w:rStyle w:val="fontstyle01"/>
          <w:lang w:val="uk-UA"/>
        </w:rPr>
        <w:t>небажання використовувати нові технології може значно ускладнити реалізацію</w:t>
      </w:r>
      <w:r w:rsidR="0061320D" w:rsidRPr="00ED35A9">
        <w:rPr>
          <w:rStyle w:val="fontstyle01"/>
          <w:lang w:val="uk-UA"/>
        </w:rPr>
        <w:t xml:space="preserve"> програм</w:t>
      </w:r>
      <w:r w:rsidRPr="00ED35A9">
        <w:rPr>
          <w:rStyle w:val="fontstyle01"/>
          <w:lang w:val="uk-UA"/>
        </w:rPr>
        <w:t>. Також можуть існувати побоювання щодо захисту особистих даних при використанні телефону,</w:t>
      </w:r>
      <w:r w:rsidRPr="00ED35A9">
        <w:rPr>
          <w:szCs w:val="28"/>
          <w:lang w:val="uk-UA"/>
        </w:rPr>
        <w:t xml:space="preserve"> тому слід розглянути застосування шифрування та інших засобів захисту приватного життя. Здійсненність таких </w:t>
      </w:r>
      <w:proofErr w:type="spellStart"/>
      <w:r w:rsidRPr="00ED35A9">
        <w:rPr>
          <w:szCs w:val="28"/>
          <w:lang w:val="uk-UA"/>
        </w:rPr>
        <w:t>втручань</w:t>
      </w:r>
      <w:proofErr w:type="spellEnd"/>
      <w:r w:rsidRPr="00ED35A9">
        <w:rPr>
          <w:szCs w:val="28"/>
          <w:lang w:val="uk-UA"/>
        </w:rPr>
        <w:t xml:space="preserve"> залежить від телекомунікаційної інфраструктури, доступності телефону та вартості зв’язку. </w:t>
      </w:r>
      <w:r w:rsidRPr="00ED35A9">
        <w:rPr>
          <w:rStyle w:val="fontstyle01"/>
          <w:lang w:val="uk-UA"/>
        </w:rPr>
        <w:t>Багато організацій розпочали такі програми, отже, програми з контролю ТБ можуть скористатися нагодою співпраці та консу</w:t>
      </w:r>
      <w:r w:rsidR="0061320D" w:rsidRPr="00ED35A9">
        <w:rPr>
          <w:rStyle w:val="fontstyle01"/>
          <w:lang w:val="uk-UA"/>
        </w:rPr>
        <w:t>льтування з іншими програмами з </w:t>
      </w:r>
      <w:r w:rsidRPr="00ED35A9">
        <w:rPr>
          <w:rStyle w:val="fontstyle01"/>
          <w:lang w:val="uk-UA"/>
        </w:rPr>
        <w:t xml:space="preserve">надання медичних послуг, які вже мають розвинену інфраструктуру. </w:t>
      </w:r>
      <w:r w:rsidRPr="00ED35A9">
        <w:rPr>
          <w:rStyle w:val="fontstyle01"/>
          <w:lang w:val="uk-UA"/>
        </w:rPr>
        <w:lastRenderedPageBreak/>
        <w:t xml:space="preserve">Безпосередні виконавці (наприклад, національні або місцеві органи влади, партнери у галузі охорони здоров’я) можуть висловлювати небажання сплачувати витрати, пов’язані із заохоченням щодо лікування. Вони можуть схилятися більшою мірою до надання матеріальної підтримки меншим підгрупам, які зазнають особливо високого ризику (наприклад, пацієнти з МРТБ). </w:t>
      </w:r>
      <w:r w:rsidRPr="00ED35A9">
        <w:rPr>
          <w:szCs w:val="28"/>
          <w:lang w:val="uk-UA"/>
        </w:rPr>
        <w:t xml:space="preserve">Проте одним з компонентів Стратегії «Стоп ТБ» </w:t>
      </w:r>
      <w:r w:rsidRPr="00ED35A9">
        <w:rPr>
          <w:i/>
          <w:szCs w:val="28"/>
          <w:lang w:val="uk-UA"/>
        </w:rPr>
        <w:t>(206)</w:t>
      </w:r>
      <w:r w:rsidRPr="00ED35A9">
        <w:rPr>
          <w:szCs w:val="28"/>
          <w:lang w:val="uk-UA"/>
        </w:rPr>
        <w:t xml:space="preserve"> </w:t>
      </w:r>
      <w:r w:rsidRPr="00ED35A9">
        <w:rPr>
          <w:rStyle w:val="fontstyle01"/>
          <w:lang w:val="uk-UA"/>
        </w:rPr>
        <w:t>є забезпечення «соціального захисту та</w:t>
      </w:r>
      <w:r w:rsidRPr="00ED35A9">
        <w:rPr>
          <w:szCs w:val="28"/>
          <w:lang w:val="uk-UA"/>
        </w:rPr>
        <w:t xml:space="preserve"> </w:t>
      </w:r>
      <w:r w:rsidRPr="00ED35A9">
        <w:rPr>
          <w:rStyle w:val="fontstyle01"/>
          <w:lang w:val="uk-UA"/>
        </w:rPr>
        <w:t>зниження рівня бідності» для пацієнтів з ТБ. Дана настанова наполегливо закликає до впровадження заходів зі «зниження навантаження внаслідок втрати доходу та покриття немедичних витрат на отримання й продовження лікування». Такі запропоновані заходи включають виплату соціальної допомоги, надання продовольчих купонів та продуктових наборів. За даними огляду, переваги надання матеріальної підтримки відповідають компонентам Стратегії</w:t>
      </w:r>
      <w:r w:rsidRPr="00ED35A9">
        <w:rPr>
          <w:szCs w:val="28"/>
          <w:lang w:val="uk-UA"/>
        </w:rPr>
        <w:t xml:space="preserve"> «</w:t>
      </w:r>
      <w:r w:rsidRPr="00ED35A9">
        <w:rPr>
          <w:rStyle w:val="fontstyle01"/>
          <w:lang w:val="uk-UA"/>
        </w:rPr>
        <w:t xml:space="preserve">Стоп ТБ» </w:t>
      </w:r>
      <w:r w:rsidRPr="00ED35A9">
        <w:rPr>
          <w:i/>
          <w:szCs w:val="28"/>
          <w:lang w:val="uk-UA"/>
        </w:rPr>
        <w:t>(206)</w:t>
      </w:r>
      <w:r w:rsidRPr="00ED35A9">
        <w:rPr>
          <w:szCs w:val="28"/>
          <w:lang w:val="uk-UA"/>
        </w:rPr>
        <w:t>. Д</w:t>
      </w:r>
      <w:r w:rsidR="0061320D" w:rsidRPr="00ED35A9">
        <w:rPr>
          <w:szCs w:val="28"/>
          <w:lang w:val="uk-UA"/>
        </w:rPr>
        <w:t xml:space="preserve">о </w:t>
      </w:r>
      <w:r w:rsidRPr="00ED35A9">
        <w:rPr>
          <w:szCs w:val="28"/>
          <w:lang w:val="uk-UA"/>
        </w:rPr>
        <w:t xml:space="preserve">розподілу матеріальної підтримки необхідно долучити інфраструктуру урядових та/або неурядових організацій, включаючи механізми боротьби із шахрайством (наприклад, надійні та унікальні особисті ідентифікатори) та ведення відповідного обліку, для забезпечення </w:t>
      </w:r>
      <w:r w:rsidRPr="00ED35A9">
        <w:rPr>
          <w:rStyle w:val="fontstyle01"/>
          <w:lang w:val="uk-UA"/>
        </w:rPr>
        <w:t>справедливого розподілу матеріальної допомоги серед людей, які найбільше її потребують. Країни мають самостійно обирати найбільш відповідні варіанти заохочень.</w:t>
      </w:r>
    </w:p>
    <w:p w:rsidR="00A75154" w:rsidRPr="00ED35A9" w:rsidRDefault="00A75154" w:rsidP="00A75154">
      <w:pPr>
        <w:rPr>
          <w:szCs w:val="28"/>
          <w:lang w:val="uk-UA"/>
        </w:rPr>
      </w:pPr>
      <w:r w:rsidRPr="00ED35A9">
        <w:rPr>
          <w:b/>
          <w:i/>
          <w:szCs w:val="28"/>
          <w:lang w:val="uk-UA"/>
        </w:rPr>
        <w:t>Проведення лікування.</w:t>
      </w:r>
      <w:r w:rsidRPr="00ED35A9">
        <w:rPr>
          <w:szCs w:val="28"/>
          <w:lang w:val="uk-UA"/>
        </w:rPr>
        <w:t xml:space="preserve"> </w:t>
      </w:r>
      <w:r w:rsidRPr="00ED35A9">
        <w:rPr>
          <w:lang w:val="uk-UA"/>
        </w:rPr>
        <w:t xml:space="preserve">Проведення DOT на рівні громади або у домашніх умовах має більше переваг, ніж DOT в умовах закладу охорони здоров’я, </w:t>
      </w:r>
      <w:r w:rsidRPr="00ED35A9">
        <w:rPr>
          <w:szCs w:val="28"/>
          <w:lang w:val="uk-UA"/>
        </w:rPr>
        <w:t xml:space="preserve">але надання DOT членами родини не має бути першорядним або єдиним варіантом. DOT краще проводити вдома або на рівні громади за участі призначеного наглядача </w:t>
      </w:r>
      <w:r w:rsidR="0061320D" w:rsidRPr="00ED35A9">
        <w:rPr>
          <w:szCs w:val="28"/>
          <w:lang w:val="uk-UA"/>
        </w:rPr>
        <w:t>чи</w:t>
      </w:r>
      <w:r w:rsidRPr="00ED35A9">
        <w:rPr>
          <w:szCs w:val="28"/>
          <w:lang w:val="uk-UA"/>
        </w:rPr>
        <w:t xml:space="preserve"> медпрацівника. </w:t>
      </w:r>
      <w:r w:rsidRPr="00ED35A9">
        <w:rPr>
          <w:lang w:val="uk-UA"/>
        </w:rPr>
        <w:t>При проведенні DOT на рівні громади або у домашніх умовах за участі медпрацівника можуть виникати певні труднощі внаслідок необхідності великого штату медпрацівників, а також збільшення вартості трудовитрат та витрат на щоденний проїзд до місця розташування громади або місця проживання пацієнта</w:t>
      </w:r>
      <w:r w:rsidRPr="00ED35A9">
        <w:rPr>
          <w:szCs w:val="28"/>
          <w:lang w:val="uk-UA"/>
        </w:rPr>
        <w:t xml:space="preserve">. </w:t>
      </w:r>
      <w:r w:rsidRPr="00ED35A9">
        <w:rPr>
          <w:lang w:val="uk-UA"/>
        </w:rPr>
        <w:t xml:space="preserve">Забезпечення DOT на рівні громади або у домашніх умовах призначеним місцевим наглядачем, що пройшов спеціальне навчання, вважається більш </w:t>
      </w:r>
      <w:r w:rsidRPr="00ED35A9">
        <w:rPr>
          <w:szCs w:val="28"/>
          <w:lang w:val="uk-UA"/>
        </w:rPr>
        <w:t xml:space="preserve">доцільним. </w:t>
      </w:r>
      <w:r w:rsidRPr="00ED35A9">
        <w:rPr>
          <w:lang w:val="uk-UA"/>
        </w:rPr>
        <w:t>Також можливим варіантом є поєднання роботи медпрацівника та призначеного наглядача при проведенні DOT на рівні громади або у домашніх умовах</w:t>
      </w:r>
      <w:r w:rsidRPr="00ED35A9">
        <w:rPr>
          <w:szCs w:val="28"/>
          <w:lang w:val="uk-UA"/>
        </w:rPr>
        <w:t>.</w:t>
      </w:r>
      <w:r w:rsidRPr="00ED35A9">
        <w:rPr>
          <w:lang w:val="uk-UA"/>
        </w:rPr>
        <w:t xml:space="preserve"> DOT на рівні громади або у домашніх умовах, вірогідніше, буде більш прийнятним та доступним для пацієнтів, ніж інші варіанти DOT. Але при проведенні DOT на рівні громади або у </w:t>
      </w:r>
      <w:r w:rsidRPr="00ED35A9">
        <w:rPr>
          <w:szCs w:val="28"/>
          <w:lang w:val="uk-UA"/>
        </w:rPr>
        <w:t xml:space="preserve">домашніх умовах все ще залишається актуальною проблема стигматизації. </w:t>
      </w:r>
      <w:r w:rsidRPr="00ED35A9">
        <w:rPr>
          <w:lang w:val="uk-UA"/>
        </w:rPr>
        <w:t xml:space="preserve">Пацієнт, якого регулярно відвідує вдома медпрацівник, може зазнавати соціального остракізму, а відчуття, що за ним постійно наглядають, може провокувати в нього почуття </w:t>
      </w:r>
      <w:r w:rsidRPr="00ED35A9">
        <w:rPr>
          <w:szCs w:val="28"/>
          <w:lang w:val="uk-UA"/>
        </w:rPr>
        <w:t xml:space="preserve">невпевненості. </w:t>
      </w:r>
      <w:r w:rsidRPr="00ED35A9">
        <w:rPr>
          <w:lang w:val="uk-UA"/>
        </w:rPr>
        <w:t xml:space="preserve">Більш прийнятними можуть бути інші форми DOT (наприклад, нагляд за участі родича або близького друга, які забезпечують емоційну підтримку), проте це все одно не вирішує проблеми стигматизації. </w:t>
      </w:r>
      <w:r w:rsidRPr="00ED35A9">
        <w:rPr>
          <w:rStyle w:val="fontstyle01"/>
          <w:lang w:val="uk-UA"/>
        </w:rPr>
        <w:t xml:space="preserve">Внаслідок складної соціальної родинної динаміки члени родини не завжди є найкращим вибором в якості наглядача за лікуванням, тобто прийнятність такого наглядача необхідно ретельно проаналізувати згідно кожного національного або місцевого контексту. Якщо </w:t>
      </w:r>
      <w:r w:rsidRPr="00ED35A9">
        <w:rPr>
          <w:rStyle w:val="fontstyle01"/>
          <w:lang w:val="uk-UA"/>
        </w:rPr>
        <w:lastRenderedPageBreak/>
        <w:t>члени родини наглядають за лікуванням, необхідним є проведення ретельної перевірки таких осіб та інструктажу. Також необхідно забезпечити додатковий нагляд з боку місцевих наглядачів або медпрацівників, оскільки члени родини в якості наглядачів не повинні бути єдиним варіантом при проведенні лікування. Пацієнти все одно потребуватимуть соціальної підтримки, навіть якщо DOT проводять за участі члена родини. На початку лікування медпрацівник повинен врахувати наявність потенційних факторів ризику неналежної прихильності до лікування для прийняти рішення щодо вибору варіанту проведення лікування для пацієнта. У деяких груп пацієнтів, в яких малоймовірним є формування належної прихильності до лікування, можливо, DOT матиме більше переваг, ніж за інших умов. Ще одним фактором, який необхідно враховувати при виборі варіанту проведення лікування, є неспроможність дотримання DOT деякими пацієнтами через їх негнучкий графік роботи або певні сімейні зобов’язання. Будь-який варіант лікування, що пропонують пацієнту, повинен також супроводжуватися наданням відповідної медичної допомоги, включаючи регулярне отримання ПТП, консультації з лікарем або іншими медпрацівниками, за необхідності</w:t>
      </w:r>
      <w:r w:rsidR="0061320D" w:rsidRPr="00ED35A9">
        <w:rPr>
          <w:rStyle w:val="fontstyle01"/>
          <w:lang w:val="uk-UA"/>
        </w:rPr>
        <w:t xml:space="preserve"> –</w:t>
      </w:r>
      <w:r w:rsidRPr="00ED35A9">
        <w:rPr>
          <w:rStyle w:val="fontstyle01"/>
          <w:lang w:val="uk-UA"/>
        </w:rPr>
        <w:t xml:space="preserve"> безкоштовне лікування ТБ та забезпечення надання пацієнту важливої інформації щодо лікування ТБ.</w:t>
      </w:r>
    </w:p>
    <w:p w:rsidR="00A75154" w:rsidRPr="00ED35A9" w:rsidRDefault="00A75154" w:rsidP="00A75154">
      <w:pPr>
        <w:rPr>
          <w:szCs w:val="28"/>
          <w:lang w:val="uk-UA"/>
        </w:rPr>
      </w:pPr>
      <w:r w:rsidRPr="00ED35A9">
        <w:rPr>
          <w:b/>
          <w:i/>
          <w:szCs w:val="28"/>
          <w:lang w:val="uk-UA"/>
        </w:rPr>
        <w:t>Амбулаторне лікування.</w:t>
      </w:r>
      <w:r w:rsidRPr="00ED35A9">
        <w:rPr>
          <w:szCs w:val="28"/>
          <w:lang w:val="uk-UA"/>
        </w:rPr>
        <w:t xml:space="preserve"> При проведенні моделювання було отримано значну варіабельність витрат. Показник витрат на рік життя з поправкою на інвалідність (DALY), </w:t>
      </w:r>
      <w:r w:rsidR="001605F7" w:rsidRPr="00ED35A9">
        <w:rPr>
          <w:szCs w:val="28"/>
          <w:lang w:val="uk-UA"/>
        </w:rPr>
        <w:t xml:space="preserve">який відзначали </w:t>
      </w:r>
      <w:r w:rsidRPr="00ED35A9">
        <w:rPr>
          <w:szCs w:val="28"/>
          <w:lang w:val="uk-UA"/>
        </w:rPr>
        <w:t xml:space="preserve">в амбулаторній моделі в одних умовах, інколи був вищим, ніж витрати на DALY, </w:t>
      </w:r>
      <w:r w:rsidR="001605F7" w:rsidRPr="00ED35A9">
        <w:rPr>
          <w:szCs w:val="28"/>
          <w:lang w:val="uk-UA"/>
        </w:rPr>
        <w:t xml:space="preserve">відзначені </w:t>
      </w:r>
      <w:r w:rsidRPr="00ED35A9">
        <w:rPr>
          <w:szCs w:val="28"/>
          <w:lang w:val="uk-UA"/>
        </w:rPr>
        <w:t xml:space="preserve">у стаціонарній моделі в інших умовах. Проте </w:t>
      </w:r>
      <w:r w:rsidR="001605F7" w:rsidRPr="00ED35A9">
        <w:rPr>
          <w:szCs w:val="28"/>
          <w:lang w:val="uk-UA"/>
        </w:rPr>
        <w:t xml:space="preserve">відзначений показник </w:t>
      </w:r>
      <w:r w:rsidRPr="00ED35A9">
        <w:rPr>
          <w:szCs w:val="28"/>
          <w:lang w:val="uk-UA"/>
        </w:rPr>
        <w:t>витрат</w:t>
      </w:r>
      <w:r w:rsidR="001605F7" w:rsidRPr="00ED35A9">
        <w:rPr>
          <w:szCs w:val="28"/>
          <w:lang w:val="uk-UA"/>
        </w:rPr>
        <w:t xml:space="preserve"> </w:t>
      </w:r>
      <w:r w:rsidRPr="00ED35A9">
        <w:rPr>
          <w:szCs w:val="28"/>
          <w:lang w:val="uk-UA"/>
        </w:rPr>
        <w:t>DALY</w:t>
      </w:r>
      <w:r w:rsidR="001605F7" w:rsidRPr="00ED35A9">
        <w:rPr>
          <w:szCs w:val="28"/>
          <w:lang w:val="uk-UA"/>
        </w:rPr>
        <w:t xml:space="preserve"> </w:t>
      </w:r>
      <w:r w:rsidRPr="00ED35A9">
        <w:rPr>
          <w:szCs w:val="28"/>
          <w:lang w:val="uk-UA"/>
        </w:rPr>
        <w:t>бу</w:t>
      </w:r>
      <w:r w:rsidR="001605F7" w:rsidRPr="00ED35A9">
        <w:rPr>
          <w:szCs w:val="28"/>
          <w:lang w:val="uk-UA"/>
        </w:rPr>
        <w:t xml:space="preserve">в </w:t>
      </w:r>
      <w:r w:rsidRPr="00ED35A9">
        <w:rPr>
          <w:szCs w:val="28"/>
          <w:lang w:val="uk-UA"/>
        </w:rPr>
        <w:t>нижчим</w:t>
      </w:r>
      <w:r w:rsidR="001605F7" w:rsidRPr="00ED35A9">
        <w:rPr>
          <w:szCs w:val="28"/>
          <w:lang w:val="uk-UA"/>
        </w:rPr>
        <w:t xml:space="preserve"> </w:t>
      </w:r>
      <w:r w:rsidRPr="00ED35A9">
        <w:rPr>
          <w:szCs w:val="28"/>
          <w:lang w:val="uk-UA"/>
        </w:rPr>
        <w:t>в амбулаторних умовах, ніж у стаціонарних, в переважної більшості (принаймні 90%) умов, для яких було проведено аналіз економічної ефективності. Варіабельність економічної ефективності залеж</w:t>
      </w:r>
      <w:r w:rsidR="0061320D" w:rsidRPr="00ED35A9">
        <w:rPr>
          <w:szCs w:val="28"/>
          <w:lang w:val="uk-UA"/>
        </w:rPr>
        <w:t xml:space="preserve">ала </w:t>
      </w:r>
      <w:r w:rsidRPr="00ED35A9">
        <w:rPr>
          <w:szCs w:val="28"/>
          <w:lang w:val="uk-UA"/>
        </w:rPr>
        <w:t>від місцевих умов, що обумовлює широкий діапазон показників вартості загальних медичних послуг та інших немедикаментозних витрат. Незважаючи на обмеженість наявних даних, відсутні докази, що заперечували б надання наведеної рекомендації та свідчили б на користь більшої ефективності при застосуванні моделі лікування та догляду в умовах стаціонару.</w:t>
      </w:r>
    </w:p>
    <w:p w:rsidR="00A75154" w:rsidRPr="00ED35A9" w:rsidRDefault="00A75154" w:rsidP="00A75154">
      <w:pPr>
        <w:rPr>
          <w:szCs w:val="28"/>
          <w:lang w:val="uk-UA"/>
        </w:rPr>
      </w:pPr>
      <w:r w:rsidRPr="00ED35A9">
        <w:rPr>
          <w:szCs w:val="28"/>
          <w:lang w:val="uk-UA"/>
        </w:rPr>
        <w:t xml:space="preserve">Загальну економічну ефективність догляду пацієнтів, що отримують лікування МРТБ, можливо покращити в амбулаторній моделі. До переваг слід віднести обмежене використання ресурсів і принаймні таку саме, як і у стаціонарних моделях, кількість смертельних </w:t>
      </w:r>
      <w:r w:rsidR="001605F7" w:rsidRPr="00ED35A9">
        <w:rPr>
          <w:szCs w:val="28"/>
          <w:lang w:val="uk-UA"/>
        </w:rPr>
        <w:t>наслідків, виникненню яких вдалося запобігти,</w:t>
      </w:r>
      <w:r w:rsidRPr="00ED35A9">
        <w:rPr>
          <w:szCs w:val="28"/>
          <w:lang w:val="uk-UA"/>
        </w:rPr>
        <w:t xml:space="preserve"> серед первинних випадків. Отримані результати базуються на проведенні амбулаторного лікування в умовах клініки (пацієнти відвідують </w:t>
      </w:r>
      <w:proofErr w:type="spellStart"/>
      <w:r w:rsidRPr="00ED35A9">
        <w:rPr>
          <w:szCs w:val="28"/>
          <w:lang w:val="uk-UA"/>
        </w:rPr>
        <w:t>медзаклад</w:t>
      </w:r>
      <w:proofErr w:type="spellEnd"/>
      <w:r w:rsidRPr="00ED35A9">
        <w:rPr>
          <w:szCs w:val="28"/>
          <w:lang w:val="uk-UA"/>
        </w:rPr>
        <w:t xml:space="preserve">); за деяких обставин, амбулаторне лікування вдома (що надається працівником з громади) може допомогти у покращенні показників економічної ефективності. Прогрес щодо скорочення передачі </w:t>
      </w:r>
      <w:r w:rsidR="0061320D" w:rsidRPr="00ED35A9">
        <w:rPr>
          <w:szCs w:val="28"/>
          <w:lang w:val="uk-UA"/>
        </w:rPr>
        <w:t xml:space="preserve">ТБ </w:t>
      </w:r>
      <w:r w:rsidRPr="00ED35A9">
        <w:rPr>
          <w:szCs w:val="28"/>
          <w:lang w:val="uk-UA"/>
        </w:rPr>
        <w:t xml:space="preserve">можна очікувати тільки за наявності належних заходів інфекційного контролю як у місцях проживання пацієнтів, так і в клініці. Потенційний ризик інфікування можна мінімізувати шляхом скорочення перебування або виключення, за </w:t>
      </w:r>
      <w:r w:rsidRPr="00ED35A9">
        <w:rPr>
          <w:szCs w:val="28"/>
          <w:lang w:val="uk-UA"/>
        </w:rPr>
        <w:lastRenderedPageBreak/>
        <w:t xml:space="preserve">можливості, лікування у стаціонарних умовах, зменшення кількості візитів до амбулаторно-поліклінічного закладу, уникнення переповнених кабінетів та очікування у коридорах, а також за рахунок </w:t>
      </w:r>
      <w:proofErr w:type="spellStart"/>
      <w:r w:rsidRPr="00ED35A9">
        <w:rPr>
          <w:szCs w:val="28"/>
          <w:lang w:val="uk-UA"/>
        </w:rPr>
        <w:t>пріоритизації</w:t>
      </w:r>
      <w:proofErr w:type="spellEnd"/>
      <w:r w:rsidRPr="00ED35A9">
        <w:rPr>
          <w:szCs w:val="28"/>
          <w:lang w:val="uk-UA"/>
        </w:rPr>
        <w:t xml:space="preserve"> підходів до лікування ТБ у громаді </w:t>
      </w:r>
      <w:r w:rsidRPr="00ED35A9">
        <w:rPr>
          <w:i/>
          <w:szCs w:val="28"/>
          <w:lang w:val="uk-UA"/>
        </w:rPr>
        <w:t>(214)</w:t>
      </w:r>
      <w:r w:rsidRPr="00ED35A9">
        <w:rPr>
          <w:szCs w:val="28"/>
          <w:lang w:val="uk-UA"/>
        </w:rPr>
        <w:t>. Схему, яку використовували в одному з досліджень щодо амбулаторного догляду, було складено ще за часів відсутності КПФД, тому досягнуті результати були ймовірно гіршими за ті, які можна отримати із застосуванням сучасних схем. Примусова госпіталізація пацієнтів також може мати важливі соціальні та психологічні наслідки, які необхідно враховувати.</w:t>
      </w:r>
    </w:p>
    <w:p w:rsidR="00A75154" w:rsidRPr="00ED35A9" w:rsidRDefault="00A75154" w:rsidP="00A75154">
      <w:pPr>
        <w:rPr>
          <w:szCs w:val="28"/>
          <w:lang w:val="uk-UA"/>
        </w:rPr>
      </w:pPr>
      <w:r w:rsidRPr="00ED35A9">
        <w:rPr>
          <w:szCs w:val="28"/>
          <w:lang w:val="uk-UA"/>
        </w:rPr>
        <w:t xml:space="preserve">Можливим є виникнення перешкод у доступі до амбулаторного догляду в умовах клініки, пов’язаних зокрема із далеким розташуванням закладу та іншими витратами для окремих пацієнтів. Слід уникати перекладання витрат з надавача послуг на пацієнта, що може потребувати відповідних механізмів забезпечення. Хоча очікується, що надання пацієнтам належного лікування скоротить бактеріальне навантаження та передачу ЛС-ТБ, необхідним є впровадження заходів з інфекційного контролю в домашніх та клінічних умовах, і ці заходи повинні стати частиною амбулаторної моделі догляду для скорочення ризику передачі </w:t>
      </w:r>
      <w:r w:rsidR="00AD2A09" w:rsidRPr="00ED35A9">
        <w:rPr>
          <w:szCs w:val="28"/>
          <w:lang w:val="uk-UA"/>
        </w:rPr>
        <w:t>інфекції</w:t>
      </w:r>
      <w:r w:rsidR="00AD2A09" w:rsidRPr="00ED35A9">
        <w:rPr>
          <w:i/>
          <w:szCs w:val="28"/>
          <w:lang w:val="uk-UA"/>
        </w:rPr>
        <w:t xml:space="preserve"> </w:t>
      </w:r>
      <w:r w:rsidRPr="00ED35A9">
        <w:rPr>
          <w:szCs w:val="28"/>
          <w:lang w:val="uk-UA"/>
        </w:rPr>
        <w:t xml:space="preserve">у місцях проживання пацієнтів, громадах та </w:t>
      </w:r>
      <w:proofErr w:type="spellStart"/>
      <w:r w:rsidRPr="00ED35A9">
        <w:rPr>
          <w:szCs w:val="28"/>
          <w:lang w:val="uk-UA"/>
        </w:rPr>
        <w:t>клініках</w:t>
      </w:r>
      <w:proofErr w:type="spellEnd"/>
      <w:r w:rsidRPr="00ED35A9">
        <w:rPr>
          <w:szCs w:val="28"/>
          <w:lang w:val="uk-UA"/>
        </w:rPr>
        <w:t>. Програми з контролю ТБ можуть розглянути наявність можливого перерозподілу ресурсів від стаціонарного до амбулаторного догляду, щоб провести нео</w:t>
      </w:r>
      <w:r w:rsidR="00AD2A09" w:rsidRPr="00ED35A9">
        <w:rPr>
          <w:szCs w:val="28"/>
          <w:lang w:val="uk-UA"/>
        </w:rPr>
        <w:t>бхідні зміни у наданні послуг з </w:t>
      </w:r>
      <w:r w:rsidRPr="00ED35A9">
        <w:rPr>
          <w:szCs w:val="28"/>
          <w:lang w:val="uk-UA"/>
        </w:rPr>
        <w:t>лікування та догляду. Вибір між цими варіантами вплине на практичну цінність впровадження рекомендації у конкретній програмі.</w:t>
      </w:r>
    </w:p>
    <w:p w:rsidR="00A75154" w:rsidRPr="00ED35A9" w:rsidRDefault="00A75154" w:rsidP="00A75154">
      <w:pPr>
        <w:rPr>
          <w:szCs w:val="28"/>
          <w:lang w:val="uk-UA"/>
        </w:rPr>
      </w:pPr>
      <w:r w:rsidRPr="00ED35A9">
        <w:rPr>
          <w:b/>
          <w:i/>
          <w:szCs w:val="28"/>
          <w:lang w:val="uk-UA"/>
        </w:rPr>
        <w:t>Децентралізований догляд.</w:t>
      </w:r>
      <w:r w:rsidRPr="00ED35A9">
        <w:rPr>
          <w:szCs w:val="28"/>
          <w:lang w:val="uk-UA"/>
        </w:rPr>
        <w:t xml:space="preserve"> Національна програма з лікування ТБ повинна мати стандартизовану настанову із визначенням, в яких пацієнтів можливим є застосування децентралізованого підходу до лікування та догляду. При виборі централізованого чи децентралізованого догляду високе значення має врахування вподобань пацієнта.</w:t>
      </w:r>
    </w:p>
    <w:p w:rsidR="00A75154" w:rsidRPr="00ED35A9" w:rsidRDefault="00A75154" w:rsidP="00A75154">
      <w:pPr>
        <w:rPr>
          <w:szCs w:val="28"/>
          <w:lang w:val="uk-UA"/>
        </w:rPr>
      </w:pPr>
      <w:r w:rsidRPr="00ED35A9">
        <w:rPr>
          <w:szCs w:val="28"/>
          <w:lang w:val="uk-UA"/>
        </w:rPr>
        <w:t xml:space="preserve">Децентралізований догляд для пацієнтів з МРТБ потребує відповідного нагляду за лікуванням, навчання пацієнтів та надання соціальної підтримки, навчання працівників, впровадження заходів з інфекційного контролю та забезпечення якості. У пацієнтів з МРТБ, що отримують децентралізовані послуги, необхідним є визначення оптимальних варіантів нагляду за лікуванням із застосуванням </w:t>
      </w:r>
      <w:proofErr w:type="spellStart"/>
      <w:r w:rsidRPr="00ED35A9">
        <w:rPr>
          <w:szCs w:val="28"/>
          <w:lang w:val="uk-UA"/>
        </w:rPr>
        <w:t>втручань</w:t>
      </w:r>
      <w:proofErr w:type="spellEnd"/>
      <w:r w:rsidRPr="00ED35A9">
        <w:rPr>
          <w:szCs w:val="28"/>
          <w:lang w:val="uk-UA"/>
        </w:rPr>
        <w:t xml:space="preserve"> для забезпечення прихильності до лікування, рекомендованих в цьому розділі.</w:t>
      </w:r>
    </w:p>
    <w:p w:rsidR="00A75154" w:rsidRPr="00ED35A9" w:rsidRDefault="00A75154" w:rsidP="00A75154">
      <w:pPr>
        <w:rPr>
          <w:szCs w:val="28"/>
          <w:lang w:val="uk-UA"/>
        </w:rPr>
      </w:pPr>
      <w:r w:rsidRPr="00ED35A9">
        <w:rPr>
          <w:szCs w:val="28"/>
          <w:lang w:val="uk-UA"/>
        </w:rPr>
        <w:t xml:space="preserve">Деякі з досліджень у проведеному огляді були спрямовані на оцінювання витрат на лікування. Проте оцінювання витрат значною мірою відрізнялося, тому надання конкретної рекомендації щодо витрат є неможливим. Вимоги до ресурсів певною мірою варіюватимуться, оскільки існують різні програми з лікування ТБ, тож і вартість таких програм у різних країнах буде різною. ГРН підняла декілька питань, які слід врахувати при впровадженні програмам з лікування ТБ. Хоча госпіталізація зазвичай вважається дорожчою, ніж амбулаторне лікування, вартість амбулаторних програм належної якості теж може бути значною. Крім того, витрати на амбулаторних пацієнтів можуть бути дуже різними та залежати від </w:t>
      </w:r>
      <w:r w:rsidRPr="00ED35A9">
        <w:rPr>
          <w:szCs w:val="28"/>
          <w:lang w:val="uk-UA"/>
        </w:rPr>
        <w:lastRenderedPageBreak/>
        <w:t xml:space="preserve">надаваних послуг. Заходом щодо економії ресурсів, вартим уваги при наданні децентралізованого догляду, є </w:t>
      </w:r>
      <w:r w:rsidR="00AD2A09" w:rsidRPr="00ED35A9">
        <w:rPr>
          <w:szCs w:val="28"/>
          <w:lang w:val="uk-UA"/>
        </w:rPr>
        <w:t xml:space="preserve">якнайшвидше </w:t>
      </w:r>
      <w:r w:rsidRPr="00ED35A9">
        <w:rPr>
          <w:szCs w:val="28"/>
          <w:lang w:val="uk-UA"/>
        </w:rPr>
        <w:t>отримання пацієнтами лікування. Економічні переваги децентралізованого догляду включатимуть виявлення пацієнтів до підвищення ступеня тяжкості захворювання, коли вони потребуватимуть більшого обсягу медичної допомоги, а початок лікування до моменту можливої передачі ТБ оточенню пацієнта може мати переваги для громадського здоров’я.</w:t>
      </w:r>
    </w:p>
    <w:p w:rsidR="00A75154" w:rsidRPr="00ED35A9" w:rsidRDefault="00A75154" w:rsidP="00A75154">
      <w:pPr>
        <w:rPr>
          <w:szCs w:val="28"/>
          <w:lang w:val="uk-UA"/>
        </w:rPr>
      </w:pPr>
      <w:r w:rsidRPr="00ED35A9">
        <w:rPr>
          <w:szCs w:val="28"/>
          <w:lang w:val="uk-UA"/>
        </w:rPr>
        <w:t>Якщо пацієнт живе з особою з групи високого ризику, наприклад, з</w:t>
      </w:r>
      <w:r w:rsidR="00AD2A09" w:rsidRPr="00ED35A9">
        <w:rPr>
          <w:szCs w:val="28"/>
          <w:lang w:val="uk-UA"/>
        </w:rPr>
        <w:t> </w:t>
      </w:r>
      <w:r w:rsidRPr="00ED35A9">
        <w:rPr>
          <w:szCs w:val="28"/>
          <w:lang w:val="uk-UA"/>
        </w:rPr>
        <w:t xml:space="preserve">ЛЖВ або з малою дитиною, можуть виникнути певні труднощі при наданні послуг з лікування та догляду пацієнта </w:t>
      </w:r>
      <w:r w:rsidR="00AD2A09" w:rsidRPr="00ED35A9">
        <w:rPr>
          <w:szCs w:val="28"/>
          <w:lang w:val="uk-UA"/>
        </w:rPr>
        <w:t>за домашніх умов</w:t>
      </w:r>
      <w:r w:rsidRPr="00ED35A9">
        <w:rPr>
          <w:szCs w:val="28"/>
          <w:lang w:val="uk-UA"/>
        </w:rPr>
        <w:t>. Проте ризик, який з’являється у людей із цих груп, істотно варіюється залежно від того, чи надає програма з лікування ТБ профілактичні препарати людям із груп ризику. Дослідження щодо застосування профілактичних препаратів при МРТБ зараз тривають.</w:t>
      </w:r>
    </w:p>
    <w:p w:rsidR="00A75154" w:rsidRPr="00ED35A9" w:rsidRDefault="00A75154" w:rsidP="00A75154">
      <w:pPr>
        <w:rPr>
          <w:lang w:val="uk-UA"/>
        </w:rPr>
      </w:pPr>
      <w:r w:rsidRPr="00ED35A9">
        <w:rPr>
          <w:szCs w:val="28"/>
          <w:lang w:val="uk-UA"/>
        </w:rPr>
        <w:t>Додатковим питанням щодо реалізації, яке потребує подальшого вирішення, є незаконність у деяких умовах лікування пацієнтів з МРТБ із застосуванням децентралізованого підходу, особливо за необхідності ін’єкційного лікування. Важливим є вирішення подібних правових перешкод.</w:t>
      </w:r>
    </w:p>
    <w:p w:rsidR="004B5B7F" w:rsidRPr="00ED35A9" w:rsidRDefault="004B5B7F" w:rsidP="000E0B10">
      <w:pPr>
        <w:rPr>
          <w:rFonts w:cs="Times New Roman"/>
          <w:szCs w:val="28"/>
          <w:lang w:val="uk-UA"/>
        </w:rPr>
      </w:pPr>
      <w:r w:rsidRPr="00ED35A9">
        <w:rPr>
          <w:rFonts w:cs="Times New Roman"/>
          <w:szCs w:val="28"/>
          <w:lang w:val="uk-UA"/>
        </w:rPr>
        <w:br w:type="page"/>
      </w:r>
    </w:p>
    <w:p w:rsidR="00BD4AA1" w:rsidRPr="00ED35A9" w:rsidRDefault="00BD4AA1" w:rsidP="00823898">
      <w:pPr>
        <w:pStyle w:val="1"/>
        <w:rPr>
          <w:lang w:val="uk-UA"/>
        </w:rPr>
      </w:pPr>
      <w:bookmarkStart w:id="74" w:name="_Toc18416327"/>
      <w:r w:rsidRPr="00ED35A9">
        <w:rPr>
          <w:lang w:val="uk-UA"/>
        </w:rPr>
        <w:lastRenderedPageBreak/>
        <w:t>Пріоритети дослідження</w:t>
      </w:r>
      <w:bookmarkEnd w:id="74"/>
    </w:p>
    <w:p w:rsidR="00BD4AA1" w:rsidRPr="00ED35A9" w:rsidRDefault="00BD4AA1" w:rsidP="00DB1EC9">
      <w:pPr>
        <w:spacing w:line="233" w:lineRule="auto"/>
        <w:rPr>
          <w:szCs w:val="28"/>
          <w:lang w:val="uk-UA"/>
        </w:rPr>
      </w:pPr>
      <w:r w:rsidRPr="00ED35A9">
        <w:rPr>
          <w:szCs w:val="28"/>
          <w:lang w:val="uk-UA"/>
        </w:rPr>
        <w:t xml:space="preserve">Під час проведення огляду для оновлення даної настанови було підсумовано наявні доказові дані, проте також було виявлено деякі прогалини у поточних даних щодо лікування МР/Риф-ТБ. При оцінюванні впливу наявних досліджень часто визначали низький або дуже низький показник достовірності, тому більшість рекомендацій у цій настанові є умовними. Деякі прогалини, виявлені у попередніх настановах із лікування ТБ, продовжують існувати </w:t>
      </w:r>
      <w:r w:rsidRPr="00ED35A9">
        <w:rPr>
          <w:i/>
          <w:szCs w:val="28"/>
          <w:lang w:val="uk-UA"/>
        </w:rPr>
        <w:t>(6)</w:t>
      </w:r>
      <w:r w:rsidRPr="00ED35A9">
        <w:rPr>
          <w:szCs w:val="28"/>
          <w:lang w:val="uk-UA"/>
        </w:rPr>
        <w:t>. Під час визначення доказових даних за системою GRADE було виявлено недостатню кількість досліджень щодо оцінювання пацієнтами, надавачами послуг та іншими зацікавленими сторонами різних варіантів та результатів лікування, а саме: час до визначення конверсії мокротиння, одужання, невдача лікування і рецидив, смертельні наслідки та СНЯ. Пошук шляхів впровадження, аналіз наявних ресурсів, підвищення обсягу витрат, прийнятність, здійсненність, справедливість, врахування цінностей та вподобань пацієнтів і медичних працівників, а також показників якості життя, мають бути релевантними для багатьох пріоритетних питань управління програмою ЛС-ТБ.</w:t>
      </w:r>
    </w:p>
    <w:p w:rsidR="00BD4AA1" w:rsidRPr="00ED35A9" w:rsidRDefault="00BD4AA1" w:rsidP="00DB1EC9">
      <w:pPr>
        <w:spacing w:line="233" w:lineRule="auto"/>
        <w:rPr>
          <w:szCs w:val="28"/>
          <w:lang w:val="uk-UA"/>
        </w:rPr>
      </w:pPr>
      <w:r w:rsidRPr="00ED35A9">
        <w:rPr>
          <w:szCs w:val="28"/>
          <w:lang w:val="uk-UA"/>
        </w:rPr>
        <w:t>Пріоритети дослідження, визначені декількома послідовними оглядами груп з розробки настанови, було поділено за відповідними розділами настанови, хоча більшість з них є взаємопов’язаними.</w:t>
      </w:r>
    </w:p>
    <w:p w:rsidR="00BD4AA1" w:rsidRPr="00ED35A9" w:rsidRDefault="00BD4AA1" w:rsidP="00DB1EC9">
      <w:pPr>
        <w:spacing w:line="233" w:lineRule="auto"/>
        <w:jc w:val="left"/>
        <w:rPr>
          <w:b/>
          <w:szCs w:val="28"/>
          <w:lang w:val="uk-UA"/>
        </w:rPr>
      </w:pPr>
      <w:r w:rsidRPr="00ED35A9">
        <w:rPr>
          <w:b/>
          <w:szCs w:val="28"/>
          <w:lang w:val="uk-UA"/>
        </w:rPr>
        <w:t xml:space="preserve">Розділ 1. Схеми для лікування </w:t>
      </w:r>
      <w:proofErr w:type="spellStart"/>
      <w:r w:rsidRPr="00ED35A9">
        <w:rPr>
          <w:b/>
          <w:szCs w:val="28"/>
          <w:lang w:val="uk-UA"/>
        </w:rPr>
        <w:t>ізоніазид</w:t>
      </w:r>
      <w:proofErr w:type="spellEnd"/>
      <w:r w:rsidRPr="00ED35A9">
        <w:rPr>
          <w:b/>
          <w:szCs w:val="28"/>
          <w:lang w:val="uk-UA"/>
        </w:rPr>
        <w:t>-резистентного туберкульозу</w:t>
      </w:r>
    </w:p>
    <w:p w:rsidR="00BD4AA1" w:rsidRPr="00ED35A9" w:rsidRDefault="00BD4AA1" w:rsidP="00DB1EC9">
      <w:pPr>
        <w:spacing w:line="233" w:lineRule="auto"/>
        <w:rPr>
          <w:szCs w:val="28"/>
          <w:lang w:val="uk-UA"/>
        </w:rPr>
      </w:pPr>
      <w:r w:rsidRPr="00ED35A9">
        <w:rPr>
          <w:szCs w:val="28"/>
          <w:lang w:val="uk-UA"/>
        </w:rPr>
        <w:t xml:space="preserve">Надання поточних рекомендацій стало можливим завдяки наявності глобальних ІДП щодо </w:t>
      </w:r>
      <w:proofErr w:type="spellStart"/>
      <w:r w:rsidRPr="00ED35A9">
        <w:rPr>
          <w:szCs w:val="28"/>
          <w:lang w:val="uk-UA"/>
        </w:rPr>
        <w:t>Hрез</w:t>
      </w:r>
      <w:proofErr w:type="spellEnd"/>
      <w:r w:rsidRPr="00ED35A9">
        <w:rPr>
          <w:szCs w:val="28"/>
          <w:lang w:val="uk-UA"/>
        </w:rPr>
        <w:t xml:space="preserve">-ТБ. Як і під час проведення інших оглядів ІДП, що стали підґрунтям для визначення попередніх рекомендацій ВООЗ, при проведенні аналізу ІДП щодо </w:t>
      </w:r>
      <w:proofErr w:type="spellStart"/>
      <w:r w:rsidRPr="00ED35A9">
        <w:rPr>
          <w:szCs w:val="28"/>
          <w:lang w:val="uk-UA"/>
        </w:rPr>
        <w:t>Hрез</w:t>
      </w:r>
      <w:proofErr w:type="spellEnd"/>
      <w:r w:rsidRPr="00ED35A9">
        <w:rPr>
          <w:szCs w:val="28"/>
          <w:lang w:val="uk-UA"/>
        </w:rPr>
        <w:t xml:space="preserve">-ТБ було порівняно різні групи пацієнтів із внесенням деяких коректив </w:t>
      </w:r>
      <w:proofErr w:type="spellStart"/>
      <w:r w:rsidRPr="00ED35A9">
        <w:rPr>
          <w:szCs w:val="28"/>
          <w:lang w:val="uk-UA"/>
        </w:rPr>
        <w:t>коваріа</w:t>
      </w:r>
      <w:r w:rsidR="007C497F" w:rsidRPr="00ED35A9">
        <w:rPr>
          <w:szCs w:val="28"/>
          <w:lang w:val="uk-UA"/>
        </w:rPr>
        <w:t>нтів</w:t>
      </w:r>
      <w:proofErr w:type="spellEnd"/>
      <w:r w:rsidR="007C497F" w:rsidRPr="00ED35A9">
        <w:rPr>
          <w:szCs w:val="28"/>
          <w:lang w:val="uk-UA"/>
        </w:rPr>
        <w:t xml:space="preserve"> </w:t>
      </w:r>
      <w:r w:rsidRPr="00ED35A9">
        <w:rPr>
          <w:szCs w:val="28"/>
          <w:lang w:val="uk-UA"/>
        </w:rPr>
        <w:t xml:space="preserve">та кращої інтерпретації результатів </w:t>
      </w:r>
      <w:r w:rsidRPr="00ED35A9">
        <w:rPr>
          <w:i/>
          <w:szCs w:val="28"/>
          <w:lang w:val="uk-UA"/>
        </w:rPr>
        <w:t>(43)</w:t>
      </w:r>
      <w:r w:rsidRPr="00ED35A9">
        <w:rPr>
          <w:szCs w:val="28"/>
          <w:lang w:val="uk-UA"/>
        </w:rPr>
        <w:t xml:space="preserve">. Для дослідників та національних програм важливим є продовження внесення даних пацієнтів до бази ІДП щодо </w:t>
      </w:r>
      <w:proofErr w:type="spellStart"/>
      <w:r w:rsidRPr="00ED35A9">
        <w:rPr>
          <w:szCs w:val="28"/>
          <w:lang w:val="uk-UA"/>
        </w:rPr>
        <w:t>Hрез</w:t>
      </w:r>
      <w:proofErr w:type="spellEnd"/>
      <w:r w:rsidRPr="00ED35A9">
        <w:rPr>
          <w:szCs w:val="28"/>
          <w:lang w:val="uk-UA"/>
        </w:rPr>
        <w:t>-ТБ для можливості їх використання як джерела інформації при розробці майбутніх стратегій.</w:t>
      </w:r>
    </w:p>
    <w:p w:rsidR="00BD4AA1" w:rsidRPr="00ED35A9" w:rsidRDefault="00BD4AA1" w:rsidP="00DB1EC9">
      <w:pPr>
        <w:spacing w:line="233" w:lineRule="auto"/>
        <w:rPr>
          <w:szCs w:val="28"/>
          <w:lang w:val="uk-UA"/>
        </w:rPr>
      </w:pPr>
      <w:r w:rsidRPr="00ED35A9">
        <w:rPr>
          <w:szCs w:val="28"/>
          <w:lang w:val="uk-UA"/>
        </w:rPr>
        <w:t xml:space="preserve">Слід зазначити, що всі рекомендації були умовними та мали дуже низьку якість доказових даних. Таким чином, необхідним є проведення подальших досліджень для визначення методів покращення стратегії та оптимізації лікування </w:t>
      </w:r>
      <w:proofErr w:type="spellStart"/>
      <w:r w:rsidRPr="00ED35A9">
        <w:rPr>
          <w:szCs w:val="28"/>
          <w:lang w:val="uk-UA"/>
        </w:rPr>
        <w:t>Hрез</w:t>
      </w:r>
      <w:proofErr w:type="spellEnd"/>
      <w:r w:rsidRPr="00ED35A9">
        <w:rPr>
          <w:szCs w:val="28"/>
          <w:lang w:val="uk-UA"/>
        </w:rPr>
        <w:t>-ТБ. Нижче наведено визначені ГРН різні пріоритетні напрямки досліджень.</w:t>
      </w:r>
    </w:p>
    <w:p w:rsidR="00BD4AA1" w:rsidRPr="00ED35A9" w:rsidRDefault="00BD4AA1" w:rsidP="00DB1EC9">
      <w:pPr>
        <w:pStyle w:val="a7"/>
        <w:numPr>
          <w:ilvl w:val="0"/>
          <w:numId w:val="11"/>
        </w:numPr>
        <w:tabs>
          <w:tab w:val="left" w:pos="993"/>
        </w:tabs>
        <w:spacing w:line="233" w:lineRule="auto"/>
        <w:ind w:left="0" w:firstLine="709"/>
        <w:rPr>
          <w:szCs w:val="28"/>
          <w:lang w:val="uk-UA"/>
        </w:rPr>
      </w:pPr>
      <w:r w:rsidRPr="00ED35A9">
        <w:rPr>
          <w:szCs w:val="28"/>
          <w:lang w:val="uk-UA"/>
        </w:rPr>
        <w:t xml:space="preserve">РКД для оцінювання ефективності, безпечності та переносності схем при лікуванні </w:t>
      </w:r>
      <w:proofErr w:type="spellStart"/>
      <w:r w:rsidRPr="00ED35A9">
        <w:rPr>
          <w:szCs w:val="28"/>
          <w:lang w:val="uk-UA"/>
        </w:rPr>
        <w:t>Hрез</w:t>
      </w:r>
      <w:proofErr w:type="spellEnd"/>
      <w:r w:rsidRPr="00ED35A9">
        <w:rPr>
          <w:szCs w:val="28"/>
          <w:lang w:val="uk-UA"/>
        </w:rPr>
        <w:t xml:space="preserve">-ТБ, а також випадків виникнення додаткової резистентності до інших препаратів, таких як </w:t>
      </w:r>
      <w:proofErr w:type="spellStart"/>
      <w:r w:rsidRPr="00ED35A9">
        <w:rPr>
          <w:szCs w:val="28"/>
          <w:lang w:val="uk-UA"/>
        </w:rPr>
        <w:t>етамбутол</w:t>
      </w:r>
      <w:proofErr w:type="spellEnd"/>
      <w:r w:rsidRPr="00ED35A9">
        <w:rPr>
          <w:szCs w:val="28"/>
          <w:lang w:val="uk-UA"/>
        </w:rPr>
        <w:t xml:space="preserve"> або </w:t>
      </w:r>
      <w:proofErr w:type="spellStart"/>
      <w:r w:rsidRPr="00ED35A9">
        <w:rPr>
          <w:szCs w:val="28"/>
          <w:lang w:val="uk-UA"/>
        </w:rPr>
        <w:t>піразинамід</w:t>
      </w:r>
      <w:proofErr w:type="spellEnd"/>
      <w:r w:rsidRPr="00ED35A9">
        <w:rPr>
          <w:szCs w:val="28"/>
          <w:lang w:val="uk-UA"/>
        </w:rPr>
        <w:t xml:space="preserve"> (наприклад, </w:t>
      </w:r>
      <w:proofErr w:type="spellStart"/>
      <w:r w:rsidRPr="00ED35A9">
        <w:rPr>
          <w:szCs w:val="28"/>
          <w:lang w:val="uk-UA"/>
        </w:rPr>
        <w:t>полірезистентність</w:t>
      </w:r>
      <w:proofErr w:type="spellEnd"/>
      <w:r w:rsidRPr="00ED35A9">
        <w:rPr>
          <w:szCs w:val="28"/>
          <w:lang w:val="uk-UA"/>
        </w:rPr>
        <w:t>).</w:t>
      </w:r>
    </w:p>
    <w:p w:rsidR="00BD4AA1" w:rsidRPr="00ED35A9" w:rsidRDefault="00BD4AA1" w:rsidP="00DB1EC9">
      <w:pPr>
        <w:pStyle w:val="a7"/>
        <w:numPr>
          <w:ilvl w:val="0"/>
          <w:numId w:val="11"/>
        </w:numPr>
        <w:tabs>
          <w:tab w:val="left" w:pos="993"/>
        </w:tabs>
        <w:spacing w:line="233" w:lineRule="auto"/>
        <w:ind w:left="0" w:firstLine="709"/>
        <w:rPr>
          <w:szCs w:val="28"/>
          <w:lang w:val="uk-UA"/>
        </w:rPr>
      </w:pPr>
      <w:r w:rsidRPr="00ED35A9">
        <w:rPr>
          <w:szCs w:val="28"/>
          <w:lang w:val="uk-UA"/>
        </w:rPr>
        <w:t xml:space="preserve">Дослідження для визначення потенційних переваг та ризиків лікування із застосуванням </w:t>
      </w:r>
      <w:proofErr w:type="spellStart"/>
      <w:r w:rsidRPr="00ED35A9">
        <w:rPr>
          <w:szCs w:val="28"/>
          <w:lang w:val="uk-UA"/>
        </w:rPr>
        <w:t>ізоніазиду</w:t>
      </w:r>
      <w:proofErr w:type="spellEnd"/>
      <w:r w:rsidRPr="00ED35A9">
        <w:rPr>
          <w:szCs w:val="28"/>
          <w:lang w:val="uk-UA"/>
        </w:rPr>
        <w:t xml:space="preserve"> у високих дозах.</w:t>
      </w:r>
    </w:p>
    <w:p w:rsidR="00BD4AA1" w:rsidRPr="00ED35A9" w:rsidRDefault="00BD4AA1" w:rsidP="00DB1EC9">
      <w:pPr>
        <w:pStyle w:val="a7"/>
        <w:numPr>
          <w:ilvl w:val="0"/>
          <w:numId w:val="11"/>
        </w:numPr>
        <w:tabs>
          <w:tab w:val="left" w:pos="993"/>
        </w:tabs>
        <w:spacing w:line="233" w:lineRule="auto"/>
        <w:ind w:left="0" w:firstLine="709"/>
        <w:rPr>
          <w:szCs w:val="28"/>
          <w:lang w:val="uk-UA"/>
        </w:rPr>
      </w:pPr>
      <w:r w:rsidRPr="00ED35A9">
        <w:rPr>
          <w:szCs w:val="28"/>
          <w:lang w:val="uk-UA"/>
        </w:rPr>
        <w:t xml:space="preserve">Високоякісні дослідження для оптимізації складу та тривалості схем у дітей і дорослих, особливо при застосуванні </w:t>
      </w:r>
      <w:proofErr w:type="spellStart"/>
      <w:r w:rsidRPr="00ED35A9">
        <w:rPr>
          <w:szCs w:val="28"/>
          <w:lang w:val="uk-UA"/>
        </w:rPr>
        <w:t>ізоніазиду</w:t>
      </w:r>
      <w:proofErr w:type="spellEnd"/>
      <w:r w:rsidRPr="00ED35A9">
        <w:rPr>
          <w:szCs w:val="28"/>
          <w:lang w:val="uk-UA"/>
        </w:rPr>
        <w:t xml:space="preserve"> у високих дозах, </w:t>
      </w:r>
      <w:proofErr w:type="spellStart"/>
      <w:r w:rsidRPr="00ED35A9">
        <w:rPr>
          <w:szCs w:val="28"/>
          <w:lang w:val="uk-UA"/>
        </w:rPr>
        <w:t>фторхінолонів</w:t>
      </w:r>
      <w:proofErr w:type="spellEnd"/>
      <w:r w:rsidRPr="00ED35A9">
        <w:rPr>
          <w:szCs w:val="28"/>
          <w:lang w:val="uk-UA"/>
        </w:rPr>
        <w:t xml:space="preserve"> та інших препаратів другого ряду, а також скорочення тривалості прийому </w:t>
      </w:r>
      <w:proofErr w:type="spellStart"/>
      <w:r w:rsidRPr="00ED35A9">
        <w:rPr>
          <w:szCs w:val="28"/>
          <w:lang w:val="uk-UA"/>
        </w:rPr>
        <w:t>піразинаміду</w:t>
      </w:r>
      <w:proofErr w:type="spellEnd"/>
      <w:r w:rsidRPr="00ED35A9">
        <w:rPr>
          <w:szCs w:val="28"/>
          <w:lang w:val="uk-UA"/>
        </w:rPr>
        <w:t>.</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lastRenderedPageBreak/>
        <w:t xml:space="preserve">Дослідження з моделювання для визначення </w:t>
      </w:r>
      <w:r w:rsidR="007C497F" w:rsidRPr="00ED35A9">
        <w:rPr>
          <w:szCs w:val="28"/>
          <w:lang w:val="uk-UA"/>
        </w:rPr>
        <w:t xml:space="preserve">оціночної кількості при </w:t>
      </w:r>
      <w:r w:rsidRPr="00ED35A9">
        <w:rPr>
          <w:szCs w:val="28"/>
          <w:lang w:val="uk-UA"/>
        </w:rPr>
        <w:t>емпірично</w:t>
      </w:r>
      <w:r w:rsidR="007C497F" w:rsidRPr="00ED35A9">
        <w:rPr>
          <w:szCs w:val="28"/>
          <w:lang w:val="uk-UA"/>
        </w:rPr>
        <w:t xml:space="preserve">му </w:t>
      </w:r>
      <w:r w:rsidRPr="00ED35A9">
        <w:rPr>
          <w:szCs w:val="28"/>
          <w:lang w:val="uk-UA"/>
        </w:rPr>
        <w:t>використанн</w:t>
      </w:r>
      <w:r w:rsidR="007C497F" w:rsidRPr="00ED35A9">
        <w:rPr>
          <w:szCs w:val="28"/>
          <w:lang w:val="uk-UA"/>
        </w:rPr>
        <w:t xml:space="preserve">і </w:t>
      </w:r>
      <w:r w:rsidRPr="00ED35A9">
        <w:rPr>
          <w:szCs w:val="28"/>
          <w:lang w:val="uk-UA"/>
        </w:rPr>
        <w:t xml:space="preserve">схеми лікування </w:t>
      </w:r>
      <w:proofErr w:type="spellStart"/>
      <w:r w:rsidRPr="00ED35A9">
        <w:rPr>
          <w:szCs w:val="28"/>
          <w:lang w:val="uk-UA"/>
        </w:rPr>
        <w:t>Hрез</w:t>
      </w:r>
      <w:proofErr w:type="spellEnd"/>
      <w:r w:rsidRPr="00ED35A9">
        <w:rPr>
          <w:szCs w:val="28"/>
          <w:lang w:val="uk-UA"/>
        </w:rPr>
        <w:t>-ТБ, враховуючи ризики та переваги.</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Високоякісні дослідження щодо подовженого лікування ВІЛ-позитивних осіб.</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Високоякісні дослідження з оцінювання схеми лікування для </w:t>
      </w:r>
      <w:proofErr w:type="spellStart"/>
      <w:r w:rsidRPr="00ED35A9">
        <w:rPr>
          <w:szCs w:val="28"/>
          <w:lang w:val="uk-UA"/>
        </w:rPr>
        <w:t>позалегеневого</w:t>
      </w:r>
      <w:proofErr w:type="spellEnd"/>
      <w:r w:rsidRPr="00ED35A9">
        <w:rPr>
          <w:szCs w:val="28"/>
          <w:lang w:val="uk-UA"/>
        </w:rPr>
        <w:t xml:space="preserve"> або </w:t>
      </w:r>
      <w:proofErr w:type="spellStart"/>
      <w:r w:rsidRPr="00ED35A9">
        <w:rPr>
          <w:szCs w:val="28"/>
          <w:lang w:val="uk-UA"/>
        </w:rPr>
        <w:t>дисемінованого</w:t>
      </w:r>
      <w:proofErr w:type="spellEnd"/>
      <w:r w:rsidRPr="00ED35A9">
        <w:rPr>
          <w:szCs w:val="28"/>
          <w:lang w:val="uk-UA"/>
        </w:rPr>
        <w:t xml:space="preserve"> ТБ.</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Практичне розроблення КПФД з REZ (із </w:t>
      </w:r>
      <w:proofErr w:type="spellStart"/>
      <w:r w:rsidRPr="00ED35A9">
        <w:rPr>
          <w:szCs w:val="28"/>
          <w:lang w:val="uk-UA"/>
        </w:rPr>
        <w:t>левофлоксацином</w:t>
      </w:r>
      <w:proofErr w:type="spellEnd"/>
      <w:r w:rsidRPr="00ED35A9">
        <w:rPr>
          <w:szCs w:val="28"/>
          <w:lang w:val="uk-UA"/>
        </w:rPr>
        <w:t xml:space="preserve"> або без нього).</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Моніторинг реакції пацієнтів за генотипом резистентності до </w:t>
      </w:r>
      <w:proofErr w:type="spellStart"/>
      <w:r w:rsidRPr="00ED35A9">
        <w:rPr>
          <w:szCs w:val="28"/>
          <w:lang w:val="uk-UA"/>
        </w:rPr>
        <w:t>ізоніазиду</w:t>
      </w:r>
      <w:proofErr w:type="spellEnd"/>
      <w:r w:rsidRPr="00ED35A9">
        <w:rPr>
          <w:szCs w:val="28"/>
          <w:lang w:val="uk-UA"/>
        </w:rPr>
        <w:t xml:space="preserve"> (наприклад, мутації </w:t>
      </w:r>
      <w:proofErr w:type="spellStart"/>
      <w:r w:rsidRPr="00ED35A9">
        <w:rPr>
          <w:i/>
          <w:szCs w:val="28"/>
          <w:lang w:val="uk-UA"/>
        </w:rPr>
        <w:t>katG</w:t>
      </w:r>
      <w:proofErr w:type="spellEnd"/>
      <w:r w:rsidRPr="00ED35A9">
        <w:rPr>
          <w:szCs w:val="28"/>
          <w:lang w:val="uk-UA"/>
        </w:rPr>
        <w:t xml:space="preserve"> або </w:t>
      </w:r>
      <w:proofErr w:type="spellStart"/>
      <w:r w:rsidRPr="00ED35A9">
        <w:rPr>
          <w:i/>
          <w:szCs w:val="28"/>
          <w:lang w:val="uk-UA"/>
        </w:rPr>
        <w:t>inh</w:t>
      </w:r>
      <w:proofErr w:type="spellEnd"/>
      <w:r w:rsidR="00DB1EC9">
        <w:rPr>
          <w:i/>
          <w:szCs w:val="28"/>
          <w:lang w:val="en-US"/>
        </w:rPr>
        <w:t>A</w:t>
      </w:r>
      <w:r w:rsidRPr="00ED35A9">
        <w:rPr>
          <w:szCs w:val="28"/>
          <w:lang w:val="uk-UA"/>
        </w:rPr>
        <w:t>) як в окремого пацієнта, так і за розподілом генотипів у популяції.</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Економічна ефективність різних підходів до ТМЧ, зокрема використання швидких тестів в усіх пацієнтів з ТБ для визначення резистентності як до </w:t>
      </w:r>
      <w:proofErr w:type="spellStart"/>
      <w:r w:rsidRPr="00ED35A9">
        <w:rPr>
          <w:szCs w:val="28"/>
          <w:lang w:val="uk-UA"/>
        </w:rPr>
        <w:t>ізоніазиду</w:t>
      </w:r>
      <w:proofErr w:type="spellEnd"/>
      <w:r w:rsidRPr="00ED35A9">
        <w:rPr>
          <w:szCs w:val="28"/>
          <w:lang w:val="uk-UA"/>
        </w:rPr>
        <w:t xml:space="preserve">, так і до </w:t>
      </w:r>
      <w:proofErr w:type="spellStart"/>
      <w:r w:rsidRPr="00ED35A9">
        <w:rPr>
          <w:szCs w:val="28"/>
          <w:lang w:val="uk-UA"/>
        </w:rPr>
        <w:t>рифампіцину</w:t>
      </w:r>
      <w:proofErr w:type="spellEnd"/>
      <w:r w:rsidRPr="00ED35A9">
        <w:rPr>
          <w:szCs w:val="28"/>
          <w:lang w:val="uk-UA"/>
        </w:rPr>
        <w:t>, до початку лікування.</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Узгодження плану лікування з громадами та іншими зацікавленими сторонами (наприклад, з практикуючими лікарями, соціальними працівниками) для дослідження соціально-культурних факторів, які можуть сприяти підвищенню рівня прихильності до лікування та мати вплив на його результати.</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Вплив </w:t>
      </w:r>
      <w:proofErr w:type="spellStart"/>
      <w:r w:rsidRPr="00ED35A9">
        <w:rPr>
          <w:szCs w:val="28"/>
          <w:lang w:val="uk-UA"/>
        </w:rPr>
        <w:t>полірезистентності</w:t>
      </w:r>
      <w:proofErr w:type="spellEnd"/>
      <w:r w:rsidRPr="00ED35A9">
        <w:rPr>
          <w:szCs w:val="28"/>
          <w:lang w:val="uk-UA"/>
        </w:rPr>
        <w:t xml:space="preserve"> до </w:t>
      </w:r>
      <w:proofErr w:type="spellStart"/>
      <w:r w:rsidRPr="00ED35A9">
        <w:rPr>
          <w:szCs w:val="28"/>
          <w:lang w:val="uk-UA"/>
        </w:rPr>
        <w:t>фторхінолонів</w:t>
      </w:r>
      <w:proofErr w:type="spellEnd"/>
      <w:r w:rsidRPr="00ED35A9">
        <w:rPr>
          <w:szCs w:val="28"/>
          <w:lang w:val="uk-UA"/>
        </w:rPr>
        <w:t>/</w:t>
      </w:r>
      <w:proofErr w:type="spellStart"/>
      <w:r w:rsidRPr="00ED35A9">
        <w:rPr>
          <w:szCs w:val="28"/>
          <w:lang w:val="uk-UA"/>
        </w:rPr>
        <w:t>ізоніазиду</w:t>
      </w:r>
      <w:proofErr w:type="spellEnd"/>
      <w:r w:rsidRPr="00ED35A9">
        <w:rPr>
          <w:szCs w:val="28"/>
          <w:lang w:val="uk-UA"/>
        </w:rPr>
        <w:t xml:space="preserve"> на результати лікування.</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Діагностична точність лінійних зонд-аналізів другого ряду для пацієнтів з чутливістю до </w:t>
      </w:r>
      <w:proofErr w:type="spellStart"/>
      <w:r w:rsidRPr="00ED35A9">
        <w:rPr>
          <w:szCs w:val="28"/>
          <w:lang w:val="uk-UA"/>
        </w:rPr>
        <w:t>рифампіцину</w:t>
      </w:r>
      <w:proofErr w:type="spellEnd"/>
      <w:r w:rsidRPr="00ED35A9">
        <w:rPr>
          <w:szCs w:val="28"/>
          <w:lang w:val="uk-UA"/>
        </w:rPr>
        <w:t>.</w:t>
      </w:r>
    </w:p>
    <w:p w:rsidR="00BD4AA1" w:rsidRPr="00ED35A9" w:rsidRDefault="00BD4AA1" w:rsidP="00BD4AA1">
      <w:pPr>
        <w:jc w:val="left"/>
        <w:rPr>
          <w:b/>
          <w:szCs w:val="28"/>
          <w:lang w:val="uk-UA"/>
        </w:rPr>
      </w:pPr>
      <w:r w:rsidRPr="00ED35A9">
        <w:rPr>
          <w:b/>
          <w:szCs w:val="28"/>
          <w:lang w:val="uk-UA"/>
        </w:rPr>
        <w:t xml:space="preserve">Розділ 2. Склад довгострокових схем лікування </w:t>
      </w:r>
      <w:proofErr w:type="spellStart"/>
      <w:r w:rsidRPr="00ED35A9">
        <w:rPr>
          <w:b/>
          <w:szCs w:val="28"/>
          <w:lang w:val="uk-UA"/>
        </w:rPr>
        <w:t>мультирезистентного</w:t>
      </w:r>
      <w:proofErr w:type="spellEnd"/>
      <w:r w:rsidRPr="00ED35A9">
        <w:rPr>
          <w:b/>
          <w:szCs w:val="28"/>
          <w:lang w:val="uk-UA"/>
        </w:rPr>
        <w:t xml:space="preserve"> туберкульозу</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Оптимальна комбінація препаратів та підходів до складання схеми у дорослих і дітей з МРТБ за наявності або відсутності додаткової резистентності до ключових препаратів.</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Кількість РКД, особливо в яких застосовують нові препарати та схеми, все ще є недостатньою. Публікація результатів перших випробувань третьої фази лікування МРТБ призвела до предметної дискусії щодо клінічної актуальності дизайну і кінцевих точок, вибраних для цього дослідження, що подекуди потребує проведення </w:t>
      </w:r>
      <w:proofErr w:type="spellStart"/>
      <w:r w:rsidRPr="00ED35A9">
        <w:rPr>
          <w:szCs w:val="28"/>
          <w:lang w:val="uk-UA"/>
        </w:rPr>
        <w:t>позапротокольного</w:t>
      </w:r>
      <w:proofErr w:type="spellEnd"/>
      <w:r w:rsidRPr="00ED35A9">
        <w:rPr>
          <w:szCs w:val="28"/>
          <w:lang w:val="uk-UA"/>
        </w:rPr>
        <w:t xml:space="preserve"> аналізу даних для дослідження додаткової потенційної цінності експериментальних </w:t>
      </w:r>
      <w:proofErr w:type="spellStart"/>
      <w:r w:rsidRPr="00ED35A9">
        <w:rPr>
          <w:szCs w:val="28"/>
          <w:lang w:val="uk-UA"/>
        </w:rPr>
        <w:t>втручань</w:t>
      </w:r>
      <w:proofErr w:type="spellEnd"/>
      <w:r w:rsidRPr="00ED35A9">
        <w:rPr>
          <w:szCs w:val="28"/>
          <w:lang w:val="uk-UA"/>
        </w:rPr>
        <w:t>.</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Включення до РКД ключових підгруп та окреме звітування щодо отриманих в них результатів, особливо у дітей, вагітних жінок та жінок у період годування груддю, а також у ВІЛ-позитивних осіб.</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Дослідження з фармакокінетики та безпеки застосування препаратів для визначення оптимального дозування лікарських засобів (особливо для вагітних) та впливу </w:t>
      </w:r>
      <w:r w:rsidR="007C497F" w:rsidRPr="00ED35A9">
        <w:rPr>
          <w:szCs w:val="28"/>
          <w:lang w:val="uk-UA"/>
        </w:rPr>
        <w:t xml:space="preserve">одночасних </w:t>
      </w:r>
      <w:r w:rsidRPr="00ED35A9">
        <w:rPr>
          <w:szCs w:val="28"/>
          <w:lang w:val="uk-UA"/>
        </w:rPr>
        <w:t>маніпуляцій з наявними лікарськими формами.</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lastRenderedPageBreak/>
        <w:t xml:space="preserve">Ретельне документування небажаних явищ із стандартизованим фіксуванням даних щодо класу органів, серйозності, тяжкості та достовірності впливу дозволить проводити обґрунтоване порівняння між впливом небажаних явищ та </w:t>
      </w:r>
      <w:r w:rsidR="007C497F" w:rsidRPr="00ED35A9">
        <w:rPr>
          <w:szCs w:val="28"/>
          <w:lang w:val="uk-UA"/>
        </w:rPr>
        <w:t xml:space="preserve">впливом </w:t>
      </w:r>
      <w:r w:rsidRPr="00ED35A9">
        <w:rPr>
          <w:szCs w:val="28"/>
          <w:lang w:val="uk-UA"/>
        </w:rPr>
        <w:t>різних препаратів між дослідженнями, підгрупами пацієнтів і різними схемами.</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Визначення мінімальної кількості препаратів та тривалості лікування (особливо у пацієнтів, що раніше проходили курс лікування МРТБ).</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Покращення методів діагностики та якості ТМЧ (наприклад, проведення тестування щодо </w:t>
      </w:r>
      <w:proofErr w:type="spellStart"/>
      <w:r w:rsidRPr="00ED35A9">
        <w:rPr>
          <w:szCs w:val="28"/>
          <w:lang w:val="uk-UA"/>
        </w:rPr>
        <w:t>піразинаміду</w:t>
      </w:r>
      <w:proofErr w:type="spellEnd"/>
      <w:r w:rsidRPr="00ED35A9">
        <w:rPr>
          <w:szCs w:val="28"/>
          <w:lang w:val="uk-UA"/>
        </w:rPr>
        <w:t>, а також щодо препаратів, для яких на даний момент не існує швидких молекулярних методів).</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Важливим є проведення подальших досліджень щодо наступних препаратів:</w:t>
      </w:r>
    </w:p>
    <w:p w:rsidR="00BD4AA1" w:rsidRPr="00ED35A9" w:rsidRDefault="00BD4AA1" w:rsidP="00BD4AA1">
      <w:pPr>
        <w:pStyle w:val="a7"/>
        <w:numPr>
          <w:ilvl w:val="0"/>
          <w:numId w:val="12"/>
        </w:numPr>
        <w:rPr>
          <w:szCs w:val="28"/>
          <w:lang w:val="uk-UA"/>
        </w:rPr>
      </w:pPr>
      <w:proofErr w:type="spellStart"/>
      <w:r w:rsidRPr="00ED35A9">
        <w:rPr>
          <w:szCs w:val="28"/>
          <w:lang w:val="uk-UA"/>
        </w:rPr>
        <w:t>левофлоксацин</w:t>
      </w:r>
      <w:proofErr w:type="spellEnd"/>
      <w:r w:rsidRPr="00ED35A9">
        <w:rPr>
          <w:szCs w:val="28"/>
          <w:lang w:val="uk-UA"/>
        </w:rPr>
        <w:t xml:space="preserve">: оптимізація дозування (очікуються результати дослідження </w:t>
      </w:r>
      <w:proofErr w:type="spellStart"/>
      <w:r w:rsidRPr="00ED35A9">
        <w:rPr>
          <w:szCs w:val="28"/>
          <w:lang w:val="uk-UA"/>
        </w:rPr>
        <w:t>Opti</w:t>
      </w:r>
      <w:proofErr w:type="spellEnd"/>
      <w:r w:rsidRPr="00ED35A9">
        <w:rPr>
          <w:szCs w:val="28"/>
          <w:lang w:val="uk-UA"/>
        </w:rPr>
        <w:t xml:space="preserve">-Q) </w:t>
      </w:r>
      <w:r w:rsidRPr="00ED35A9">
        <w:rPr>
          <w:i/>
          <w:szCs w:val="28"/>
          <w:lang w:val="uk-UA"/>
        </w:rPr>
        <w:t>(215)</w:t>
      </w:r>
      <w:r w:rsidRPr="00ED35A9">
        <w:rPr>
          <w:szCs w:val="28"/>
          <w:lang w:val="uk-UA"/>
        </w:rPr>
        <w:t>;</w:t>
      </w:r>
    </w:p>
    <w:p w:rsidR="00BD4AA1" w:rsidRPr="00ED35A9" w:rsidRDefault="00BD4AA1" w:rsidP="00BD4AA1">
      <w:pPr>
        <w:pStyle w:val="a7"/>
        <w:numPr>
          <w:ilvl w:val="0"/>
          <w:numId w:val="12"/>
        </w:numPr>
        <w:rPr>
          <w:szCs w:val="28"/>
          <w:lang w:val="uk-UA"/>
        </w:rPr>
      </w:pPr>
      <w:proofErr w:type="spellStart"/>
      <w:r w:rsidRPr="00ED35A9">
        <w:rPr>
          <w:szCs w:val="28"/>
          <w:lang w:val="uk-UA"/>
        </w:rPr>
        <w:t>бедаквілін</w:t>
      </w:r>
      <w:proofErr w:type="spellEnd"/>
      <w:r w:rsidRPr="00ED35A9">
        <w:rPr>
          <w:szCs w:val="28"/>
          <w:lang w:val="uk-UA"/>
        </w:rPr>
        <w:t xml:space="preserve">: можливість застосування у дітей, визначення оптимальних </w:t>
      </w:r>
      <w:proofErr w:type="spellStart"/>
      <w:r w:rsidRPr="00ED35A9">
        <w:rPr>
          <w:szCs w:val="28"/>
          <w:lang w:val="uk-UA"/>
        </w:rPr>
        <w:t>фармакокінетичних</w:t>
      </w:r>
      <w:proofErr w:type="spellEnd"/>
      <w:r w:rsidRPr="00ED35A9">
        <w:rPr>
          <w:szCs w:val="28"/>
          <w:lang w:val="uk-UA"/>
        </w:rPr>
        <w:t xml:space="preserve"> властивостей; перегляд аналізу економічної ефективності на основі МА ІДП; оптимізація тривалості застосування у дорослих та дітей;</w:t>
      </w:r>
    </w:p>
    <w:p w:rsidR="00BD4AA1" w:rsidRPr="00ED35A9" w:rsidRDefault="00BD4AA1" w:rsidP="00BD4AA1">
      <w:pPr>
        <w:pStyle w:val="a7"/>
        <w:numPr>
          <w:ilvl w:val="0"/>
          <w:numId w:val="12"/>
        </w:numPr>
        <w:rPr>
          <w:szCs w:val="28"/>
          <w:lang w:val="uk-UA"/>
        </w:rPr>
      </w:pPr>
      <w:proofErr w:type="spellStart"/>
      <w:r w:rsidRPr="00ED35A9">
        <w:rPr>
          <w:szCs w:val="28"/>
          <w:lang w:val="uk-UA"/>
        </w:rPr>
        <w:t>лінезолід</w:t>
      </w:r>
      <w:proofErr w:type="spellEnd"/>
      <w:r w:rsidRPr="00ED35A9">
        <w:rPr>
          <w:szCs w:val="28"/>
          <w:lang w:val="uk-UA"/>
        </w:rPr>
        <w:t>: оптимізація дозування та тривалості застосування у дорослих та дітей; прогнозування щодо виникнення побічних реакцій;</w:t>
      </w:r>
    </w:p>
    <w:p w:rsidR="00BD4AA1" w:rsidRPr="00ED35A9" w:rsidRDefault="00BD4AA1" w:rsidP="00BD4AA1">
      <w:pPr>
        <w:pStyle w:val="a7"/>
        <w:numPr>
          <w:ilvl w:val="0"/>
          <w:numId w:val="12"/>
        </w:numPr>
        <w:rPr>
          <w:szCs w:val="28"/>
          <w:lang w:val="uk-UA"/>
        </w:rPr>
      </w:pPr>
      <w:proofErr w:type="spellStart"/>
      <w:r w:rsidRPr="00ED35A9">
        <w:rPr>
          <w:szCs w:val="28"/>
          <w:lang w:val="uk-UA"/>
        </w:rPr>
        <w:t>клофазимін</w:t>
      </w:r>
      <w:proofErr w:type="spellEnd"/>
      <w:r w:rsidRPr="00ED35A9">
        <w:rPr>
          <w:szCs w:val="28"/>
          <w:lang w:val="uk-UA"/>
        </w:rPr>
        <w:t>: оптимізація дозування, особливо для застосування у дітей; будь-яка додаткова користь при використанні ударної дози; доступність методів ТМЧ;</w:t>
      </w:r>
    </w:p>
    <w:p w:rsidR="00BD4AA1" w:rsidRPr="00ED35A9" w:rsidRDefault="00BD4AA1" w:rsidP="00BD4AA1">
      <w:pPr>
        <w:pStyle w:val="a7"/>
        <w:numPr>
          <w:ilvl w:val="0"/>
          <w:numId w:val="12"/>
        </w:numPr>
        <w:rPr>
          <w:szCs w:val="28"/>
          <w:lang w:val="uk-UA"/>
        </w:rPr>
      </w:pPr>
      <w:proofErr w:type="spellStart"/>
      <w:r w:rsidRPr="00ED35A9">
        <w:rPr>
          <w:szCs w:val="28"/>
          <w:lang w:val="uk-UA"/>
        </w:rPr>
        <w:t>циклосерін</w:t>
      </w:r>
      <w:proofErr w:type="spellEnd"/>
      <w:r w:rsidRPr="00ED35A9">
        <w:rPr>
          <w:szCs w:val="28"/>
          <w:lang w:val="uk-UA"/>
        </w:rPr>
        <w:t>/</w:t>
      </w:r>
      <w:proofErr w:type="spellStart"/>
      <w:r w:rsidRPr="00ED35A9">
        <w:rPr>
          <w:szCs w:val="28"/>
          <w:lang w:val="uk-UA"/>
        </w:rPr>
        <w:t>теризидон</w:t>
      </w:r>
      <w:proofErr w:type="spellEnd"/>
      <w:r w:rsidRPr="00ED35A9">
        <w:rPr>
          <w:szCs w:val="28"/>
          <w:lang w:val="uk-UA"/>
        </w:rPr>
        <w:t>: порівняння ефективності цих двох препаратів з визначенням підходів до тестування на чутливість до них; досвід найкращих практик щодо надання психіатричної допомоги особам, в яких застосовують ці препарати;</w:t>
      </w:r>
    </w:p>
    <w:p w:rsidR="00BD4AA1" w:rsidRPr="00ED35A9" w:rsidRDefault="00BD4AA1" w:rsidP="00BD4AA1">
      <w:pPr>
        <w:pStyle w:val="a7"/>
        <w:numPr>
          <w:ilvl w:val="0"/>
          <w:numId w:val="12"/>
        </w:numPr>
        <w:rPr>
          <w:szCs w:val="28"/>
          <w:lang w:val="uk-UA"/>
        </w:rPr>
      </w:pPr>
      <w:proofErr w:type="spellStart"/>
      <w:r w:rsidRPr="00ED35A9">
        <w:rPr>
          <w:szCs w:val="28"/>
          <w:lang w:val="uk-UA"/>
        </w:rPr>
        <w:t>деламанід</w:t>
      </w:r>
      <w:proofErr w:type="spellEnd"/>
      <w:r w:rsidRPr="00ED35A9">
        <w:rPr>
          <w:szCs w:val="28"/>
          <w:lang w:val="uk-UA"/>
        </w:rPr>
        <w:t xml:space="preserve">: краще розуміння його впливу при застосуванні у схемах лікування МРТБ, зокрема у дітей (фармакокінетика/ </w:t>
      </w:r>
      <w:proofErr w:type="spellStart"/>
      <w:r w:rsidRPr="00ED35A9">
        <w:rPr>
          <w:szCs w:val="28"/>
          <w:lang w:val="uk-UA"/>
        </w:rPr>
        <w:t>фармакодинаміка</w:t>
      </w:r>
      <w:proofErr w:type="spellEnd"/>
      <w:r w:rsidRPr="00ED35A9">
        <w:rPr>
          <w:szCs w:val="28"/>
          <w:lang w:val="uk-UA"/>
        </w:rPr>
        <w:t xml:space="preserve"> – ФК/ФД), ЛЖВ та вагітних жінок; механізми розвитку медикаментозної резистентності; оптимізація тривалості застосування у дорослих та дітей;</w:t>
      </w:r>
    </w:p>
    <w:p w:rsidR="00BD4AA1" w:rsidRPr="00ED35A9" w:rsidRDefault="00BD4AA1" w:rsidP="00BD4AA1">
      <w:pPr>
        <w:pStyle w:val="a7"/>
        <w:numPr>
          <w:ilvl w:val="0"/>
          <w:numId w:val="12"/>
        </w:numPr>
        <w:rPr>
          <w:szCs w:val="28"/>
          <w:lang w:val="uk-UA"/>
        </w:rPr>
      </w:pPr>
      <w:proofErr w:type="spellStart"/>
      <w:r w:rsidRPr="00ED35A9">
        <w:rPr>
          <w:szCs w:val="28"/>
          <w:lang w:val="uk-UA"/>
        </w:rPr>
        <w:t>піразинамід</w:t>
      </w:r>
      <w:proofErr w:type="spellEnd"/>
      <w:r w:rsidRPr="00ED35A9">
        <w:rPr>
          <w:szCs w:val="28"/>
          <w:lang w:val="uk-UA"/>
        </w:rPr>
        <w:t>: молекулярне тестування на резистентність (з використанням лінійного зонд-аналізу або інших підходів);</w:t>
      </w:r>
    </w:p>
    <w:p w:rsidR="00BD4AA1" w:rsidRPr="00ED35A9" w:rsidRDefault="00BD4AA1" w:rsidP="00BD4AA1">
      <w:pPr>
        <w:pStyle w:val="a7"/>
        <w:numPr>
          <w:ilvl w:val="0"/>
          <w:numId w:val="12"/>
        </w:numPr>
        <w:rPr>
          <w:szCs w:val="28"/>
          <w:lang w:val="uk-UA"/>
        </w:rPr>
      </w:pPr>
      <w:proofErr w:type="spellStart"/>
      <w:r w:rsidRPr="00ED35A9">
        <w:rPr>
          <w:szCs w:val="28"/>
          <w:lang w:val="uk-UA"/>
        </w:rPr>
        <w:t>карбапенеми</w:t>
      </w:r>
      <w:proofErr w:type="spellEnd"/>
      <w:r w:rsidRPr="00ED35A9">
        <w:rPr>
          <w:szCs w:val="28"/>
          <w:lang w:val="uk-UA"/>
        </w:rPr>
        <w:t xml:space="preserve">: враховуючи ефективність, визначену при проведенні огляду доказових даних, важливим є подальше дослідження їхнього впливу при застосуванні у схемах лікування МРТБ, зокрема визначення потенційної можливості та економічної ефективності застосування </w:t>
      </w:r>
      <w:proofErr w:type="spellStart"/>
      <w:r w:rsidRPr="00ED35A9">
        <w:rPr>
          <w:szCs w:val="28"/>
          <w:lang w:val="uk-UA"/>
        </w:rPr>
        <w:t>ертапенему</w:t>
      </w:r>
      <w:proofErr w:type="spellEnd"/>
      <w:r w:rsidRPr="00ED35A9">
        <w:rPr>
          <w:szCs w:val="28"/>
          <w:lang w:val="uk-UA"/>
        </w:rPr>
        <w:t xml:space="preserve"> (який можна вводити </w:t>
      </w:r>
      <w:proofErr w:type="spellStart"/>
      <w:r w:rsidRPr="00ED35A9">
        <w:rPr>
          <w:szCs w:val="28"/>
          <w:lang w:val="uk-UA"/>
        </w:rPr>
        <w:t>внутрішньом’язово</w:t>
      </w:r>
      <w:proofErr w:type="spellEnd"/>
      <w:r w:rsidRPr="00ED35A9">
        <w:rPr>
          <w:szCs w:val="28"/>
          <w:lang w:val="uk-UA"/>
        </w:rPr>
        <w:t xml:space="preserve">) замість </w:t>
      </w:r>
      <w:proofErr w:type="spellStart"/>
      <w:r w:rsidRPr="00ED35A9">
        <w:rPr>
          <w:szCs w:val="28"/>
          <w:lang w:val="uk-UA"/>
        </w:rPr>
        <w:t>меропенему</w:t>
      </w:r>
      <w:proofErr w:type="spellEnd"/>
      <w:r w:rsidRPr="00ED35A9">
        <w:rPr>
          <w:szCs w:val="28"/>
          <w:lang w:val="uk-UA"/>
        </w:rPr>
        <w:t xml:space="preserve"> та </w:t>
      </w:r>
      <w:proofErr w:type="spellStart"/>
      <w:r w:rsidRPr="00ED35A9">
        <w:rPr>
          <w:szCs w:val="28"/>
          <w:lang w:val="uk-UA"/>
        </w:rPr>
        <w:t>іміпенем-циластатину</w:t>
      </w:r>
      <w:proofErr w:type="spellEnd"/>
      <w:r w:rsidRPr="00ED35A9">
        <w:rPr>
          <w:szCs w:val="28"/>
          <w:lang w:val="uk-UA"/>
        </w:rPr>
        <w:t>;</w:t>
      </w:r>
    </w:p>
    <w:p w:rsidR="00BD4AA1" w:rsidRPr="00ED35A9" w:rsidRDefault="00BD4AA1" w:rsidP="00BD4AA1">
      <w:pPr>
        <w:pStyle w:val="a7"/>
        <w:numPr>
          <w:ilvl w:val="0"/>
          <w:numId w:val="12"/>
        </w:numPr>
        <w:rPr>
          <w:szCs w:val="28"/>
          <w:lang w:val="uk-UA"/>
        </w:rPr>
      </w:pPr>
      <w:proofErr w:type="spellStart"/>
      <w:r w:rsidRPr="00ED35A9">
        <w:rPr>
          <w:szCs w:val="28"/>
          <w:lang w:val="uk-UA"/>
        </w:rPr>
        <w:t>амікацин</w:t>
      </w:r>
      <w:proofErr w:type="spellEnd"/>
      <w:r w:rsidRPr="00ED35A9">
        <w:rPr>
          <w:szCs w:val="28"/>
          <w:lang w:val="uk-UA"/>
        </w:rPr>
        <w:t xml:space="preserve">: безпечність та ефективність прийому тричі на тиждень у високих дозах (приблизно 25 мг/кг/добу) </w:t>
      </w:r>
      <w:r w:rsidRPr="00ED35A9">
        <w:rPr>
          <w:i/>
          <w:szCs w:val="28"/>
          <w:lang w:val="uk-UA"/>
        </w:rPr>
        <w:t>(54)</w:t>
      </w:r>
      <w:r w:rsidRPr="00ED35A9">
        <w:rPr>
          <w:szCs w:val="28"/>
          <w:lang w:val="uk-UA"/>
        </w:rPr>
        <w:t>.</w:t>
      </w:r>
    </w:p>
    <w:p w:rsidR="00BD4AA1" w:rsidRPr="00ED35A9" w:rsidRDefault="00BD4AA1" w:rsidP="00DB1EC9">
      <w:pPr>
        <w:spacing w:line="247" w:lineRule="auto"/>
        <w:jc w:val="left"/>
        <w:rPr>
          <w:b/>
          <w:szCs w:val="28"/>
          <w:lang w:val="uk-UA"/>
        </w:rPr>
      </w:pPr>
      <w:r w:rsidRPr="00ED35A9">
        <w:rPr>
          <w:b/>
          <w:szCs w:val="28"/>
          <w:lang w:val="uk-UA"/>
        </w:rPr>
        <w:lastRenderedPageBreak/>
        <w:t xml:space="preserve">Розділ 3. Тривалість довгострокових схем лікування </w:t>
      </w:r>
      <w:proofErr w:type="spellStart"/>
      <w:r w:rsidRPr="00ED35A9">
        <w:rPr>
          <w:b/>
          <w:szCs w:val="28"/>
          <w:lang w:val="uk-UA"/>
        </w:rPr>
        <w:t>мультирезистентного</w:t>
      </w:r>
      <w:proofErr w:type="spellEnd"/>
      <w:r w:rsidRPr="00ED35A9">
        <w:rPr>
          <w:b/>
          <w:szCs w:val="28"/>
          <w:lang w:val="uk-UA"/>
        </w:rPr>
        <w:t xml:space="preserve"> туберкульозу</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Визначення факторів, що впливають на оптимальну тривалість лікування (наприклад, попередня історія лікування, базові моделі резистентності, регіон захворювання, вік пацієнта).</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Дослідження стратегій для оптимізації балансу переваг та ризиків залежно від тривалості застосування схем шляхом стратифікації ризиків.</w:t>
      </w:r>
    </w:p>
    <w:p w:rsidR="00BD4AA1" w:rsidRPr="00ED35A9" w:rsidRDefault="00BD4AA1" w:rsidP="00DB1EC9">
      <w:pPr>
        <w:spacing w:line="247" w:lineRule="auto"/>
        <w:jc w:val="left"/>
        <w:rPr>
          <w:b/>
          <w:szCs w:val="28"/>
          <w:lang w:val="uk-UA"/>
        </w:rPr>
      </w:pPr>
      <w:r w:rsidRPr="00ED35A9">
        <w:rPr>
          <w:b/>
          <w:szCs w:val="28"/>
          <w:lang w:val="uk-UA"/>
        </w:rPr>
        <w:t xml:space="preserve">Розділ 4. Застосування стандартизованої короткострокової схеми лікування </w:t>
      </w:r>
      <w:proofErr w:type="spellStart"/>
      <w:r w:rsidRPr="00ED35A9">
        <w:rPr>
          <w:b/>
          <w:szCs w:val="28"/>
          <w:lang w:val="uk-UA"/>
        </w:rPr>
        <w:t>мультирезистентного</w:t>
      </w:r>
      <w:proofErr w:type="spellEnd"/>
      <w:r w:rsidRPr="00ED35A9">
        <w:rPr>
          <w:b/>
          <w:szCs w:val="28"/>
          <w:lang w:val="uk-UA"/>
        </w:rPr>
        <w:t xml:space="preserve"> туберкульозу</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 xml:space="preserve">Ефективність та безпека застосування варіантів короткострокової схеми лікування МРТБ, у якій ін’єкційний препарат замінено на пероральний (наприклад, на </w:t>
      </w:r>
      <w:proofErr w:type="spellStart"/>
      <w:r w:rsidRPr="00ED35A9">
        <w:rPr>
          <w:szCs w:val="28"/>
          <w:lang w:val="uk-UA"/>
        </w:rPr>
        <w:t>бедаквілін</w:t>
      </w:r>
      <w:proofErr w:type="spellEnd"/>
      <w:r w:rsidRPr="00ED35A9">
        <w:rPr>
          <w:szCs w:val="28"/>
          <w:lang w:val="uk-UA"/>
        </w:rPr>
        <w:t>), а загальну тривалість скорочено до 6 міс або менше.</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Порівняння ефективності цих варіантів короткострокової схеми було б корисним:</w:t>
      </w:r>
    </w:p>
    <w:p w:rsidR="00BD4AA1" w:rsidRPr="00ED35A9" w:rsidRDefault="00BD4AA1" w:rsidP="00DB1EC9">
      <w:pPr>
        <w:pStyle w:val="a7"/>
        <w:numPr>
          <w:ilvl w:val="0"/>
          <w:numId w:val="12"/>
        </w:numPr>
        <w:spacing w:line="247" w:lineRule="auto"/>
        <w:rPr>
          <w:szCs w:val="28"/>
          <w:lang w:val="uk-UA"/>
        </w:rPr>
      </w:pPr>
      <w:r w:rsidRPr="00ED35A9">
        <w:rPr>
          <w:szCs w:val="28"/>
          <w:lang w:val="uk-UA"/>
        </w:rPr>
        <w:t xml:space="preserve">для підгруп пацієнтів, яких систематично виключали з досліджень, або когорт пацієнтів у програмах лікування ТБ в окремих країнах, наприклад, для підгрупи дітей, пацієнтів з додатковою резистентністю, з </w:t>
      </w:r>
      <w:proofErr w:type="spellStart"/>
      <w:r w:rsidRPr="00ED35A9">
        <w:rPr>
          <w:szCs w:val="28"/>
          <w:lang w:val="uk-UA"/>
        </w:rPr>
        <w:t>позалегеневим</w:t>
      </w:r>
      <w:proofErr w:type="spellEnd"/>
      <w:r w:rsidRPr="00ED35A9">
        <w:rPr>
          <w:szCs w:val="28"/>
          <w:lang w:val="uk-UA"/>
        </w:rPr>
        <w:t xml:space="preserve"> ТБ, вагітних жінок та жінок у період годування груддю;</w:t>
      </w:r>
    </w:p>
    <w:p w:rsidR="00BD4AA1" w:rsidRPr="00ED35A9" w:rsidRDefault="00BD4AA1" w:rsidP="00DB1EC9">
      <w:pPr>
        <w:pStyle w:val="a7"/>
        <w:numPr>
          <w:ilvl w:val="0"/>
          <w:numId w:val="12"/>
        </w:numPr>
        <w:spacing w:line="247" w:lineRule="auto"/>
        <w:rPr>
          <w:szCs w:val="28"/>
          <w:lang w:val="uk-UA"/>
        </w:rPr>
      </w:pPr>
      <w:r w:rsidRPr="00ED35A9">
        <w:rPr>
          <w:szCs w:val="28"/>
          <w:lang w:val="uk-UA"/>
        </w:rPr>
        <w:t xml:space="preserve">для популяцій, де </w:t>
      </w:r>
      <w:r w:rsidRPr="00ED35A9">
        <w:rPr>
          <w:lang w:val="uk-UA"/>
        </w:rPr>
        <w:t xml:space="preserve">загальний рівень резистентності </w:t>
      </w:r>
      <w:r w:rsidRPr="00ED35A9">
        <w:rPr>
          <w:szCs w:val="28"/>
          <w:lang w:val="uk-UA"/>
        </w:rPr>
        <w:t xml:space="preserve">до препаратів, крім </w:t>
      </w:r>
      <w:proofErr w:type="spellStart"/>
      <w:r w:rsidRPr="00ED35A9">
        <w:rPr>
          <w:szCs w:val="28"/>
          <w:lang w:val="uk-UA"/>
        </w:rPr>
        <w:t>фторхінолонів</w:t>
      </w:r>
      <w:proofErr w:type="spellEnd"/>
      <w:r w:rsidRPr="00ED35A9">
        <w:rPr>
          <w:szCs w:val="28"/>
          <w:lang w:val="uk-UA"/>
        </w:rPr>
        <w:t xml:space="preserve"> та ін’єкційних препаратів другого ряду, є високим (наприклад, резистентність до </w:t>
      </w:r>
      <w:proofErr w:type="spellStart"/>
      <w:r w:rsidRPr="00ED35A9">
        <w:rPr>
          <w:szCs w:val="28"/>
          <w:lang w:val="uk-UA"/>
        </w:rPr>
        <w:t>піразинаміду</w:t>
      </w:r>
      <w:proofErr w:type="spellEnd"/>
      <w:r w:rsidRPr="00ED35A9">
        <w:rPr>
          <w:szCs w:val="28"/>
          <w:lang w:val="uk-UA"/>
        </w:rPr>
        <w:t xml:space="preserve"> або </w:t>
      </w:r>
      <w:proofErr w:type="spellStart"/>
      <w:r w:rsidRPr="00ED35A9">
        <w:rPr>
          <w:szCs w:val="28"/>
          <w:lang w:val="uk-UA"/>
        </w:rPr>
        <w:t>ізоніазиду</w:t>
      </w:r>
      <w:proofErr w:type="spellEnd"/>
      <w:r w:rsidRPr="00ED35A9">
        <w:rPr>
          <w:szCs w:val="28"/>
          <w:lang w:val="uk-UA"/>
        </w:rPr>
        <w:t xml:space="preserve"> у високих дозах).</w:t>
      </w:r>
    </w:p>
    <w:p w:rsidR="00BD4AA1" w:rsidRPr="00ED35A9" w:rsidRDefault="00BD4AA1" w:rsidP="00DB1EC9">
      <w:pPr>
        <w:spacing w:line="247" w:lineRule="auto"/>
        <w:jc w:val="left"/>
        <w:rPr>
          <w:b/>
          <w:szCs w:val="28"/>
          <w:lang w:val="uk-UA"/>
        </w:rPr>
      </w:pPr>
      <w:r w:rsidRPr="00ED35A9">
        <w:rPr>
          <w:b/>
          <w:szCs w:val="28"/>
          <w:lang w:val="uk-UA"/>
        </w:rPr>
        <w:t xml:space="preserve">Розділ 5. Моніторинг реакції пацієнта на лікування </w:t>
      </w:r>
      <w:proofErr w:type="spellStart"/>
      <w:r w:rsidRPr="00ED35A9">
        <w:rPr>
          <w:b/>
          <w:szCs w:val="28"/>
          <w:lang w:val="uk-UA"/>
        </w:rPr>
        <w:t>мультирезистентного</w:t>
      </w:r>
      <w:proofErr w:type="spellEnd"/>
      <w:r w:rsidRPr="00ED35A9">
        <w:rPr>
          <w:b/>
          <w:szCs w:val="28"/>
          <w:lang w:val="uk-UA"/>
        </w:rPr>
        <w:t xml:space="preserve"> туберкульозу із застосуванням </w:t>
      </w:r>
      <w:proofErr w:type="spellStart"/>
      <w:r w:rsidRPr="00ED35A9">
        <w:rPr>
          <w:b/>
          <w:szCs w:val="28"/>
          <w:lang w:val="uk-UA"/>
        </w:rPr>
        <w:t>культурального</w:t>
      </w:r>
      <w:proofErr w:type="spellEnd"/>
      <w:r w:rsidRPr="00ED35A9">
        <w:rPr>
          <w:b/>
          <w:szCs w:val="28"/>
          <w:lang w:val="uk-UA"/>
        </w:rPr>
        <w:t xml:space="preserve"> дослідження</w:t>
      </w:r>
    </w:p>
    <w:p w:rsidR="00BD4AA1" w:rsidRPr="00ED35A9" w:rsidRDefault="00BD4AA1" w:rsidP="00DB1EC9">
      <w:pPr>
        <w:pStyle w:val="a7"/>
        <w:numPr>
          <w:ilvl w:val="0"/>
          <w:numId w:val="11"/>
        </w:numPr>
        <w:tabs>
          <w:tab w:val="left" w:pos="993"/>
        </w:tabs>
        <w:spacing w:line="247" w:lineRule="auto"/>
        <w:ind w:left="0" w:firstLine="709"/>
        <w:rPr>
          <w:szCs w:val="28"/>
          <w:lang w:val="uk-UA"/>
        </w:rPr>
      </w:pPr>
      <w:proofErr w:type="spellStart"/>
      <w:r w:rsidRPr="00ED35A9">
        <w:rPr>
          <w:szCs w:val="28"/>
          <w:lang w:val="uk-UA"/>
        </w:rPr>
        <w:t>Проспективний</w:t>
      </w:r>
      <w:proofErr w:type="spellEnd"/>
      <w:r w:rsidRPr="00ED35A9">
        <w:rPr>
          <w:szCs w:val="28"/>
          <w:lang w:val="uk-UA"/>
        </w:rPr>
        <w:t xml:space="preserve"> аналіз, заснований на прогнозуванні та визначенні </w:t>
      </w:r>
      <w:proofErr w:type="spellStart"/>
      <w:r w:rsidRPr="00ED35A9">
        <w:rPr>
          <w:szCs w:val="28"/>
          <w:lang w:val="uk-UA"/>
        </w:rPr>
        <w:t>біомаркерів</w:t>
      </w:r>
      <w:proofErr w:type="spellEnd"/>
      <w:r w:rsidRPr="00ED35A9">
        <w:rPr>
          <w:szCs w:val="28"/>
          <w:lang w:val="uk-UA"/>
        </w:rPr>
        <w:t xml:space="preserve"> невдачі лікування (пов’язаних зі штамом, схемою та носієм), крім результатів бактеріологічної реакції, при формуванні наступних важливих підгруп сприяв би визначенню більшої кількості варіантів лікування із врахуванням економічної ефективності та скорочення часу прийняття рішення:</w:t>
      </w:r>
    </w:p>
    <w:p w:rsidR="00BD4AA1" w:rsidRPr="00ED35A9" w:rsidRDefault="00BD4AA1" w:rsidP="00DB1EC9">
      <w:pPr>
        <w:pStyle w:val="a7"/>
        <w:numPr>
          <w:ilvl w:val="0"/>
          <w:numId w:val="12"/>
        </w:numPr>
        <w:spacing w:line="247" w:lineRule="auto"/>
        <w:rPr>
          <w:szCs w:val="28"/>
          <w:lang w:val="uk-UA"/>
        </w:rPr>
      </w:pPr>
      <w:r w:rsidRPr="00ED35A9">
        <w:rPr>
          <w:szCs w:val="28"/>
          <w:lang w:val="uk-UA"/>
        </w:rPr>
        <w:t>пацієнти &lt;15 років;</w:t>
      </w:r>
    </w:p>
    <w:p w:rsidR="00BD4AA1" w:rsidRPr="00ED35A9" w:rsidRDefault="00BD4AA1" w:rsidP="00DB1EC9">
      <w:pPr>
        <w:pStyle w:val="a7"/>
        <w:numPr>
          <w:ilvl w:val="0"/>
          <w:numId w:val="12"/>
        </w:numPr>
        <w:spacing w:line="247" w:lineRule="auto"/>
        <w:rPr>
          <w:szCs w:val="28"/>
          <w:lang w:val="uk-UA"/>
        </w:rPr>
      </w:pPr>
      <w:r w:rsidRPr="00ED35A9">
        <w:rPr>
          <w:szCs w:val="28"/>
          <w:lang w:val="uk-UA"/>
        </w:rPr>
        <w:t xml:space="preserve">пацієнти з </w:t>
      </w:r>
      <w:proofErr w:type="spellStart"/>
      <w:r w:rsidRPr="00ED35A9">
        <w:rPr>
          <w:szCs w:val="28"/>
          <w:lang w:val="uk-UA"/>
        </w:rPr>
        <w:t>позалегеневим</w:t>
      </w:r>
      <w:proofErr w:type="spellEnd"/>
      <w:r w:rsidRPr="00ED35A9">
        <w:rPr>
          <w:szCs w:val="28"/>
          <w:lang w:val="uk-UA"/>
        </w:rPr>
        <w:t xml:space="preserve"> ТБ (різні форми);</w:t>
      </w:r>
    </w:p>
    <w:p w:rsidR="00BD4AA1" w:rsidRPr="00ED35A9" w:rsidRDefault="00BD4AA1" w:rsidP="00DB1EC9">
      <w:pPr>
        <w:pStyle w:val="a7"/>
        <w:numPr>
          <w:ilvl w:val="0"/>
          <w:numId w:val="12"/>
        </w:numPr>
        <w:spacing w:line="247" w:lineRule="auto"/>
        <w:rPr>
          <w:szCs w:val="28"/>
          <w:lang w:val="uk-UA"/>
        </w:rPr>
      </w:pPr>
      <w:r w:rsidRPr="00ED35A9">
        <w:rPr>
          <w:szCs w:val="28"/>
          <w:lang w:val="uk-UA"/>
        </w:rPr>
        <w:t>пацієнти на короткострокових схемах лікування МРТБ (стандартизовані або повністю пероральні варіанти).</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Також для моніторингу реакції на лікування було б корисно продовжувати оцінювання потенційної ролі швидких молекулярних тестів майбутніх поколінь за межами діагностичних досліджень.</w:t>
      </w:r>
    </w:p>
    <w:p w:rsidR="00BD4AA1" w:rsidRPr="00ED35A9" w:rsidRDefault="00BD4AA1" w:rsidP="00DB1EC9">
      <w:pPr>
        <w:pStyle w:val="a7"/>
        <w:numPr>
          <w:ilvl w:val="0"/>
          <w:numId w:val="11"/>
        </w:numPr>
        <w:tabs>
          <w:tab w:val="left" w:pos="993"/>
        </w:tabs>
        <w:spacing w:line="247" w:lineRule="auto"/>
        <w:ind w:left="0" w:firstLine="709"/>
        <w:rPr>
          <w:szCs w:val="28"/>
          <w:lang w:val="uk-UA"/>
        </w:rPr>
      </w:pPr>
      <w:r w:rsidRPr="00ED35A9">
        <w:rPr>
          <w:szCs w:val="28"/>
          <w:lang w:val="uk-UA"/>
        </w:rPr>
        <w:t>Слід врахувати технічні складнощі впровадження більш доступних систем із рідкими культурами.</w:t>
      </w:r>
    </w:p>
    <w:p w:rsidR="00BD4AA1" w:rsidRPr="00ED35A9" w:rsidRDefault="00BD4AA1" w:rsidP="00BD4AA1">
      <w:pPr>
        <w:jc w:val="left"/>
        <w:rPr>
          <w:b/>
          <w:szCs w:val="28"/>
          <w:lang w:val="uk-UA"/>
        </w:rPr>
      </w:pPr>
      <w:r w:rsidRPr="00ED35A9">
        <w:rPr>
          <w:b/>
          <w:szCs w:val="28"/>
          <w:lang w:val="uk-UA"/>
        </w:rPr>
        <w:lastRenderedPageBreak/>
        <w:t xml:space="preserve">Розділ 7. Хірургічні втручання у пацієнтів з </w:t>
      </w:r>
      <w:proofErr w:type="spellStart"/>
      <w:r w:rsidRPr="00ED35A9">
        <w:rPr>
          <w:b/>
          <w:szCs w:val="28"/>
          <w:lang w:val="uk-UA"/>
        </w:rPr>
        <w:t>мультирезистентним</w:t>
      </w:r>
      <w:proofErr w:type="spellEnd"/>
      <w:r w:rsidRPr="00ED35A9">
        <w:rPr>
          <w:b/>
          <w:szCs w:val="28"/>
          <w:lang w:val="uk-UA"/>
        </w:rPr>
        <w:t xml:space="preserve"> туберкульозом</w:t>
      </w:r>
    </w:p>
    <w:p w:rsidR="002D504E" w:rsidRPr="00ED35A9" w:rsidRDefault="002D504E" w:rsidP="002D504E">
      <w:pPr>
        <w:pStyle w:val="a7"/>
        <w:numPr>
          <w:ilvl w:val="0"/>
          <w:numId w:val="11"/>
        </w:numPr>
        <w:tabs>
          <w:tab w:val="left" w:pos="993"/>
        </w:tabs>
        <w:ind w:left="0" w:firstLine="709"/>
        <w:rPr>
          <w:szCs w:val="28"/>
          <w:lang w:val="uk-UA"/>
        </w:rPr>
      </w:pPr>
      <w:r w:rsidRPr="00ED35A9">
        <w:rPr>
          <w:szCs w:val="28"/>
          <w:lang w:val="uk-UA"/>
        </w:rPr>
        <w:t xml:space="preserve">Роль операційного втручання (тобто рішення щодо оперативного втручання та типу хірургічного втручання, типу </w:t>
      </w:r>
      <w:r w:rsidR="00480CDB" w:rsidRPr="00ED35A9">
        <w:rPr>
          <w:rFonts w:cs="Times New Roman"/>
          <w:szCs w:val="28"/>
          <w:lang w:val="uk-UA"/>
        </w:rPr>
        <w:t xml:space="preserve">медикаментозної </w:t>
      </w:r>
      <w:r w:rsidRPr="00ED35A9">
        <w:rPr>
          <w:szCs w:val="28"/>
          <w:lang w:val="uk-UA"/>
        </w:rPr>
        <w:t>резистентності) потрібно визначати краще.</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 xml:space="preserve">Покращення методів збору, реєстрації та стандартизації даних щодо хірургічних </w:t>
      </w:r>
      <w:proofErr w:type="spellStart"/>
      <w:r w:rsidRPr="00ED35A9">
        <w:rPr>
          <w:szCs w:val="28"/>
          <w:lang w:val="uk-UA"/>
        </w:rPr>
        <w:t>втручань</w:t>
      </w:r>
      <w:proofErr w:type="spellEnd"/>
      <w:r w:rsidRPr="00ED35A9">
        <w:rPr>
          <w:szCs w:val="28"/>
          <w:lang w:val="uk-UA"/>
        </w:rPr>
        <w:t>, зокрема щодо тривалого періоду виживаності після операцій.</w:t>
      </w:r>
    </w:p>
    <w:p w:rsidR="00BD4AA1" w:rsidRPr="00ED35A9" w:rsidRDefault="00BD4AA1" w:rsidP="00BD4AA1">
      <w:pPr>
        <w:jc w:val="left"/>
        <w:rPr>
          <w:b/>
          <w:szCs w:val="28"/>
          <w:lang w:val="uk-UA"/>
        </w:rPr>
      </w:pPr>
      <w:r w:rsidRPr="00ED35A9">
        <w:rPr>
          <w:b/>
          <w:szCs w:val="28"/>
          <w:lang w:val="uk-UA"/>
        </w:rPr>
        <w:t xml:space="preserve">Розділ 8. Надання допомоги та підтримки пацієнтам з </w:t>
      </w:r>
      <w:proofErr w:type="spellStart"/>
      <w:r w:rsidRPr="00ED35A9">
        <w:rPr>
          <w:b/>
          <w:szCs w:val="28"/>
          <w:lang w:val="uk-UA"/>
        </w:rPr>
        <w:t>мультирезистентним</w:t>
      </w:r>
      <w:proofErr w:type="spellEnd"/>
      <w:r w:rsidRPr="00ED35A9">
        <w:rPr>
          <w:b/>
          <w:szCs w:val="28"/>
          <w:lang w:val="uk-UA"/>
        </w:rPr>
        <w:t>/</w:t>
      </w:r>
      <w:proofErr w:type="spellStart"/>
      <w:r w:rsidRPr="00ED35A9">
        <w:rPr>
          <w:b/>
          <w:szCs w:val="28"/>
          <w:lang w:val="uk-UA"/>
        </w:rPr>
        <w:t>рифампіцин</w:t>
      </w:r>
      <w:proofErr w:type="spellEnd"/>
      <w:r w:rsidRPr="00ED35A9">
        <w:rPr>
          <w:b/>
          <w:szCs w:val="28"/>
          <w:lang w:val="uk-UA"/>
        </w:rPr>
        <w:t>-резистентним туберкульозом</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Надання послуг з підтримки пацієнтів та впровадження заходів для спостереження за лікуванням, враховуючи особливості кожної окремої популяції.</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Впровадження заходів з підтримки пацієнтів, які є найбільш ефективними у країнах з низьким та середнім рівнем доходу.</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Аналіз економічної ефективності різних типів заохочень.</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Дослідження ефективності VOT у країнах з низьким та середнім рівнем доходу, оскільки дані щодо країн з високим рівнем доходів вже наявні.</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Визначення найбільш ефективних типів психологічної підтримки.</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Оцінювання ризику передачі ТБ у різних умовах (наприклад, чи вищим є ризик передачі ТБ при лікуванні в умовах стаціонару, ніж в умовах амбулаторно-поліклінічного закладу?).</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Додаткові дослідження щодо економічної ефективності децентралізованої та централізованої моделі надання послуг з лікування та догляду.</w:t>
      </w:r>
    </w:p>
    <w:p w:rsidR="00BD4AA1" w:rsidRPr="00ED35A9" w:rsidRDefault="00BD4AA1" w:rsidP="00BD4AA1">
      <w:pPr>
        <w:pStyle w:val="a7"/>
        <w:numPr>
          <w:ilvl w:val="0"/>
          <w:numId w:val="11"/>
        </w:numPr>
        <w:tabs>
          <w:tab w:val="left" w:pos="993"/>
        </w:tabs>
        <w:ind w:left="0" w:firstLine="709"/>
        <w:rPr>
          <w:szCs w:val="28"/>
          <w:lang w:val="uk-UA"/>
        </w:rPr>
      </w:pPr>
      <w:r w:rsidRPr="00ED35A9">
        <w:rPr>
          <w:szCs w:val="28"/>
          <w:lang w:val="uk-UA"/>
        </w:rPr>
        <w:t>Систематичне збирання та публікація даних щодо децентралізованого догляду. Багато програм з лікування ТБ надають допомогу за децентралізованою моделлю, проте кількість публікацій з цього питання є недостатньою.</w:t>
      </w:r>
    </w:p>
    <w:p w:rsidR="004B5B7F" w:rsidRPr="00ED35A9" w:rsidRDefault="004B5B7F" w:rsidP="000E0B10">
      <w:pPr>
        <w:rPr>
          <w:rFonts w:cs="Times New Roman"/>
          <w:szCs w:val="28"/>
          <w:lang w:val="uk-UA"/>
        </w:rPr>
      </w:pPr>
      <w:r w:rsidRPr="00ED35A9">
        <w:rPr>
          <w:rFonts w:cs="Times New Roman"/>
          <w:szCs w:val="28"/>
          <w:lang w:val="uk-UA"/>
        </w:rPr>
        <w:br w:type="page"/>
      </w:r>
    </w:p>
    <w:p w:rsidR="00184AD2" w:rsidRPr="00ED35A9" w:rsidRDefault="00184AD2" w:rsidP="00823898">
      <w:pPr>
        <w:pStyle w:val="1"/>
        <w:rPr>
          <w:lang w:val="uk-UA"/>
        </w:rPr>
      </w:pPr>
      <w:bookmarkStart w:id="75" w:name="_Toc18416328"/>
      <w:r w:rsidRPr="00ED35A9">
        <w:rPr>
          <w:lang w:val="uk-UA"/>
        </w:rPr>
        <w:lastRenderedPageBreak/>
        <w:t>ПодякА</w:t>
      </w:r>
      <w:bookmarkEnd w:id="75"/>
    </w:p>
    <w:p w:rsidR="00184AD2" w:rsidRPr="00ED35A9" w:rsidRDefault="00184AD2" w:rsidP="00DB1EC9">
      <w:pPr>
        <w:spacing w:line="252" w:lineRule="auto"/>
        <w:rPr>
          <w:szCs w:val="28"/>
          <w:lang w:val="uk-UA"/>
        </w:rPr>
      </w:pPr>
      <w:r w:rsidRPr="00ED35A9">
        <w:rPr>
          <w:szCs w:val="28"/>
          <w:lang w:val="uk-UA"/>
        </w:rPr>
        <w:t>Рекомендації та зауваження у даній настанові є результатом спільної роботи фахівців цілого ряду спеціальностей, що мають досвід у сфері громадського здоров’я, впровадження програм, а також у наданні у медичної допомоги пацієнтам з ЛС-ТБ. ВООЗ висловлює подяку за витрачений ними час та надану підтримку. Оскільки існували окремі ГРН для кожної з настанов, включених до даної зведеної настанови, нижче наведено подяки за окремими настановами ВООЗ.</w:t>
      </w:r>
    </w:p>
    <w:p w:rsidR="00184AD2" w:rsidRPr="00ED35A9" w:rsidRDefault="00184AD2" w:rsidP="00DB1EC9">
      <w:pPr>
        <w:spacing w:line="252" w:lineRule="auto"/>
        <w:jc w:val="left"/>
        <w:rPr>
          <w:b/>
          <w:spacing w:val="-2"/>
          <w:szCs w:val="28"/>
          <w:lang w:val="uk-UA"/>
        </w:rPr>
      </w:pPr>
      <w:bookmarkStart w:id="76" w:name="bookmark81"/>
      <w:bookmarkStart w:id="77" w:name="_Toc417570635"/>
      <w:r w:rsidRPr="00ED35A9">
        <w:rPr>
          <w:b/>
          <w:spacing w:val="-2"/>
          <w:szCs w:val="28"/>
          <w:lang w:val="uk-UA"/>
        </w:rPr>
        <w:t xml:space="preserve">Настанова ВООЗ із лікування </w:t>
      </w:r>
      <w:proofErr w:type="spellStart"/>
      <w:r w:rsidRPr="00ED35A9">
        <w:rPr>
          <w:b/>
          <w:spacing w:val="-2"/>
          <w:szCs w:val="28"/>
          <w:lang w:val="uk-UA"/>
        </w:rPr>
        <w:t>ізоніазид</w:t>
      </w:r>
      <w:proofErr w:type="spellEnd"/>
      <w:r w:rsidRPr="00ED35A9">
        <w:rPr>
          <w:b/>
          <w:spacing w:val="-2"/>
          <w:szCs w:val="28"/>
          <w:lang w:val="uk-UA"/>
        </w:rPr>
        <w:t>-резистентного туберкульозу</w:t>
      </w:r>
      <w:bookmarkEnd w:id="76"/>
      <w:bookmarkEnd w:id="77"/>
    </w:p>
    <w:p w:rsidR="00184AD2" w:rsidRPr="00ED35A9" w:rsidRDefault="00184AD2" w:rsidP="00DB1EC9">
      <w:pPr>
        <w:spacing w:line="252" w:lineRule="auto"/>
        <w:rPr>
          <w:b/>
          <w:i/>
          <w:szCs w:val="28"/>
          <w:lang w:val="uk-UA"/>
        </w:rPr>
      </w:pPr>
      <w:r w:rsidRPr="00ED35A9">
        <w:rPr>
          <w:b/>
          <w:i/>
          <w:szCs w:val="28"/>
          <w:lang w:val="uk-UA"/>
        </w:rPr>
        <w:t>ГРН</w:t>
      </w:r>
    </w:p>
    <w:p w:rsidR="00184AD2" w:rsidRPr="00ED35A9" w:rsidRDefault="00184AD2" w:rsidP="00DB1EC9">
      <w:pPr>
        <w:spacing w:line="252" w:lineRule="auto"/>
        <w:rPr>
          <w:szCs w:val="28"/>
          <w:lang w:val="uk-UA"/>
        </w:rPr>
      </w:pPr>
      <w:r w:rsidRPr="00ED35A9">
        <w:rPr>
          <w:szCs w:val="28"/>
          <w:lang w:val="uk-UA"/>
        </w:rPr>
        <w:t xml:space="preserve">Очолювали ГРН </w:t>
      </w:r>
      <w:proofErr w:type="spellStart"/>
      <w:r w:rsidRPr="00ED35A9">
        <w:rPr>
          <w:szCs w:val="28"/>
          <w:lang w:val="uk-UA"/>
        </w:rPr>
        <w:t>Nancy</w:t>
      </w:r>
      <w:proofErr w:type="spellEnd"/>
      <w:r w:rsidRPr="00ED35A9">
        <w:rPr>
          <w:szCs w:val="28"/>
          <w:lang w:val="uk-UA"/>
        </w:rPr>
        <w:t xml:space="preserve"> SANTESSO (спеціаліст із методології GRADE, Канада) і </w:t>
      </w:r>
      <w:proofErr w:type="spellStart"/>
      <w:r w:rsidRPr="00ED35A9">
        <w:rPr>
          <w:szCs w:val="28"/>
          <w:lang w:val="uk-UA"/>
        </w:rPr>
        <w:t>Kelly</w:t>
      </w:r>
      <w:proofErr w:type="spellEnd"/>
      <w:r w:rsidRPr="00ED35A9">
        <w:rPr>
          <w:szCs w:val="28"/>
          <w:lang w:val="uk-UA"/>
        </w:rPr>
        <w:t xml:space="preserve"> DOOLEY (клінічний фармаколог, інфекціоніст, США). Крім того, до ГРН входили наступні експерти: </w:t>
      </w:r>
      <w:proofErr w:type="spellStart"/>
      <w:r w:rsidRPr="00ED35A9">
        <w:rPr>
          <w:szCs w:val="28"/>
          <w:lang w:val="uk-UA"/>
        </w:rPr>
        <w:t>Farhana</w:t>
      </w:r>
      <w:proofErr w:type="spellEnd"/>
      <w:r w:rsidRPr="00ED35A9">
        <w:rPr>
          <w:szCs w:val="28"/>
          <w:lang w:val="uk-UA"/>
        </w:rPr>
        <w:t xml:space="preserve"> AMANULLAH (педіатр, клінічна практика, </w:t>
      </w:r>
      <w:proofErr w:type="spellStart"/>
      <w:r w:rsidRPr="00ED35A9">
        <w:rPr>
          <w:szCs w:val="28"/>
          <w:lang w:val="uk-UA"/>
        </w:rPr>
        <w:t>Пакістан</w:t>
      </w:r>
      <w:proofErr w:type="spellEnd"/>
      <w:r w:rsidRPr="00ED35A9">
        <w:rPr>
          <w:szCs w:val="28"/>
          <w:lang w:val="uk-UA"/>
        </w:rPr>
        <w:t xml:space="preserve">), </w:t>
      </w:r>
      <w:proofErr w:type="spellStart"/>
      <w:r w:rsidRPr="00ED35A9">
        <w:rPr>
          <w:szCs w:val="28"/>
          <w:lang w:val="uk-UA"/>
        </w:rPr>
        <w:t>Tsira</w:t>
      </w:r>
      <w:proofErr w:type="spellEnd"/>
      <w:r w:rsidRPr="00ED35A9">
        <w:rPr>
          <w:szCs w:val="28"/>
          <w:lang w:val="uk-UA"/>
        </w:rPr>
        <w:t xml:space="preserve"> CHAKHAIA (представник пацієнтів і громадянського суспільства, Грузія), </w:t>
      </w:r>
      <w:proofErr w:type="spellStart"/>
      <w:r w:rsidRPr="00ED35A9">
        <w:rPr>
          <w:szCs w:val="28"/>
          <w:lang w:val="uk-UA"/>
        </w:rPr>
        <w:t>Daniela</w:t>
      </w:r>
      <w:proofErr w:type="spellEnd"/>
      <w:r w:rsidRPr="00ED35A9">
        <w:rPr>
          <w:szCs w:val="28"/>
          <w:lang w:val="uk-UA"/>
        </w:rPr>
        <w:t xml:space="preserve"> CIRILLO (лабораторний спеціаліст, Італія), </w:t>
      </w:r>
      <w:proofErr w:type="spellStart"/>
      <w:r w:rsidRPr="00ED35A9">
        <w:rPr>
          <w:szCs w:val="28"/>
          <w:lang w:val="uk-UA"/>
        </w:rPr>
        <w:t>Luis</w:t>
      </w:r>
      <w:proofErr w:type="spellEnd"/>
      <w:r w:rsidRPr="00ED35A9">
        <w:rPr>
          <w:szCs w:val="28"/>
          <w:lang w:val="uk-UA"/>
        </w:rPr>
        <w:t xml:space="preserve"> </w:t>
      </w:r>
      <w:proofErr w:type="spellStart"/>
      <w:r w:rsidRPr="00ED35A9">
        <w:rPr>
          <w:szCs w:val="28"/>
          <w:lang w:val="uk-UA"/>
        </w:rPr>
        <w:t>Gustavo</w:t>
      </w:r>
      <w:proofErr w:type="spellEnd"/>
      <w:r w:rsidRPr="00ED35A9">
        <w:rPr>
          <w:szCs w:val="28"/>
          <w:lang w:val="uk-UA"/>
        </w:rPr>
        <w:t xml:space="preserve"> DO VALLE BASTOS (управління </w:t>
      </w:r>
      <w:proofErr w:type="spellStart"/>
      <w:r w:rsidRPr="00ED35A9">
        <w:rPr>
          <w:szCs w:val="28"/>
          <w:lang w:val="uk-UA"/>
        </w:rPr>
        <w:t>закупівлями</w:t>
      </w:r>
      <w:proofErr w:type="spellEnd"/>
      <w:r w:rsidRPr="00ED35A9">
        <w:rPr>
          <w:szCs w:val="28"/>
          <w:lang w:val="uk-UA"/>
        </w:rPr>
        <w:t xml:space="preserve"> і постачанням препаратів, Швейцарія), </w:t>
      </w:r>
      <w:proofErr w:type="spellStart"/>
      <w:r w:rsidRPr="00ED35A9">
        <w:rPr>
          <w:szCs w:val="28"/>
          <w:lang w:val="uk-UA"/>
        </w:rPr>
        <w:t>Philipp</w:t>
      </w:r>
      <w:proofErr w:type="spellEnd"/>
      <w:r w:rsidRPr="00ED35A9">
        <w:rPr>
          <w:szCs w:val="28"/>
          <w:lang w:val="uk-UA"/>
        </w:rPr>
        <w:t xml:space="preserve"> DU CROS (програмний менеджер, клініцист, Великобританія), </w:t>
      </w:r>
      <w:proofErr w:type="spellStart"/>
      <w:r w:rsidRPr="00ED35A9">
        <w:rPr>
          <w:szCs w:val="28"/>
          <w:lang w:val="uk-UA"/>
        </w:rPr>
        <w:t>Raquel</w:t>
      </w:r>
      <w:proofErr w:type="spellEnd"/>
      <w:r w:rsidRPr="00ED35A9">
        <w:rPr>
          <w:szCs w:val="28"/>
          <w:lang w:val="uk-UA"/>
        </w:rPr>
        <w:t xml:space="preserve"> DUARTE (програмний менеджмент, громадське здоров’я, Португалія), </w:t>
      </w:r>
      <w:proofErr w:type="spellStart"/>
      <w:r w:rsidRPr="00ED35A9">
        <w:rPr>
          <w:szCs w:val="28"/>
          <w:lang w:val="uk-UA"/>
        </w:rPr>
        <w:t>Christopher</w:t>
      </w:r>
      <w:proofErr w:type="spellEnd"/>
      <w:r w:rsidRPr="00ED35A9">
        <w:rPr>
          <w:szCs w:val="28"/>
          <w:lang w:val="uk-UA"/>
        </w:rPr>
        <w:t xml:space="preserve"> KUABAN (програмний менеджмент, Камерун), </w:t>
      </w:r>
      <w:proofErr w:type="spellStart"/>
      <w:r w:rsidRPr="00ED35A9">
        <w:rPr>
          <w:szCs w:val="28"/>
          <w:lang w:val="uk-UA"/>
        </w:rPr>
        <w:t>Rafael</w:t>
      </w:r>
      <w:proofErr w:type="spellEnd"/>
      <w:r w:rsidRPr="00ED35A9">
        <w:rPr>
          <w:szCs w:val="28"/>
          <w:lang w:val="uk-UA"/>
        </w:rPr>
        <w:t xml:space="preserve"> LANIADO-LABORIN (клініцист (приватний сектор), спеціаліст з громадського здоров’я, Мексика), </w:t>
      </w:r>
      <w:proofErr w:type="spellStart"/>
      <w:r w:rsidRPr="00ED35A9">
        <w:rPr>
          <w:szCs w:val="28"/>
          <w:lang w:val="uk-UA"/>
        </w:rPr>
        <w:t>Gary</w:t>
      </w:r>
      <w:proofErr w:type="spellEnd"/>
      <w:r w:rsidRPr="00ED35A9">
        <w:rPr>
          <w:szCs w:val="28"/>
          <w:lang w:val="uk-UA"/>
        </w:rPr>
        <w:t xml:space="preserve"> MAARTENS (фармакологія, Південна Африка), </w:t>
      </w:r>
      <w:proofErr w:type="spellStart"/>
      <w:r w:rsidRPr="00ED35A9">
        <w:rPr>
          <w:szCs w:val="28"/>
          <w:lang w:val="uk-UA"/>
        </w:rPr>
        <w:t>Andrei</w:t>
      </w:r>
      <w:proofErr w:type="spellEnd"/>
      <w:r w:rsidRPr="00ED35A9">
        <w:rPr>
          <w:szCs w:val="28"/>
          <w:lang w:val="uk-UA"/>
        </w:rPr>
        <w:t xml:space="preserve"> MARYANDYSHEV (клініцист, Російська Федерація), </w:t>
      </w:r>
      <w:proofErr w:type="spellStart"/>
      <w:r w:rsidRPr="00ED35A9">
        <w:rPr>
          <w:szCs w:val="28"/>
          <w:lang w:val="uk-UA"/>
        </w:rPr>
        <w:t>Ignacio</w:t>
      </w:r>
      <w:proofErr w:type="spellEnd"/>
      <w:r w:rsidRPr="00ED35A9">
        <w:rPr>
          <w:szCs w:val="28"/>
          <w:lang w:val="uk-UA"/>
        </w:rPr>
        <w:t xml:space="preserve"> MONEDERO-RECUERO (клініцист, Іспанія), </w:t>
      </w:r>
      <w:proofErr w:type="spellStart"/>
      <w:r w:rsidRPr="00ED35A9">
        <w:rPr>
          <w:szCs w:val="28"/>
          <w:lang w:val="uk-UA"/>
        </w:rPr>
        <w:t>Maria</w:t>
      </w:r>
      <w:proofErr w:type="spellEnd"/>
      <w:r w:rsidRPr="00ED35A9">
        <w:rPr>
          <w:szCs w:val="28"/>
          <w:lang w:val="uk-UA"/>
        </w:rPr>
        <w:t xml:space="preserve"> </w:t>
      </w:r>
      <w:proofErr w:type="spellStart"/>
      <w:r w:rsidRPr="00ED35A9">
        <w:rPr>
          <w:szCs w:val="28"/>
          <w:lang w:val="uk-UA"/>
        </w:rPr>
        <w:t>Imelda</w:t>
      </w:r>
      <w:proofErr w:type="spellEnd"/>
      <w:r w:rsidRPr="00ED35A9">
        <w:rPr>
          <w:szCs w:val="28"/>
          <w:lang w:val="uk-UA"/>
        </w:rPr>
        <w:t xml:space="preserve"> </w:t>
      </w:r>
      <w:proofErr w:type="spellStart"/>
      <w:r w:rsidRPr="00ED35A9">
        <w:rPr>
          <w:szCs w:val="28"/>
          <w:lang w:val="uk-UA"/>
        </w:rPr>
        <w:t>Josefa</w:t>
      </w:r>
      <w:proofErr w:type="spellEnd"/>
      <w:r w:rsidRPr="00ED35A9">
        <w:rPr>
          <w:szCs w:val="28"/>
          <w:lang w:val="uk-UA"/>
        </w:rPr>
        <w:t xml:space="preserve"> QUELAPIO (клініцист, впровадження програм, Нідерланди), </w:t>
      </w:r>
      <w:proofErr w:type="spellStart"/>
      <w:r w:rsidRPr="00ED35A9">
        <w:rPr>
          <w:szCs w:val="28"/>
          <w:lang w:val="uk-UA"/>
        </w:rPr>
        <w:t>Wipa</w:t>
      </w:r>
      <w:proofErr w:type="spellEnd"/>
      <w:r w:rsidRPr="00ED35A9">
        <w:rPr>
          <w:szCs w:val="28"/>
          <w:lang w:val="uk-UA"/>
        </w:rPr>
        <w:t xml:space="preserve"> REECHAIPICHITKUL (клініцист, громадське здоров’я, Таїланд), </w:t>
      </w:r>
      <w:proofErr w:type="spellStart"/>
      <w:r w:rsidRPr="00ED35A9">
        <w:rPr>
          <w:szCs w:val="28"/>
          <w:lang w:val="uk-UA"/>
        </w:rPr>
        <w:t>Michael</w:t>
      </w:r>
      <w:proofErr w:type="spellEnd"/>
      <w:r w:rsidRPr="00ED35A9">
        <w:rPr>
          <w:szCs w:val="28"/>
          <w:lang w:val="uk-UA"/>
        </w:rPr>
        <w:t xml:space="preserve"> RICH (фахівець з лікування ЛС-ТБ, США), </w:t>
      </w:r>
      <w:proofErr w:type="spellStart"/>
      <w:r w:rsidRPr="00ED35A9">
        <w:rPr>
          <w:szCs w:val="28"/>
          <w:lang w:val="uk-UA"/>
        </w:rPr>
        <w:t>Radojka</w:t>
      </w:r>
      <w:proofErr w:type="spellEnd"/>
      <w:r w:rsidRPr="00ED35A9">
        <w:rPr>
          <w:szCs w:val="28"/>
          <w:lang w:val="uk-UA"/>
        </w:rPr>
        <w:t xml:space="preserve"> (</w:t>
      </w:r>
      <w:proofErr w:type="spellStart"/>
      <w:r w:rsidRPr="00ED35A9">
        <w:rPr>
          <w:szCs w:val="28"/>
          <w:lang w:val="uk-UA"/>
        </w:rPr>
        <w:t>Rada</w:t>
      </w:r>
      <w:proofErr w:type="spellEnd"/>
      <w:r w:rsidRPr="00ED35A9">
        <w:rPr>
          <w:szCs w:val="28"/>
          <w:lang w:val="uk-UA"/>
        </w:rPr>
        <w:t xml:space="preserve">) SAVIC (спеціаліст з ФК/ФД, США), </w:t>
      </w:r>
      <w:proofErr w:type="spellStart"/>
      <w:r w:rsidRPr="00ED35A9">
        <w:rPr>
          <w:szCs w:val="28"/>
          <w:lang w:val="uk-UA"/>
        </w:rPr>
        <w:t>Welile</w:t>
      </w:r>
      <w:proofErr w:type="spellEnd"/>
      <w:r w:rsidRPr="00ED35A9">
        <w:rPr>
          <w:szCs w:val="28"/>
          <w:lang w:val="uk-UA"/>
        </w:rPr>
        <w:t xml:space="preserve"> SIKHONDZE (програмний менеджер, Свазіленд) та </w:t>
      </w:r>
      <w:proofErr w:type="spellStart"/>
      <w:r w:rsidRPr="00ED35A9">
        <w:rPr>
          <w:szCs w:val="28"/>
          <w:lang w:val="uk-UA"/>
        </w:rPr>
        <w:t>Armand</w:t>
      </w:r>
      <w:proofErr w:type="spellEnd"/>
      <w:r w:rsidRPr="00ED35A9">
        <w:rPr>
          <w:szCs w:val="28"/>
          <w:lang w:val="uk-UA"/>
        </w:rPr>
        <w:t xml:space="preserve"> VAN DEUN (мікробіолог, Бельгія).</w:t>
      </w:r>
    </w:p>
    <w:p w:rsidR="00184AD2" w:rsidRPr="00ED35A9" w:rsidRDefault="00184AD2" w:rsidP="00DB1EC9">
      <w:pPr>
        <w:spacing w:line="252" w:lineRule="auto"/>
        <w:rPr>
          <w:b/>
          <w:i/>
          <w:szCs w:val="28"/>
          <w:lang w:val="uk-UA"/>
        </w:rPr>
      </w:pPr>
      <w:r w:rsidRPr="00ED35A9">
        <w:rPr>
          <w:b/>
          <w:i/>
          <w:szCs w:val="28"/>
          <w:lang w:val="uk-UA"/>
        </w:rPr>
        <w:t>Група зовнішнього рецензування (ГЗР)</w:t>
      </w:r>
    </w:p>
    <w:p w:rsidR="00184AD2" w:rsidRPr="00ED35A9" w:rsidRDefault="00184AD2" w:rsidP="00DB1EC9">
      <w:pPr>
        <w:spacing w:line="252" w:lineRule="auto"/>
        <w:rPr>
          <w:szCs w:val="28"/>
          <w:lang w:val="uk-UA"/>
        </w:rPr>
      </w:pPr>
      <w:r w:rsidRPr="00ED35A9">
        <w:rPr>
          <w:szCs w:val="28"/>
          <w:lang w:val="uk-UA"/>
        </w:rPr>
        <w:t xml:space="preserve">ВООЗ висловлює вдячність наступним членам ГЗР за перегляд остаточного варіанту документу та надання важливих зауважень: </w:t>
      </w:r>
      <w:proofErr w:type="spellStart"/>
      <w:r w:rsidRPr="00ED35A9">
        <w:rPr>
          <w:szCs w:val="28"/>
          <w:lang w:val="uk-UA"/>
        </w:rPr>
        <w:t>Charles</w:t>
      </w:r>
      <w:proofErr w:type="spellEnd"/>
      <w:r w:rsidRPr="00ED35A9">
        <w:rPr>
          <w:szCs w:val="28"/>
          <w:lang w:val="uk-UA"/>
        </w:rPr>
        <w:t xml:space="preserve"> L. DALEY (клінічний менеджмент, США), </w:t>
      </w:r>
      <w:proofErr w:type="spellStart"/>
      <w:r w:rsidRPr="00ED35A9">
        <w:rPr>
          <w:szCs w:val="28"/>
          <w:lang w:val="uk-UA"/>
        </w:rPr>
        <w:t>Essam</w:t>
      </w:r>
      <w:proofErr w:type="spellEnd"/>
      <w:r w:rsidRPr="00ED35A9">
        <w:rPr>
          <w:szCs w:val="28"/>
          <w:lang w:val="uk-UA"/>
        </w:rPr>
        <w:t xml:space="preserve"> ELMOGHAZI (програмний менеджмент, Єгипет), </w:t>
      </w:r>
      <w:proofErr w:type="spellStart"/>
      <w:r w:rsidRPr="00ED35A9">
        <w:rPr>
          <w:szCs w:val="28"/>
          <w:lang w:val="uk-UA"/>
        </w:rPr>
        <w:t>James</w:t>
      </w:r>
      <w:proofErr w:type="spellEnd"/>
      <w:r w:rsidRPr="00ED35A9">
        <w:rPr>
          <w:szCs w:val="28"/>
          <w:lang w:val="uk-UA"/>
        </w:rPr>
        <w:t xml:space="preserve"> JOHNSTON (клінічний менеджмент, Канада), </w:t>
      </w:r>
      <w:proofErr w:type="spellStart"/>
      <w:r w:rsidRPr="00ED35A9">
        <w:rPr>
          <w:szCs w:val="28"/>
          <w:lang w:val="uk-UA"/>
        </w:rPr>
        <w:t>Enos</w:t>
      </w:r>
      <w:proofErr w:type="spellEnd"/>
      <w:r w:rsidRPr="00ED35A9">
        <w:rPr>
          <w:szCs w:val="28"/>
          <w:lang w:val="uk-UA"/>
        </w:rPr>
        <w:t xml:space="preserve"> MASINI (програмний менеджмент, кінцевий користувач, Кенія), </w:t>
      </w:r>
      <w:proofErr w:type="spellStart"/>
      <w:r w:rsidRPr="00ED35A9">
        <w:rPr>
          <w:szCs w:val="28"/>
          <w:lang w:val="uk-UA"/>
        </w:rPr>
        <w:t>Ingrid</w:t>
      </w:r>
      <w:proofErr w:type="spellEnd"/>
      <w:r w:rsidRPr="00ED35A9">
        <w:rPr>
          <w:szCs w:val="28"/>
          <w:lang w:val="uk-UA"/>
        </w:rPr>
        <w:t xml:space="preserve"> OXLEY (представник пацієнтів, Південна Африка), </w:t>
      </w:r>
      <w:proofErr w:type="spellStart"/>
      <w:r w:rsidRPr="00ED35A9">
        <w:rPr>
          <w:szCs w:val="28"/>
          <w:lang w:val="uk-UA"/>
        </w:rPr>
        <w:t>Rohit</w:t>
      </w:r>
      <w:proofErr w:type="spellEnd"/>
      <w:r w:rsidRPr="00ED35A9">
        <w:rPr>
          <w:szCs w:val="28"/>
          <w:lang w:val="uk-UA"/>
        </w:rPr>
        <w:t xml:space="preserve"> SARIN (програмний менеджмент, кінцевий користувач, Індія), </w:t>
      </w:r>
      <w:proofErr w:type="spellStart"/>
      <w:r w:rsidRPr="00ED35A9">
        <w:rPr>
          <w:szCs w:val="28"/>
          <w:lang w:val="uk-UA"/>
        </w:rPr>
        <w:t>Simon</w:t>
      </w:r>
      <w:proofErr w:type="spellEnd"/>
      <w:r w:rsidRPr="00ED35A9">
        <w:rPr>
          <w:szCs w:val="28"/>
          <w:lang w:val="uk-UA"/>
        </w:rPr>
        <w:t xml:space="preserve"> SCHAAF (педіатр, Південна Африка), </w:t>
      </w:r>
      <w:proofErr w:type="spellStart"/>
      <w:r w:rsidRPr="00ED35A9">
        <w:rPr>
          <w:szCs w:val="28"/>
          <w:lang w:val="uk-UA"/>
        </w:rPr>
        <w:t>Helen</w:t>
      </w:r>
      <w:proofErr w:type="spellEnd"/>
      <w:r w:rsidRPr="00ED35A9">
        <w:rPr>
          <w:szCs w:val="28"/>
          <w:lang w:val="uk-UA"/>
        </w:rPr>
        <w:t xml:space="preserve"> STAGG (академік, Великобританія), </w:t>
      </w:r>
      <w:proofErr w:type="spellStart"/>
      <w:r w:rsidRPr="00ED35A9">
        <w:rPr>
          <w:szCs w:val="28"/>
          <w:lang w:val="uk-UA"/>
        </w:rPr>
        <w:t>Carlos</w:t>
      </w:r>
      <w:proofErr w:type="spellEnd"/>
      <w:r w:rsidRPr="00ED35A9">
        <w:rPr>
          <w:szCs w:val="28"/>
          <w:lang w:val="uk-UA"/>
        </w:rPr>
        <w:t xml:space="preserve"> A. TORRES-DUQUE (технічна агенція, клініцист, Колумбія), </w:t>
      </w:r>
      <w:proofErr w:type="spellStart"/>
      <w:r w:rsidRPr="00ED35A9">
        <w:rPr>
          <w:szCs w:val="28"/>
          <w:lang w:val="uk-UA"/>
        </w:rPr>
        <w:t>Kitty</w:t>
      </w:r>
      <w:proofErr w:type="spellEnd"/>
      <w:r w:rsidRPr="00ED35A9">
        <w:rPr>
          <w:szCs w:val="28"/>
          <w:lang w:val="uk-UA"/>
        </w:rPr>
        <w:t xml:space="preserve"> VAN WEEZENBEEK (технічна агенція, кінцевий користувач, </w:t>
      </w:r>
      <w:proofErr w:type="spellStart"/>
      <w:r w:rsidRPr="00ED35A9">
        <w:rPr>
          <w:szCs w:val="28"/>
          <w:lang w:val="uk-UA"/>
        </w:rPr>
        <w:t>Ніделанди</w:t>
      </w:r>
      <w:proofErr w:type="spellEnd"/>
      <w:r w:rsidRPr="00ED35A9">
        <w:rPr>
          <w:szCs w:val="28"/>
          <w:lang w:val="uk-UA"/>
        </w:rPr>
        <w:t xml:space="preserve">), </w:t>
      </w:r>
      <w:proofErr w:type="spellStart"/>
      <w:r w:rsidRPr="00ED35A9">
        <w:rPr>
          <w:szCs w:val="28"/>
          <w:lang w:val="uk-UA"/>
        </w:rPr>
        <w:t>Irina</w:t>
      </w:r>
      <w:proofErr w:type="spellEnd"/>
      <w:r w:rsidRPr="00ED35A9">
        <w:rPr>
          <w:szCs w:val="28"/>
          <w:lang w:val="uk-UA"/>
        </w:rPr>
        <w:t xml:space="preserve"> VASILYEVA (кінцевий користувач, Російська Федерація) та </w:t>
      </w:r>
      <w:proofErr w:type="spellStart"/>
      <w:r w:rsidRPr="00ED35A9">
        <w:rPr>
          <w:szCs w:val="28"/>
          <w:lang w:val="uk-UA"/>
        </w:rPr>
        <w:t>Piret</w:t>
      </w:r>
      <w:proofErr w:type="spellEnd"/>
      <w:r w:rsidRPr="00ED35A9">
        <w:rPr>
          <w:szCs w:val="28"/>
          <w:lang w:val="uk-UA"/>
        </w:rPr>
        <w:t xml:space="preserve"> VIIKLEPP (програмний менеджер, Естонія).</w:t>
      </w:r>
    </w:p>
    <w:p w:rsidR="00184AD2" w:rsidRPr="00ED35A9" w:rsidRDefault="00184AD2" w:rsidP="008C5B22">
      <w:pPr>
        <w:spacing w:line="252" w:lineRule="auto"/>
        <w:rPr>
          <w:b/>
          <w:i/>
          <w:szCs w:val="28"/>
          <w:lang w:val="uk-UA"/>
        </w:rPr>
      </w:pPr>
      <w:r w:rsidRPr="00ED35A9">
        <w:rPr>
          <w:b/>
          <w:i/>
          <w:szCs w:val="28"/>
          <w:lang w:val="uk-UA"/>
        </w:rPr>
        <w:lastRenderedPageBreak/>
        <w:t>Спостерігачі та зовнішні партнери</w:t>
      </w:r>
    </w:p>
    <w:p w:rsidR="00184AD2" w:rsidRPr="00ED35A9" w:rsidRDefault="00184AD2" w:rsidP="008C5B22">
      <w:pPr>
        <w:spacing w:line="252" w:lineRule="auto"/>
        <w:rPr>
          <w:szCs w:val="28"/>
          <w:lang w:val="uk-UA"/>
        </w:rPr>
      </w:pPr>
      <w:proofErr w:type="spellStart"/>
      <w:r w:rsidRPr="00ED35A9">
        <w:rPr>
          <w:szCs w:val="28"/>
          <w:lang w:val="uk-UA"/>
        </w:rPr>
        <w:t>Giovanni</w:t>
      </w:r>
      <w:proofErr w:type="spellEnd"/>
      <w:r w:rsidRPr="00ED35A9">
        <w:rPr>
          <w:szCs w:val="28"/>
          <w:lang w:val="uk-UA"/>
        </w:rPr>
        <w:t xml:space="preserve"> </w:t>
      </w:r>
      <w:proofErr w:type="spellStart"/>
      <w:r w:rsidRPr="00ED35A9">
        <w:rPr>
          <w:szCs w:val="28"/>
          <w:lang w:val="uk-UA"/>
        </w:rPr>
        <w:t>Battista</w:t>
      </w:r>
      <w:proofErr w:type="spellEnd"/>
      <w:r w:rsidRPr="00ED35A9">
        <w:rPr>
          <w:szCs w:val="28"/>
          <w:lang w:val="uk-UA"/>
        </w:rPr>
        <w:t xml:space="preserve"> MIGLIORI (Центр співпраці ВООЗ із фтизіатрії та пульмонології, Італія), </w:t>
      </w:r>
      <w:proofErr w:type="spellStart"/>
      <w:r w:rsidRPr="00ED35A9">
        <w:rPr>
          <w:szCs w:val="28"/>
          <w:lang w:val="uk-UA"/>
        </w:rPr>
        <w:t>YaDiul</w:t>
      </w:r>
      <w:proofErr w:type="spellEnd"/>
      <w:r w:rsidRPr="00ED35A9">
        <w:rPr>
          <w:szCs w:val="28"/>
          <w:lang w:val="uk-UA"/>
        </w:rPr>
        <w:t xml:space="preserve"> MUKADI (Агентство США з міжнародного розвитку (</w:t>
      </w:r>
      <w:r w:rsidRPr="00ED35A9">
        <w:rPr>
          <w:rFonts w:eastAsia="Arial"/>
          <w:szCs w:val="28"/>
          <w:lang w:val="uk-UA"/>
        </w:rPr>
        <w:t>USAID</w:t>
      </w:r>
      <w:r w:rsidRPr="00ED35A9">
        <w:rPr>
          <w:szCs w:val="28"/>
          <w:lang w:val="uk-UA"/>
        </w:rPr>
        <w:t xml:space="preserve">), США), </w:t>
      </w:r>
      <w:proofErr w:type="spellStart"/>
      <w:r w:rsidRPr="00ED35A9">
        <w:rPr>
          <w:szCs w:val="28"/>
          <w:lang w:val="uk-UA"/>
        </w:rPr>
        <w:t>Payam</w:t>
      </w:r>
      <w:proofErr w:type="spellEnd"/>
      <w:r w:rsidRPr="00ED35A9">
        <w:rPr>
          <w:szCs w:val="28"/>
          <w:lang w:val="uk-UA"/>
        </w:rPr>
        <w:t xml:space="preserve"> NAHID (Американське </w:t>
      </w:r>
      <w:proofErr w:type="spellStart"/>
      <w:r w:rsidRPr="00ED35A9">
        <w:rPr>
          <w:szCs w:val="28"/>
          <w:lang w:val="uk-UA"/>
        </w:rPr>
        <w:t>торакальне</w:t>
      </w:r>
      <w:proofErr w:type="spellEnd"/>
      <w:r w:rsidRPr="00ED35A9">
        <w:rPr>
          <w:szCs w:val="28"/>
          <w:lang w:val="uk-UA"/>
        </w:rPr>
        <w:t xml:space="preserve"> товариство, США), </w:t>
      </w:r>
      <w:proofErr w:type="spellStart"/>
      <w:r w:rsidRPr="00ED35A9">
        <w:rPr>
          <w:szCs w:val="28"/>
          <w:lang w:val="uk-UA"/>
        </w:rPr>
        <w:t>Timothy</w:t>
      </w:r>
      <w:proofErr w:type="spellEnd"/>
      <w:r w:rsidRPr="00ED35A9">
        <w:rPr>
          <w:szCs w:val="28"/>
          <w:lang w:val="uk-UA"/>
        </w:rPr>
        <w:t xml:space="preserve"> RODWELL (FIND, Швейцарія), </w:t>
      </w:r>
      <w:proofErr w:type="spellStart"/>
      <w:r w:rsidRPr="00ED35A9">
        <w:rPr>
          <w:szCs w:val="28"/>
          <w:lang w:val="uk-UA"/>
        </w:rPr>
        <w:t>Mohammed</w:t>
      </w:r>
      <w:proofErr w:type="spellEnd"/>
      <w:r w:rsidRPr="00ED35A9">
        <w:rPr>
          <w:szCs w:val="28"/>
          <w:lang w:val="uk-UA"/>
        </w:rPr>
        <w:t xml:space="preserve"> YASSIN (Глобальний фонд боротьби зі СНІДом, туберкульозом та малярією, Швейцарія).</w:t>
      </w:r>
    </w:p>
    <w:p w:rsidR="00184AD2" w:rsidRPr="00ED35A9" w:rsidRDefault="00184AD2" w:rsidP="008C5B22">
      <w:pPr>
        <w:spacing w:line="252" w:lineRule="auto"/>
        <w:rPr>
          <w:b/>
          <w:i/>
          <w:szCs w:val="28"/>
          <w:lang w:val="uk-UA"/>
        </w:rPr>
      </w:pPr>
      <w:r w:rsidRPr="00ED35A9">
        <w:rPr>
          <w:b/>
          <w:i/>
          <w:szCs w:val="28"/>
          <w:lang w:val="uk-UA"/>
        </w:rPr>
        <w:t>Група з проведення систематичного огляду</w:t>
      </w:r>
    </w:p>
    <w:p w:rsidR="00184AD2" w:rsidRPr="00ED35A9" w:rsidRDefault="00184AD2" w:rsidP="008C5B22">
      <w:pPr>
        <w:spacing w:line="252" w:lineRule="auto"/>
        <w:rPr>
          <w:szCs w:val="28"/>
          <w:lang w:val="uk-UA"/>
        </w:rPr>
      </w:pPr>
      <w:r w:rsidRPr="00ED35A9">
        <w:rPr>
          <w:szCs w:val="28"/>
          <w:lang w:val="uk-UA"/>
        </w:rPr>
        <w:t xml:space="preserve">ВООЗ висловлює подяку </w:t>
      </w:r>
      <w:proofErr w:type="spellStart"/>
      <w:r w:rsidRPr="00ED35A9">
        <w:rPr>
          <w:szCs w:val="28"/>
          <w:lang w:val="uk-UA"/>
        </w:rPr>
        <w:t>Richard</w:t>
      </w:r>
      <w:proofErr w:type="spellEnd"/>
      <w:r w:rsidRPr="00ED35A9">
        <w:rPr>
          <w:szCs w:val="28"/>
          <w:lang w:val="uk-UA"/>
        </w:rPr>
        <w:t xml:space="preserve"> (</w:t>
      </w:r>
      <w:proofErr w:type="spellStart"/>
      <w:r w:rsidRPr="00ED35A9">
        <w:rPr>
          <w:szCs w:val="28"/>
          <w:lang w:val="uk-UA"/>
        </w:rPr>
        <w:t>Dick</w:t>
      </w:r>
      <w:proofErr w:type="spellEnd"/>
      <w:r w:rsidRPr="00ED35A9">
        <w:rPr>
          <w:szCs w:val="28"/>
          <w:lang w:val="uk-UA"/>
        </w:rPr>
        <w:t xml:space="preserve">) MENZIES та </w:t>
      </w:r>
      <w:proofErr w:type="spellStart"/>
      <w:r w:rsidRPr="00ED35A9">
        <w:rPr>
          <w:szCs w:val="28"/>
          <w:lang w:val="uk-UA"/>
        </w:rPr>
        <w:t>Federica</w:t>
      </w:r>
      <w:proofErr w:type="spellEnd"/>
      <w:r w:rsidRPr="00ED35A9">
        <w:rPr>
          <w:szCs w:val="28"/>
          <w:lang w:val="uk-UA"/>
        </w:rPr>
        <w:t xml:space="preserve"> FREGONESE (Університет </w:t>
      </w:r>
      <w:proofErr w:type="spellStart"/>
      <w:r w:rsidRPr="00ED35A9">
        <w:rPr>
          <w:szCs w:val="28"/>
          <w:lang w:val="uk-UA"/>
        </w:rPr>
        <w:t>МакГілла</w:t>
      </w:r>
      <w:proofErr w:type="spellEnd"/>
      <w:r w:rsidRPr="00ED35A9">
        <w:rPr>
          <w:szCs w:val="28"/>
          <w:lang w:val="uk-UA"/>
        </w:rPr>
        <w:t xml:space="preserve">, Канада) за проведення систематичних оглядів, координацію аналізу ІДП, розробку </w:t>
      </w:r>
      <w:proofErr w:type="spellStart"/>
      <w:r w:rsidRPr="00ED35A9">
        <w:rPr>
          <w:szCs w:val="28"/>
          <w:lang w:val="uk-UA"/>
        </w:rPr>
        <w:t>профілей</w:t>
      </w:r>
      <w:proofErr w:type="spellEnd"/>
      <w:r w:rsidRPr="00ED35A9">
        <w:rPr>
          <w:szCs w:val="28"/>
          <w:lang w:val="uk-UA"/>
        </w:rPr>
        <w:t xml:space="preserve"> доказових даних за системою GRADE під час дискусій, за попередню підготовку та допомогу під час зустрічі ГРН 27 квітня 2017 р.</w:t>
      </w:r>
    </w:p>
    <w:p w:rsidR="00184AD2" w:rsidRPr="00ED35A9" w:rsidRDefault="00184AD2" w:rsidP="008C5B22">
      <w:pPr>
        <w:spacing w:line="252" w:lineRule="auto"/>
        <w:rPr>
          <w:b/>
          <w:i/>
          <w:szCs w:val="28"/>
          <w:lang w:val="uk-UA"/>
        </w:rPr>
      </w:pPr>
      <w:r w:rsidRPr="00ED35A9">
        <w:rPr>
          <w:b/>
          <w:i/>
          <w:szCs w:val="28"/>
          <w:lang w:val="uk-UA"/>
        </w:rPr>
        <w:t>Керівний комітет ВООЗ із розроблення настанови</w:t>
      </w:r>
    </w:p>
    <w:p w:rsidR="00184AD2" w:rsidRPr="00ED35A9" w:rsidRDefault="00184AD2" w:rsidP="008C5B22">
      <w:pPr>
        <w:spacing w:line="252" w:lineRule="auto"/>
        <w:rPr>
          <w:szCs w:val="28"/>
          <w:lang w:val="uk-UA"/>
        </w:rPr>
      </w:pPr>
      <w:r w:rsidRPr="00ED35A9">
        <w:rPr>
          <w:szCs w:val="28"/>
          <w:lang w:val="uk-UA"/>
        </w:rPr>
        <w:t xml:space="preserve">Наступні співробітники Керівного комітету ВООЗ допомагали у розробці настанови: </w:t>
      </w:r>
      <w:proofErr w:type="spellStart"/>
      <w:r w:rsidRPr="00ED35A9">
        <w:rPr>
          <w:szCs w:val="28"/>
          <w:lang w:val="uk-UA"/>
        </w:rPr>
        <w:t>Dennis</w:t>
      </w:r>
      <w:proofErr w:type="spellEnd"/>
      <w:r w:rsidRPr="00ED35A9">
        <w:rPr>
          <w:szCs w:val="28"/>
          <w:lang w:val="uk-UA"/>
        </w:rPr>
        <w:t xml:space="preserve"> FALZON, </w:t>
      </w:r>
      <w:proofErr w:type="spellStart"/>
      <w:r w:rsidRPr="00ED35A9">
        <w:rPr>
          <w:szCs w:val="28"/>
          <w:lang w:val="uk-UA"/>
        </w:rPr>
        <w:t>Medea</w:t>
      </w:r>
      <w:proofErr w:type="spellEnd"/>
      <w:r w:rsidRPr="00ED35A9">
        <w:rPr>
          <w:szCs w:val="28"/>
          <w:lang w:val="uk-UA"/>
        </w:rPr>
        <w:t xml:space="preserve"> GEGIA, </w:t>
      </w:r>
      <w:proofErr w:type="spellStart"/>
      <w:r w:rsidRPr="00ED35A9">
        <w:rPr>
          <w:szCs w:val="28"/>
          <w:lang w:val="uk-UA"/>
        </w:rPr>
        <w:t>Christopher</w:t>
      </w:r>
      <w:proofErr w:type="spellEnd"/>
      <w:r w:rsidRPr="00ED35A9">
        <w:rPr>
          <w:szCs w:val="28"/>
          <w:lang w:val="uk-UA"/>
        </w:rPr>
        <w:t xml:space="preserve"> GILPIN, </w:t>
      </w:r>
      <w:proofErr w:type="spellStart"/>
      <w:r w:rsidRPr="00ED35A9">
        <w:rPr>
          <w:szCs w:val="28"/>
          <w:lang w:val="uk-UA"/>
        </w:rPr>
        <w:t>Licé</w:t>
      </w:r>
      <w:proofErr w:type="spellEnd"/>
      <w:r w:rsidRPr="00ED35A9">
        <w:rPr>
          <w:szCs w:val="28"/>
          <w:lang w:val="uk-UA"/>
        </w:rPr>
        <w:t xml:space="preserve"> GONZÁLEZ-ANGULO, </w:t>
      </w:r>
      <w:proofErr w:type="spellStart"/>
      <w:r w:rsidRPr="00ED35A9">
        <w:rPr>
          <w:szCs w:val="28"/>
          <w:lang w:val="uk-UA"/>
        </w:rPr>
        <w:t>Ernesto</w:t>
      </w:r>
      <w:proofErr w:type="spellEnd"/>
      <w:r w:rsidRPr="00ED35A9">
        <w:rPr>
          <w:szCs w:val="28"/>
          <w:lang w:val="uk-UA"/>
        </w:rPr>
        <w:t xml:space="preserve"> JARAMILLO, </w:t>
      </w:r>
      <w:proofErr w:type="spellStart"/>
      <w:r w:rsidRPr="00ED35A9">
        <w:rPr>
          <w:szCs w:val="28"/>
          <w:lang w:val="uk-UA"/>
        </w:rPr>
        <w:t>Linh</w:t>
      </w:r>
      <w:proofErr w:type="spellEnd"/>
      <w:r w:rsidRPr="00ED35A9">
        <w:rPr>
          <w:szCs w:val="28"/>
          <w:lang w:val="uk-UA"/>
        </w:rPr>
        <w:t xml:space="preserve"> NGUYEN, </w:t>
      </w:r>
      <w:proofErr w:type="spellStart"/>
      <w:r w:rsidRPr="00ED35A9">
        <w:rPr>
          <w:szCs w:val="28"/>
          <w:lang w:val="uk-UA"/>
        </w:rPr>
        <w:t>Karin</w:t>
      </w:r>
      <w:proofErr w:type="spellEnd"/>
      <w:r w:rsidRPr="00ED35A9">
        <w:rPr>
          <w:szCs w:val="28"/>
          <w:lang w:val="uk-UA"/>
        </w:rPr>
        <w:t xml:space="preserve"> WEYER та </w:t>
      </w:r>
      <w:proofErr w:type="spellStart"/>
      <w:r w:rsidRPr="00ED35A9">
        <w:rPr>
          <w:szCs w:val="28"/>
          <w:lang w:val="uk-UA"/>
        </w:rPr>
        <w:t>Matteo</w:t>
      </w:r>
      <w:proofErr w:type="spellEnd"/>
      <w:r w:rsidRPr="00ED35A9">
        <w:rPr>
          <w:szCs w:val="28"/>
          <w:lang w:val="uk-UA"/>
        </w:rPr>
        <w:t xml:space="preserve"> ZIGNOL з Глобальної програми ВООЗ із боротьби з туберкульозом (ВООЗ/GTB); </w:t>
      </w:r>
      <w:proofErr w:type="spellStart"/>
      <w:r w:rsidRPr="00ED35A9">
        <w:rPr>
          <w:szCs w:val="28"/>
          <w:lang w:val="uk-UA"/>
        </w:rPr>
        <w:t>Meg</w:t>
      </w:r>
      <w:proofErr w:type="spellEnd"/>
      <w:r w:rsidRPr="00ED35A9">
        <w:rPr>
          <w:szCs w:val="28"/>
          <w:lang w:val="uk-UA"/>
        </w:rPr>
        <w:t xml:space="preserve"> DOHERTY з Департаменту ВІЛ у ВООЗ; </w:t>
      </w:r>
      <w:proofErr w:type="spellStart"/>
      <w:r w:rsidRPr="00ED35A9">
        <w:rPr>
          <w:szCs w:val="28"/>
          <w:lang w:val="uk-UA"/>
        </w:rPr>
        <w:t>Piero</w:t>
      </w:r>
      <w:proofErr w:type="spellEnd"/>
      <w:r w:rsidRPr="00ED35A9">
        <w:rPr>
          <w:szCs w:val="28"/>
          <w:lang w:val="uk-UA"/>
        </w:rPr>
        <w:t xml:space="preserve"> OLLIARO зі Спеціальної програми з дослідження та підготовки щодо тропічних захворювань; </w:t>
      </w:r>
      <w:proofErr w:type="spellStart"/>
      <w:r w:rsidRPr="00ED35A9">
        <w:rPr>
          <w:szCs w:val="28"/>
          <w:lang w:val="uk-UA"/>
        </w:rPr>
        <w:t>Edward</w:t>
      </w:r>
      <w:proofErr w:type="spellEnd"/>
      <w:r w:rsidRPr="00ED35A9">
        <w:rPr>
          <w:szCs w:val="28"/>
          <w:lang w:val="uk-UA"/>
        </w:rPr>
        <w:t xml:space="preserve"> KELLEY з Департаменту ВООЗ із надання послуг і безпеки. Проект даної настанови було підготовлено </w:t>
      </w:r>
      <w:proofErr w:type="spellStart"/>
      <w:r w:rsidRPr="00ED35A9">
        <w:rPr>
          <w:szCs w:val="28"/>
          <w:lang w:val="uk-UA"/>
        </w:rPr>
        <w:t>Dennis</w:t>
      </w:r>
      <w:proofErr w:type="spellEnd"/>
      <w:r w:rsidRPr="00ED35A9">
        <w:rPr>
          <w:szCs w:val="28"/>
          <w:lang w:val="uk-UA"/>
        </w:rPr>
        <w:t xml:space="preserve"> FALZON, </w:t>
      </w:r>
      <w:proofErr w:type="spellStart"/>
      <w:r w:rsidRPr="00ED35A9">
        <w:rPr>
          <w:szCs w:val="28"/>
          <w:lang w:val="uk-UA"/>
        </w:rPr>
        <w:t>Licé</w:t>
      </w:r>
      <w:proofErr w:type="spellEnd"/>
      <w:r w:rsidRPr="00ED35A9">
        <w:rPr>
          <w:szCs w:val="28"/>
          <w:lang w:val="uk-UA"/>
        </w:rPr>
        <w:t xml:space="preserve"> GONZÁLEZ-ANGULO та </w:t>
      </w:r>
      <w:proofErr w:type="spellStart"/>
      <w:r w:rsidRPr="00ED35A9">
        <w:rPr>
          <w:szCs w:val="28"/>
          <w:lang w:val="uk-UA"/>
        </w:rPr>
        <w:t>Alexei</w:t>
      </w:r>
      <w:proofErr w:type="spellEnd"/>
      <w:r w:rsidRPr="00ED35A9">
        <w:rPr>
          <w:szCs w:val="28"/>
          <w:lang w:val="uk-UA"/>
        </w:rPr>
        <w:t xml:space="preserve"> KOROBITSYN під керівництвом та наглядом </w:t>
      </w:r>
      <w:proofErr w:type="spellStart"/>
      <w:r w:rsidRPr="00ED35A9">
        <w:rPr>
          <w:szCs w:val="28"/>
          <w:lang w:val="uk-UA"/>
        </w:rPr>
        <w:t>Ernesto</w:t>
      </w:r>
      <w:proofErr w:type="spellEnd"/>
      <w:r w:rsidRPr="00ED35A9">
        <w:rPr>
          <w:szCs w:val="28"/>
          <w:lang w:val="uk-UA"/>
        </w:rPr>
        <w:t xml:space="preserve"> JARAMILLO та </w:t>
      </w:r>
      <w:proofErr w:type="spellStart"/>
      <w:r w:rsidRPr="00ED35A9">
        <w:rPr>
          <w:szCs w:val="28"/>
          <w:lang w:val="uk-UA"/>
        </w:rPr>
        <w:t>Karin</w:t>
      </w:r>
      <w:proofErr w:type="spellEnd"/>
      <w:r w:rsidRPr="00ED35A9">
        <w:rPr>
          <w:szCs w:val="28"/>
          <w:lang w:val="uk-UA"/>
        </w:rPr>
        <w:t xml:space="preserve"> WEYER і загальним </w:t>
      </w:r>
      <w:proofErr w:type="spellStart"/>
      <w:r w:rsidRPr="00ED35A9">
        <w:rPr>
          <w:szCs w:val="28"/>
          <w:lang w:val="uk-UA"/>
        </w:rPr>
        <w:t>очоленням</w:t>
      </w:r>
      <w:proofErr w:type="spellEnd"/>
      <w:r w:rsidRPr="00ED35A9">
        <w:rPr>
          <w:szCs w:val="28"/>
          <w:lang w:val="uk-UA"/>
        </w:rPr>
        <w:t xml:space="preserve"> </w:t>
      </w:r>
      <w:proofErr w:type="spellStart"/>
      <w:r w:rsidRPr="00ED35A9">
        <w:rPr>
          <w:szCs w:val="28"/>
          <w:lang w:val="uk-UA"/>
        </w:rPr>
        <w:t>Mario</w:t>
      </w:r>
      <w:proofErr w:type="spellEnd"/>
      <w:r w:rsidRPr="00ED35A9">
        <w:rPr>
          <w:szCs w:val="28"/>
          <w:lang w:val="uk-UA"/>
        </w:rPr>
        <w:t xml:space="preserve"> RAVIGLIONE (директор ВООЗ/GTB). Документ було </w:t>
      </w:r>
      <w:proofErr w:type="spellStart"/>
      <w:r w:rsidRPr="00ED35A9">
        <w:rPr>
          <w:szCs w:val="28"/>
          <w:lang w:val="uk-UA"/>
        </w:rPr>
        <w:t>переглянуто</w:t>
      </w:r>
      <w:proofErr w:type="spellEnd"/>
      <w:r w:rsidRPr="00ED35A9">
        <w:rPr>
          <w:szCs w:val="28"/>
          <w:lang w:val="uk-UA"/>
        </w:rPr>
        <w:t xml:space="preserve"> та завершено роботу над ним після отримання коментарів від членів ГРН, ГЗР та Керівного комітету ВООЗ із розроблення настанови, після чого його подали на затвердження </w:t>
      </w:r>
      <w:r w:rsidR="00F8362D" w:rsidRPr="00ED35A9">
        <w:rPr>
          <w:rFonts w:eastAsia="Arial" w:cs="Times New Roman"/>
          <w:szCs w:val="28"/>
          <w:lang w:val="uk-UA"/>
        </w:rPr>
        <w:t>КПН</w:t>
      </w:r>
      <w:r w:rsidR="00F8362D" w:rsidRPr="00ED35A9">
        <w:rPr>
          <w:szCs w:val="28"/>
          <w:lang w:val="uk-UA"/>
        </w:rPr>
        <w:t xml:space="preserve"> </w:t>
      </w:r>
      <w:r w:rsidRPr="00ED35A9">
        <w:rPr>
          <w:szCs w:val="28"/>
          <w:lang w:val="uk-UA"/>
        </w:rPr>
        <w:t>у червні 2017 р.</w:t>
      </w:r>
    </w:p>
    <w:p w:rsidR="00184AD2" w:rsidRPr="00ED35A9" w:rsidRDefault="00184AD2" w:rsidP="008C5B22">
      <w:pPr>
        <w:spacing w:line="252" w:lineRule="auto"/>
        <w:rPr>
          <w:b/>
          <w:i/>
          <w:szCs w:val="28"/>
          <w:lang w:val="uk-UA"/>
        </w:rPr>
      </w:pPr>
      <w:r w:rsidRPr="00ED35A9">
        <w:rPr>
          <w:b/>
          <w:i/>
          <w:szCs w:val="28"/>
          <w:lang w:val="uk-UA"/>
        </w:rPr>
        <w:t>Фінансування</w:t>
      </w:r>
    </w:p>
    <w:p w:rsidR="00184AD2" w:rsidRPr="00ED35A9" w:rsidRDefault="00184AD2" w:rsidP="008C5B22">
      <w:pPr>
        <w:spacing w:line="252" w:lineRule="auto"/>
        <w:rPr>
          <w:szCs w:val="28"/>
          <w:lang w:val="uk-UA"/>
        </w:rPr>
      </w:pPr>
      <w:r w:rsidRPr="00ED35A9">
        <w:rPr>
          <w:szCs w:val="28"/>
          <w:lang w:val="uk-UA"/>
        </w:rPr>
        <w:t xml:space="preserve">ВООЗ відзначає внесок </w:t>
      </w:r>
      <w:r w:rsidRPr="00ED35A9">
        <w:rPr>
          <w:rFonts w:eastAsia="Arial"/>
          <w:szCs w:val="28"/>
          <w:lang w:val="uk-UA"/>
        </w:rPr>
        <w:t>USAID</w:t>
      </w:r>
      <w:r w:rsidRPr="00ED35A9">
        <w:rPr>
          <w:szCs w:val="28"/>
          <w:lang w:val="uk-UA"/>
        </w:rPr>
        <w:t xml:space="preserve"> щодо надання фінансової підтримки у процесі розробки настанови (зустрічі ГРН, систематичні огляди, зарплати допоміжної адміністрації ВООЗ та розробка настанови) через грант ВООЗ-ЮСЕЙД (Грант номер GHA-G-00-09-00003/US-2014-827). Об’єднання бази даних ІДП щодо </w:t>
      </w:r>
      <w:proofErr w:type="spellStart"/>
      <w:r w:rsidRPr="00ED35A9">
        <w:rPr>
          <w:szCs w:val="28"/>
          <w:lang w:val="uk-UA"/>
        </w:rPr>
        <w:t>Hрез</w:t>
      </w:r>
      <w:proofErr w:type="spellEnd"/>
      <w:r w:rsidRPr="00ED35A9">
        <w:rPr>
          <w:szCs w:val="28"/>
          <w:lang w:val="uk-UA"/>
        </w:rPr>
        <w:t xml:space="preserve">-ТБ координував Університет </w:t>
      </w:r>
      <w:proofErr w:type="spellStart"/>
      <w:r w:rsidRPr="00ED35A9">
        <w:rPr>
          <w:szCs w:val="28"/>
          <w:lang w:val="uk-UA"/>
        </w:rPr>
        <w:t>МакГілла</w:t>
      </w:r>
      <w:proofErr w:type="spellEnd"/>
      <w:r w:rsidRPr="00ED35A9">
        <w:rPr>
          <w:szCs w:val="28"/>
          <w:lang w:val="uk-UA"/>
        </w:rPr>
        <w:t xml:space="preserve"> одночасно з оновленням аналізу ІДП згідно результатів щодо МР/Риф-ТБ</w:t>
      </w:r>
      <w:r w:rsidRPr="00ED35A9">
        <w:rPr>
          <w:szCs w:val="28"/>
          <w:vertAlign w:val="superscript"/>
          <w:lang w:val="uk-UA"/>
        </w:rPr>
        <w:footnoteReference w:id="37"/>
      </w:r>
      <w:r w:rsidRPr="00ED35A9">
        <w:rPr>
          <w:szCs w:val="28"/>
          <w:lang w:val="uk-UA"/>
        </w:rPr>
        <w:t xml:space="preserve">, яке фінансувало Американське </w:t>
      </w:r>
      <w:proofErr w:type="spellStart"/>
      <w:r w:rsidRPr="00ED35A9">
        <w:rPr>
          <w:szCs w:val="28"/>
          <w:lang w:val="uk-UA"/>
        </w:rPr>
        <w:t>торакальне</w:t>
      </w:r>
      <w:proofErr w:type="spellEnd"/>
      <w:r w:rsidRPr="00ED35A9">
        <w:rPr>
          <w:szCs w:val="28"/>
          <w:lang w:val="uk-UA"/>
        </w:rPr>
        <w:t xml:space="preserve"> товариство (АТТ), </w:t>
      </w:r>
      <w:r w:rsidRPr="00ED35A9">
        <w:rPr>
          <w:rFonts w:eastAsia="Times New Roman"/>
          <w:szCs w:val="28"/>
          <w:lang w:val="uk-UA"/>
        </w:rPr>
        <w:t>АТІХ</w:t>
      </w:r>
      <w:r w:rsidRPr="00ED35A9">
        <w:rPr>
          <w:szCs w:val="28"/>
          <w:lang w:val="uk-UA"/>
        </w:rPr>
        <w:t xml:space="preserve"> та Центри з контролю та профілактики захворювань США (ЦКЗ). АТТ/ЦКЗ/АТІХ та ВООЗ/GTB узгодили взаємний обмін результатами цих двох оглядів, що стали підґрунтям для перегляду відповідних настанов з лікування ТБ.</w:t>
      </w:r>
    </w:p>
    <w:p w:rsidR="008C5B22" w:rsidRDefault="008C5B22">
      <w:pPr>
        <w:spacing w:after="160" w:line="259" w:lineRule="auto"/>
        <w:ind w:firstLine="0"/>
        <w:jc w:val="left"/>
        <w:rPr>
          <w:b/>
          <w:szCs w:val="28"/>
          <w:lang w:val="uk-UA"/>
        </w:rPr>
      </w:pPr>
      <w:r>
        <w:rPr>
          <w:b/>
          <w:szCs w:val="28"/>
          <w:lang w:val="uk-UA"/>
        </w:rPr>
        <w:br w:type="page"/>
      </w:r>
    </w:p>
    <w:p w:rsidR="00184AD2" w:rsidRPr="00ED35A9" w:rsidRDefault="00184AD2" w:rsidP="00184AD2">
      <w:pPr>
        <w:jc w:val="left"/>
        <w:rPr>
          <w:b/>
          <w:szCs w:val="28"/>
          <w:lang w:val="uk-UA"/>
        </w:rPr>
      </w:pPr>
      <w:r w:rsidRPr="00ED35A9">
        <w:rPr>
          <w:b/>
          <w:szCs w:val="28"/>
          <w:lang w:val="uk-UA"/>
        </w:rPr>
        <w:lastRenderedPageBreak/>
        <w:t xml:space="preserve">Настанова ВООЗ із лікування </w:t>
      </w:r>
      <w:proofErr w:type="spellStart"/>
      <w:r w:rsidRPr="00ED35A9">
        <w:rPr>
          <w:b/>
          <w:szCs w:val="28"/>
          <w:lang w:val="uk-UA"/>
        </w:rPr>
        <w:t>мультирезистентного</w:t>
      </w:r>
      <w:proofErr w:type="spellEnd"/>
      <w:r w:rsidRPr="00ED35A9">
        <w:rPr>
          <w:b/>
          <w:szCs w:val="28"/>
          <w:lang w:val="uk-UA"/>
        </w:rPr>
        <w:t xml:space="preserve"> та </w:t>
      </w:r>
      <w:proofErr w:type="spellStart"/>
      <w:r w:rsidRPr="00ED35A9">
        <w:rPr>
          <w:b/>
          <w:szCs w:val="28"/>
          <w:lang w:val="uk-UA"/>
        </w:rPr>
        <w:t>рифампіцин</w:t>
      </w:r>
      <w:proofErr w:type="spellEnd"/>
      <w:r w:rsidRPr="00ED35A9">
        <w:rPr>
          <w:b/>
          <w:szCs w:val="28"/>
          <w:lang w:val="uk-UA"/>
        </w:rPr>
        <w:t>-резистентного туберкульозу: оновлення 2018 р.</w:t>
      </w:r>
    </w:p>
    <w:p w:rsidR="00184AD2" w:rsidRPr="00ED35A9" w:rsidRDefault="00184AD2" w:rsidP="00184AD2">
      <w:pPr>
        <w:rPr>
          <w:szCs w:val="28"/>
          <w:lang w:val="uk-UA"/>
        </w:rPr>
      </w:pPr>
      <w:r w:rsidRPr="00ED35A9">
        <w:rPr>
          <w:szCs w:val="28"/>
          <w:lang w:val="uk-UA"/>
        </w:rPr>
        <w:t xml:space="preserve">Рекомендації та коментарі, наявні в цьому документі, є результатом дискусій ГРН, проведених під егідою ВООЗ/GTB у </w:t>
      </w:r>
      <w:proofErr w:type="spellStart"/>
      <w:r w:rsidRPr="00ED35A9">
        <w:rPr>
          <w:szCs w:val="28"/>
          <w:lang w:val="uk-UA"/>
        </w:rPr>
        <w:t>Версуа</w:t>
      </w:r>
      <w:proofErr w:type="spellEnd"/>
      <w:r w:rsidRPr="00ED35A9">
        <w:rPr>
          <w:szCs w:val="28"/>
          <w:lang w:val="uk-UA"/>
        </w:rPr>
        <w:t xml:space="preserve"> (Швейцарія) з 16 по 20 липня 2018 р. (</w:t>
      </w:r>
      <w:r w:rsidRPr="00ED35A9">
        <w:rPr>
          <w:i/>
          <w:szCs w:val="28"/>
          <w:lang w:val="uk-UA"/>
        </w:rPr>
        <w:t>див.</w:t>
      </w:r>
      <w:r w:rsidRPr="00ED35A9">
        <w:rPr>
          <w:szCs w:val="28"/>
          <w:lang w:val="uk-UA"/>
        </w:rPr>
        <w:t xml:space="preserve"> онлайн-додаток 3). ВООЗ висловлює подяку численним пацієнтам з МР/Риф-ТБ, дані яких дозволили провести оновлення цієї настанови ВООЗ. ВООЗ також висловлює подяку за внески, зроблені цією Групою напередодні, впродовж та після зустрічі з </w:t>
      </w:r>
      <w:proofErr w:type="spellStart"/>
      <w:r w:rsidRPr="00ED35A9">
        <w:rPr>
          <w:szCs w:val="28"/>
          <w:lang w:val="uk-UA"/>
        </w:rPr>
        <w:t>Holger</w:t>
      </w:r>
      <w:proofErr w:type="spellEnd"/>
      <w:r w:rsidRPr="00ED35A9">
        <w:rPr>
          <w:szCs w:val="28"/>
          <w:lang w:val="uk-UA"/>
        </w:rPr>
        <w:t xml:space="preserve"> SCHÜNEMANN (Голова та методолог GRADE), </w:t>
      </w:r>
      <w:proofErr w:type="spellStart"/>
      <w:r w:rsidRPr="00ED35A9">
        <w:rPr>
          <w:szCs w:val="28"/>
          <w:lang w:val="uk-UA"/>
        </w:rPr>
        <w:t>Geraint</w:t>
      </w:r>
      <w:proofErr w:type="spellEnd"/>
      <w:r w:rsidRPr="00ED35A9">
        <w:rPr>
          <w:szCs w:val="28"/>
          <w:lang w:val="uk-UA"/>
        </w:rPr>
        <w:t xml:space="preserve"> (</w:t>
      </w:r>
      <w:proofErr w:type="spellStart"/>
      <w:r w:rsidRPr="00ED35A9">
        <w:rPr>
          <w:szCs w:val="28"/>
          <w:lang w:val="uk-UA"/>
        </w:rPr>
        <w:t>Rhys</w:t>
      </w:r>
      <w:proofErr w:type="spellEnd"/>
      <w:r w:rsidRPr="00ED35A9">
        <w:rPr>
          <w:szCs w:val="28"/>
          <w:lang w:val="uk-UA"/>
        </w:rPr>
        <w:t xml:space="preserve">) DAVIES (співголова) та іншими членами ГРН: </w:t>
      </w:r>
      <w:proofErr w:type="spellStart"/>
      <w:r w:rsidRPr="00ED35A9">
        <w:rPr>
          <w:szCs w:val="28"/>
          <w:lang w:val="uk-UA"/>
        </w:rPr>
        <w:t>Eden</w:t>
      </w:r>
      <w:proofErr w:type="spellEnd"/>
      <w:r w:rsidRPr="00ED35A9">
        <w:rPr>
          <w:szCs w:val="28"/>
          <w:lang w:val="uk-UA"/>
        </w:rPr>
        <w:t xml:space="preserve"> ABADIANO MARIANO, </w:t>
      </w:r>
      <w:proofErr w:type="spellStart"/>
      <w:r w:rsidRPr="00ED35A9">
        <w:rPr>
          <w:szCs w:val="28"/>
          <w:lang w:val="uk-UA"/>
        </w:rPr>
        <w:t>Susan</w:t>
      </w:r>
      <w:proofErr w:type="spellEnd"/>
      <w:r w:rsidRPr="00ED35A9">
        <w:rPr>
          <w:szCs w:val="28"/>
          <w:lang w:val="uk-UA"/>
        </w:rPr>
        <w:t xml:space="preserve"> ABDEL RAHMAN, </w:t>
      </w:r>
      <w:proofErr w:type="spellStart"/>
      <w:r w:rsidRPr="00ED35A9">
        <w:rPr>
          <w:szCs w:val="28"/>
          <w:lang w:val="uk-UA"/>
        </w:rPr>
        <w:t>Sarabjit</w:t>
      </w:r>
      <w:proofErr w:type="spellEnd"/>
      <w:r w:rsidRPr="00ED35A9">
        <w:rPr>
          <w:szCs w:val="28"/>
          <w:lang w:val="uk-UA"/>
        </w:rPr>
        <w:t xml:space="preserve"> S CHADHA, </w:t>
      </w:r>
      <w:proofErr w:type="spellStart"/>
      <w:r w:rsidRPr="00ED35A9">
        <w:rPr>
          <w:szCs w:val="28"/>
          <w:lang w:val="uk-UA"/>
        </w:rPr>
        <w:t>Daniela</w:t>
      </w:r>
      <w:proofErr w:type="spellEnd"/>
      <w:r w:rsidRPr="00ED35A9">
        <w:rPr>
          <w:szCs w:val="28"/>
          <w:lang w:val="uk-UA"/>
        </w:rPr>
        <w:t xml:space="preserve"> CIRILLO, </w:t>
      </w:r>
      <w:proofErr w:type="spellStart"/>
      <w:r w:rsidRPr="00ED35A9">
        <w:rPr>
          <w:szCs w:val="28"/>
          <w:lang w:val="uk-UA"/>
        </w:rPr>
        <w:t>Fernanda</w:t>
      </w:r>
      <w:proofErr w:type="spellEnd"/>
      <w:r w:rsidRPr="00ED35A9">
        <w:rPr>
          <w:szCs w:val="28"/>
          <w:lang w:val="uk-UA"/>
        </w:rPr>
        <w:t xml:space="preserve"> DOCKHORN COSTA JOHANSEN, </w:t>
      </w:r>
      <w:proofErr w:type="spellStart"/>
      <w:r w:rsidRPr="00ED35A9">
        <w:rPr>
          <w:szCs w:val="28"/>
          <w:lang w:val="uk-UA"/>
        </w:rPr>
        <w:t>Bernard</w:t>
      </w:r>
      <w:proofErr w:type="spellEnd"/>
      <w:r w:rsidRPr="00ED35A9">
        <w:rPr>
          <w:szCs w:val="28"/>
          <w:lang w:val="uk-UA"/>
        </w:rPr>
        <w:t xml:space="preserve"> FOURIE, </w:t>
      </w:r>
      <w:proofErr w:type="spellStart"/>
      <w:r w:rsidRPr="00ED35A9">
        <w:rPr>
          <w:szCs w:val="28"/>
          <w:lang w:val="uk-UA"/>
        </w:rPr>
        <w:t>Edwin</w:t>
      </w:r>
      <w:proofErr w:type="spellEnd"/>
      <w:r w:rsidRPr="00ED35A9">
        <w:rPr>
          <w:szCs w:val="28"/>
          <w:lang w:val="uk-UA"/>
        </w:rPr>
        <w:t xml:space="preserve"> HERRERA-FLORES, </w:t>
      </w:r>
      <w:proofErr w:type="spellStart"/>
      <w:r w:rsidRPr="00ED35A9">
        <w:rPr>
          <w:szCs w:val="28"/>
          <w:lang w:val="uk-UA"/>
        </w:rPr>
        <w:t>Ayuko</w:t>
      </w:r>
      <w:proofErr w:type="spellEnd"/>
      <w:r w:rsidRPr="00ED35A9">
        <w:rPr>
          <w:szCs w:val="28"/>
          <w:lang w:val="uk-UA"/>
        </w:rPr>
        <w:t xml:space="preserve"> HIRAI, </w:t>
      </w:r>
      <w:proofErr w:type="spellStart"/>
      <w:r w:rsidRPr="00ED35A9">
        <w:rPr>
          <w:szCs w:val="28"/>
          <w:lang w:val="uk-UA"/>
        </w:rPr>
        <w:t>Alexander</w:t>
      </w:r>
      <w:proofErr w:type="spellEnd"/>
      <w:r w:rsidRPr="00ED35A9">
        <w:rPr>
          <w:szCs w:val="28"/>
          <w:lang w:val="uk-UA"/>
        </w:rPr>
        <w:t xml:space="preserve"> KAY, </w:t>
      </w:r>
      <w:proofErr w:type="spellStart"/>
      <w:r w:rsidRPr="00ED35A9">
        <w:rPr>
          <w:szCs w:val="28"/>
          <w:lang w:val="uk-UA"/>
        </w:rPr>
        <w:t>Rafael</w:t>
      </w:r>
      <w:proofErr w:type="spellEnd"/>
      <w:r w:rsidRPr="00ED35A9">
        <w:rPr>
          <w:szCs w:val="28"/>
          <w:lang w:val="uk-UA"/>
        </w:rPr>
        <w:t xml:space="preserve"> LANIADO-LABORIN, </w:t>
      </w:r>
      <w:proofErr w:type="spellStart"/>
      <w:r w:rsidRPr="00ED35A9">
        <w:rPr>
          <w:szCs w:val="28"/>
          <w:lang w:val="uk-UA"/>
        </w:rPr>
        <w:t>Lawrence</w:t>
      </w:r>
      <w:proofErr w:type="spellEnd"/>
      <w:r w:rsidRPr="00ED35A9">
        <w:rPr>
          <w:szCs w:val="28"/>
          <w:lang w:val="uk-UA"/>
        </w:rPr>
        <w:t xml:space="preserve"> MBUAGBAW, </w:t>
      </w:r>
      <w:proofErr w:type="spellStart"/>
      <w:r w:rsidRPr="00ED35A9">
        <w:rPr>
          <w:szCs w:val="28"/>
          <w:lang w:val="uk-UA"/>
        </w:rPr>
        <w:t>Payam</w:t>
      </w:r>
      <w:proofErr w:type="spellEnd"/>
      <w:r w:rsidRPr="00ED35A9">
        <w:rPr>
          <w:szCs w:val="28"/>
          <w:lang w:val="uk-UA"/>
        </w:rPr>
        <w:t xml:space="preserve"> NAHID, </w:t>
      </w:r>
      <w:proofErr w:type="spellStart"/>
      <w:r w:rsidRPr="00ED35A9">
        <w:rPr>
          <w:szCs w:val="28"/>
          <w:lang w:val="uk-UA"/>
        </w:rPr>
        <w:t>Austin</w:t>
      </w:r>
      <w:proofErr w:type="spellEnd"/>
      <w:r w:rsidRPr="00ED35A9">
        <w:rPr>
          <w:szCs w:val="28"/>
          <w:lang w:val="uk-UA"/>
        </w:rPr>
        <w:t xml:space="preserve"> </w:t>
      </w:r>
      <w:proofErr w:type="spellStart"/>
      <w:r w:rsidRPr="00ED35A9">
        <w:rPr>
          <w:szCs w:val="28"/>
          <w:lang w:val="uk-UA"/>
        </w:rPr>
        <w:t>Arinze</w:t>
      </w:r>
      <w:proofErr w:type="spellEnd"/>
      <w:r w:rsidRPr="00ED35A9">
        <w:rPr>
          <w:szCs w:val="28"/>
          <w:lang w:val="uk-UA"/>
        </w:rPr>
        <w:t xml:space="preserve"> OBIEFUNA, </w:t>
      </w:r>
      <w:proofErr w:type="spellStart"/>
      <w:r w:rsidRPr="00ED35A9">
        <w:rPr>
          <w:szCs w:val="28"/>
          <w:lang w:val="uk-UA"/>
        </w:rPr>
        <w:t>Cristina</w:t>
      </w:r>
      <w:proofErr w:type="spellEnd"/>
      <w:r w:rsidRPr="00ED35A9">
        <w:rPr>
          <w:szCs w:val="28"/>
          <w:lang w:val="uk-UA"/>
        </w:rPr>
        <w:t xml:space="preserve"> POPA, </w:t>
      </w:r>
      <w:proofErr w:type="spellStart"/>
      <w:r w:rsidRPr="00ED35A9">
        <w:rPr>
          <w:szCs w:val="28"/>
          <w:lang w:val="uk-UA"/>
        </w:rPr>
        <w:t>Wipa</w:t>
      </w:r>
      <w:proofErr w:type="spellEnd"/>
      <w:r w:rsidRPr="00ED35A9">
        <w:rPr>
          <w:szCs w:val="28"/>
          <w:lang w:val="uk-UA"/>
        </w:rPr>
        <w:t xml:space="preserve"> REECHAIPICHITKUL, </w:t>
      </w:r>
      <w:proofErr w:type="spellStart"/>
      <w:r w:rsidRPr="00ED35A9">
        <w:rPr>
          <w:szCs w:val="28"/>
          <w:lang w:val="uk-UA"/>
        </w:rPr>
        <w:t>Maria</w:t>
      </w:r>
      <w:proofErr w:type="spellEnd"/>
      <w:r w:rsidRPr="00ED35A9">
        <w:rPr>
          <w:szCs w:val="28"/>
          <w:lang w:val="uk-UA"/>
        </w:rPr>
        <w:t xml:space="preserve"> RODRIGUEZ, </w:t>
      </w:r>
      <w:proofErr w:type="spellStart"/>
      <w:r w:rsidRPr="00ED35A9">
        <w:rPr>
          <w:szCs w:val="28"/>
          <w:lang w:val="uk-UA"/>
        </w:rPr>
        <w:t>Adman</w:t>
      </w:r>
      <w:proofErr w:type="spellEnd"/>
      <w:r w:rsidRPr="00ED35A9">
        <w:rPr>
          <w:szCs w:val="28"/>
          <w:lang w:val="uk-UA"/>
        </w:rPr>
        <w:t xml:space="preserve"> </w:t>
      </w:r>
      <w:proofErr w:type="spellStart"/>
      <w:r w:rsidRPr="00ED35A9">
        <w:rPr>
          <w:szCs w:val="28"/>
          <w:lang w:val="uk-UA"/>
        </w:rPr>
        <w:t>Skirry</w:t>
      </w:r>
      <w:proofErr w:type="spellEnd"/>
      <w:r w:rsidRPr="00ED35A9">
        <w:rPr>
          <w:szCs w:val="28"/>
          <w:lang w:val="uk-UA"/>
        </w:rPr>
        <w:t xml:space="preserve"> SHABANGU, </w:t>
      </w:r>
      <w:proofErr w:type="spellStart"/>
      <w:r w:rsidRPr="00ED35A9">
        <w:rPr>
          <w:szCs w:val="28"/>
          <w:lang w:val="uk-UA"/>
        </w:rPr>
        <w:t>Sabira</w:t>
      </w:r>
      <w:proofErr w:type="spellEnd"/>
      <w:r w:rsidRPr="00ED35A9">
        <w:rPr>
          <w:szCs w:val="28"/>
          <w:lang w:val="uk-UA"/>
        </w:rPr>
        <w:t xml:space="preserve"> TAHSEEN, </w:t>
      </w:r>
      <w:proofErr w:type="spellStart"/>
      <w:r w:rsidRPr="00ED35A9">
        <w:rPr>
          <w:szCs w:val="28"/>
          <w:lang w:val="uk-UA"/>
        </w:rPr>
        <w:t>Carrie</w:t>
      </w:r>
      <w:proofErr w:type="spellEnd"/>
      <w:r w:rsidRPr="00ED35A9">
        <w:rPr>
          <w:szCs w:val="28"/>
          <w:lang w:val="uk-UA"/>
        </w:rPr>
        <w:t xml:space="preserve"> TUDOR, </w:t>
      </w:r>
      <w:proofErr w:type="spellStart"/>
      <w:r w:rsidRPr="00ED35A9">
        <w:rPr>
          <w:szCs w:val="28"/>
          <w:lang w:val="uk-UA"/>
        </w:rPr>
        <w:t>Zarir</w:t>
      </w:r>
      <w:proofErr w:type="spellEnd"/>
      <w:r w:rsidRPr="00ED35A9">
        <w:rPr>
          <w:szCs w:val="28"/>
          <w:lang w:val="uk-UA"/>
        </w:rPr>
        <w:t xml:space="preserve"> UDWADIA та </w:t>
      </w:r>
      <w:proofErr w:type="spellStart"/>
      <w:r w:rsidRPr="00ED35A9">
        <w:rPr>
          <w:szCs w:val="28"/>
          <w:lang w:val="uk-UA"/>
        </w:rPr>
        <w:t>Andrew</w:t>
      </w:r>
      <w:proofErr w:type="spellEnd"/>
      <w:r w:rsidRPr="00ED35A9">
        <w:rPr>
          <w:szCs w:val="28"/>
          <w:lang w:val="uk-UA"/>
        </w:rPr>
        <w:t xml:space="preserve"> VERNON (</w:t>
      </w:r>
      <w:r w:rsidRPr="00ED35A9">
        <w:rPr>
          <w:i/>
          <w:szCs w:val="28"/>
          <w:lang w:val="uk-UA"/>
        </w:rPr>
        <w:t>див.</w:t>
      </w:r>
      <w:r w:rsidRPr="00ED35A9">
        <w:rPr>
          <w:szCs w:val="28"/>
          <w:lang w:val="uk-UA"/>
        </w:rPr>
        <w:t xml:space="preserve"> онлайн-додаток 4). Також ВООЗ висловлює подяку команді Університету </w:t>
      </w:r>
      <w:proofErr w:type="spellStart"/>
      <w:r w:rsidRPr="00ED35A9">
        <w:rPr>
          <w:szCs w:val="28"/>
          <w:lang w:val="uk-UA"/>
        </w:rPr>
        <w:t>МакГілла</w:t>
      </w:r>
      <w:proofErr w:type="spellEnd"/>
      <w:r w:rsidRPr="00ED35A9">
        <w:rPr>
          <w:szCs w:val="28"/>
          <w:lang w:val="uk-UA"/>
        </w:rPr>
        <w:t xml:space="preserve"> (Монреаль, Канада), яка провела систематичний огляд, збір та аналіз ІДП, а саме: </w:t>
      </w:r>
      <w:proofErr w:type="spellStart"/>
      <w:r w:rsidRPr="00ED35A9">
        <w:rPr>
          <w:szCs w:val="28"/>
          <w:lang w:val="uk-UA"/>
        </w:rPr>
        <w:t>Syed</w:t>
      </w:r>
      <w:proofErr w:type="spellEnd"/>
      <w:r w:rsidRPr="00ED35A9">
        <w:rPr>
          <w:szCs w:val="28"/>
          <w:lang w:val="uk-UA"/>
        </w:rPr>
        <w:t xml:space="preserve"> ABIDI, </w:t>
      </w:r>
      <w:proofErr w:type="spellStart"/>
      <w:r w:rsidRPr="00ED35A9">
        <w:rPr>
          <w:szCs w:val="28"/>
          <w:lang w:val="uk-UA"/>
        </w:rPr>
        <w:t>Faiz</w:t>
      </w:r>
      <w:proofErr w:type="spellEnd"/>
      <w:r w:rsidRPr="00ED35A9">
        <w:rPr>
          <w:szCs w:val="28"/>
          <w:lang w:val="uk-UA"/>
        </w:rPr>
        <w:t xml:space="preserve"> AHMAD KHAN, </w:t>
      </w:r>
      <w:proofErr w:type="spellStart"/>
      <w:r w:rsidRPr="00ED35A9">
        <w:rPr>
          <w:szCs w:val="28"/>
          <w:lang w:val="uk-UA"/>
        </w:rPr>
        <w:t>Jonathon</w:t>
      </w:r>
      <w:proofErr w:type="spellEnd"/>
      <w:r w:rsidRPr="00ED35A9">
        <w:rPr>
          <w:szCs w:val="28"/>
          <w:lang w:val="uk-UA"/>
        </w:rPr>
        <w:t xml:space="preserve"> CAMPBELL, </w:t>
      </w:r>
      <w:proofErr w:type="spellStart"/>
      <w:r w:rsidRPr="00ED35A9">
        <w:rPr>
          <w:szCs w:val="28"/>
          <w:lang w:val="uk-UA"/>
        </w:rPr>
        <w:t>Zhiyi</w:t>
      </w:r>
      <w:proofErr w:type="spellEnd"/>
      <w:r w:rsidRPr="00ED35A9">
        <w:rPr>
          <w:szCs w:val="28"/>
          <w:lang w:val="uk-UA"/>
        </w:rPr>
        <w:t xml:space="preserve"> LAN та </w:t>
      </w:r>
      <w:proofErr w:type="spellStart"/>
      <w:r w:rsidRPr="00ED35A9">
        <w:rPr>
          <w:szCs w:val="28"/>
          <w:lang w:val="uk-UA"/>
        </w:rPr>
        <w:t>Dick</w:t>
      </w:r>
      <w:proofErr w:type="spellEnd"/>
      <w:r w:rsidRPr="00ED35A9">
        <w:rPr>
          <w:szCs w:val="28"/>
          <w:lang w:val="uk-UA"/>
        </w:rPr>
        <w:t xml:space="preserve"> MENZIES.</w:t>
      </w:r>
    </w:p>
    <w:p w:rsidR="00184AD2" w:rsidRPr="00ED35A9" w:rsidRDefault="00184AD2" w:rsidP="00184AD2">
      <w:pPr>
        <w:rPr>
          <w:szCs w:val="28"/>
          <w:lang w:val="uk-UA"/>
        </w:rPr>
      </w:pPr>
      <w:r w:rsidRPr="00ED35A9">
        <w:rPr>
          <w:szCs w:val="28"/>
          <w:lang w:val="uk-UA"/>
        </w:rPr>
        <w:t xml:space="preserve">Також ВООЗ вдячна експертам ГЗР, які надали коментарі щодо проекту документу: </w:t>
      </w:r>
      <w:proofErr w:type="spellStart"/>
      <w:r w:rsidRPr="00ED35A9">
        <w:rPr>
          <w:szCs w:val="28"/>
          <w:lang w:val="uk-UA"/>
        </w:rPr>
        <w:t>Essam</w:t>
      </w:r>
      <w:proofErr w:type="spellEnd"/>
      <w:r w:rsidRPr="00ED35A9">
        <w:rPr>
          <w:szCs w:val="28"/>
          <w:lang w:val="uk-UA"/>
        </w:rPr>
        <w:t xml:space="preserve"> ELMOGHAZI, </w:t>
      </w:r>
      <w:proofErr w:type="spellStart"/>
      <w:r w:rsidRPr="00ED35A9">
        <w:rPr>
          <w:szCs w:val="28"/>
          <w:lang w:val="uk-UA"/>
        </w:rPr>
        <w:t>Mildred</w:t>
      </w:r>
      <w:proofErr w:type="spellEnd"/>
      <w:r w:rsidRPr="00ED35A9">
        <w:rPr>
          <w:szCs w:val="28"/>
          <w:lang w:val="uk-UA"/>
        </w:rPr>
        <w:t xml:space="preserve"> FERNANDO-PANCHO, </w:t>
      </w:r>
      <w:proofErr w:type="spellStart"/>
      <w:r w:rsidRPr="00ED35A9">
        <w:rPr>
          <w:szCs w:val="28"/>
          <w:lang w:val="uk-UA"/>
        </w:rPr>
        <w:t>Anna</w:t>
      </w:r>
      <w:proofErr w:type="spellEnd"/>
      <w:r w:rsidRPr="00ED35A9">
        <w:rPr>
          <w:szCs w:val="28"/>
          <w:lang w:val="uk-UA"/>
        </w:rPr>
        <w:t xml:space="preserve"> </w:t>
      </w:r>
      <w:proofErr w:type="spellStart"/>
      <w:r w:rsidRPr="00ED35A9">
        <w:rPr>
          <w:szCs w:val="28"/>
          <w:lang w:val="uk-UA"/>
        </w:rPr>
        <w:t>Marie</w:t>
      </w:r>
      <w:proofErr w:type="spellEnd"/>
      <w:r w:rsidRPr="00ED35A9">
        <w:rPr>
          <w:szCs w:val="28"/>
          <w:lang w:val="uk-UA"/>
        </w:rPr>
        <w:t xml:space="preserve"> </w:t>
      </w:r>
      <w:proofErr w:type="spellStart"/>
      <w:r w:rsidRPr="00ED35A9">
        <w:rPr>
          <w:szCs w:val="28"/>
          <w:lang w:val="uk-UA"/>
        </w:rPr>
        <w:t>Celina</w:t>
      </w:r>
      <w:proofErr w:type="spellEnd"/>
      <w:r w:rsidRPr="00ED35A9">
        <w:rPr>
          <w:szCs w:val="28"/>
          <w:lang w:val="uk-UA"/>
        </w:rPr>
        <w:t xml:space="preserve"> GARFIN, </w:t>
      </w:r>
      <w:proofErr w:type="spellStart"/>
      <w:r w:rsidRPr="00ED35A9">
        <w:rPr>
          <w:szCs w:val="28"/>
          <w:lang w:val="uk-UA"/>
        </w:rPr>
        <w:t>Barend</w:t>
      </w:r>
      <w:proofErr w:type="spellEnd"/>
      <w:r w:rsidRPr="00ED35A9">
        <w:rPr>
          <w:szCs w:val="28"/>
          <w:lang w:val="uk-UA"/>
        </w:rPr>
        <w:t xml:space="preserve"> (</w:t>
      </w:r>
      <w:proofErr w:type="spellStart"/>
      <w:r w:rsidRPr="00ED35A9">
        <w:rPr>
          <w:szCs w:val="28"/>
          <w:lang w:val="uk-UA"/>
        </w:rPr>
        <w:t>Ben</w:t>
      </w:r>
      <w:proofErr w:type="spellEnd"/>
      <w:r w:rsidRPr="00ED35A9">
        <w:rPr>
          <w:szCs w:val="28"/>
          <w:lang w:val="uk-UA"/>
        </w:rPr>
        <w:t xml:space="preserve">) MARAIS, </w:t>
      </w:r>
      <w:proofErr w:type="spellStart"/>
      <w:r w:rsidRPr="00ED35A9">
        <w:rPr>
          <w:szCs w:val="28"/>
          <w:lang w:val="uk-UA"/>
        </w:rPr>
        <w:t>Andrei</w:t>
      </w:r>
      <w:proofErr w:type="spellEnd"/>
      <w:r w:rsidRPr="00ED35A9">
        <w:rPr>
          <w:szCs w:val="28"/>
          <w:lang w:val="uk-UA"/>
        </w:rPr>
        <w:t xml:space="preserve"> MARYANDYSHEV, </w:t>
      </w:r>
      <w:proofErr w:type="spellStart"/>
      <w:r w:rsidRPr="00ED35A9">
        <w:rPr>
          <w:szCs w:val="28"/>
          <w:lang w:val="uk-UA"/>
        </w:rPr>
        <w:t>Alberto</w:t>
      </w:r>
      <w:proofErr w:type="spellEnd"/>
      <w:r w:rsidRPr="00ED35A9">
        <w:rPr>
          <w:szCs w:val="28"/>
          <w:lang w:val="uk-UA"/>
        </w:rPr>
        <w:t xml:space="preserve"> MATTEELLI, </w:t>
      </w:r>
      <w:proofErr w:type="spellStart"/>
      <w:r w:rsidRPr="00ED35A9">
        <w:rPr>
          <w:szCs w:val="28"/>
          <w:lang w:val="uk-UA"/>
        </w:rPr>
        <w:t>Giovanni</w:t>
      </w:r>
      <w:proofErr w:type="spellEnd"/>
      <w:r w:rsidRPr="00ED35A9">
        <w:rPr>
          <w:szCs w:val="28"/>
          <w:lang w:val="uk-UA"/>
        </w:rPr>
        <w:t xml:space="preserve"> </w:t>
      </w:r>
      <w:proofErr w:type="spellStart"/>
      <w:r w:rsidRPr="00ED35A9">
        <w:rPr>
          <w:szCs w:val="28"/>
          <w:lang w:val="uk-UA"/>
        </w:rPr>
        <w:t>Battista</w:t>
      </w:r>
      <w:proofErr w:type="spellEnd"/>
      <w:r w:rsidRPr="00ED35A9">
        <w:rPr>
          <w:szCs w:val="28"/>
          <w:lang w:val="uk-UA"/>
        </w:rPr>
        <w:t xml:space="preserve"> MIGLIORI, </w:t>
      </w:r>
      <w:proofErr w:type="spellStart"/>
      <w:r w:rsidRPr="00ED35A9">
        <w:rPr>
          <w:szCs w:val="28"/>
          <w:lang w:val="uk-UA"/>
        </w:rPr>
        <w:t>Thato</w:t>
      </w:r>
      <w:proofErr w:type="spellEnd"/>
      <w:r w:rsidRPr="00ED35A9">
        <w:rPr>
          <w:szCs w:val="28"/>
          <w:lang w:val="uk-UA"/>
        </w:rPr>
        <w:t xml:space="preserve"> MOSIDI, </w:t>
      </w:r>
      <w:proofErr w:type="spellStart"/>
      <w:r w:rsidRPr="00ED35A9">
        <w:rPr>
          <w:szCs w:val="28"/>
          <w:lang w:val="uk-UA"/>
        </w:rPr>
        <w:t>Nguyen</w:t>
      </w:r>
      <w:proofErr w:type="spellEnd"/>
      <w:r w:rsidRPr="00ED35A9">
        <w:rPr>
          <w:szCs w:val="28"/>
          <w:lang w:val="uk-UA"/>
        </w:rPr>
        <w:t xml:space="preserve"> </w:t>
      </w:r>
      <w:proofErr w:type="spellStart"/>
      <w:r w:rsidRPr="00ED35A9">
        <w:rPr>
          <w:szCs w:val="28"/>
          <w:lang w:val="uk-UA"/>
        </w:rPr>
        <w:t>Viet</w:t>
      </w:r>
      <w:proofErr w:type="spellEnd"/>
      <w:r w:rsidRPr="00ED35A9">
        <w:rPr>
          <w:szCs w:val="28"/>
          <w:lang w:val="uk-UA"/>
        </w:rPr>
        <w:t xml:space="preserve"> NHUNG, </w:t>
      </w:r>
      <w:proofErr w:type="spellStart"/>
      <w:r w:rsidRPr="00ED35A9">
        <w:rPr>
          <w:szCs w:val="28"/>
          <w:lang w:val="uk-UA"/>
        </w:rPr>
        <w:t>Rohit</w:t>
      </w:r>
      <w:proofErr w:type="spellEnd"/>
      <w:r w:rsidRPr="00ED35A9">
        <w:rPr>
          <w:szCs w:val="28"/>
          <w:lang w:val="uk-UA"/>
        </w:rPr>
        <w:t xml:space="preserve"> SARIN, </w:t>
      </w:r>
      <w:proofErr w:type="spellStart"/>
      <w:r w:rsidRPr="00ED35A9">
        <w:rPr>
          <w:szCs w:val="28"/>
          <w:lang w:val="uk-UA"/>
        </w:rPr>
        <w:t>Welile</w:t>
      </w:r>
      <w:proofErr w:type="spellEnd"/>
      <w:r w:rsidRPr="00ED35A9">
        <w:rPr>
          <w:szCs w:val="28"/>
          <w:lang w:val="uk-UA"/>
        </w:rPr>
        <w:t xml:space="preserve"> SIKHONDZE, </w:t>
      </w:r>
      <w:proofErr w:type="spellStart"/>
      <w:r w:rsidRPr="00ED35A9">
        <w:rPr>
          <w:szCs w:val="28"/>
          <w:lang w:val="uk-UA"/>
        </w:rPr>
        <w:t>Ivan</w:t>
      </w:r>
      <w:proofErr w:type="spellEnd"/>
      <w:r w:rsidRPr="00ED35A9">
        <w:rPr>
          <w:szCs w:val="28"/>
          <w:lang w:val="uk-UA"/>
        </w:rPr>
        <w:t xml:space="preserve"> SOLOVIC, </w:t>
      </w:r>
      <w:proofErr w:type="spellStart"/>
      <w:r w:rsidRPr="00ED35A9">
        <w:rPr>
          <w:szCs w:val="28"/>
          <w:lang w:val="uk-UA"/>
        </w:rPr>
        <w:t>Pedro</w:t>
      </w:r>
      <w:proofErr w:type="spellEnd"/>
      <w:r w:rsidRPr="00ED35A9">
        <w:rPr>
          <w:szCs w:val="28"/>
          <w:lang w:val="uk-UA"/>
        </w:rPr>
        <w:t xml:space="preserve"> SUAREZ та </w:t>
      </w:r>
      <w:proofErr w:type="spellStart"/>
      <w:r w:rsidRPr="00ED35A9">
        <w:rPr>
          <w:szCs w:val="28"/>
          <w:lang w:val="uk-UA"/>
        </w:rPr>
        <w:t>Carlos</w:t>
      </w:r>
      <w:proofErr w:type="spellEnd"/>
      <w:r w:rsidRPr="00ED35A9">
        <w:rPr>
          <w:szCs w:val="28"/>
          <w:lang w:val="uk-UA"/>
        </w:rPr>
        <w:t xml:space="preserve"> TORRES.</w:t>
      </w:r>
    </w:p>
    <w:p w:rsidR="00184AD2" w:rsidRPr="00ED35A9" w:rsidRDefault="00184AD2" w:rsidP="00184AD2">
      <w:pPr>
        <w:rPr>
          <w:szCs w:val="28"/>
          <w:lang w:val="uk-UA"/>
        </w:rPr>
      </w:pPr>
      <w:r w:rsidRPr="00ED35A9">
        <w:rPr>
          <w:szCs w:val="28"/>
          <w:lang w:val="uk-UA"/>
        </w:rPr>
        <w:t xml:space="preserve">Написання даної настанови координували </w:t>
      </w:r>
      <w:proofErr w:type="spellStart"/>
      <w:r w:rsidRPr="00ED35A9">
        <w:rPr>
          <w:szCs w:val="28"/>
          <w:lang w:val="uk-UA"/>
        </w:rPr>
        <w:t>Dennis</w:t>
      </w:r>
      <w:proofErr w:type="spellEnd"/>
      <w:r w:rsidRPr="00ED35A9">
        <w:rPr>
          <w:szCs w:val="28"/>
          <w:lang w:val="uk-UA"/>
        </w:rPr>
        <w:t xml:space="preserve"> FALZON (ВООЗ/GTB) та </w:t>
      </w:r>
      <w:proofErr w:type="spellStart"/>
      <w:r w:rsidRPr="00ED35A9">
        <w:rPr>
          <w:szCs w:val="28"/>
          <w:lang w:val="uk-UA"/>
        </w:rPr>
        <w:t>Kerri</w:t>
      </w:r>
      <w:proofErr w:type="spellEnd"/>
      <w:r w:rsidRPr="00ED35A9">
        <w:rPr>
          <w:szCs w:val="28"/>
          <w:lang w:val="uk-UA"/>
        </w:rPr>
        <w:t xml:space="preserve"> VINEY (доповідач ВООЗ) під керівництвом та наглядом </w:t>
      </w:r>
      <w:proofErr w:type="spellStart"/>
      <w:r w:rsidRPr="00ED35A9">
        <w:rPr>
          <w:szCs w:val="28"/>
          <w:lang w:val="uk-UA"/>
        </w:rPr>
        <w:t>Ernesto</w:t>
      </w:r>
      <w:proofErr w:type="spellEnd"/>
      <w:r w:rsidRPr="00ED35A9">
        <w:rPr>
          <w:szCs w:val="28"/>
          <w:lang w:val="uk-UA"/>
        </w:rPr>
        <w:t xml:space="preserve"> JARAMILLO і </w:t>
      </w:r>
      <w:proofErr w:type="spellStart"/>
      <w:r w:rsidRPr="00ED35A9">
        <w:rPr>
          <w:szCs w:val="28"/>
          <w:lang w:val="uk-UA"/>
        </w:rPr>
        <w:t>Karin</w:t>
      </w:r>
      <w:proofErr w:type="spellEnd"/>
      <w:r w:rsidRPr="00ED35A9">
        <w:rPr>
          <w:szCs w:val="28"/>
          <w:lang w:val="uk-UA"/>
        </w:rPr>
        <w:t xml:space="preserve"> WEYER (ВООЗ/GTB) та загальним </w:t>
      </w:r>
      <w:proofErr w:type="spellStart"/>
      <w:r w:rsidRPr="00ED35A9">
        <w:rPr>
          <w:szCs w:val="28"/>
          <w:lang w:val="uk-UA"/>
        </w:rPr>
        <w:t>очоленням</w:t>
      </w:r>
      <w:proofErr w:type="spellEnd"/>
      <w:r w:rsidRPr="00ED35A9">
        <w:rPr>
          <w:szCs w:val="28"/>
          <w:lang w:val="uk-UA"/>
        </w:rPr>
        <w:t xml:space="preserve"> </w:t>
      </w:r>
      <w:proofErr w:type="spellStart"/>
      <w:r w:rsidRPr="00ED35A9">
        <w:rPr>
          <w:szCs w:val="28"/>
          <w:lang w:val="uk-UA"/>
        </w:rPr>
        <w:t>Tereza</w:t>
      </w:r>
      <w:proofErr w:type="spellEnd"/>
      <w:r w:rsidRPr="00ED35A9">
        <w:rPr>
          <w:szCs w:val="28"/>
          <w:lang w:val="uk-UA"/>
        </w:rPr>
        <w:t xml:space="preserve"> KASAEVA (директор ВООЗ/GTB). Автори відзначають внесок у розробку цієї настанови інших працівників Комітету розроблення настанови ВООЗ: </w:t>
      </w:r>
      <w:proofErr w:type="spellStart"/>
      <w:r w:rsidRPr="00ED35A9">
        <w:rPr>
          <w:szCs w:val="28"/>
          <w:lang w:val="uk-UA"/>
        </w:rPr>
        <w:t>Nicola</w:t>
      </w:r>
      <w:proofErr w:type="spellEnd"/>
      <w:r w:rsidRPr="00ED35A9">
        <w:rPr>
          <w:szCs w:val="28"/>
          <w:lang w:val="uk-UA"/>
        </w:rPr>
        <w:t xml:space="preserve"> COCCO, </w:t>
      </w:r>
      <w:proofErr w:type="spellStart"/>
      <w:r w:rsidRPr="00ED35A9">
        <w:rPr>
          <w:szCs w:val="28"/>
          <w:lang w:val="uk-UA"/>
        </w:rPr>
        <w:t>Giuliano</w:t>
      </w:r>
      <w:proofErr w:type="spellEnd"/>
      <w:r w:rsidRPr="00ED35A9">
        <w:rPr>
          <w:szCs w:val="28"/>
          <w:lang w:val="uk-UA"/>
        </w:rPr>
        <w:t xml:space="preserve"> GARGIONI, </w:t>
      </w:r>
      <w:proofErr w:type="spellStart"/>
      <w:r w:rsidRPr="00ED35A9">
        <w:rPr>
          <w:szCs w:val="28"/>
          <w:lang w:val="uk-UA"/>
        </w:rPr>
        <w:t>Christopher</w:t>
      </w:r>
      <w:proofErr w:type="spellEnd"/>
      <w:r w:rsidRPr="00ED35A9">
        <w:rPr>
          <w:szCs w:val="28"/>
          <w:lang w:val="uk-UA"/>
        </w:rPr>
        <w:t xml:space="preserve"> GILPIN, </w:t>
      </w:r>
      <w:proofErr w:type="spellStart"/>
      <w:r w:rsidRPr="00ED35A9">
        <w:rPr>
          <w:szCs w:val="28"/>
          <w:lang w:val="uk-UA"/>
        </w:rPr>
        <w:t>Licé</w:t>
      </w:r>
      <w:proofErr w:type="spellEnd"/>
      <w:r w:rsidRPr="00ED35A9">
        <w:rPr>
          <w:szCs w:val="28"/>
          <w:lang w:val="uk-UA"/>
        </w:rPr>
        <w:t xml:space="preserve"> GONZALEZ-ANGULO, </w:t>
      </w:r>
      <w:proofErr w:type="spellStart"/>
      <w:r w:rsidRPr="00ED35A9">
        <w:rPr>
          <w:szCs w:val="28"/>
          <w:lang w:val="uk-UA"/>
        </w:rPr>
        <w:t>Malgorzata</w:t>
      </w:r>
      <w:proofErr w:type="spellEnd"/>
      <w:r w:rsidRPr="00ED35A9">
        <w:rPr>
          <w:szCs w:val="28"/>
          <w:lang w:val="uk-UA"/>
        </w:rPr>
        <w:t xml:space="preserve"> GRZEMSKA, </w:t>
      </w:r>
      <w:proofErr w:type="spellStart"/>
      <w:r w:rsidRPr="00ED35A9">
        <w:rPr>
          <w:szCs w:val="28"/>
          <w:lang w:val="uk-UA"/>
        </w:rPr>
        <w:t>Alexei</w:t>
      </w:r>
      <w:proofErr w:type="spellEnd"/>
      <w:r w:rsidRPr="00ED35A9">
        <w:rPr>
          <w:szCs w:val="28"/>
          <w:lang w:val="uk-UA"/>
        </w:rPr>
        <w:t xml:space="preserve"> KOROBITSYN, </w:t>
      </w:r>
      <w:proofErr w:type="spellStart"/>
      <w:r w:rsidRPr="00ED35A9">
        <w:rPr>
          <w:szCs w:val="28"/>
          <w:lang w:val="uk-UA"/>
        </w:rPr>
        <w:t>Corinne</w:t>
      </w:r>
      <w:proofErr w:type="spellEnd"/>
      <w:r w:rsidRPr="00ED35A9">
        <w:rPr>
          <w:szCs w:val="28"/>
          <w:lang w:val="uk-UA"/>
        </w:rPr>
        <w:t xml:space="preserve"> MERLE, </w:t>
      </w:r>
      <w:proofErr w:type="spellStart"/>
      <w:r w:rsidRPr="00ED35A9">
        <w:rPr>
          <w:szCs w:val="28"/>
          <w:lang w:val="uk-UA"/>
        </w:rPr>
        <w:t>Fuad</w:t>
      </w:r>
      <w:proofErr w:type="spellEnd"/>
      <w:r w:rsidRPr="00ED35A9">
        <w:rPr>
          <w:szCs w:val="28"/>
          <w:lang w:val="uk-UA"/>
        </w:rPr>
        <w:t xml:space="preserve"> MIRZAYEV, </w:t>
      </w:r>
      <w:proofErr w:type="spellStart"/>
      <w:r w:rsidRPr="00ED35A9">
        <w:rPr>
          <w:szCs w:val="28"/>
          <w:lang w:val="uk-UA"/>
        </w:rPr>
        <w:t>Lorenzo</w:t>
      </w:r>
      <w:proofErr w:type="spellEnd"/>
      <w:r w:rsidRPr="00ED35A9">
        <w:rPr>
          <w:szCs w:val="28"/>
          <w:lang w:val="uk-UA"/>
        </w:rPr>
        <w:t xml:space="preserve"> MOJA, </w:t>
      </w:r>
      <w:proofErr w:type="spellStart"/>
      <w:r w:rsidRPr="00ED35A9">
        <w:rPr>
          <w:szCs w:val="28"/>
          <w:lang w:val="uk-UA"/>
        </w:rPr>
        <w:t>Piero</w:t>
      </w:r>
      <w:proofErr w:type="spellEnd"/>
      <w:r w:rsidRPr="00ED35A9">
        <w:rPr>
          <w:szCs w:val="28"/>
          <w:lang w:val="uk-UA"/>
        </w:rPr>
        <w:t xml:space="preserve"> </w:t>
      </w:r>
      <w:proofErr w:type="spellStart"/>
      <w:r w:rsidRPr="00ED35A9">
        <w:rPr>
          <w:szCs w:val="28"/>
          <w:lang w:val="uk-UA"/>
        </w:rPr>
        <w:t>Luigi</w:t>
      </w:r>
      <w:proofErr w:type="spellEnd"/>
      <w:r w:rsidRPr="00ED35A9">
        <w:rPr>
          <w:szCs w:val="28"/>
          <w:lang w:val="uk-UA"/>
        </w:rPr>
        <w:t xml:space="preserve"> OLLIARO, </w:t>
      </w:r>
      <w:proofErr w:type="spellStart"/>
      <w:r w:rsidRPr="00ED35A9">
        <w:rPr>
          <w:szCs w:val="28"/>
          <w:lang w:val="uk-UA"/>
        </w:rPr>
        <w:t>Andreas</w:t>
      </w:r>
      <w:proofErr w:type="spellEnd"/>
      <w:r w:rsidRPr="00ED35A9">
        <w:rPr>
          <w:szCs w:val="28"/>
          <w:lang w:val="uk-UA"/>
        </w:rPr>
        <w:t xml:space="preserve"> </w:t>
      </w:r>
      <w:proofErr w:type="spellStart"/>
      <w:r w:rsidRPr="00ED35A9">
        <w:rPr>
          <w:szCs w:val="28"/>
          <w:lang w:val="uk-UA"/>
        </w:rPr>
        <w:t>Alois</w:t>
      </w:r>
      <w:proofErr w:type="spellEnd"/>
      <w:r w:rsidRPr="00ED35A9">
        <w:rPr>
          <w:szCs w:val="28"/>
          <w:lang w:val="uk-UA"/>
        </w:rPr>
        <w:t xml:space="preserve"> REIS, </w:t>
      </w:r>
      <w:proofErr w:type="spellStart"/>
      <w:r w:rsidRPr="00ED35A9">
        <w:rPr>
          <w:szCs w:val="28"/>
          <w:lang w:val="uk-UA"/>
        </w:rPr>
        <w:t>Satvinder</w:t>
      </w:r>
      <w:proofErr w:type="spellEnd"/>
      <w:r w:rsidRPr="00ED35A9">
        <w:rPr>
          <w:szCs w:val="28"/>
          <w:lang w:val="uk-UA"/>
        </w:rPr>
        <w:t xml:space="preserve"> SINGH та </w:t>
      </w:r>
      <w:proofErr w:type="spellStart"/>
      <w:r w:rsidRPr="00ED35A9">
        <w:rPr>
          <w:szCs w:val="28"/>
          <w:lang w:val="uk-UA"/>
        </w:rPr>
        <w:t>Matteo</w:t>
      </w:r>
      <w:proofErr w:type="spellEnd"/>
      <w:r w:rsidRPr="00ED35A9">
        <w:rPr>
          <w:szCs w:val="28"/>
          <w:lang w:val="uk-UA"/>
        </w:rPr>
        <w:t xml:space="preserve"> ZIGNOL. Роботу над документом було завершено після отримання коментарів від членів ГРН, ГЗР та Керівного комітету ВООЗ із розроблення настанови, після чого його подали до затвердження </w:t>
      </w:r>
      <w:r w:rsidR="00F8362D" w:rsidRPr="00ED35A9">
        <w:rPr>
          <w:rFonts w:eastAsia="Arial" w:cs="Times New Roman"/>
          <w:szCs w:val="28"/>
          <w:lang w:val="uk-UA"/>
        </w:rPr>
        <w:t>КПН</w:t>
      </w:r>
      <w:r w:rsidR="00F8362D" w:rsidRPr="00ED35A9">
        <w:rPr>
          <w:szCs w:val="28"/>
          <w:lang w:val="uk-UA"/>
        </w:rPr>
        <w:t xml:space="preserve"> </w:t>
      </w:r>
      <w:r w:rsidRPr="00ED35A9">
        <w:rPr>
          <w:szCs w:val="28"/>
          <w:lang w:val="uk-UA"/>
        </w:rPr>
        <w:t>у листопаді 2018 р. відповідно до внутрішніх правил ВООЗ.</w:t>
      </w:r>
    </w:p>
    <w:p w:rsidR="00184AD2" w:rsidRPr="00ED35A9" w:rsidRDefault="00184AD2" w:rsidP="00184AD2">
      <w:pPr>
        <w:rPr>
          <w:szCs w:val="28"/>
          <w:lang w:val="uk-UA"/>
        </w:rPr>
      </w:pPr>
      <w:r w:rsidRPr="00ED35A9">
        <w:rPr>
          <w:szCs w:val="28"/>
          <w:lang w:val="uk-UA"/>
        </w:rPr>
        <w:t xml:space="preserve">ВООЗ висловлює подяку особам, які зробили внесок у збирання даних досліджень та відгукнулись на заклик </w:t>
      </w:r>
      <w:r w:rsidRPr="00ED35A9">
        <w:rPr>
          <w:i/>
          <w:szCs w:val="28"/>
          <w:lang w:val="uk-UA"/>
        </w:rPr>
        <w:t>(19)</w:t>
      </w:r>
      <w:r w:rsidRPr="00ED35A9">
        <w:rPr>
          <w:szCs w:val="28"/>
          <w:lang w:val="uk-UA"/>
        </w:rPr>
        <w:t xml:space="preserve">, зокрема співробітникам різних національних програм: </w:t>
      </w:r>
      <w:proofErr w:type="spellStart"/>
      <w:r w:rsidRPr="00ED35A9">
        <w:rPr>
          <w:szCs w:val="28"/>
          <w:lang w:val="uk-UA"/>
        </w:rPr>
        <w:t>Challenge</w:t>
      </w:r>
      <w:proofErr w:type="spellEnd"/>
      <w:r w:rsidRPr="00ED35A9">
        <w:rPr>
          <w:szCs w:val="28"/>
          <w:lang w:val="uk-UA"/>
        </w:rPr>
        <w:t> TB (</w:t>
      </w:r>
      <w:proofErr w:type="spellStart"/>
      <w:r w:rsidRPr="00ED35A9">
        <w:rPr>
          <w:szCs w:val="28"/>
          <w:lang w:val="uk-UA"/>
        </w:rPr>
        <w:t>Gunta</w:t>
      </w:r>
      <w:proofErr w:type="spellEnd"/>
      <w:r w:rsidRPr="00ED35A9">
        <w:rPr>
          <w:szCs w:val="28"/>
          <w:lang w:val="uk-UA"/>
        </w:rPr>
        <w:t xml:space="preserve"> DRAVICIENE, </w:t>
      </w:r>
      <w:proofErr w:type="spellStart"/>
      <w:r w:rsidRPr="00ED35A9">
        <w:rPr>
          <w:szCs w:val="28"/>
          <w:lang w:val="uk-UA"/>
        </w:rPr>
        <w:t>Mavluda</w:t>
      </w:r>
      <w:proofErr w:type="spellEnd"/>
      <w:r w:rsidRPr="00ED35A9">
        <w:rPr>
          <w:szCs w:val="28"/>
          <w:lang w:val="uk-UA"/>
        </w:rPr>
        <w:t xml:space="preserve"> MAKHMUDOVA, </w:t>
      </w:r>
      <w:proofErr w:type="spellStart"/>
      <w:r w:rsidRPr="00ED35A9">
        <w:rPr>
          <w:szCs w:val="28"/>
          <w:lang w:val="uk-UA"/>
        </w:rPr>
        <w:t>Yulia</w:t>
      </w:r>
      <w:proofErr w:type="spellEnd"/>
      <w:r w:rsidRPr="00ED35A9">
        <w:rPr>
          <w:szCs w:val="28"/>
          <w:lang w:val="uk-UA"/>
        </w:rPr>
        <w:t xml:space="preserve"> ALESHKINA), проект «Стоп TB» (</w:t>
      </w:r>
      <w:proofErr w:type="spellStart"/>
      <w:r w:rsidRPr="00ED35A9">
        <w:rPr>
          <w:szCs w:val="28"/>
          <w:lang w:val="uk-UA"/>
        </w:rPr>
        <w:t>Carole</w:t>
      </w:r>
      <w:proofErr w:type="spellEnd"/>
      <w:r w:rsidRPr="00ED35A9">
        <w:rPr>
          <w:szCs w:val="28"/>
          <w:lang w:val="uk-UA"/>
        </w:rPr>
        <w:t xml:space="preserve"> MITNICK, </w:t>
      </w:r>
      <w:proofErr w:type="spellStart"/>
      <w:r w:rsidRPr="00ED35A9">
        <w:rPr>
          <w:szCs w:val="28"/>
          <w:lang w:val="uk-UA"/>
        </w:rPr>
        <w:t>Francis</w:t>
      </w:r>
      <w:proofErr w:type="spellEnd"/>
      <w:r w:rsidRPr="00ED35A9">
        <w:rPr>
          <w:szCs w:val="28"/>
          <w:lang w:val="uk-UA"/>
        </w:rPr>
        <w:t xml:space="preserve"> VARAINE), </w:t>
      </w:r>
      <w:proofErr w:type="spellStart"/>
      <w:r w:rsidRPr="00ED35A9">
        <w:rPr>
          <w:szCs w:val="28"/>
          <w:lang w:val="uk-UA"/>
        </w:rPr>
        <w:t>Johnson&amp;Johnson</w:t>
      </w:r>
      <w:proofErr w:type="spellEnd"/>
      <w:r w:rsidRPr="00ED35A9">
        <w:rPr>
          <w:szCs w:val="28"/>
          <w:lang w:val="uk-UA"/>
        </w:rPr>
        <w:t xml:space="preserve"> </w:t>
      </w:r>
      <w:proofErr w:type="spellStart"/>
      <w:r w:rsidRPr="00ED35A9">
        <w:rPr>
          <w:szCs w:val="28"/>
          <w:lang w:val="uk-UA"/>
        </w:rPr>
        <w:t>Services</w:t>
      </w:r>
      <w:proofErr w:type="spellEnd"/>
      <w:r w:rsidRPr="00ED35A9">
        <w:rPr>
          <w:szCs w:val="28"/>
          <w:lang w:val="uk-UA"/>
        </w:rPr>
        <w:t xml:space="preserve">, </w:t>
      </w:r>
      <w:proofErr w:type="spellStart"/>
      <w:r w:rsidRPr="00ED35A9">
        <w:rPr>
          <w:szCs w:val="28"/>
          <w:lang w:val="uk-UA"/>
        </w:rPr>
        <w:t>Inc</w:t>
      </w:r>
      <w:proofErr w:type="spellEnd"/>
      <w:r w:rsidRPr="00ED35A9">
        <w:rPr>
          <w:szCs w:val="28"/>
          <w:lang w:val="uk-UA"/>
        </w:rPr>
        <w:t>. (</w:t>
      </w:r>
      <w:proofErr w:type="spellStart"/>
      <w:r w:rsidRPr="00ED35A9">
        <w:rPr>
          <w:szCs w:val="28"/>
          <w:lang w:val="uk-UA"/>
        </w:rPr>
        <w:t>Tine</w:t>
      </w:r>
      <w:proofErr w:type="spellEnd"/>
      <w:r w:rsidRPr="00ED35A9">
        <w:rPr>
          <w:szCs w:val="28"/>
          <w:lang w:val="uk-UA"/>
        </w:rPr>
        <w:t xml:space="preserve"> DE MAREZ, </w:t>
      </w:r>
      <w:proofErr w:type="spellStart"/>
      <w:r w:rsidRPr="00ED35A9">
        <w:rPr>
          <w:szCs w:val="28"/>
          <w:lang w:val="uk-UA"/>
        </w:rPr>
        <w:t>Chrispin</w:t>
      </w:r>
      <w:proofErr w:type="spellEnd"/>
      <w:r w:rsidRPr="00ED35A9">
        <w:rPr>
          <w:szCs w:val="28"/>
          <w:lang w:val="uk-UA"/>
        </w:rPr>
        <w:t xml:space="preserve"> KAMBILI), </w:t>
      </w:r>
      <w:proofErr w:type="spellStart"/>
      <w:r w:rsidRPr="00ED35A9">
        <w:rPr>
          <w:szCs w:val="28"/>
          <w:lang w:val="uk-UA"/>
        </w:rPr>
        <w:t>Otsuka</w:t>
      </w:r>
      <w:proofErr w:type="spellEnd"/>
      <w:r w:rsidRPr="00ED35A9">
        <w:rPr>
          <w:szCs w:val="28"/>
          <w:lang w:val="uk-UA"/>
        </w:rPr>
        <w:t xml:space="preserve"> (</w:t>
      </w:r>
      <w:proofErr w:type="spellStart"/>
      <w:r w:rsidRPr="00ED35A9">
        <w:rPr>
          <w:szCs w:val="28"/>
          <w:lang w:val="uk-UA"/>
        </w:rPr>
        <w:t>Marc</w:t>
      </w:r>
      <w:proofErr w:type="spellEnd"/>
      <w:r w:rsidRPr="00ED35A9">
        <w:rPr>
          <w:szCs w:val="28"/>
          <w:lang w:val="uk-UA"/>
        </w:rPr>
        <w:t xml:space="preserve"> DESTITO, </w:t>
      </w:r>
      <w:proofErr w:type="spellStart"/>
      <w:r w:rsidRPr="00ED35A9">
        <w:rPr>
          <w:szCs w:val="28"/>
          <w:lang w:val="uk-UA"/>
        </w:rPr>
        <w:t>Lawrence</w:t>
      </w:r>
      <w:proofErr w:type="spellEnd"/>
      <w:r w:rsidRPr="00ED35A9">
        <w:rPr>
          <w:szCs w:val="28"/>
          <w:lang w:val="uk-UA"/>
        </w:rPr>
        <w:t xml:space="preserve"> GEITER, </w:t>
      </w:r>
      <w:proofErr w:type="spellStart"/>
      <w:r w:rsidRPr="00ED35A9">
        <w:rPr>
          <w:szCs w:val="28"/>
          <w:lang w:val="uk-UA"/>
        </w:rPr>
        <w:t>Rajesh</w:t>
      </w:r>
      <w:proofErr w:type="spellEnd"/>
      <w:r w:rsidRPr="00ED35A9">
        <w:rPr>
          <w:szCs w:val="28"/>
          <w:lang w:val="uk-UA"/>
        </w:rPr>
        <w:t xml:space="preserve"> GUPTA, </w:t>
      </w:r>
      <w:proofErr w:type="spellStart"/>
      <w:r w:rsidRPr="00ED35A9">
        <w:rPr>
          <w:szCs w:val="28"/>
          <w:lang w:val="uk-UA"/>
        </w:rPr>
        <w:t>Jeffery</w:t>
      </w:r>
      <w:proofErr w:type="spellEnd"/>
      <w:r w:rsidRPr="00ED35A9">
        <w:rPr>
          <w:szCs w:val="28"/>
          <w:lang w:val="uk-UA"/>
        </w:rPr>
        <w:t xml:space="preserve"> </w:t>
      </w:r>
      <w:r w:rsidRPr="00ED35A9">
        <w:rPr>
          <w:szCs w:val="28"/>
          <w:lang w:val="uk-UA"/>
        </w:rPr>
        <w:lastRenderedPageBreak/>
        <w:t xml:space="preserve">HAFKIN, </w:t>
      </w:r>
      <w:proofErr w:type="spellStart"/>
      <w:r w:rsidRPr="00ED35A9">
        <w:rPr>
          <w:szCs w:val="28"/>
          <w:lang w:val="uk-UA"/>
        </w:rPr>
        <w:t>Keiso</w:t>
      </w:r>
      <w:proofErr w:type="spellEnd"/>
      <w:r w:rsidRPr="00ED35A9">
        <w:rPr>
          <w:szCs w:val="28"/>
          <w:lang w:val="uk-UA"/>
        </w:rPr>
        <w:t xml:space="preserve"> YAMASAKI), випробування STREAM (</w:t>
      </w:r>
      <w:proofErr w:type="spellStart"/>
      <w:r w:rsidRPr="00ED35A9">
        <w:rPr>
          <w:szCs w:val="28"/>
          <w:lang w:val="uk-UA"/>
        </w:rPr>
        <w:t>Sarah</w:t>
      </w:r>
      <w:proofErr w:type="spellEnd"/>
      <w:r w:rsidRPr="00ED35A9">
        <w:rPr>
          <w:szCs w:val="28"/>
          <w:lang w:val="uk-UA"/>
        </w:rPr>
        <w:t xml:space="preserve"> MEREDITH, </w:t>
      </w:r>
      <w:proofErr w:type="spellStart"/>
      <w:r w:rsidRPr="00ED35A9">
        <w:rPr>
          <w:szCs w:val="28"/>
          <w:lang w:val="uk-UA"/>
        </w:rPr>
        <w:t>Andrew</w:t>
      </w:r>
      <w:proofErr w:type="spellEnd"/>
      <w:r w:rsidRPr="00ED35A9">
        <w:rPr>
          <w:szCs w:val="28"/>
          <w:lang w:val="uk-UA"/>
        </w:rPr>
        <w:t xml:space="preserve"> NUNN, </w:t>
      </w:r>
      <w:proofErr w:type="spellStart"/>
      <w:r w:rsidRPr="00ED35A9">
        <w:rPr>
          <w:szCs w:val="28"/>
          <w:lang w:val="uk-UA"/>
        </w:rPr>
        <w:t>Patrick</w:t>
      </w:r>
      <w:proofErr w:type="spellEnd"/>
      <w:r w:rsidRPr="00ED35A9">
        <w:rPr>
          <w:szCs w:val="28"/>
          <w:lang w:val="uk-UA"/>
        </w:rPr>
        <w:t xml:space="preserve"> PHILLIPS, </w:t>
      </w:r>
      <w:proofErr w:type="spellStart"/>
      <w:r w:rsidRPr="00ED35A9">
        <w:rPr>
          <w:szCs w:val="28"/>
          <w:lang w:val="uk-UA"/>
        </w:rPr>
        <w:t>Ira</w:t>
      </w:r>
      <w:proofErr w:type="spellEnd"/>
      <w:r w:rsidRPr="00ED35A9">
        <w:rPr>
          <w:szCs w:val="28"/>
          <w:lang w:val="uk-UA"/>
        </w:rPr>
        <w:t xml:space="preserve"> D. RUSEN) та </w:t>
      </w:r>
      <w:r w:rsidRPr="00ED35A9">
        <w:rPr>
          <w:rFonts w:eastAsia="Arial"/>
          <w:szCs w:val="28"/>
          <w:lang w:val="uk-UA"/>
        </w:rPr>
        <w:t xml:space="preserve">Міжнародний союз із боротьбі з туберкульозом та легеневими захворюваннями </w:t>
      </w:r>
      <w:r w:rsidRPr="00ED35A9">
        <w:rPr>
          <w:szCs w:val="28"/>
          <w:lang w:val="uk-UA"/>
        </w:rPr>
        <w:t>(</w:t>
      </w:r>
      <w:proofErr w:type="spellStart"/>
      <w:r w:rsidRPr="00ED35A9">
        <w:rPr>
          <w:szCs w:val="28"/>
          <w:lang w:val="uk-UA"/>
        </w:rPr>
        <w:t>Alberto</w:t>
      </w:r>
      <w:proofErr w:type="spellEnd"/>
      <w:r w:rsidRPr="00ED35A9">
        <w:rPr>
          <w:szCs w:val="28"/>
          <w:lang w:val="uk-UA"/>
        </w:rPr>
        <w:t xml:space="preserve"> PIUBELLO, </w:t>
      </w:r>
      <w:proofErr w:type="spellStart"/>
      <w:r w:rsidRPr="00ED35A9">
        <w:rPr>
          <w:szCs w:val="28"/>
          <w:lang w:val="uk-UA"/>
        </w:rPr>
        <w:t>Valérie</w:t>
      </w:r>
      <w:proofErr w:type="spellEnd"/>
      <w:r w:rsidRPr="00ED35A9">
        <w:rPr>
          <w:szCs w:val="28"/>
          <w:lang w:val="uk-UA"/>
        </w:rPr>
        <w:t xml:space="preserve"> SCHWOEBEL, </w:t>
      </w:r>
      <w:proofErr w:type="spellStart"/>
      <w:r w:rsidRPr="00ED35A9">
        <w:rPr>
          <w:szCs w:val="28"/>
          <w:lang w:val="uk-UA"/>
        </w:rPr>
        <w:t>Arnaud</w:t>
      </w:r>
      <w:proofErr w:type="spellEnd"/>
      <w:r w:rsidRPr="00ED35A9">
        <w:rPr>
          <w:szCs w:val="28"/>
          <w:lang w:val="uk-UA"/>
        </w:rPr>
        <w:t xml:space="preserve"> TREBUCQ) (</w:t>
      </w:r>
      <w:r w:rsidRPr="00ED35A9">
        <w:rPr>
          <w:i/>
          <w:szCs w:val="28"/>
          <w:lang w:val="uk-UA"/>
        </w:rPr>
        <w:t>див.</w:t>
      </w:r>
      <w:r w:rsidRPr="00ED35A9">
        <w:rPr>
          <w:szCs w:val="28"/>
          <w:lang w:val="uk-UA"/>
        </w:rPr>
        <w:t xml:space="preserve"> також онлайн-додаток 9). </w:t>
      </w:r>
      <w:proofErr w:type="spellStart"/>
      <w:r w:rsidRPr="00ED35A9">
        <w:rPr>
          <w:szCs w:val="28"/>
          <w:lang w:val="uk-UA"/>
        </w:rPr>
        <w:t>Yinyin</w:t>
      </w:r>
      <w:proofErr w:type="spellEnd"/>
      <w:r w:rsidRPr="00ED35A9">
        <w:rPr>
          <w:szCs w:val="28"/>
          <w:lang w:val="uk-UA"/>
        </w:rPr>
        <w:t xml:space="preserve"> XIA та </w:t>
      </w:r>
      <w:proofErr w:type="spellStart"/>
      <w:r w:rsidRPr="00ED35A9">
        <w:rPr>
          <w:szCs w:val="28"/>
          <w:lang w:val="uk-UA"/>
        </w:rPr>
        <w:t>Andrei</w:t>
      </w:r>
      <w:proofErr w:type="spellEnd"/>
      <w:r w:rsidRPr="00ED35A9">
        <w:rPr>
          <w:szCs w:val="28"/>
          <w:lang w:val="uk-UA"/>
        </w:rPr>
        <w:t xml:space="preserve"> MARYANDYSHEV допомагали з дослідженнями, опублікованими китайською та російською мовами відповідно. Члени Глобальної робочої групи ВООЗ із ФК/ФД ПТП допомогли в оновленні </w:t>
      </w:r>
      <w:proofErr w:type="spellStart"/>
      <w:r w:rsidRPr="00ED35A9">
        <w:rPr>
          <w:szCs w:val="28"/>
          <w:lang w:val="uk-UA"/>
        </w:rPr>
        <w:t>дозувань</w:t>
      </w:r>
      <w:proofErr w:type="spellEnd"/>
      <w:r w:rsidRPr="00ED35A9">
        <w:rPr>
          <w:szCs w:val="28"/>
          <w:lang w:val="uk-UA"/>
        </w:rPr>
        <w:t xml:space="preserve"> (</w:t>
      </w:r>
      <w:r w:rsidRPr="00ED35A9">
        <w:rPr>
          <w:i/>
          <w:szCs w:val="28"/>
          <w:lang w:val="uk-UA"/>
        </w:rPr>
        <w:t>див.</w:t>
      </w:r>
      <w:r w:rsidRPr="00ED35A9">
        <w:rPr>
          <w:szCs w:val="28"/>
          <w:lang w:val="uk-UA"/>
        </w:rPr>
        <w:t xml:space="preserve"> Додаток 2). ВООЗ відзначає внесок АТТ, ЦКЗ, Європейського товариства з респіраторних захворювань та Канадського інституту досліджень охорони здоров’я за підтримку Університету </w:t>
      </w:r>
      <w:proofErr w:type="spellStart"/>
      <w:r w:rsidRPr="00ED35A9">
        <w:rPr>
          <w:szCs w:val="28"/>
          <w:lang w:val="uk-UA"/>
        </w:rPr>
        <w:t>МакГілла</w:t>
      </w:r>
      <w:proofErr w:type="spellEnd"/>
      <w:r w:rsidRPr="00ED35A9">
        <w:rPr>
          <w:szCs w:val="28"/>
          <w:lang w:val="uk-UA"/>
        </w:rPr>
        <w:t xml:space="preserve"> у спробі об’єднання записів щодо застосування довгострокових схем у наборі ІДП, використаних для оновлення 2018 р. Настанови ВООЗ з лікування МР/Риф-ТБ </w:t>
      </w:r>
      <w:r w:rsidRPr="00ED35A9">
        <w:rPr>
          <w:i/>
          <w:szCs w:val="28"/>
          <w:lang w:val="uk-UA"/>
        </w:rPr>
        <w:t>(43)</w:t>
      </w:r>
      <w:r w:rsidRPr="00ED35A9">
        <w:rPr>
          <w:szCs w:val="28"/>
          <w:lang w:val="uk-UA"/>
        </w:rPr>
        <w:t>.</w:t>
      </w:r>
    </w:p>
    <w:p w:rsidR="00184AD2" w:rsidRPr="00ED35A9" w:rsidRDefault="00184AD2" w:rsidP="00184AD2">
      <w:pPr>
        <w:rPr>
          <w:szCs w:val="28"/>
          <w:lang w:val="uk-UA"/>
        </w:rPr>
      </w:pPr>
      <w:r w:rsidRPr="00ED35A9">
        <w:rPr>
          <w:szCs w:val="28"/>
          <w:lang w:val="uk-UA"/>
        </w:rPr>
        <w:t xml:space="preserve">Фінансування для оновлення цієї настанови стало можливим завдяки гранту уряду РФ «Прискорення </w:t>
      </w:r>
      <w:proofErr w:type="spellStart"/>
      <w:r w:rsidRPr="00ED35A9">
        <w:rPr>
          <w:szCs w:val="28"/>
          <w:lang w:val="uk-UA"/>
        </w:rPr>
        <w:t>міжсекторальних</w:t>
      </w:r>
      <w:proofErr w:type="spellEnd"/>
      <w:r w:rsidRPr="00ED35A9">
        <w:rPr>
          <w:szCs w:val="28"/>
          <w:lang w:val="uk-UA"/>
        </w:rPr>
        <w:t xml:space="preserve"> дій для подолання глобальної епідемії туберкульозу 2018–2020» (WCCPRD6702601) та гранту UNITAID №2016-10-WHO </w:t>
      </w:r>
      <w:proofErr w:type="spellStart"/>
      <w:r w:rsidRPr="00ED35A9">
        <w:rPr>
          <w:szCs w:val="28"/>
          <w:lang w:val="uk-UA"/>
        </w:rPr>
        <w:t>Tuberculosis</w:t>
      </w:r>
      <w:proofErr w:type="spellEnd"/>
      <w:r w:rsidRPr="00ED35A9">
        <w:rPr>
          <w:szCs w:val="28"/>
          <w:lang w:val="uk-UA"/>
        </w:rPr>
        <w:t xml:space="preserve"> 19-2017-е.</w:t>
      </w:r>
    </w:p>
    <w:p w:rsidR="00184AD2" w:rsidRPr="00ED35A9" w:rsidRDefault="00184AD2" w:rsidP="00184AD2">
      <w:pPr>
        <w:jc w:val="left"/>
        <w:rPr>
          <w:b/>
          <w:szCs w:val="28"/>
          <w:lang w:val="uk-UA"/>
        </w:rPr>
      </w:pPr>
      <w:r w:rsidRPr="00ED35A9">
        <w:rPr>
          <w:b/>
          <w:szCs w:val="28"/>
          <w:lang w:val="uk-UA"/>
        </w:rPr>
        <w:t>Настанова з програмного менеджменту лікарсько-стійкого туберкульозу: оновлення 2011 р.</w:t>
      </w:r>
    </w:p>
    <w:p w:rsidR="00184AD2" w:rsidRPr="00ED35A9" w:rsidRDefault="00184AD2" w:rsidP="00184AD2">
      <w:pPr>
        <w:rPr>
          <w:szCs w:val="28"/>
          <w:lang w:val="uk-UA"/>
        </w:rPr>
      </w:pPr>
      <w:r w:rsidRPr="00ED35A9">
        <w:rPr>
          <w:szCs w:val="28"/>
          <w:lang w:val="uk-UA"/>
        </w:rPr>
        <w:t xml:space="preserve">Оновлення настанови з програмного менеджменту ЛС-ТБ координував </w:t>
      </w:r>
      <w:proofErr w:type="spellStart"/>
      <w:r w:rsidRPr="00ED35A9">
        <w:rPr>
          <w:szCs w:val="28"/>
          <w:lang w:val="uk-UA"/>
        </w:rPr>
        <w:t>Dennis</w:t>
      </w:r>
      <w:proofErr w:type="spellEnd"/>
      <w:r w:rsidRPr="00ED35A9">
        <w:rPr>
          <w:szCs w:val="28"/>
          <w:lang w:val="uk-UA"/>
        </w:rPr>
        <w:t xml:space="preserve"> FALZON під керівництвом </w:t>
      </w:r>
      <w:proofErr w:type="spellStart"/>
      <w:r w:rsidRPr="00ED35A9">
        <w:rPr>
          <w:szCs w:val="28"/>
          <w:lang w:val="uk-UA"/>
        </w:rPr>
        <w:t>Ernesto</w:t>
      </w:r>
      <w:proofErr w:type="spellEnd"/>
      <w:r w:rsidRPr="00ED35A9">
        <w:rPr>
          <w:szCs w:val="28"/>
          <w:lang w:val="uk-UA"/>
        </w:rPr>
        <w:t xml:space="preserve"> JARAMILLO та </w:t>
      </w:r>
      <w:proofErr w:type="spellStart"/>
      <w:r w:rsidRPr="00ED35A9">
        <w:rPr>
          <w:szCs w:val="28"/>
          <w:lang w:val="uk-UA"/>
        </w:rPr>
        <w:t>Léopold</w:t>
      </w:r>
      <w:proofErr w:type="spellEnd"/>
      <w:r w:rsidRPr="00ED35A9">
        <w:rPr>
          <w:szCs w:val="28"/>
          <w:lang w:val="uk-UA"/>
        </w:rPr>
        <w:t xml:space="preserve"> BLANC з департаменту ВООЗ «Стоп ТБ». ВООЗ висловлює подяку за внесок також наступним експертам та технічним групам.</w:t>
      </w:r>
    </w:p>
    <w:p w:rsidR="00184AD2" w:rsidRPr="00ED35A9" w:rsidRDefault="00184AD2" w:rsidP="00184AD2">
      <w:pPr>
        <w:rPr>
          <w:b/>
          <w:i/>
          <w:szCs w:val="28"/>
          <w:lang w:val="uk-UA"/>
        </w:rPr>
      </w:pPr>
      <w:bookmarkStart w:id="78" w:name="bookmark84"/>
      <w:bookmarkStart w:id="79" w:name="_Toc417570638"/>
      <w:r w:rsidRPr="00ED35A9">
        <w:rPr>
          <w:b/>
          <w:i/>
          <w:szCs w:val="28"/>
          <w:lang w:val="uk-UA"/>
        </w:rPr>
        <w:t>ГРН (сферу досвіду наведено в дужках)</w:t>
      </w:r>
      <w:bookmarkEnd w:id="78"/>
      <w:bookmarkEnd w:id="79"/>
    </w:p>
    <w:p w:rsidR="00184AD2" w:rsidRPr="00ED35A9" w:rsidRDefault="00184AD2" w:rsidP="00184AD2">
      <w:pPr>
        <w:rPr>
          <w:szCs w:val="28"/>
          <w:lang w:val="uk-UA"/>
        </w:rPr>
      </w:pPr>
      <w:proofErr w:type="spellStart"/>
      <w:r w:rsidRPr="00ED35A9">
        <w:rPr>
          <w:szCs w:val="28"/>
          <w:lang w:val="uk-UA"/>
        </w:rPr>
        <w:t>Jaime</w:t>
      </w:r>
      <w:proofErr w:type="spellEnd"/>
      <w:r w:rsidRPr="00ED35A9">
        <w:rPr>
          <w:szCs w:val="28"/>
          <w:lang w:val="uk-UA"/>
        </w:rPr>
        <w:t xml:space="preserve"> BAYONA, </w:t>
      </w:r>
      <w:proofErr w:type="spellStart"/>
      <w:r w:rsidRPr="00ED35A9">
        <w:rPr>
          <w:szCs w:val="28"/>
          <w:lang w:val="uk-UA"/>
        </w:rPr>
        <w:t>Socios</w:t>
      </w:r>
      <w:proofErr w:type="spellEnd"/>
      <w:r w:rsidRPr="00ED35A9">
        <w:rPr>
          <w:szCs w:val="28"/>
          <w:lang w:val="uk-UA"/>
        </w:rPr>
        <w:t xml:space="preserve"> </w:t>
      </w:r>
      <w:proofErr w:type="spellStart"/>
      <w:r w:rsidRPr="00ED35A9">
        <w:rPr>
          <w:szCs w:val="28"/>
          <w:lang w:val="uk-UA"/>
        </w:rPr>
        <w:t>En</w:t>
      </w:r>
      <w:proofErr w:type="spellEnd"/>
      <w:r w:rsidRPr="00ED35A9">
        <w:rPr>
          <w:szCs w:val="28"/>
          <w:lang w:val="uk-UA"/>
        </w:rPr>
        <w:t xml:space="preserve"> </w:t>
      </w:r>
      <w:proofErr w:type="spellStart"/>
      <w:r w:rsidRPr="00ED35A9">
        <w:rPr>
          <w:szCs w:val="28"/>
          <w:lang w:val="uk-UA"/>
        </w:rPr>
        <w:t>Salud</w:t>
      </w:r>
      <w:proofErr w:type="spellEnd"/>
      <w:r w:rsidRPr="00ED35A9">
        <w:rPr>
          <w:szCs w:val="28"/>
          <w:lang w:val="uk-UA"/>
        </w:rPr>
        <w:t xml:space="preserve"> </w:t>
      </w:r>
      <w:proofErr w:type="spellStart"/>
      <w:r w:rsidRPr="00ED35A9">
        <w:rPr>
          <w:szCs w:val="28"/>
          <w:lang w:val="uk-UA"/>
        </w:rPr>
        <w:t>Sucursal</w:t>
      </w:r>
      <w:proofErr w:type="spellEnd"/>
      <w:r w:rsidRPr="00ED35A9">
        <w:rPr>
          <w:szCs w:val="28"/>
          <w:lang w:val="uk-UA"/>
        </w:rPr>
        <w:t>, Перу (програмний менеджмент, громадське здоров’я).</w:t>
      </w:r>
    </w:p>
    <w:p w:rsidR="00184AD2" w:rsidRPr="00ED35A9" w:rsidRDefault="00184AD2" w:rsidP="00184AD2">
      <w:pPr>
        <w:rPr>
          <w:szCs w:val="28"/>
          <w:lang w:val="uk-UA"/>
        </w:rPr>
      </w:pPr>
      <w:proofErr w:type="spellStart"/>
      <w:r w:rsidRPr="00ED35A9">
        <w:rPr>
          <w:szCs w:val="28"/>
          <w:lang w:val="uk-UA"/>
        </w:rPr>
        <w:t>José</w:t>
      </w:r>
      <w:proofErr w:type="spellEnd"/>
      <w:r w:rsidRPr="00ED35A9">
        <w:rPr>
          <w:szCs w:val="28"/>
          <w:lang w:val="uk-UA"/>
        </w:rPr>
        <w:t xml:space="preserve"> A. CAMINERO, Університетська лікарня о. Гран </w:t>
      </w:r>
      <w:proofErr w:type="spellStart"/>
      <w:r w:rsidRPr="00ED35A9">
        <w:rPr>
          <w:szCs w:val="28"/>
          <w:lang w:val="uk-UA"/>
        </w:rPr>
        <w:t>Канарія</w:t>
      </w:r>
      <w:proofErr w:type="spellEnd"/>
      <w:r w:rsidRPr="00ED35A9">
        <w:rPr>
          <w:szCs w:val="28"/>
          <w:lang w:val="uk-UA"/>
        </w:rPr>
        <w:t xml:space="preserve">, Іспанія, </w:t>
      </w:r>
      <w:r w:rsidRPr="00ED35A9">
        <w:rPr>
          <w:rFonts w:eastAsia="Arial"/>
          <w:szCs w:val="28"/>
          <w:lang w:val="uk-UA"/>
        </w:rPr>
        <w:t>Міжнародний союз із боротьбі з туберкульозом та легеневими захворюваннями</w:t>
      </w:r>
      <w:r w:rsidRPr="00ED35A9">
        <w:rPr>
          <w:szCs w:val="28"/>
          <w:lang w:val="uk-UA"/>
        </w:rPr>
        <w:t>, Пас, Франція (клінічна практика).</w:t>
      </w:r>
    </w:p>
    <w:p w:rsidR="00184AD2" w:rsidRPr="00ED35A9" w:rsidRDefault="00184AD2" w:rsidP="00184AD2">
      <w:pPr>
        <w:rPr>
          <w:szCs w:val="28"/>
          <w:lang w:val="uk-UA"/>
        </w:rPr>
      </w:pPr>
      <w:proofErr w:type="spellStart"/>
      <w:r w:rsidRPr="00ED35A9">
        <w:rPr>
          <w:szCs w:val="28"/>
          <w:lang w:val="uk-UA"/>
        </w:rPr>
        <w:t>Charles</w:t>
      </w:r>
      <w:proofErr w:type="spellEnd"/>
      <w:r w:rsidRPr="00ED35A9">
        <w:rPr>
          <w:szCs w:val="28"/>
          <w:lang w:val="uk-UA"/>
        </w:rPr>
        <w:t xml:space="preserve"> L. DALEY, </w:t>
      </w:r>
      <w:proofErr w:type="spellStart"/>
      <w:r w:rsidRPr="00ED35A9">
        <w:rPr>
          <w:szCs w:val="28"/>
          <w:lang w:val="uk-UA"/>
        </w:rPr>
        <w:t>National</w:t>
      </w:r>
      <w:proofErr w:type="spellEnd"/>
      <w:r w:rsidRPr="00ED35A9">
        <w:rPr>
          <w:szCs w:val="28"/>
          <w:lang w:val="uk-UA"/>
        </w:rPr>
        <w:t xml:space="preserve"> </w:t>
      </w:r>
      <w:proofErr w:type="spellStart"/>
      <w:r w:rsidRPr="00ED35A9">
        <w:rPr>
          <w:szCs w:val="28"/>
          <w:lang w:val="uk-UA"/>
        </w:rPr>
        <w:t>Jewish</w:t>
      </w:r>
      <w:proofErr w:type="spellEnd"/>
      <w:r w:rsidRPr="00ED35A9">
        <w:rPr>
          <w:szCs w:val="28"/>
          <w:lang w:val="uk-UA"/>
        </w:rPr>
        <w:t xml:space="preserve"> </w:t>
      </w:r>
      <w:proofErr w:type="spellStart"/>
      <w:r w:rsidRPr="00ED35A9">
        <w:rPr>
          <w:szCs w:val="28"/>
          <w:lang w:val="uk-UA"/>
        </w:rPr>
        <w:t>Health</w:t>
      </w:r>
      <w:proofErr w:type="spellEnd"/>
      <w:r w:rsidRPr="00ED35A9">
        <w:rPr>
          <w:szCs w:val="28"/>
          <w:lang w:val="uk-UA"/>
        </w:rPr>
        <w:t>, США (клінічна практика).</w:t>
      </w:r>
    </w:p>
    <w:p w:rsidR="00184AD2" w:rsidRPr="00ED35A9" w:rsidRDefault="00184AD2" w:rsidP="00184AD2">
      <w:pPr>
        <w:rPr>
          <w:szCs w:val="28"/>
          <w:lang w:val="uk-UA"/>
        </w:rPr>
      </w:pPr>
      <w:proofErr w:type="spellStart"/>
      <w:r w:rsidRPr="00ED35A9">
        <w:rPr>
          <w:szCs w:val="28"/>
          <w:lang w:val="uk-UA"/>
        </w:rPr>
        <w:t>Agnes</w:t>
      </w:r>
      <w:proofErr w:type="spellEnd"/>
      <w:r w:rsidRPr="00ED35A9">
        <w:rPr>
          <w:szCs w:val="28"/>
          <w:lang w:val="uk-UA"/>
        </w:rPr>
        <w:t xml:space="preserve"> GEBHARD, Фонд KNCV, Нідерланди (програмний менеджмент).</w:t>
      </w:r>
    </w:p>
    <w:p w:rsidR="00184AD2" w:rsidRPr="00ED35A9" w:rsidRDefault="00184AD2" w:rsidP="00184AD2">
      <w:pPr>
        <w:rPr>
          <w:szCs w:val="28"/>
          <w:lang w:val="uk-UA"/>
        </w:rPr>
      </w:pPr>
      <w:proofErr w:type="spellStart"/>
      <w:r w:rsidRPr="00ED35A9">
        <w:rPr>
          <w:szCs w:val="28"/>
          <w:lang w:val="uk-UA"/>
        </w:rPr>
        <w:t>Myriam</w:t>
      </w:r>
      <w:proofErr w:type="spellEnd"/>
      <w:r w:rsidRPr="00ED35A9">
        <w:rPr>
          <w:szCs w:val="28"/>
          <w:lang w:val="uk-UA"/>
        </w:rPr>
        <w:t xml:space="preserve"> HENKENS, незалежна міжнародна медична гуманітарна організація «Лікарі без кордонів», Франція (програмний менеджмент).</w:t>
      </w:r>
    </w:p>
    <w:p w:rsidR="00184AD2" w:rsidRPr="00ED35A9" w:rsidRDefault="00184AD2" w:rsidP="00184AD2">
      <w:pPr>
        <w:rPr>
          <w:szCs w:val="28"/>
          <w:lang w:val="uk-UA"/>
        </w:rPr>
      </w:pPr>
      <w:proofErr w:type="spellStart"/>
      <w:r w:rsidRPr="00ED35A9">
        <w:rPr>
          <w:szCs w:val="28"/>
          <w:lang w:val="uk-UA"/>
        </w:rPr>
        <w:t>Timothy</w:t>
      </w:r>
      <w:proofErr w:type="spellEnd"/>
      <w:r w:rsidRPr="00ED35A9">
        <w:rPr>
          <w:szCs w:val="28"/>
          <w:lang w:val="uk-UA"/>
        </w:rPr>
        <w:t xml:space="preserve"> H. HOLTZ, Дослідницька програма ВІЛ/ЗПСШ, ЦКЗ США, Регіональний офіс в Азії, Таїланд (епідеміологія, епіднагляд, оцінювання програм).</w:t>
      </w:r>
    </w:p>
    <w:p w:rsidR="00184AD2" w:rsidRPr="00ED35A9" w:rsidRDefault="00184AD2" w:rsidP="00184AD2">
      <w:pPr>
        <w:rPr>
          <w:szCs w:val="28"/>
          <w:lang w:val="uk-UA"/>
        </w:rPr>
      </w:pPr>
      <w:proofErr w:type="spellStart"/>
      <w:r w:rsidRPr="00ED35A9">
        <w:rPr>
          <w:szCs w:val="28"/>
          <w:lang w:val="uk-UA"/>
        </w:rPr>
        <w:t>Joël</w:t>
      </w:r>
      <w:proofErr w:type="spellEnd"/>
      <w:r w:rsidRPr="00ED35A9">
        <w:rPr>
          <w:szCs w:val="28"/>
          <w:lang w:val="uk-UA"/>
        </w:rPr>
        <w:t xml:space="preserve"> KERAVEC, Управлінські науки для охорони здоров’я, Бразилія (управління </w:t>
      </w:r>
      <w:proofErr w:type="spellStart"/>
      <w:r w:rsidRPr="00ED35A9">
        <w:rPr>
          <w:szCs w:val="28"/>
          <w:lang w:val="uk-UA"/>
        </w:rPr>
        <w:t>закупівлями</w:t>
      </w:r>
      <w:proofErr w:type="spellEnd"/>
      <w:r w:rsidRPr="00ED35A9">
        <w:rPr>
          <w:szCs w:val="28"/>
          <w:lang w:val="uk-UA"/>
        </w:rPr>
        <w:t xml:space="preserve"> та постачанням).</w:t>
      </w:r>
    </w:p>
    <w:p w:rsidR="00184AD2" w:rsidRPr="00ED35A9" w:rsidRDefault="00184AD2" w:rsidP="00184AD2">
      <w:pPr>
        <w:rPr>
          <w:szCs w:val="28"/>
          <w:lang w:val="uk-UA"/>
        </w:rPr>
      </w:pPr>
      <w:proofErr w:type="spellStart"/>
      <w:r w:rsidRPr="00ED35A9">
        <w:rPr>
          <w:szCs w:val="28"/>
          <w:lang w:val="uk-UA"/>
        </w:rPr>
        <w:t>Salmaan</w:t>
      </w:r>
      <w:proofErr w:type="spellEnd"/>
      <w:r w:rsidRPr="00ED35A9">
        <w:rPr>
          <w:szCs w:val="28"/>
          <w:lang w:val="uk-UA"/>
        </w:rPr>
        <w:t xml:space="preserve"> KESHAVJEE, Гарвардська медична школа, США (програмний менеджмент, громадське здоров’я).</w:t>
      </w:r>
    </w:p>
    <w:p w:rsidR="00184AD2" w:rsidRPr="00ED35A9" w:rsidRDefault="00184AD2" w:rsidP="00184AD2">
      <w:pPr>
        <w:rPr>
          <w:szCs w:val="28"/>
          <w:lang w:val="uk-UA"/>
        </w:rPr>
      </w:pPr>
      <w:proofErr w:type="spellStart"/>
      <w:r w:rsidRPr="00ED35A9">
        <w:rPr>
          <w:szCs w:val="28"/>
          <w:lang w:val="uk-UA"/>
        </w:rPr>
        <w:t>Aamir</w:t>
      </w:r>
      <w:proofErr w:type="spellEnd"/>
      <w:r w:rsidRPr="00ED35A9">
        <w:rPr>
          <w:szCs w:val="28"/>
          <w:lang w:val="uk-UA"/>
        </w:rPr>
        <w:t xml:space="preserve"> J. KHAN, Програма з лікування ТБ лікарні Інду, </w:t>
      </w:r>
      <w:proofErr w:type="spellStart"/>
      <w:r w:rsidRPr="00ED35A9">
        <w:rPr>
          <w:szCs w:val="28"/>
          <w:lang w:val="uk-UA"/>
        </w:rPr>
        <w:t>Пакістан</w:t>
      </w:r>
      <w:proofErr w:type="spellEnd"/>
      <w:r w:rsidRPr="00ED35A9">
        <w:rPr>
          <w:szCs w:val="28"/>
          <w:lang w:val="uk-UA"/>
        </w:rPr>
        <w:t xml:space="preserve"> (епідеміологія, програмний менеджмент).</w:t>
      </w:r>
    </w:p>
    <w:p w:rsidR="00184AD2" w:rsidRPr="00ED35A9" w:rsidRDefault="00184AD2" w:rsidP="00184AD2">
      <w:pPr>
        <w:rPr>
          <w:szCs w:val="28"/>
          <w:lang w:val="uk-UA"/>
        </w:rPr>
      </w:pPr>
      <w:proofErr w:type="spellStart"/>
      <w:r w:rsidRPr="00ED35A9">
        <w:rPr>
          <w:szCs w:val="28"/>
          <w:lang w:val="uk-UA"/>
        </w:rPr>
        <w:t>Vaira</w:t>
      </w:r>
      <w:proofErr w:type="spellEnd"/>
      <w:r w:rsidRPr="00ED35A9">
        <w:rPr>
          <w:szCs w:val="28"/>
          <w:lang w:val="uk-UA"/>
        </w:rPr>
        <w:t xml:space="preserve"> LEIMANE, Державний центр інфекційних захворювань, Клініка </w:t>
      </w:r>
      <w:proofErr w:type="spellStart"/>
      <w:r w:rsidRPr="00ED35A9">
        <w:rPr>
          <w:szCs w:val="28"/>
          <w:lang w:val="uk-UA"/>
        </w:rPr>
        <w:t>фтизіопульмонології</w:t>
      </w:r>
      <w:proofErr w:type="spellEnd"/>
      <w:r w:rsidRPr="00ED35A9">
        <w:rPr>
          <w:szCs w:val="28"/>
          <w:lang w:val="uk-UA"/>
        </w:rPr>
        <w:t>, Латвія (програмний менеджмент, клінічна практика).</w:t>
      </w:r>
    </w:p>
    <w:p w:rsidR="00184AD2" w:rsidRPr="00ED35A9" w:rsidRDefault="00184AD2" w:rsidP="00184AD2">
      <w:pPr>
        <w:rPr>
          <w:szCs w:val="28"/>
          <w:lang w:val="uk-UA"/>
        </w:rPr>
      </w:pPr>
      <w:proofErr w:type="spellStart"/>
      <w:r w:rsidRPr="00ED35A9">
        <w:rPr>
          <w:szCs w:val="28"/>
          <w:lang w:val="uk-UA"/>
        </w:rPr>
        <w:lastRenderedPageBreak/>
        <w:t>Andrey</w:t>
      </w:r>
      <w:proofErr w:type="spellEnd"/>
      <w:r w:rsidRPr="00ED35A9">
        <w:rPr>
          <w:szCs w:val="28"/>
          <w:lang w:val="uk-UA"/>
        </w:rPr>
        <w:t xml:space="preserve"> MARYANDYSHEV, Північний державний медичний університет, Архангельськ, Російська Федерація (клінічна практика).</w:t>
      </w:r>
    </w:p>
    <w:p w:rsidR="00184AD2" w:rsidRPr="00ED35A9" w:rsidRDefault="00184AD2" w:rsidP="00184AD2">
      <w:pPr>
        <w:rPr>
          <w:szCs w:val="28"/>
          <w:lang w:val="uk-UA"/>
        </w:rPr>
      </w:pPr>
      <w:proofErr w:type="spellStart"/>
      <w:r w:rsidRPr="00ED35A9">
        <w:rPr>
          <w:szCs w:val="28"/>
          <w:lang w:val="uk-UA"/>
        </w:rPr>
        <w:t>Carole</w:t>
      </w:r>
      <w:proofErr w:type="spellEnd"/>
      <w:r w:rsidRPr="00ED35A9">
        <w:rPr>
          <w:szCs w:val="28"/>
          <w:lang w:val="uk-UA"/>
        </w:rPr>
        <w:t xml:space="preserve"> D. MITNICK, Гарвардська медична школа, США (епідеміологія, програмна підтримка).</w:t>
      </w:r>
    </w:p>
    <w:p w:rsidR="00184AD2" w:rsidRPr="00ED35A9" w:rsidRDefault="00184AD2" w:rsidP="00184AD2">
      <w:pPr>
        <w:rPr>
          <w:szCs w:val="28"/>
          <w:lang w:val="uk-UA"/>
        </w:rPr>
      </w:pPr>
      <w:proofErr w:type="spellStart"/>
      <w:r w:rsidRPr="00ED35A9">
        <w:rPr>
          <w:szCs w:val="28"/>
          <w:lang w:val="uk-UA"/>
        </w:rPr>
        <w:t>Gloria</w:t>
      </w:r>
      <w:proofErr w:type="spellEnd"/>
      <w:r w:rsidRPr="00ED35A9">
        <w:rPr>
          <w:szCs w:val="28"/>
          <w:lang w:val="uk-UA"/>
        </w:rPr>
        <w:t xml:space="preserve"> NWAGBONIWE, Альянс надії, Нігерія (громадське суспільство).</w:t>
      </w:r>
    </w:p>
    <w:p w:rsidR="00184AD2" w:rsidRPr="00ED35A9" w:rsidRDefault="00184AD2" w:rsidP="00184AD2">
      <w:pPr>
        <w:rPr>
          <w:szCs w:val="28"/>
          <w:lang w:val="uk-UA"/>
        </w:rPr>
      </w:pPr>
      <w:proofErr w:type="spellStart"/>
      <w:r w:rsidRPr="00ED35A9">
        <w:rPr>
          <w:szCs w:val="28"/>
          <w:lang w:val="uk-UA"/>
        </w:rPr>
        <w:t>Domingo</w:t>
      </w:r>
      <w:proofErr w:type="spellEnd"/>
      <w:r w:rsidRPr="00ED35A9">
        <w:rPr>
          <w:szCs w:val="28"/>
          <w:lang w:val="uk-UA"/>
        </w:rPr>
        <w:t xml:space="preserve"> PALMERO, відділ пульмонології, лікарня </w:t>
      </w:r>
      <w:proofErr w:type="spellStart"/>
      <w:r w:rsidRPr="00ED35A9">
        <w:rPr>
          <w:szCs w:val="28"/>
          <w:lang w:val="uk-UA"/>
        </w:rPr>
        <w:t>Muñiz</w:t>
      </w:r>
      <w:proofErr w:type="spellEnd"/>
      <w:r w:rsidRPr="00ED35A9">
        <w:rPr>
          <w:szCs w:val="28"/>
          <w:lang w:val="uk-UA"/>
        </w:rPr>
        <w:t>, Аргентина (клінічна практика).</w:t>
      </w:r>
    </w:p>
    <w:p w:rsidR="00184AD2" w:rsidRPr="00ED35A9" w:rsidRDefault="00184AD2" w:rsidP="00184AD2">
      <w:pPr>
        <w:rPr>
          <w:szCs w:val="28"/>
          <w:lang w:val="uk-UA"/>
        </w:rPr>
      </w:pPr>
      <w:proofErr w:type="spellStart"/>
      <w:r w:rsidRPr="00ED35A9">
        <w:rPr>
          <w:szCs w:val="28"/>
          <w:lang w:val="uk-UA"/>
        </w:rPr>
        <w:t>Ma</w:t>
      </w:r>
      <w:proofErr w:type="spellEnd"/>
      <w:r w:rsidRPr="00ED35A9">
        <w:rPr>
          <w:szCs w:val="28"/>
          <w:lang w:val="uk-UA"/>
        </w:rPr>
        <w:t xml:space="preserve">. </w:t>
      </w:r>
      <w:proofErr w:type="spellStart"/>
      <w:r w:rsidRPr="00ED35A9">
        <w:rPr>
          <w:szCs w:val="28"/>
          <w:lang w:val="uk-UA"/>
        </w:rPr>
        <w:t>Imelda</w:t>
      </w:r>
      <w:proofErr w:type="spellEnd"/>
      <w:r w:rsidRPr="00ED35A9">
        <w:rPr>
          <w:szCs w:val="28"/>
          <w:lang w:val="uk-UA"/>
        </w:rPr>
        <w:t xml:space="preserve"> QUELAPIO, Фонд тропічних захворювань, Філіппіни (програмний менеджмент).</w:t>
      </w:r>
    </w:p>
    <w:p w:rsidR="00184AD2" w:rsidRPr="00ED35A9" w:rsidRDefault="00184AD2" w:rsidP="00184AD2">
      <w:pPr>
        <w:rPr>
          <w:szCs w:val="28"/>
          <w:lang w:val="uk-UA"/>
        </w:rPr>
      </w:pPr>
      <w:proofErr w:type="spellStart"/>
      <w:r w:rsidRPr="00ED35A9">
        <w:rPr>
          <w:szCs w:val="28"/>
          <w:lang w:val="uk-UA"/>
        </w:rPr>
        <w:t>Michael</w:t>
      </w:r>
      <w:proofErr w:type="spellEnd"/>
      <w:r w:rsidRPr="00ED35A9">
        <w:rPr>
          <w:szCs w:val="28"/>
          <w:lang w:val="uk-UA"/>
        </w:rPr>
        <w:t xml:space="preserve"> L. RICH, </w:t>
      </w:r>
      <w:proofErr w:type="spellStart"/>
      <w:r w:rsidRPr="00ED35A9">
        <w:rPr>
          <w:szCs w:val="28"/>
          <w:lang w:val="uk-UA"/>
        </w:rPr>
        <w:t>Partners</w:t>
      </w:r>
      <w:proofErr w:type="spellEnd"/>
      <w:r w:rsidRPr="00ED35A9">
        <w:rPr>
          <w:szCs w:val="28"/>
          <w:lang w:val="uk-UA"/>
        </w:rPr>
        <w:t xml:space="preserve"> </w:t>
      </w:r>
      <w:proofErr w:type="spellStart"/>
      <w:r w:rsidRPr="00ED35A9">
        <w:rPr>
          <w:szCs w:val="28"/>
          <w:lang w:val="uk-UA"/>
        </w:rPr>
        <w:t>In</w:t>
      </w:r>
      <w:proofErr w:type="spellEnd"/>
      <w:r w:rsidRPr="00ED35A9">
        <w:rPr>
          <w:szCs w:val="28"/>
          <w:lang w:val="uk-UA"/>
        </w:rPr>
        <w:t xml:space="preserve"> </w:t>
      </w:r>
      <w:proofErr w:type="spellStart"/>
      <w:r w:rsidRPr="00ED35A9">
        <w:rPr>
          <w:szCs w:val="28"/>
          <w:lang w:val="uk-UA"/>
        </w:rPr>
        <w:t>Health</w:t>
      </w:r>
      <w:proofErr w:type="spellEnd"/>
      <w:r w:rsidRPr="00ED35A9">
        <w:rPr>
          <w:szCs w:val="28"/>
          <w:lang w:val="uk-UA"/>
        </w:rPr>
        <w:t>, США (клінічна практика).</w:t>
      </w:r>
    </w:p>
    <w:p w:rsidR="00184AD2" w:rsidRPr="00ED35A9" w:rsidRDefault="00184AD2" w:rsidP="00184AD2">
      <w:pPr>
        <w:rPr>
          <w:szCs w:val="28"/>
          <w:lang w:val="uk-UA"/>
        </w:rPr>
      </w:pPr>
      <w:proofErr w:type="spellStart"/>
      <w:r w:rsidRPr="00ED35A9">
        <w:rPr>
          <w:szCs w:val="28"/>
          <w:lang w:val="uk-UA"/>
        </w:rPr>
        <w:t>Sarah</w:t>
      </w:r>
      <w:proofErr w:type="spellEnd"/>
      <w:r w:rsidRPr="00ED35A9">
        <w:rPr>
          <w:szCs w:val="28"/>
          <w:lang w:val="uk-UA"/>
        </w:rPr>
        <w:t xml:space="preserve"> ROYCE, PATH, США (епіднагляд, громадське здоров’я).</w:t>
      </w:r>
    </w:p>
    <w:p w:rsidR="00184AD2" w:rsidRPr="00ED35A9" w:rsidRDefault="00184AD2" w:rsidP="00184AD2">
      <w:pPr>
        <w:rPr>
          <w:szCs w:val="28"/>
          <w:lang w:val="uk-UA"/>
        </w:rPr>
      </w:pPr>
      <w:proofErr w:type="spellStart"/>
      <w:r w:rsidRPr="00ED35A9">
        <w:rPr>
          <w:szCs w:val="28"/>
          <w:lang w:val="uk-UA"/>
        </w:rPr>
        <w:t>Sabine</w:t>
      </w:r>
      <w:proofErr w:type="spellEnd"/>
      <w:r w:rsidRPr="00ED35A9">
        <w:rPr>
          <w:szCs w:val="28"/>
          <w:lang w:val="uk-UA"/>
        </w:rPr>
        <w:t xml:space="preserve"> RÜSCH-GERDES, Національний </w:t>
      </w:r>
      <w:proofErr w:type="spellStart"/>
      <w:r w:rsidRPr="00ED35A9">
        <w:rPr>
          <w:szCs w:val="28"/>
          <w:lang w:val="uk-UA"/>
        </w:rPr>
        <w:t>мікобактеріологічний</w:t>
      </w:r>
      <w:proofErr w:type="spellEnd"/>
      <w:r w:rsidRPr="00ED35A9">
        <w:rPr>
          <w:szCs w:val="28"/>
          <w:lang w:val="uk-UA"/>
        </w:rPr>
        <w:t xml:space="preserve"> </w:t>
      </w:r>
      <w:proofErr w:type="spellStart"/>
      <w:r w:rsidRPr="00ED35A9">
        <w:rPr>
          <w:szCs w:val="28"/>
          <w:lang w:val="uk-UA"/>
        </w:rPr>
        <w:t>референсний</w:t>
      </w:r>
      <w:proofErr w:type="spellEnd"/>
      <w:r w:rsidRPr="00ED35A9">
        <w:rPr>
          <w:szCs w:val="28"/>
          <w:lang w:val="uk-UA"/>
        </w:rPr>
        <w:t xml:space="preserve"> центр, Німеччина (лабораторний спеціаліст).</w:t>
      </w:r>
    </w:p>
    <w:p w:rsidR="00184AD2" w:rsidRPr="00ED35A9" w:rsidRDefault="00184AD2" w:rsidP="00184AD2">
      <w:pPr>
        <w:rPr>
          <w:szCs w:val="28"/>
          <w:lang w:val="uk-UA"/>
        </w:rPr>
      </w:pPr>
      <w:proofErr w:type="spellStart"/>
      <w:r w:rsidRPr="00ED35A9">
        <w:rPr>
          <w:szCs w:val="28"/>
          <w:lang w:val="uk-UA"/>
        </w:rPr>
        <w:t>Archil</w:t>
      </w:r>
      <w:proofErr w:type="spellEnd"/>
      <w:r w:rsidRPr="00ED35A9">
        <w:rPr>
          <w:szCs w:val="28"/>
          <w:lang w:val="uk-UA"/>
        </w:rPr>
        <w:t xml:space="preserve"> SALAKAIA, Управлінські науки для охорони здоров’я, США (програмний менеджмент).</w:t>
      </w:r>
    </w:p>
    <w:p w:rsidR="00184AD2" w:rsidRPr="00ED35A9" w:rsidRDefault="00184AD2" w:rsidP="00184AD2">
      <w:pPr>
        <w:rPr>
          <w:szCs w:val="28"/>
          <w:lang w:val="uk-UA"/>
        </w:rPr>
      </w:pPr>
      <w:proofErr w:type="spellStart"/>
      <w:r w:rsidRPr="00ED35A9">
        <w:rPr>
          <w:szCs w:val="28"/>
          <w:lang w:val="uk-UA"/>
        </w:rPr>
        <w:t>Rohit</w:t>
      </w:r>
      <w:proofErr w:type="spellEnd"/>
      <w:r w:rsidRPr="00ED35A9">
        <w:rPr>
          <w:szCs w:val="28"/>
          <w:lang w:val="uk-UA"/>
        </w:rPr>
        <w:t xml:space="preserve"> SARIN, Інститут ТБ та супутніх захворювань, Індія (клінічна практика).</w:t>
      </w:r>
    </w:p>
    <w:p w:rsidR="00184AD2" w:rsidRPr="00ED35A9" w:rsidRDefault="00184AD2" w:rsidP="00184AD2">
      <w:pPr>
        <w:rPr>
          <w:szCs w:val="28"/>
          <w:lang w:val="uk-UA"/>
        </w:rPr>
      </w:pPr>
      <w:proofErr w:type="spellStart"/>
      <w:r w:rsidRPr="00ED35A9">
        <w:rPr>
          <w:szCs w:val="28"/>
          <w:lang w:val="uk-UA"/>
        </w:rPr>
        <w:t>Holger</w:t>
      </w:r>
      <w:proofErr w:type="spellEnd"/>
      <w:r w:rsidRPr="00ED35A9">
        <w:rPr>
          <w:szCs w:val="28"/>
          <w:lang w:val="uk-UA"/>
        </w:rPr>
        <w:t xml:space="preserve"> SCHÜNEMANN, Університет </w:t>
      </w:r>
      <w:proofErr w:type="spellStart"/>
      <w:r w:rsidRPr="00ED35A9">
        <w:rPr>
          <w:szCs w:val="28"/>
          <w:lang w:val="uk-UA"/>
        </w:rPr>
        <w:t>МакМастера</w:t>
      </w:r>
      <w:proofErr w:type="spellEnd"/>
      <w:r w:rsidRPr="00ED35A9">
        <w:rPr>
          <w:szCs w:val="28"/>
          <w:lang w:val="uk-UA"/>
        </w:rPr>
        <w:t>, Канада (голова ГРН, епідеміологія, методологія настанов).</w:t>
      </w:r>
    </w:p>
    <w:p w:rsidR="00184AD2" w:rsidRPr="00ED35A9" w:rsidRDefault="00184AD2" w:rsidP="00184AD2">
      <w:pPr>
        <w:rPr>
          <w:szCs w:val="28"/>
          <w:lang w:val="uk-UA"/>
        </w:rPr>
      </w:pPr>
      <w:proofErr w:type="spellStart"/>
      <w:r w:rsidRPr="00ED35A9">
        <w:rPr>
          <w:szCs w:val="28"/>
          <w:lang w:val="uk-UA"/>
        </w:rPr>
        <w:t>Elena</w:t>
      </w:r>
      <w:proofErr w:type="spellEnd"/>
      <w:r w:rsidRPr="00ED35A9">
        <w:rPr>
          <w:szCs w:val="28"/>
          <w:lang w:val="uk-UA"/>
        </w:rPr>
        <w:t xml:space="preserve"> SKACHKOVA, Федеральний центр моніторингу ТБ, Російська Федерація (епіднагляд).</w:t>
      </w:r>
    </w:p>
    <w:p w:rsidR="00184AD2" w:rsidRPr="00ED35A9" w:rsidRDefault="00184AD2" w:rsidP="00184AD2">
      <w:pPr>
        <w:rPr>
          <w:szCs w:val="28"/>
          <w:lang w:val="uk-UA"/>
        </w:rPr>
      </w:pPr>
      <w:proofErr w:type="spellStart"/>
      <w:r w:rsidRPr="00ED35A9">
        <w:rPr>
          <w:szCs w:val="28"/>
          <w:lang w:val="uk-UA"/>
        </w:rPr>
        <w:t>Francis</w:t>
      </w:r>
      <w:proofErr w:type="spellEnd"/>
      <w:r w:rsidRPr="00ED35A9">
        <w:rPr>
          <w:szCs w:val="28"/>
          <w:lang w:val="uk-UA"/>
        </w:rPr>
        <w:t xml:space="preserve"> VARAINE, незалежна міжнародна медична гуманітарна організація «Лікарі без кордонів», Франція (клінічний та програмний менеджмент).</w:t>
      </w:r>
    </w:p>
    <w:p w:rsidR="00184AD2" w:rsidRPr="00ED35A9" w:rsidRDefault="00184AD2" w:rsidP="00184AD2">
      <w:pPr>
        <w:rPr>
          <w:b/>
          <w:i/>
          <w:szCs w:val="28"/>
          <w:lang w:val="uk-UA"/>
        </w:rPr>
      </w:pPr>
      <w:bookmarkStart w:id="80" w:name="bookmark85"/>
      <w:bookmarkStart w:id="81" w:name="_Toc417570639"/>
      <w:r w:rsidRPr="00ED35A9">
        <w:rPr>
          <w:b/>
          <w:i/>
          <w:szCs w:val="28"/>
          <w:lang w:val="uk-UA"/>
        </w:rPr>
        <w:t>Штаб-квартира ВООЗ (Женева, Швейцарія</w:t>
      </w:r>
      <w:bookmarkEnd w:id="80"/>
      <w:bookmarkEnd w:id="81"/>
      <w:r w:rsidRPr="00ED35A9">
        <w:rPr>
          <w:b/>
          <w:i/>
          <w:szCs w:val="28"/>
          <w:lang w:val="uk-UA"/>
        </w:rPr>
        <w:t>)</w:t>
      </w:r>
    </w:p>
    <w:p w:rsidR="00184AD2" w:rsidRPr="00ED35A9" w:rsidRDefault="00184AD2" w:rsidP="00184AD2">
      <w:pPr>
        <w:rPr>
          <w:szCs w:val="28"/>
          <w:lang w:val="uk-UA"/>
        </w:rPr>
      </w:pPr>
      <w:r w:rsidRPr="00ED35A9">
        <w:rPr>
          <w:szCs w:val="28"/>
          <w:lang w:val="uk-UA"/>
        </w:rPr>
        <w:t xml:space="preserve">Департамент «Стоп ТБ»: </w:t>
      </w:r>
      <w:proofErr w:type="spellStart"/>
      <w:r w:rsidRPr="00ED35A9">
        <w:rPr>
          <w:szCs w:val="28"/>
          <w:lang w:val="uk-UA"/>
        </w:rPr>
        <w:t>Léopold</w:t>
      </w:r>
      <w:proofErr w:type="spellEnd"/>
      <w:r w:rsidRPr="00ED35A9">
        <w:rPr>
          <w:szCs w:val="28"/>
          <w:lang w:val="uk-UA"/>
        </w:rPr>
        <w:t xml:space="preserve"> BLANC, </w:t>
      </w:r>
      <w:proofErr w:type="spellStart"/>
      <w:r w:rsidRPr="00ED35A9">
        <w:rPr>
          <w:szCs w:val="28"/>
          <w:lang w:val="uk-UA"/>
        </w:rPr>
        <w:t>Dennis</w:t>
      </w:r>
      <w:proofErr w:type="spellEnd"/>
      <w:r w:rsidRPr="00ED35A9">
        <w:rPr>
          <w:szCs w:val="28"/>
          <w:lang w:val="uk-UA"/>
        </w:rPr>
        <w:t xml:space="preserve"> FALZON, </w:t>
      </w:r>
      <w:proofErr w:type="spellStart"/>
      <w:r w:rsidRPr="00ED35A9">
        <w:rPr>
          <w:szCs w:val="28"/>
          <w:lang w:val="uk-UA"/>
        </w:rPr>
        <w:t>Christopher</w:t>
      </w:r>
      <w:proofErr w:type="spellEnd"/>
      <w:r w:rsidRPr="00ED35A9">
        <w:rPr>
          <w:szCs w:val="28"/>
          <w:lang w:val="uk-UA"/>
        </w:rPr>
        <w:t xml:space="preserve"> FITZPATRICK, </w:t>
      </w:r>
      <w:proofErr w:type="spellStart"/>
      <w:r w:rsidRPr="00ED35A9">
        <w:rPr>
          <w:szCs w:val="28"/>
          <w:lang w:val="uk-UA"/>
        </w:rPr>
        <w:t>Katherine</w:t>
      </w:r>
      <w:proofErr w:type="spellEnd"/>
      <w:r w:rsidRPr="00ED35A9">
        <w:rPr>
          <w:szCs w:val="28"/>
          <w:lang w:val="uk-UA"/>
        </w:rPr>
        <w:t xml:space="preserve"> FLOYD, </w:t>
      </w:r>
      <w:proofErr w:type="spellStart"/>
      <w:r w:rsidRPr="00ED35A9">
        <w:rPr>
          <w:szCs w:val="28"/>
          <w:lang w:val="uk-UA"/>
        </w:rPr>
        <w:t>Haileyesus</w:t>
      </w:r>
      <w:proofErr w:type="spellEnd"/>
      <w:r w:rsidRPr="00ED35A9">
        <w:rPr>
          <w:szCs w:val="28"/>
          <w:lang w:val="uk-UA"/>
        </w:rPr>
        <w:t xml:space="preserve"> GETAHUN, </w:t>
      </w:r>
      <w:proofErr w:type="spellStart"/>
      <w:r w:rsidRPr="00ED35A9">
        <w:rPr>
          <w:szCs w:val="28"/>
          <w:lang w:val="uk-UA"/>
        </w:rPr>
        <w:t>Malgorzata</w:t>
      </w:r>
      <w:proofErr w:type="spellEnd"/>
      <w:r w:rsidRPr="00ED35A9">
        <w:rPr>
          <w:szCs w:val="28"/>
          <w:lang w:val="uk-UA"/>
        </w:rPr>
        <w:t xml:space="preserve"> GRZEMSKA, </w:t>
      </w:r>
      <w:proofErr w:type="spellStart"/>
      <w:r w:rsidRPr="00ED35A9">
        <w:rPr>
          <w:szCs w:val="28"/>
          <w:lang w:val="uk-UA"/>
        </w:rPr>
        <w:t>Christian</w:t>
      </w:r>
      <w:proofErr w:type="spellEnd"/>
      <w:r w:rsidRPr="00ED35A9">
        <w:rPr>
          <w:szCs w:val="28"/>
          <w:lang w:val="uk-UA"/>
        </w:rPr>
        <w:t xml:space="preserve"> GUNNEBERG, </w:t>
      </w:r>
      <w:proofErr w:type="spellStart"/>
      <w:r w:rsidRPr="00ED35A9">
        <w:rPr>
          <w:szCs w:val="28"/>
          <w:lang w:val="uk-UA"/>
        </w:rPr>
        <w:t>Ernesto</w:t>
      </w:r>
      <w:proofErr w:type="spellEnd"/>
      <w:r w:rsidRPr="00ED35A9">
        <w:rPr>
          <w:szCs w:val="28"/>
          <w:lang w:val="uk-UA"/>
        </w:rPr>
        <w:t xml:space="preserve"> JARAMILLO, </w:t>
      </w:r>
      <w:proofErr w:type="spellStart"/>
      <w:r w:rsidRPr="00ED35A9">
        <w:rPr>
          <w:szCs w:val="28"/>
          <w:lang w:val="uk-UA"/>
        </w:rPr>
        <w:t>Christian</w:t>
      </w:r>
      <w:proofErr w:type="spellEnd"/>
      <w:r w:rsidRPr="00ED35A9">
        <w:rPr>
          <w:szCs w:val="28"/>
          <w:lang w:val="uk-UA"/>
        </w:rPr>
        <w:t xml:space="preserve"> LIENHARDT, </w:t>
      </w:r>
      <w:proofErr w:type="spellStart"/>
      <w:r w:rsidRPr="00ED35A9">
        <w:rPr>
          <w:szCs w:val="28"/>
          <w:lang w:val="uk-UA"/>
        </w:rPr>
        <w:t>Fuad</w:t>
      </w:r>
      <w:proofErr w:type="spellEnd"/>
      <w:r w:rsidRPr="00ED35A9">
        <w:rPr>
          <w:szCs w:val="28"/>
          <w:lang w:val="uk-UA"/>
        </w:rPr>
        <w:t xml:space="preserve"> MIRZAYEV, </w:t>
      </w:r>
      <w:proofErr w:type="spellStart"/>
      <w:r w:rsidRPr="00ED35A9">
        <w:rPr>
          <w:szCs w:val="28"/>
          <w:lang w:val="uk-UA"/>
        </w:rPr>
        <w:t>Paul</w:t>
      </w:r>
      <w:proofErr w:type="spellEnd"/>
      <w:r w:rsidRPr="00ED35A9">
        <w:rPr>
          <w:szCs w:val="28"/>
          <w:lang w:val="uk-UA"/>
        </w:rPr>
        <w:t xml:space="preserve"> NUNN, </w:t>
      </w:r>
      <w:proofErr w:type="spellStart"/>
      <w:r w:rsidRPr="00ED35A9">
        <w:rPr>
          <w:szCs w:val="28"/>
          <w:lang w:val="uk-UA"/>
        </w:rPr>
        <w:t>Mario</w:t>
      </w:r>
      <w:proofErr w:type="spellEnd"/>
      <w:r w:rsidRPr="00ED35A9">
        <w:rPr>
          <w:szCs w:val="28"/>
          <w:lang w:val="uk-UA"/>
        </w:rPr>
        <w:t xml:space="preserve"> C. RAVIGLIONE, </w:t>
      </w:r>
      <w:proofErr w:type="spellStart"/>
      <w:r w:rsidRPr="00ED35A9">
        <w:rPr>
          <w:szCs w:val="28"/>
          <w:lang w:val="uk-UA"/>
        </w:rPr>
        <w:t>Delphine</w:t>
      </w:r>
      <w:proofErr w:type="spellEnd"/>
      <w:r w:rsidRPr="00ED35A9">
        <w:rPr>
          <w:szCs w:val="28"/>
          <w:lang w:val="uk-UA"/>
        </w:rPr>
        <w:t xml:space="preserve"> SCULIER, </w:t>
      </w:r>
      <w:proofErr w:type="spellStart"/>
      <w:r w:rsidRPr="00ED35A9">
        <w:rPr>
          <w:szCs w:val="28"/>
          <w:lang w:val="uk-UA"/>
        </w:rPr>
        <w:t>Fraser</w:t>
      </w:r>
      <w:proofErr w:type="spellEnd"/>
      <w:r w:rsidRPr="00ED35A9">
        <w:rPr>
          <w:szCs w:val="28"/>
          <w:lang w:val="uk-UA"/>
        </w:rPr>
        <w:t xml:space="preserve"> WARES, </w:t>
      </w:r>
      <w:proofErr w:type="spellStart"/>
      <w:r w:rsidRPr="00ED35A9">
        <w:rPr>
          <w:szCs w:val="28"/>
          <w:lang w:val="uk-UA"/>
        </w:rPr>
        <w:t>Karin</w:t>
      </w:r>
      <w:proofErr w:type="spellEnd"/>
      <w:r w:rsidRPr="00ED35A9">
        <w:rPr>
          <w:szCs w:val="28"/>
          <w:lang w:val="uk-UA"/>
        </w:rPr>
        <w:t xml:space="preserve"> WEYER, </w:t>
      </w:r>
      <w:proofErr w:type="spellStart"/>
      <w:r w:rsidRPr="00ED35A9">
        <w:rPr>
          <w:szCs w:val="28"/>
          <w:lang w:val="uk-UA"/>
        </w:rPr>
        <w:t>Matteo</w:t>
      </w:r>
      <w:proofErr w:type="spellEnd"/>
      <w:r w:rsidRPr="00ED35A9">
        <w:rPr>
          <w:szCs w:val="28"/>
          <w:lang w:val="uk-UA"/>
        </w:rPr>
        <w:t xml:space="preserve"> ZIGNOL.</w:t>
      </w:r>
    </w:p>
    <w:p w:rsidR="00184AD2" w:rsidRPr="00ED35A9" w:rsidRDefault="00184AD2" w:rsidP="00184AD2">
      <w:pPr>
        <w:rPr>
          <w:szCs w:val="28"/>
          <w:lang w:val="uk-UA"/>
        </w:rPr>
      </w:pPr>
      <w:r w:rsidRPr="00ED35A9">
        <w:rPr>
          <w:szCs w:val="28"/>
          <w:lang w:val="uk-UA"/>
        </w:rPr>
        <w:t xml:space="preserve">Департамент ВІЛ: </w:t>
      </w:r>
      <w:proofErr w:type="spellStart"/>
      <w:r w:rsidRPr="00ED35A9">
        <w:rPr>
          <w:szCs w:val="28"/>
          <w:lang w:val="uk-UA"/>
        </w:rPr>
        <w:t>Chris</w:t>
      </w:r>
      <w:proofErr w:type="spellEnd"/>
      <w:r w:rsidRPr="00ED35A9">
        <w:rPr>
          <w:szCs w:val="28"/>
          <w:lang w:val="uk-UA"/>
        </w:rPr>
        <w:t xml:space="preserve"> DUNCOMBE, </w:t>
      </w:r>
      <w:proofErr w:type="spellStart"/>
      <w:r w:rsidRPr="00ED35A9">
        <w:rPr>
          <w:szCs w:val="28"/>
          <w:lang w:val="uk-UA"/>
        </w:rPr>
        <w:t>Marco</w:t>
      </w:r>
      <w:proofErr w:type="spellEnd"/>
      <w:r w:rsidRPr="00ED35A9">
        <w:rPr>
          <w:szCs w:val="28"/>
          <w:lang w:val="uk-UA"/>
        </w:rPr>
        <w:t xml:space="preserve"> </w:t>
      </w:r>
      <w:proofErr w:type="spellStart"/>
      <w:r w:rsidRPr="00ED35A9">
        <w:rPr>
          <w:szCs w:val="28"/>
          <w:lang w:val="uk-UA"/>
        </w:rPr>
        <w:t>Antonio</w:t>
      </w:r>
      <w:proofErr w:type="spellEnd"/>
      <w:r w:rsidRPr="00ED35A9">
        <w:rPr>
          <w:szCs w:val="28"/>
          <w:lang w:val="uk-UA"/>
        </w:rPr>
        <w:t xml:space="preserve"> DE AVILA VITORIA.</w:t>
      </w:r>
    </w:p>
    <w:p w:rsidR="00184AD2" w:rsidRPr="00ED35A9" w:rsidRDefault="00184AD2" w:rsidP="00184AD2">
      <w:pPr>
        <w:rPr>
          <w:b/>
          <w:i/>
          <w:szCs w:val="28"/>
          <w:lang w:val="uk-UA"/>
        </w:rPr>
      </w:pPr>
      <w:bookmarkStart w:id="82" w:name="bookmark86"/>
      <w:bookmarkStart w:id="83" w:name="_Toc417570640"/>
      <w:r w:rsidRPr="00ED35A9">
        <w:rPr>
          <w:b/>
          <w:i/>
          <w:szCs w:val="28"/>
          <w:lang w:val="uk-UA"/>
        </w:rPr>
        <w:t>ГЗР (сферу досвіду наведено в дужках для осіб, що не є співробітниками ВООЗ)</w:t>
      </w:r>
      <w:bookmarkEnd w:id="82"/>
      <w:bookmarkEnd w:id="83"/>
    </w:p>
    <w:p w:rsidR="00184AD2" w:rsidRPr="00ED35A9" w:rsidRDefault="00184AD2" w:rsidP="00184AD2">
      <w:pPr>
        <w:rPr>
          <w:szCs w:val="28"/>
          <w:lang w:val="uk-UA"/>
        </w:rPr>
      </w:pPr>
      <w:proofErr w:type="spellStart"/>
      <w:r w:rsidRPr="00ED35A9">
        <w:rPr>
          <w:szCs w:val="28"/>
          <w:lang w:val="uk-UA"/>
        </w:rPr>
        <w:t>Samiha</w:t>
      </w:r>
      <w:proofErr w:type="spellEnd"/>
      <w:r w:rsidRPr="00ED35A9">
        <w:rPr>
          <w:szCs w:val="28"/>
          <w:lang w:val="uk-UA"/>
        </w:rPr>
        <w:t xml:space="preserve"> BAGHDADI, Регіональне бюро ВООЗ для Східного Середземномор’я, Єгипет.</w:t>
      </w:r>
    </w:p>
    <w:p w:rsidR="00184AD2" w:rsidRPr="00ED35A9" w:rsidRDefault="00184AD2" w:rsidP="00184AD2">
      <w:pPr>
        <w:rPr>
          <w:szCs w:val="28"/>
          <w:lang w:val="uk-UA"/>
        </w:rPr>
      </w:pPr>
      <w:proofErr w:type="spellStart"/>
      <w:r w:rsidRPr="00ED35A9">
        <w:rPr>
          <w:szCs w:val="28"/>
          <w:lang w:val="uk-UA"/>
        </w:rPr>
        <w:t>Mercedes</w:t>
      </w:r>
      <w:proofErr w:type="spellEnd"/>
      <w:r w:rsidRPr="00ED35A9">
        <w:rPr>
          <w:szCs w:val="28"/>
          <w:lang w:val="uk-UA"/>
        </w:rPr>
        <w:t xml:space="preserve"> BECERRA, Гарвардська медична школа, США (науковець).</w:t>
      </w:r>
    </w:p>
    <w:p w:rsidR="00184AD2" w:rsidRPr="00ED35A9" w:rsidRDefault="00184AD2" w:rsidP="00184AD2">
      <w:pPr>
        <w:rPr>
          <w:szCs w:val="28"/>
          <w:lang w:val="uk-UA"/>
        </w:rPr>
      </w:pPr>
      <w:proofErr w:type="spellStart"/>
      <w:r w:rsidRPr="00ED35A9">
        <w:rPr>
          <w:szCs w:val="28"/>
          <w:lang w:val="uk-UA"/>
        </w:rPr>
        <w:t>Vineet</w:t>
      </w:r>
      <w:proofErr w:type="spellEnd"/>
      <w:r w:rsidRPr="00ED35A9">
        <w:rPr>
          <w:szCs w:val="28"/>
          <w:lang w:val="uk-UA"/>
        </w:rPr>
        <w:t xml:space="preserve"> BHATIA, Регіональне бюро ВООЗ для Південно-Східної Азії, Індія.</w:t>
      </w:r>
    </w:p>
    <w:p w:rsidR="00184AD2" w:rsidRPr="00ED35A9" w:rsidRDefault="00184AD2" w:rsidP="00184AD2">
      <w:pPr>
        <w:rPr>
          <w:szCs w:val="28"/>
          <w:lang w:val="uk-UA"/>
        </w:rPr>
      </w:pPr>
      <w:proofErr w:type="spellStart"/>
      <w:r w:rsidRPr="00ED35A9">
        <w:rPr>
          <w:szCs w:val="28"/>
          <w:lang w:val="uk-UA"/>
        </w:rPr>
        <w:t>Masoud</w:t>
      </w:r>
      <w:proofErr w:type="spellEnd"/>
      <w:r w:rsidRPr="00ED35A9">
        <w:rPr>
          <w:szCs w:val="28"/>
          <w:lang w:val="uk-UA"/>
        </w:rPr>
        <w:t xml:space="preserve"> DARA, Європейське регіональне бюро ВООЗ, Данія.</w:t>
      </w:r>
    </w:p>
    <w:p w:rsidR="00184AD2" w:rsidRPr="00ED35A9" w:rsidRDefault="00184AD2" w:rsidP="00184AD2">
      <w:pPr>
        <w:rPr>
          <w:szCs w:val="28"/>
          <w:lang w:val="uk-UA"/>
        </w:rPr>
      </w:pPr>
      <w:proofErr w:type="spellStart"/>
      <w:r w:rsidRPr="00ED35A9">
        <w:rPr>
          <w:szCs w:val="28"/>
          <w:lang w:val="uk-UA"/>
        </w:rPr>
        <w:t>Mirtha</w:t>
      </w:r>
      <w:proofErr w:type="spellEnd"/>
      <w:r w:rsidRPr="00ED35A9">
        <w:rPr>
          <w:szCs w:val="28"/>
          <w:lang w:val="uk-UA"/>
        </w:rPr>
        <w:t xml:space="preserve"> DEL GRANADO, Американське регіональне бюро ВООЗ, США.</w:t>
      </w:r>
    </w:p>
    <w:p w:rsidR="00184AD2" w:rsidRPr="00ED35A9" w:rsidRDefault="00184AD2" w:rsidP="00184AD2">
      <w:pPr>
        <w:rPr>
          <w:szCs w:val="28"/>
          <w:lang w:val="uk-UA"/>
        </w:rPr>
      </w:pPr>
      <w:proofErr w:type="spellStart"/>
      <w:r w:rsidRPr="00ED35A9">
        <w:rPr>
          <w:szCs w:val="28"/>
          <w:lang w:val="uk-UA"/>
        </w:rPr>
        <w:t>Reuben</w:t>
      </w:r>
      <w:proofErr w:type="spellEnd"/>
      <w:r w:rsidRPr="00ED35A9">
        <w:rPr>
          <w:szCs w:val="28"/>
          <w:lang w:val="uk-UA"/>
        </w:rPr>
        <w:t xml:space="preserve"> GRANICH, Департамент ВІЛ у ВООЗ, Швейцарія.</w:t>
      </w:r>
    </w:p>
    <w:p w:rsidR="00184AD2" w:rsidRPr="00ED35A9" w:rsidRDefault="00184AD2" w:rsidP="00184AD2">
      <w:pPr>
        <w:rPr>
          <w:szCs w:val="28"/>
          <w:lang w:val="uk-UA"/>
        </w:rPr>
      </w:pPr>
      <w:proofErr w:type="spellStart"/>
      <w:r w:rsidRPr="00ED35A9">
        <w:rPr>
          <w:szCs w:val="28"/>
          <w:lang w:val="uk-UA"/>
        </w:rPr>
        <w:t>Lindiwe</w:t>
      </w:r>
      <w:proofErr w:type="spellEnd"/>
      <w:r w:rsidRPr="00ED35A9">
        <w:rPr>
          <w:szCs w:val="28"/>
          <w:lang w:val="uk-UA"/>
        </w:rPr>
        <w:t xml:space="preserve"> MVUSI, Департамент охорони здоров’я, ПАР (програмний менеджмент).</w:t>
      </w:r>
    </w:p>
    <w:p w:rsidR="00184AD2" w:rsidRPr="00ED35A9" w:rsidRDefault="00184AD2" w:rsidP="00184AD2">
      <w:pPr>
        <w:rPr>
          <w:szCs w:val="28"/>
          <w:lang w:val="uk-UA"/>
        </w:rPr>
      </w:pPr>
      <w:proofErr w:type="spellStart"/>
      <w:r w:rsidRPr="00ED35A9">
        <w:rPr>
          <w:szCs w:val="28"/>
          <w:lang w:val="uk-UA"/>
        </w:rPr>
        <w:t>Nani</w:t>
      </w:r>
      <w:proofErr w:type="spellEnd"/>
      <w:r w:rsidRPr="00ED35A9">
        <w:rPr>
          <w:szCs w:val="28"/>
          <w:lang w:val="uk-UA"/>
        </w:rPr>
        <w:t xml:space="preserve"> NAIR, Регіональне бюро ВООЗ для Південно-Східної Азії, Індія.</w:t>
      </w:r>
    </w:p>
    <w:p w:rsidR="00184AD2" w:rsidRPr="00ED35A9" w:rsidRDefault="00184AD2" w:rsidP="008C5B22">
      <w:pPr>
        <w:spacing w:line="228" w:lineRule="auto"/>
        <w:rPr>
          <w:szCs w:val="28"/>
          <w:lang w:val="uk-UA"/>
        </w:rPr>
      </w:pPr>
      <w:proofErr w:type="spellStart"/>
      <w:r w:rsidRPr="00ED35A9">
        <w:rPr>
          <w:szCs w:val="28"/>
          <w:lang w:val="uk-UA"/>
        </w:rPr>
        <w:lastRenderedPageBreak/>
        <w:t>Norbert</w:t>
      </w:r>
      <w:proofErr w:type="spellEnd"/>
      <w:r w:rsidRPr="00ED35A9">
        <w:rPr>
          <w:szCs w:val="28"/>
          <w:lang w:val="uk-UA"/>
        </w:rPr>
        <w:t xml:space="preserve"> NDJEKA, Департамент охорони здоров’я, ПАР (програмний менеджмент, клінічна практика).</w:t>
      </w:r>
    </w:p>
    <w:p w:rsidR="00184AD2" w:rsidRPr="00ED35A9" w:rsidRDefault="00184AD2" w:rsidP="008C5B22">
      <w:pPr>
        <w:spacing w:line="228" w:lineRule="auto"/>
        <w:rPr>
          <w:szCs w:val="28"/>
          <w:lang w:val="uk-UA"/>
        </w:rPr>
      </w:pPr>
      <w:proofErr w:type="spellStart"/>
      <w:r w:rsidRPr="00ED35A9">
        <w:rPr>
          <w:szCs w:val="28"/>
          <w:lang w:val="uk-UA"/>
        </w:rPr>
        <w:t>Wilfred</w:t>
      </w:r>
      <w:proofErr w:type="spellEnd"/>
      <w:r w:rsidRPr="00ED35A9">
        <w:rPr>
          <w:szCs w:val="28"/>
          <w:lang w:val="uk-UA"/>
        </w:rPr>
        <w:t xml:space="preserve"> A.C. NKHOMA, Африканське регіональне бюро ВООЗ, Зімбабве.</w:t>
      </w:r>
    </w:p>
    <w:p w:rsidR="00184AD2" w:rsidRPr="00ED35A9" w:rsidRDefault="00184AD2" w:rsidP="008C5B22">
      <w:pPr>
        <w:spacing w:line="228" w:lineRule="auto"/>
        <w:rPr>
          <w:szCs w:val="28"/>
          <w:lang w:val="uk-UA"/>
        </w:rPr>
      </w:pPr>
      <w:proofErr w:type="spellStart"/>
      <w:r w:rsidRPr="00ED35A9">
        <w:rPr>
          <w:szCs w:val="28"/>
          <w:lang w:val="uk-UA"/>
        </w:rPr>
        <w:t>Katsunori</w:t>
      </w:r>
      <w:proofErr w:type="spellEnd"/>
      <w:r w:rsidRPr="00ED35A9">
        <w:rPr>
          <w:szCs w:val="28"/>
          <w:lang w:val="uk-UA"/>
        </w:rPr>
        <w:t xml:space="preserve"> OSUGA, </w:t>
      </w:r>
      <w:proofErr w:type="spellStart"/>
      <w:r w:rsidRPr="00ED35A9">
        <w:rPr>
          <w:szCs w:val="28"/>
          <w:lang w:val="uk-UA"/>
        </w:rPr>
        <w:t>Західно</w:t>
      </w:r>
      <w:proofErr w:type="spellEnd"/>
      <w:r w:rsidRPr="00ED35A9">
        <w:rPr>
          <w:szCs w:val="28"/>
          <w:lang w:val="uk-UA"/>
        </w:rPr>
        <w:t>-тихоокеанське регіональне бюро ВООЗ, Філіппіни.</w:t>
      </w:r>
    </w:p>
    <w:p w:rsidR="00184AD2" w:rsidRPr="00ED35A9" w:rsidRDefault="00184AD2" w:rsidP="008C5B22">
      <w:pPr>
        <w:spacing w:line="228" w:lineRule="auto"/>
        <w:rPr>
          <w:szCs w:val="28"/>
          <w:lang w:val="uk-UA"/>
        </w:rPr>
      </w:pPr>
      <w:proofErr w:type="spellStart"/>
      <w:r w:rsidRPr="00ED35A9">
        <w:rPr>
          <w:szCs w:val="28"/>
          <w:lang w:val="uk-UA"/>
        </w:rPr>
        <w:t>Hendrik</w:t>
      </w:r>
      <w:proofErr w:type="spellEnd"/>
      <w:r w:rsidRPr="00ED35A9">
        <w:rPr>
          <w:szCs w:val="28"/>
          <w:lang w:val="uk-UA"/>
        </w:rPr>
        <w:t xml:space="preserve"> </w:t>
      </w:r>
      <w:proofErr w:type="spellStart"/>
      <w:r w:rsidRPr="00ED35A9">
        <w:rPr>
          <w:szCs w:val="28"/>
          <w:lang w:val="uk-UA"/>
        </w:rPr>
        <w:t>Simon</w:t>
      </w:r>
      <w:proofErr w:type="spellEnd"/>
      <w:r w:rsidRPr="00ED35A9">
        <w:rPr>
          <w:szCs w:val="28"/>
          <w:lang w:val="uk-UA"/>
        </w:rPr>
        <w:t xml:space="preserve"> SCHAAF, Департамент педіатрії та дитячого здоров’я, Університет </w:t>
      </w:r>
      <w:proofErr w:type="spellStart"/>
      <w:r w:rsidRPr="00ED35A9">
        <w:rPr>
          <w:szCs w:val="28"/>
          <w:lang w:val="uk-UA"/>
        </w:rPr>
        <w:t>Штеллєнбош</w:t>
      </w:r>
      <w:proofErr w:type="spellEnd"/>
      <w:r w:rsidRPr="00ED35A9">
        <w:rPr>
          <w:szCs w:val="28"/>
          <w:lang w:val="uk-UA"/>
        </w:rPr>
        <w:t xml:space="preserve"> та дитяча лікарня </w:t>
      </w:r>
      <w:proofErr w:type="spellStart"/>
      <w:r w:rsidRPr="00ED35A9">
        <w:rPr>
          <w:szCs w:val="28"/>
          <w:lang w:val="uk-UA"/>
        </w:rPr>
        <w:t>Тігерберг</w:t>
      </w:r>
      <w:proofErr w:type="spellEnd"/>
      <w:r w:rsidRPr="00ED35A9">
        <w:rPr>
          <w:szCs w:val="28"/>
          <w:lang w:val="uk-UA"/>
        </w:rPr>
        <w:t>, Південна Африка (клінічна практика, МРТБ у педіатрії, епіднагляд).</w:t>
      </w:r>
    </w:p>
    <w:p w:rsidR="00184AD2" w:rsidRPr="00ED35A9" w:rsidRDefault="00184AD2" w:rsidP="008C5B22">
      <w:pPr>
        <w:spacing w:line="228" w:lineRule="auto"/>
        <w:rPr>
          <w:szCs w:val="28"/>
          <w:lang w:val="uk-UA"/>
        </w:rPr>
      </w:pPr>
      <w:proofErr w:type="spellStart"/>
      <w:r w:rsidRPr="00ED35A9">
        <w:rPr>
          <w:szCs w:val="28"/>
          <w:lang w:val="uk-UA"/>
        </w:rPr>
        <w:t>Catharina</w:t>
      </w:r>
      <w:proofErr w:type="spellEnd"/>
      <w:r w:rsidRPr="00ED35A9">
        <w:rPr>
          <w:szCs w:val="28"/>
          <w:lang w:val="uk-UA"/>
        </w:rPr>
        <w:t xml:space="preserve"> VAN WEEZENBEEK, </w:t>
      </w:r>
      <w:proofErr w:type="spellStart"/>
      <w:r w:rsidRPr="00ED35A9">
        <w:rPr>
          <w:szCs w:val="28"/>
          <w:lang w:val="uk-UA"/>
        </w:rPr>
        <w:t>Західно</w:t>
      </w:r>
      <w:proofErr w:type="spellEnd"/>
      <w:r w:rsidRPr="00ED35A9">
        <w:rPr>
          <w:szCs w:val="28"/>
          <w:lang w:val="uk-UA"/>
        </w:rPr>
        <w:t>-тихоокеанське регіональне бюро ВООЗ, Філіппіни.</w:t>
      </w:r>
    </w:p>
    <w:p w:rsidR="00184AD2" w:rsidRPr="00ED35A9" w:rsidRDefault="00184AD2" w:rsidP="008C5B22">
      <w:pPr>
        <w:spacing w:line="228" w:lineRule="auto"/>
        <w:rPr>
          <w:szCs w:val="28"/>
          <w:lang w:val="uk-UA"/>
        </w:rPr>
      </w:pPr>
      <w:proofErr w:type="spellStart"/>
      <w:r w:rsidRPr="00ED35A9">
        <w:rPr>
          <w:szCs w:val="28"/>
          <w:lang w:val="uk-UA"/>
        </w:rPr>
        <w:t>Irina</w:t>
      </w:r>
      <w:proofErr w:type="spellEnd"/>
      <w:r w:rsidRPr="00ED35A9">
        <w:rPr>
          <w:szCs w:val="28"/>
          <w:lang w:val="uk-UA"/>
        </w:rPr>
        <w:t xml:space="preserve"> VASILYEVA, Центральний дослідницький інститут фтизіатрії РАМН, Російська Федерація (дослідження, клінічна практика).</w:t>
      </w:r>
    </w:p>
    <w:p w:rsidR="00184AD2" w:rsidRPr="00ED35A9" w:rsidRDefault="00184AD2" w:rsidP="008C5B22">
      <w:pPr>
        <w:spacing w:line="228" w:lineRule="auto"/>
        <w:rPr>
          <w:szCs w:val="28"/>
          <w:lang w:val="uk-UA"/>
        </w:rPr>
      </w:pPr>
      <w:proofErr w:type="spellStart"/>
      <w:r w:rsidRPr="00ED35A9">
        <w:rPr>
          <w:szCs w:val="28"/>
          <w:lang w:val="uk-UA"/>
        </w:rPr>
        <w:t>Wang</w:t>
      </w:r>
      <w:proofErr w:type="spellEnd"/>
      <w:r w:rsidRPr="00ED35A9">
        <w:rPr>
          <w:szCs w:val="28"/>
          <w:lang w:val="uk-UA"/>
        </w:rPr>
        <w:t xml:space="preserve"> </w:t>
      </w:r>
      <w:proofErr w:type="spellStart"/>
      <w:r w:rsidRPr="00ED35A9">
        <w:rPr>
          <w:szCs w:val="28"/>
          <w:lang w:val="uk-UA"/>
        </w:rPr>
        <w:t>Xie</w:t>
      </w:r>
      <w:proofErr w:type="spellEnd"/>
      <w:r w:rsidRPr="00ED35A9">
        <w:rPr>
          <w:szCs w:val="28"/>
          <w:lang w:val="uk-UA"/>
        </w:rPr>
        <w:t xml:space="preserve"> XIU, </w:t>
      </w:r>
      <w:proofErr w:type="spellStart"/>
      <w:r w:rsidRPr="00ED35A9">
        <w:rPr>
          <w:szCs w:val="28"/>
          <w:lang w:val="uk-UA"/>
        </w:rPr>
        <w:t>Тянзинські</w:t>
      </w:r>
      <w:proofErr w:type="spellEnd"/>
      <w:r w:rsidRPr="00ED35A9">
        <w:rPr>
          <w:szCs w:val="28"/>
          <w:lang w:val="uk-UA"/>
        </w:rPr>
        <w:t xml:space="preserve"> центри з контролю та профілактики захворювань, Китай (епіднагляд).</w:t>
      </w:r>
    </w:p>
    <w:p w:rsidR="00184AD2" w:rsidRPr="00ED35A9" w:rsidRDefault="00184AD2" w:rsidP="008C5B22">
      <w:pPr>
        <w:spacing w:line="228" w:lineRule="auto"/>
        <w:rPr>
          <w:szCs w:val="28"/>
          <w:lang w:val="uk-UA"/>
        </w:rPr>
      </w:pPr>
      <w:proofErr w:type="spellStart"/>
      <w:r w:rsidRPr="00ED35A9">
        <w:rPr>
          <w:szCs w:val="28"/>
          <w:lang w:val="uk-UA"/>
        </w:rPr>
        <w:t>Richard</w:t>
      </w:r>
      <w:proofErr w:type="spellEnd"/>
      <w:r w:rsidRPr="00ED35A9">
        <w:rPr>
          <w:szCs w:val="28"/>
          <w:lang w:val="uk-UA"/>
        </w:rPr>
        <w:t xml:space="preserve"> ZALESKIS, Європейське регіональне бюро ВООЗ, Данія.</w:t>
      </w:r>
    </w:p>
    <w:p w:rsidR="00184AD2" w:rsidRPr="00ED35A9" w:rsidRDefault="00184AD2" w:rsidP="008C5B22">
      <w:pPr>
        <w:spacing w:line="228" w:lineRule="auto"/>
        <w:rPr>
          <w:b/>
          <w:i/>
          <w:szCs w:val="28"/>
          <w:lang w:val="uk-UA"/>
        </w:rPr>
      </w:pPr>
      <w:bookmarkStart w:id="84" w:name="bookmark87"/>
      <w:bookmarkStart w:id="85" w:name="_Toc417570641"/>
      <w:r w:rsidRPr="00ED35A9">
        <w:rPr>
          <w:b/>
          <w:i/>
          <w:szCs w:val="28"/>
          <w:lang w:val="uk-UA"/>
        </w:rPr>
        <w:t>Група огляду доказових даних</w:t>
      </w:r>
      <w:bookmarkEnd w:id="84"/>
      <w:bookmarkEnd w:id="85"/>
    </w:p>
    <w:p w:rsidR="00184AD2" w:rsidRPr="00ED35A9" w:rsidRDefault="00184AD2" w:rsidP="008C5B22">
      <w:pPr>
        <w:spacing w:line="228" w:lineRule="auto"/>
        <w:rPr>
          <w:szCs w:val="28"/>
          <w:lang w:val="uk-UA"/>
        </w:rPr>
      </w:pPr>
      <w:proofErr w:type="spellStart"/>
      <w:r w:rsidRPr="00ED35A9">
        <w:rPr>
          <w:szCs w:val="28"/>
          <w:lang w:val="uk-UA"/>
        </w:rPr>
        <w:t>Chunling</w:t>
      </w:r>
      <w:proofErr w:type="spellEnd"/>
      <w:r w:rsidRPr="00ED35A9">
        <w:rPr>
          <w:szCs w:val="28"/>
          <w:lang w:val="uk-UA"/>
        </w:rPr>
        <w:t xml:space="preserve"> LU, </w:t>
      </w:r>
      <w:proofErr w:type="spellStart"/>
      <w:r w:rsidRPr="00ED35A9">
        <w:rPr>
          <w:szCs w:val="28"/>
          <w:lang w:val="uk-UA"/>
        </w:rPr>
        <w:t>Carole</w:t>
      </w:r>
      <w:proofErr w:type="spellEnd"/>
      <w:r w:rsidRPr="00ED35A9">
        <w:rPr>
          <w:szCs w:val="28"/>
          <w:lang w:val="uk-UA"/>
        </w:rPr>
        <w:t xml:space="preserve"> D. MITNICK (Гарвардська медична школа, Бостон, </w:t>
      </w:r>
      <w:proofErr w:type="spellStart"/>
      <w:r w:rsidRPr="00ED35A9">
        <w:rPr>
          <w:szCs w:val="28"/>
          <w:lang w:val="uk-UA"/>
        </w:rPr>
        <w:t>Масачусетс</w:t>
      </w:r>
      <w:proofErr w:type="spellEnd"/>
      <w:r w:rsidRPr="00ED35A9">
        <w:rPr>
          <w:szCs w:val="28"/>
          <w:lang w:val="uk-UA"/>
        </w:rPr>
        <w:t xml:space="preserve">, США) та </w:t>
      </w:r>
      <w:proofErr w:type="spellStart"/>
      <w:r w:rsidRPr="00ED35A9">
        <w:rPr>
          <w:szCs w:val="28"/>
          <w:lang w:val="uk-UA"/>
        </w:rPr>
        <w:t>Richard</w:t>
      </w:r>
      <w:proofErr w:type="spellEnd"/>
      <w:r w:rsidRPr="00ED35A9">
        <w:rPr>
          <w:szCs w:val="28"/>
          <w:lang w:val="uk-UA"/>
        </w:rPr>
        <w:t xml:space="preserve"> A. WHITE (Гарвардська школа громадського здоров’я, Бостон, </w:t>
      </w:r>
      <w:proofErr w:type="spellStart"/>
      <w:r w:rsidRPr="00ED35A9">
        <w:rPr>
          <w:szCs w:val="28"/>
          <w:lang w:val="uk-UA"/>
        </w:rPr>
        <w:t>Масачусетс</w:t>
      </w:r>
      <w:proofErr w:type="spellEnd"/>
      <w:r w:rsidRPr="00ED35A9">
        <w:rPr>
          <w:szCs w:val="28"/>
          <w:lang w:val="uk-UA"/>
        </w:rPr>
        <w:t>, США).</w:t>
      </w:r>
    </w:p>
    <w:p w:rsidR="00184AD2" w:rsidRPr="00ED35A9" w:rsidRDefault="00184AD2" w:rsidP="008C5B22">
      <w:pPr>
        <w:spacing w:line="228" w:lineRule="auto"/>
        <w:rPr>
          <w:szCs w:val="28"/>
          <w:lang w:val="uk-UA"/>
        </w:rPr>
      </w:pPr>
      <w:proofErr w:type="spellStart"/>
      <w:r w:rsidRPr="00ED35A9">
        <w:rPr>
          <w:szCs w:val="28"/>
          <w:lang w:val="uk-UA"/>
        </w:rPr>
        <w:t>Gail</w:t>
      </w:r>
      <w:proofErr w:type="spellEnd"/>
      <w:r w:rsidRPr="00ED35A9">
        <w:rPr>
          <w:szCs w:val="28"/>
          <w:lang w:val="uk-UA"/>
        </w:rPr>
        <w:t xml:space="preserve"> KENNEDY, </w:t>
      </w:r>
      <w:proofErr w:type="spellStart"/>
      <w:r w:rsidRPr="00ED35A9">
        <w:rPr>
          <w:szCs w:val="28"/>
          <w:lang w:val="uk-UA"/>
        </w:rPr>
        <w:t>George</w:t>
      </w:r>
      <w:proofErr w:type="spellEnd"/>
      <w:r w:rsidRPr="00ED35A9">
        <w:rPr>
          <w:szCs w:val="28"/>
          <w:lang w:val="uk-UA"/>
        </w:rPr>
        <w:t xml:space="preserve"> RUTHERFORD, </w:t>
      </w:r>
      <w:proofErr w:type="spellStart"/>
      <w:r w:rsidRPr="00ED35A9">
        <w:rPr>
          <w:szCs w:val="28"/>
          <w:lang w:val="uk-UA"/>
        </w:rPr>
        <w:t>Karen</w:t>
      </w:r>
      <w:proofErr w:type="spellEnd"/>
      <w:r w:rsidRPr="00ED35A9">
        <w:rPr>
          <w:szCs w:val="28"/>
          <w:lang w:val="uk-UA"/>
        </w:rPr>
        <w:t xml:space="preserve"> STEINGART (Університет Каліфорнії, Сан-Франциско, Каліфорнія, США).</w:t>
      </w:r>
    </w:p>
    <w:p w:rsidR="00184AD2" w:rsidRPr="00ED35A9" w:rsidRDefault="00184AD2" w:rsidP="008C5B22">
      <w:pPr>
        <w:spacing w:line="228" w:lineRule="auto"/>
        <w:rPr>
          <w:szCs w:val="28"/>
          <w:lang w:val="uk-UA"/>
        </w:rPr>
      </w:pPr>
      <w:proofErr w:type="spellStart"/>
      <w:r w:rsidRPr="00ED35A9">
        <w:rPr>
          <w:szCs w:val="28"/>
          <w:lang w:val="uk-UA"/>
        </w:rPr>
        <w:t>Matthew</w:t>
      </w:r>
      <w:proofErr w:type="spellEnd"/>
      <w:r w:rsidRPr="00ED35A9">
        <w:rPr>
          <w:szCs w:val="28"/>
          <w:lang w:val="uk-UA"/>
        </w:rPr>
        <w:t xml:space="preserve"> ARENTZ, </w:t>
      </w:r>
      <w:proofErr w:type="spellStart"/>
      <w:r w:rsidRPr="00ED35A9">
        <w:rPr>
          <w:szCs w:val="28"/>
          <w:lang w:val="uk-UA"/>
        </w:rPr>
        <w:t>David</w:t>
      </w:r>
      <w:proofErr w:type="spellEnd"/>
      <w:r w:rsidRPr="00ED35A9">
        <w:rPr>
          <w:szCs w:val="28"/>
          <w:lang w:val="uk-UA"/>
        </w:rPr>
        <w:t xml:space="preserve"> HORNE, </w:t>
      </w:r>
      <w:proofErr w:type="spellStart"/>
      <w:r w:rsidRPr="00ED35A9">
        <w:rPr>
          <w:szCs w:val="28"/>
          <w:lang w:val="uk-UA"/>
        </w:rPr>
        <w:t>Patricia</w:t>
      </w:r>
      <w:proofErr w:type="spellEnd"/>
      <w:r w:rsidRPr="00ED35A9">
        <w:rPr>
          <w:szCs w:val="28"/>
          <w:lang w:val="uk-UA"/>
        </w:rPr>
        <w:t xml:space="preserve"> PAVLINAC, </w:t>
      </w:r>
      <w:proofErr w:type="spellStart"/>
      <w:r w:rsidRPr="00ED35A9">
        <w:rPr>
          <w:szCs w:val="28"/>
          <w:lang w:val="uk-UA"/>
        </w:rPr>
        <w:t>Judd</w:t>
      </w:r>
      <w:proofErr w:type="spellEnd"/>
      <w:r w:rsidRPr="00ED35A9">
        <w:rPr>
          <w:szCs w:val="28"/>
          <w:lang w:val="uk-UA"/>
        </w:rPr>
        <w:t xml:space="preserve"> L. WALSON (Університет </w:t>
      </w:r>
      <w:proofErr w:type="spellStart"/>
      <w:r w:rsidRPr="00ED35A9">
        <w:rPr>
          <w:szCs w:val="28"/>
          <w:lang w:val="uk-UA"/>
        </w:rPr>
        <w:t>Вашингтона</w:t>
      </w:r>
      <w:proofErr w:type="spellEnd"/>
      <w:r w:rsidRPr="00ED35A9">
        <w:rPr>
          <w:szCs w:val="28"/>
          <w:lang w:val="uk-UA"/>
        </w:rPr>
        <w:t>, Сієтл, Вашингтон, США).</w:t>
      </w:r>
    </w:p>
    <w:p w:rsidR="00184AD2" w:rsidRPr="00ED35A9" w:rsidRDefault="00184AD2" w:rsidP="008C5B22">
      <w:pPr>
        <w:spacing w:line="228" w:lineRule="auto"/>
        <w:rPr>
          <w:szCs w:val="28"/>
          <w:lang w:val="uk-UA"/>
        </w:rPr>
      </w:pPr>
      <w:proofErr w:type="spellStart"/>
      <w:r w:rsidRPr="00ED35A9">
        <w:rPr>
          <w:szCs w:val="28"/>
          <w:lang w:val="uk-UA"/>
        </w:rPr>
        <w:t>Melissa</w:t>
      </w:r>
      <w:proofErr w:type="spellEnd"/>
      <w:r w:rsidRPr="00ED35A9">
        <w:rPr>
          <w:szCs w:val="28"/>
          <w:lang w:val="uk-UA"/>
        </w:rPr>
        <w:t xml:space="preserve"> BAUER, </w:t>
      </w:r>
      <w:proofErr w:type="spellStart"/>
      <w:r w:rsidRPr="00ED35A9">
        <w:rPr>
          <w:szCs w:val="28"/>
          <w:lang w:val="uk-UA"/>
        </w:rPr>
        <w:t>Richard</w:t>
      </w:r>
      <w:proofErr w:type="spellEnd"/>
      <w:r w:rsidRPr="00ED35A9">
        <w:rPr>
          <w:szCs w:val="28"/>
          <w:lang w:val="uk-UA"/>
        </w:rPr>
        <w:t xml:space="preserve"> (</w:t>
      </w:r>
      <w:proofErr w:type="spellStart"/>
      <w:r w:rsidRPr="00ED35A9">
        <w:rPr>
          <w:szCs w:val="28"/>
          <w:lang w:val="uk-UA"/>
        </w:rPr>
        <w:t>Dick</w:t>
      </w:r>
      <w:proofErr w:type="spellEnd"/>
      <w:r w:rsidRPr="00ED35A9">
        <w:rPr>
          <w:szCs w:val="28"/>
          <w:lang w:val="uk-UA"/>
        </w:rPr>
        <w:t xml:space="preserve">) MENZIES, </w:t>
      </w:r>
      <w:proofErr w:type="spellStart"/>
      <w:r w:rsidRPr="00ED35A9">
        <w:rPr>
          <w:szCs w:val="28"/>
          <w:lang w:val="uk-UA"/>
        </w:rPr>
        <w:t>Olivia</w:t>
      </w:r>
      <w:proofErr w:type="spellEnd"/>
      <w:r w:rsidRPr="00ED35A9">
        <w:rPr>
          <w:szCs w:val="28"/>
          <w:lang w:val="uk-UA"/>
        </w:rPr>
        <w:t xml:space="preserve"> OXLADE (Університет </w:t>
      </w:r>
      <w:proofErr w:type="spellStart"/>
      <w:r w:rsidRPr="00ED35A9">
        <w:rPr>
          <w:szCs w:val="28"/>
          <w:lang w:val="uk-UA"/>
        </w:rPr>
        <w:t>МакГілла</w:t>
      </w:r>
      <w:proofErr w:type="spellEnd"/>
      <w:r w:rsidRPr="00ED35A9">
        <w:rPr>
          <w:szCs w:val="28"/>
          <w:lang w:val="uk-UA"/>
        </w:rPr>
        <w:t>, Монреаль, Квебек, Канада).</w:t>
      </w:r>
    </w:p>
    <w:p w:rsidR="00184AD2" w:rsidRPr="00ED35A9" w:rsidRDefault="00184AD2" w:rsidP="008C5B22">
      <w:pPr>
        <w:spacing w:line="228" w:lineRule="auto"/>
        <w:rPr>
          <w:szCs w:val="28"/>
          <w:lang w:val="uk-UA"/>
        </w:rPr>
      </w:pPr>
      <w:r w:rsidRPr="00ED35A9">
        <w:rPr>
          <w:szCs w:val="28"/>
          <w:lang w:val="uk-UA"/>
        </w:rPr>
        <w:t xml:space="preserve">Консультант: </w:t>
      </w:r>
      <w:proofErr w:type="spellStart"/>
      <w:r w:rsidRPr="00ED35A9">
        <w:rPr>
          <w:szCs w:val="28"/>
          <w:lang w:val="uk-UA"/>
        </w:rPr>
        <w:t>Patricia</w:t>
      </w:r>
      <w:proofErr w:type="spellEnd"/>
      <w:r w:rsidRPr="00ED35A9">
        <w:rPr>
          <w:szCs w:val="28"/>
          <w:lang w:val="uk-UA"/>
        </w:rPr>
        <w:t xml:space="preserve"> WHYTE (</w:t>
      </w:r>
      <w:proofErr w:type="spellStart"/>
      <w:r w:rsidRPr="00ED35A9">
        <w:rPr>
          <w:szCs w:val="28"/>
          <w:lang w:val="uk-UA"/>
        </w:rPr>
        <w:t>Грифінський</w:t>
      </w:r>
      <w:proofErr w:type="spellEnd"/>
      <w:r w:rsidRPr="00ED35A9">
        <w:rPr>
          <w:szCs w:val="28"/>
          <w:lang w:val="uk-UA"/>
        </w:rPr>
        <w:t xml:space="preserve"> університет, </w:t>
      </w:r>
      <w:proofErr w:type="spellStart"/>
      <w:r w:rsidRPr="00ED35A9">
        <w:rPr>
          <w:szCs w:val="28"/>
          <w:lang w:val="uk-UA"/>
        </w:rPr>
        <w:t>Квінсленд</w:t>
      </w:r>
      <w:proofErr w:type="spellEnd"/>
      <w:r w:rsidRPr="00ED35A9">
        <w:rPr>
          <w:szCs w:val="28"/>
          <w:lang w:val="uk-UA"/>
        </w:rPr>
        <w:t>, Австралія) (розробка настанов).</w:t>
      </w:r>
    </w:p>
    <w:p w:rsidR="00184AD2" w:rsidRPr="00ED35A9" w:rsidRDefault="00184AD2" w:rsidP="008C5B22">
      <w:pPr>
        <w:spacing w:line="228" w:lineRule="auto"/>
        <w:rPr>
          <w:szCs w:val="28"/>
          <w:lang w:val="uk-UA"/>
        </w:rPr>
      </w:pPr>
      <w:r w:rsidRPr="00ED35A9">
        <w:rPr>
          <w:szCs w:val="28"/>
          <w:lang w:val="uk-UA"/>
        </w:rPr>
        <w:t>USAID було надано щедрого фінансування для розробки та публікації оновленої настанови 2011 р.</w:t>
      </w:r>
    </w:p>
    <w:p w:rsidR="00184AD2" w:rsidRPr="00ED35A9" w:rsidRDefault="00184AD2" w:rsidP="008C5B22">
      <w:pPr>
        <w:spacing w:line="228" w:lineRule="auto"/>
        <w:jc w:val="left"/>
        <w:rPr>
          <w:b/>
          <w:szCs w:val="28"/>
          <w:lang w:val="uk-UA"/>
        </w:rPr>
      </w:pPr>
      <w:r w:rsidRPr="00ED35A9">
        <w:rPr>
          <w:b/>
          <w:szCs w:val="28"/>
          <w:lang w:val="uk-UA"/>
        </w:rPr>
        <w:t xml:space="preserve">Настанова ВООЗ із лікування лікарсько-стійкого туберкульозу: оновлення 2016 р. </w:t>
      </w:r>
    </w:p>
    <w:p w:rsidR="00184AD2" w:rsidRPr="00ED35A9" w:rsidRDefault="00184AD2" w:rsidP="008C5B22">
      <w:pPr>
        <w:spacing w:line="228" w:lineRule="auto"/>
        <w:rPr>
          <w:szCs w:val="28"/>
          <w:lang w:val="uk-UA"/>
        </w:rPr>
      </w:pPr>
      <w:r w:rsidRPr="00ED35A9">
        <w:rPr>
          <w:szCs w:val="28"/>
          <w:lang w:val="uk-UA"/>
        </w:rPr>
        <w:t>Рекомендації та коментарі, наведені у цій настанові, є результатом дискусій ГРН, проведених під егідою ВООЗ/GTB у Женеві (Швейцарія) з 9 по 11 липня 2015 р. (</w:t>
      </w:r>
      <w:r w:rsidRPr="00ED35A9">
        <w:rPr>
          <w:i/>
          <w:szCs w:val="28"/>
          <w:lang w:val="uk-UA"/>
        </w:rPr>
        <w:t>див.</w:t>
      </w:r>
      <w:r w:rsidRPr="00ED35A9">
        <w:rPr>
          <w:szCs w:val="28"/>
          <w:lang w:val="uk-UA"/>
        </w:rPr>
        <w:t xml:space="preserve"> онлайн-додаток 3). ВООЗ також висловлює подяку за внески, зроблені членами ГРН при підготовці, в процесі та після цієї зустрічі, а саме: </w:t>
      </w:r>
      <w:proofErr w:type="spellStart"/>
      <w:r w:rsidRPr="00ED35A9">
        <w:rPr>
          <w:szCs w:val="28"/>
          <w:lang w:val="uk-UA"/>
        </w:rPr>
        <w:t>Holger</w:t>
      </w:r>
      <w:proofErr w:type="spellEnd"/>
      <w:r w:rsidRPr="00ED35A9">
        <w:rPr>
          <w:szCs w:val="28"/>
          <w:lang w:val="uk-UA"/>
        </w:rPr>
        <w:t xml:space="preserve"> SCHÜNEMANN (голова та методолог GRADE), </w:t>
      </w:r>
      <w:proofErr w:type="spellStart"/>
      <w:r w:rsidRPr="00ED35A9">
        <w:rPr>
          <w:szCs w:val="28"/>
          <w:lang w:val="uk-UA"/>
        </w:rPr>
        <w:t>Charles</w:t>
      </w:r>
      <w:proofErr w:type="spellEnd"/>
      <w:r w:rsidRPr="00ED35A9">
        <w:rPr>
          <w:szCs w:val="28"/>
          <w:lang w:val="uk-UA"/>
        </w:rPr>
        <w:t xml:space="preserve"> L DALEY (співголова), </w:t>
      </w:r>
      <w:proofErr w:type="spellStart"/>
      <w:r w:rsidRPr="00ED35A9">
        <w:rPr>
          <w:szCs w:val="28"/>
          <w:lang w:val="uk-UA"/>
        </w:rPr>
        <w:t>Farhana</w:t>
      </w:r>
      <w:proofErr w:type="spellEnd"/>
      <w:r w:rsidRPr="00ED35A9">
        <w:rPr>
          <w:szCs w:val="28"/>
          <w:lang w:val="uk-UA"/>
        </w:rPr>
        <w:t xml:space="preserve"> AMANULLAH, </w:t>
      </w:r>
      <w:proofErr w:type="spellStart"/>
      <w:r w:rsidRPr="00ED35A9">
        <w:rPr>
          <w:szCs w:val="28"/>
          <w:lang w:val="uk-UA"/>
        </w:rPr>
        <w:t>Jose</w:t>
      </w:r>
      <w:proofErr w:type="spellEnd"/>
      <w:r w:rsidRPr="00ED35A9">
        <w:rPr>
          <w:szCs w:val="28"/>
          <w:lang w:val="uk-UA"/>
        </w:rPr>
        <w:t xml:space="preserve"> A CAMINERO, </w:t>
      </w:r>
      <w:proofErr w:type="spellStart"/>
      <w:r w:rsidRPr="00ED35A9">
        <w:rPr>
          <w:szCs w:val="28"/>
          <w:lang w:val="uk-UA"/>
        </w:rPr>
        <w:t>Tsira</w:t>
      </w:r>
      <w:proofErr w:type="spellEnd"/>
      <w:r w:rsidRPr="00ED35A9">
        <w:rPr>
          <w:szCs w:val="28"/>
          <w:lang w:val="uk-UA"/>
        </w:rPr>
        <w:t xml:space="preserve"> CHAKHAIA, </w:t>
      </w:r>
      <w:proofErr w:type="spellStart"/>
      <w:r w:rsidRPr="00ED35A9">
        <w:rPr>
          <w:szCs w:val="28"/>
          <w:lang w:val="uk-UA"/>
        </w:rPr>
        <w:t>Daniela</w:t>
      </w:r>
      <w:proofErr w:type="spellEnd"/>
      <w:r w:rsidRPr="00ED35A9">
        <w:rPr>
          <w:szCs w:val="28"/>
          <w:lang w:val="uk-UA"/>
        </w:rPr>
        <w:t xml:space="preserve"> CIRILLO, </w:t>
      </w:r>
      <w:proofErr w:type="spellStart"/>
      <w:r w:rsidRPr="00ED35A9">
        <w:rPr>
          <w:szCs w:val="28"/>
          <w:lang w:val="uk-UA"/>
        </w:rPr>
        <w:t>Kelly</w:t>
      </w:r>
      <w:proofErr w:type="spellEnd"/>
      <w:r w:rsidRPr="00ED35A9">
        <w:rPr>
          <w:szCs w:val="28"/>
          <w:lang w:val="uk-UA"/>
        </w:rPr>
        <w:t xml:space="preserve"> DOOLEY, </w:t>
      </w:r>
      <w:proofErr w:type="spellStart"/>
      <w:r w:rsidRPr="00ED35A9">
        <w:rPr>
          <w:szCs w:val="28"/>
          <w:lang w:val="uk-UA"/>
        </w:rPr>
        <w:t>Luis</w:t>
      </w:r>
      <w:proofErr w:type="spellEnd"/>
      <w:r w:rsidRPr="00ED35A9">
        <w:rPr>
          <w:szCs w:val="28"/>
          <w:lang w:val="uk-UA"/>
        </w:rPr>
        <w:t xml:space="preserve"> </w:t>
      </w:r>
      <w:proofErr w:type="spellStart"/>
      <w:r w:rsidRPr="00ED35A9">
        <w:rPr>
          <w:szCs w:val="28"/>
          <w:lang w:val="uk-UA"/>
        </w:rPr>
        <w:t>Gustavo</w:t>
      </w:r>
      <w:proofErr w:type="spellEnd"/>
      <w:r w:rsidRPr="00ED35A9">
        <w:rPr>
          <w:szCs w:val="28"/>
          <w:lang w:val="uk-UA"/>
        </w:rPr>
        <w:t xml:space="preserve"> DO VALLE BASTOS, </w:t>
      </w:r>
      <w:proofErr w:type="spellStart"/>
      <w:r w:rsidRPr="00ED35A9">
        <w:rPr>
          <w:szCs w:val="28"/>
          <w:lang w:val="uk-UA"/>
        </w:rPr>
        <w:t>Michel</w:t>
      </w:r>
      <w:proofErr w:type="spellEnd"/>
      <w:r w:rsidRPr="00ED35A9">
        <w:rPr>
          <w:szCs w:val="28"/>
          <w:lang w:val="uk-UA"/>
        </w:rPr>
        <w:t xml:space="preserve"> GASANA, </w:t>
      </w:r>
      <w:proofErr w:type="spellStart"/>
      <w:r w:rsidRPr="00ED35A9">
        <w:rPr>
          <w:szCs w:val="28"/>
          <w:lang w:val="uk-UA"/>
        </w:rPr>
        <w:t>Agnes</w:t>
      </w:r>
      <w:proofErr w:type="spellEnd"/>
      <w:r w:rsidRPr="00ED35A9">
        <w:rPr>
          <w:szCs w:val="28"/>
          <w:lang w:val="uk-UA"/>
        </w:rPr>
        <w:t xml:space="preserve"> GEBHARD, </w:t>
      </w:r>
      <w:proofErr w:type="spellStart"/>
      <w:r w:rsidRPr="00ED35A9">
        <w:rPr>
          <w:szCs w:val="28"/>
          <w:lang w:val="uk-UA"/>
        </w:rPr>
        <w:t>Armen</w:t>
      </w:r>
      <w:proofErr w:type="spellEnd"/>
      <w:r w:rsidRPr="00ED35A9">
        <w:rPr>
          <w:szCs w:val="28"/>
          <w:lang w:val="uk-UA"/>
        </w:rPr>
        <w:t xml:space="preserve"> HAYRAPETYAN, </w:t>
      </w:r>
      <w:proofErr w:type="spellStart"/>
      <w:r w:rsidRPr="00ED35A9">
        <w:rPr>
          <w:szCs w:val="28"/>
          <w:lang w:val="uk-UA"/>
        </w:rPr>
        <w:t>Antonia</w:t>
      </w:r>
      <w:proofErr w:type="spellEnd"/>
      <w:r w:rsidRPr="00ED35A9">
        <w:rPr>
          <w:szCs w:val="28"/>
          <w:lang w:val="uk-UA"/>
        </w:rPr>
        <w:t xml:space="preserve"> KWIECIEN, </w:t>
      </w:r>
      <w:proofErr w:type="spellStart"/>
      <w:r w:rsidRPr="00ED35A9">
        <w:rPr>
          <w:szCs w:val="28"/>
          <w:lang w:val="uk-UA"/>
        </w:rPr>
        <w:t>Sundari</w:t>
      </w:r>
      <w:proofErr w:type="spellEnd"/>
      <w:r w:rsidRPr="00ED35A9">
        <w:rPr>
          <w:szCs w:val="28"/>
          <w:lang w:val="uk-UA"/>
        </w:rPr>
        <w:t xml:space="preserve"> MASE, </w:t>
      </w:r>
      <w:proofErr w:type="spellStart"/>
      <w:r w:rsidRPr="00ED35A9">
        <w:rPr>
          <w:szCs w:val="28"/>
          <w:lang w:val="uk-UA"/>
        </w:rPr>
        <w:t>Lindsay</w:t>
      </w:r>
      <w:proofErr w:type="spellEnd"/>
      <w:r w:rsidRPr="00ED35A9">
        <w:rPr>
          <w:szCs w:val="28"/>
          <w:lang w:val="uk-UA"/>
        </w:rPr>
        <w:t xml:space="preserve"> MCKENNA, </w:t>
      </w:r>
      <w:proofErr w:type="spellStart"/>
      <w:r w:rsidRPr="00ED35A9">
        <w:rPr>
          <w:szCs w:val="28"/>
          <w:lang w:val="uk-UA"/>
        </w:rPr>
        <w:t>Nguyen</w:t>
      </w:r>
      <w:proofErr w:type="spellEnd"/>
      <w:r w:rsidRPr="00ED35A9">
        <w:rPr>
          <w:szCs w:val="28"/>
          <w:lang w:val="uk-UA"/>
        </w:rPr>
        <w:t xml:space="preserve"> </w:t>
      </w:r>
      <w:proofErr w:type="spellStart"/>
      <w:r w:rsidRPr="00ED35A9">
        <w:rPr>
          <w:szCs w:val="28"/>
          <w:lang w:val="uk-UA"/>
        </w:rPr>
        <w:t>Viet</w:t>
      </w:r>
      <w:proofErr w:type="spellEnd"/>
      <w:r w:rsidRPr="00ED35A9">
        <w:rPr>
          <w:szCs w:val="28"/>
          <w:lang w:val="uk-UA"/>
        </w:rPr>
        <w:t xml:space="preserve"> NHUNG, </w:t>
      </w:r>
      <w:proofErr w:type="spellStart"/>
      <w:r w:rsidRPr="00ED35A9">
        <w:rPr>
          <w:szCs w:val="28"/>
          <w:lang w:val="uk-UA"/>
        </w:rPr>
        <w:t>Maria</w:t>
      </w:r>
      <w:proofErr w:type="spellEnd"/>
      <w:r w:rsidRPr="00ED35A9">
        <w:rPr>
          <w:szCs w:val="28"/>
          <w:lang w:val="uk-UA"/>
        </w:rPr>
        <w:t xml:space="preserve"> RODRIGUEZ, </w:t>
      </w:r>
      <w:proofErr w:type="spellStart"/>
      <w:r w:rsidRPr="00ED35A9">
        <w:rPr>
          <w:szCs w:val="28"/>
          <w:lang w:val="uk-UA"/>
        </w:rPr>
        <w:t>James</w:t>
      </w:r>
      <w:proofErr w:type="spellEnd"/>
      <w:r w:rsidRPr="00ED35A9">
        <w:rPr>
          <w:szCs w:val="28"/>
          <w:lang w:val="uk-UA"/>
        </w:rPr>
        <w:t xml:space="preserve"> SEDDON, </w:t>
      </w:r>
      <w:proofErr w:type="spellStart"/>
      <w:r w:rsidRPr="00ED35A9">
        <w:rPr>
          <w:szCs w:val="28"/>
          <w:lang w:val="uk-UA"/>
        </w:rPr>
        <w:t>Tom</w:t>
      </w:r>
      <w:proofErr w:type="spellEnd"/>
      <w:r w:rsidRPr="00ED35A9">
        <w:rPr>
          <w:szCs w:val="28"/>
          <w:lang w:val="uk-UA"/>
        </w:rPr>
        <w:t xml:space="preserve"> SHINNICK, </w:t>
      </w:r>
      <w:proofErr w:type="spellStart"/>
      <w:r w:rsidRPr="00ED35A9">
        <w:rPr>
          <w:szCs w:val="28"/>
          <w:lang w:val="uk-UA"/>
        </w:rPr>
        <w:t>Alena</w:t>
      </w:r>
      <w:proofErr w:type="spellEnd"/>
      <w:r w:rsidRPr="00ED35A9">
        <w:rPr>
          <w:szCs w:val="28"/>
          <w:lang w:val="uk-UA"/>
        </w:rPr>
        <w:t xml:space="preserve"> SKRAHINA, </w:t>
      </w:r>
      <w:proofErr w:type="spellStart"/>
      <w:r w:rsidRPr="00ED35A9">
        <w:rPr>
          <w:szCs w:val="28"/>
          <w:lang w:val="uk-UA"/>
        </w:rPr>
        <w:t>Carlos</w:t>
      </w:r>
      <w:proofErr w:type="spellEnd"/>
      <w:r w:rsidRPr="00ED35A9">
        <w:rPr>
          <w:szCs w:val="28"/>
          <w:lang w:val="uk-UA"/>
        </w:rPr>
        <w:t xml:space="preserve"> TORRES-DUQUE (</w:t>
      </w:r>
      <w:r w:rsidRPr="00ED35A9">
        <w:rPr>
          <w:i/>
          <w:szCs w:val="28"/>
          <w:lang w:val="uk-UA"/>
        </w:rPr>
        <w:t>див.</w:t>
      </w:r>
      <w:r w:rsidRPr="00ED35A9">
        <w:rPr>
          <w:szCs w:val="28"/>
          <w:lang w:val="uk-UA"/>
        </w:rPr>
        <w:t xml:space="preserve"> онлайн-додаток 4). ВООЗ висловлює подяку експертам ГЗР, які надали коментарі при підготовці до цієї зустрічі, а також для проекту документу перед його затвердженням: </w:t>
      </w:r>
      <w:proofErr w:type="spellStart"/>
      <w:r w:rsidRPr="00ED35A9">
        <w:rPr>
          <w:szCs w:val="28"/>
          <w:lang w:val="uk-UA"/>
        </w:rPr>
        <w:t>Chen-Yuan</w:t>
      </w:r>
      <w:proofErr w:type="spellEnd"/>
      <w:r w:rsidRPr="00ED35A9">
        <w:rPr>
          <w:szCs w:val="28"/>
          <w:lang w:val="uk-UA"/>
        </w:rPr>
        <w:t xml:space="preserve"> CHIANG, </w:t>
      </w:r>
      <w:proofErr w:type="spellStart"/>
      <w:r w:rsidRPr="00ED35A9">
        <w:rPr>
          <w:szCs w:val="28"/>
          <w:lang w:val="uk-UA"/>
        </w:rPr>
        <w:t>Vaira</w:t>
      </w:r>
      <w:proofErr w:type="spellEnd"/>
      <w:r w:rsidRPr="00ED35A9">
        <w:rPr>
          <w:szCs w:val="28"/>
          <w:lang w:val="uk-UA"/>
        </w:rPr>
        <w:t xml:space="preserve"> LEIMANE, </w:t>
      </w:r>
      <w:proofErr w:type="spellStart"/>
      <w:r w:rsidRPr="00ED35A9">
        <w:rPr>
          <w:szCs w:val="28"/>
          <w:lang w:val="uk-UA"/>
        </w:rPr>
        <w:t>Guy</w:t>
      </w:r>
      <w:proofErr w:type="spellEnd"/>
      <w:r w:rsidRPr="00ED35A9">
        <w:rPr>
          <w:szCs w:val="28"/>
          <w:lang w:val="uk-UA"/>
        </w:rPr>
        <w:t xml:space="preserve"> MARKS, </w:t>
      </w:r>
      <w:proofErr w:type="spellStart"/>
      <w:r w:rsidRPr="00ED35A9">
        <w:rPr>
          <w:szCs w:val="28"/>
          <w:lang w:val="uk-UA"/>
        </w:rPr>
        <w:t>Norbert</w:t>
      </w:r>
      <w:proofErr w:type="spellEnd"/>
      <w:r w:rsidRPr="00ED35A9">
        <w:rPr>
          <w:szCs w:val="28"/>
          <w:lang w:val="uk-UA"/>
        </w:rPr>
        <w:t xml:space="preserve"> NDJEKA, </w:t>
      </w:r>
      <w:proofErr w:type="spellStart"/>
      <w:r w:rsidRPr="00ED35A9">
        <w:rPr>
          <w:szCs w:val="28"/>
          <w:lang w:val="uk-UA"/>
        </w:rPr>
        <w:t>Lee</w:t>
      </w:r>
      <w:proofErr w:type="spellEnd"/>
      <w:r w:rsidRPr="00ED35A9">
        <w:rPr>
          <w:szCs w:val="28"/>
          <w:lang w:val="uk-UA"/>
        </w:rPr>
        <w:t xml:space="preserve"> REICHMAN, </w:t>
      </w:r>
      <w:proofErr w:type="spellStart"/>
      <w:r w:rsidRPr="00ED35A9">
        <w:rPr>
          <w:szCs w:val="28"/>
          <w:lang w:val="uk-UA"/>
        </w:rPr>
        <w:t>Rohit</w:t>
      </w:r>
      <w:proofErr w:type="spellEnd"/>
      <w:r w:rsidRPr="00ED35A9">
        <w:rPr>
          <w:szCs w:val="28"/>
          <w:lang w:val="uk-UA"/>
        </w:rPr>
        <w:t xml:space="preserve"> SARIN та </w:t>
      </w:r>
      <w:proofErr w:type="spellStart"/>
      <w:r w:rsidRPr="00ED35A9">
        <w:rPr>
          <w:szCs w:val="28"/>
          <w:lang w:val="uk-UA"/>
        </w:rPr>
        <w:t>Dalene</w:t>
      </w:r>
      <w:proofErr w:type="spellEnd"/>
      <w:r w:rsidRPr="00ED35A9">
        <w:rPr>
          <w:szCs w:val="28"/>
          <w:lang w:val="uk-UA"/>
        </w:rPr>
        <w:t xml:space="preserve"> VON DELFT.</w:t>
      </w:r>
    </w:p>
    <w:p w:rsidR="00184AD2" w:rsidRPr="00ED35A9" w:rsidRDefault="00184AD2" w:rsidP="00184AD2">
      <w:pPr>
        <w:rPr>
          <w:szCs w:val="28"/>
          <w:lang w:val="uk-UA"/>
        </w:rPr>
      </w:pPr>
      <w:r w:rsidRPr="00ED35A9">
        <w:rPr>
          <w:szCs w:val="28"/>
          <w:lang w:val="uk-UA"/>
        </w:rPr>
        <w:lastRenderedPageBreak/>
        <w:t xml:space="preserve">Написання цієї настанови координували </w:t>
      </w:r>
      <w:proofErr w:type="spellStart"/>
      <w:r w:rsidRPr="00ED35A9">
        <w:rPr>
          <w:rFonts w:eastAsia="Calibri"/>
          <w:szCs w:val="28"/>
          <w:lang w:val="uk-UA"/>
        </w:rPr>
        <w:t>Dennis</w:t>
      </w:r>
      <w:proofErr w:type="spellEnd"/>
      <w:r w:rsidRPr="00ED35A9">
        <w:rPr>
          <w:rFonts w:eastAsia="Calibri"/>
          <w:szCs w:val="28"/>
          <w:lang w:val="uk-UA"/>
        </w:rPr>
        <w:t xml:space="preserve"> FALZON</w:t>
      </w:r>
      <w:r w:rsidRPr="00ED35A9">
        <w:rPr>
          <w:szCs w:val="28"/>
          <w:lang w:val="uk-UA"/>
        </w:rPr>
        <w:t xml:space="preserve"> (ВООЗ/GTB) та </w:t>
      </w:r>
      <w:proofErr w:type="spellStart"/>
      <w:r w:rsidRPr="00ED35A9">
        <w:rPr>
          <w:rFonts w:eastAsia="Calibri"/>
          <w:szCs w:val="28"/>
          <w:lang w:val="uk-UA"/>
        </w:rPr>
        <w:t>Elizabeth</w:t>
      </w:r>
      <w:proofErr w:type="spellEnd"/>
      <w:r w:rsidRPr="00ED35A9">
        <w:rPr>
          <w:rFonts w:eastAsia="Calibri"/>
          <w:szCs w:val="28"/>
          <w:lang w:val="uk-UA"/>
        </w:rPr>
        <w:t xml:space="preserve"> HARAUSZ </w:t>
      </w:r>
      <w:r w:rsidRPr="00ED35A9">
        <w:rPr>
          <w:szCs w:val="28"/>
          <w:lang w:val="uk-UA"/>
        </w:rPr>
        <w:t xml:space="preserve">(консультант) під керівництвом і наглядом </w:t>
      </w:r>
      <w:proofErr w:type="spellStart"/>
      <w:r w:rsidRPr="00ED35A9">
        <w:rPr>
          <w:rFonts w:eastAsia="Calibri"/>
          <w:szCs w:val="28"/>
          <w:lang w:val="uk-UA"/>
        </w:rPr>
        <w:t>Ernesto</w:t>
      </w:r>
      <w:proofErr w:type="spellEnd"/>
      <w:r w:rsidRPr="00ED35A9">
        <w:rPr>
          <w:rFonts w:eastAsia="Calibri"/>
          <w:szCs w:val="28"/>
          <w:lang w:val="uk-UA"/>
        </w:rPr>
        <w:t xml:space="preserve"> JARAMILLO та </w:t>
      </w:r>
      <w:proofErr w:type="spellStart"/>
      <w:r w:rsidRPr="00ED35A9">
        <w:rPr>
          <w:rFonts w:eastAsia="Calibri"/>
          <w:szCs w:val="28"/>
          <w:lang w:val="uk-UA"/>
        </w:rPr>
        <w:t>Karin</w:t>
      </w:r>
      <w:proofErr w:type="spellEnd"/>
      <w:r w:rsidRPr="00ED35A9">
        <w:rPr>
          <w:rFonts w:eastAsia="Calibri"/>
          <w:szCs w:val="28"/>
          <w:lang w:val="uk-UA"/>
        </w:rPr>
        <w:t xml:space="preserve"> WEYER</w:t>
      </w:r>
      <w:r w:rsidRPr="00ED35A9">
        <w:rPr>
          <w:szCs w:val="28"/>
          <w:lang w:val="uk-UA"/>
        </w:rPr>
        <w:t xml:space="preserve"> та загальним </w:t>
      </w:r>
      <w:proofErr w:type="spellStart"/>
      <w:r w:rsidRPr="00ED35A9">
        <w:rPr>
          <w:szCs w:val="28"/>
          <w:lang w:val="uk-UA"/>
        </w:rPr>
        <w:t>очоленням</w:t>
      </w:r>
      <w:proofErr w:type="spellEnd"/>
      <w:r w:rsidRPr="00ED35A9">
        <w:rPr>
          <w:szCs w:val="28"/>
          <w:lang w:val="uk-UA"/>
        </w:rPr>
        <w:t xml:space="preserve"> </w:t>
      </w:r>
      <w:proofErr w:type="spellStart"/>
      <w:r w:rsidRPr="00ED35A9">
        <w:rPr>
          <w:rFonts w:eastAsia="Calibri"/>
          <w:szCs w:val="28"/>
          <w:lang w:val="uk-UA"/>
        </w:rPr>
        <w:t>Mario</w:t>
      </w:r>
      <w:proofErr w:type="spellEnd"/>
      <w:r w:rsidRPr="00ED35A9">
        <w:rPr>
          <w:rFonts w:eastAsia="Calibri"/>
          <w:szCs w:val="28"/>
          <w:lang w:val="uk-UA"/>
        </w:rPr>
        <w:t xml:space="preserve"> RAVIGLIONE</w:t>
      </w:r>
      <w:r w:rsidRPr="00ED35A9">
        <w:rPr>
          <w:szCs w:val="28"/>
          <w:lang w:val="uk-UA"/>
        </w:rPr>
        <w:t xml:space="preserve"> (директор GTB). Автори відзначають внесок Керівного комітету ВООЗ із розроблення настанов у складання цієї настанови: </w:t>
      </w:r>
      <w:proofErr w:type="spellStart"/>
      <w:r w:rsidRPr="00ED35A9">
        <w:rPr>
          <w:rFonts w:eastAsia="Calibri"/>
          <w:szCs w:val="28"/>
          <w:lang w:val="uk-UA"/>
        </w:rPr>
        <w:t>Nathan</w:t>
      </w:r>
      <w:proofErr w:type="spellEnd"/>
      <w:r w:rsidRPr="00ED35A9">
        <w:rPr>
          <w:rFonts w:eastAsia="Calibri"/>
          <w:szCs w:val="28"/>
          <w:lang w:val="uk-UA"/>
        </w:rPr>
        <w:t xml:space="preserve"> FORD, </w:t>
      </w:r>
      <w:proofErr w:type="spellStart"/>
      <w:r w:rsidRPr="00ED35A9">
        <w:rPr>
          <w:rFonts w:eastAsia="Calibri"/>
          <w:szCs w:val="28"/>
          <w:lang w:val="uk-UA"/>
        </w:rPr>
        <w:t>Giuliano</w:t>
      </w:r>
      <w:proofErr w:type="spellEnd"/>
      <w:r w:rsidRPr="00ED35A9">
        <w:rPr>
          <w:rFonts w:eastAsia="Calibri"/>
          <w:szCs w:val="28"/>
          <w:lang w:val="uk-UA"/>
        </w:rPr>
        <w:t xml:space="preserve"> GARGIONI, </w:t>
      </w:r>
      <w:proofErr w:type="spellStart"/>
      <w:r w:rsidRPr="00ED35A9">
        <w:rPr>
          <w:rFonts w:eastAsia="Calibri"/>
          <w:szCs w:val="28"/>
          <w:lang w:val="uk-UA"/>
        </w:rPr>
        <w:t>Haileyesus</w:t>
      </w:r>
      <w:proofErr w:type="spellEnd"/>
      <w:r w:rsidRPr="00ED35A9">
        <w:rPr>
          <w:rFonts w:eastAsia="Calibri"/>
          <w:szCs w:val="28"/>
          <w:lang w:val="uk-UA"/>
        </w:rPr>
        <w:t xml:space="preserve"> GETAHUN, </w:t>
      </w:r>
      <w:proofErr w:type="spellStart"/>
      <w:r w:rsidRPr="00ED35A9">
        <w:rPr>
          <w:rFonts w:eastAsia="Calibri"/>
          <w:szCs w:val="28"/>
          <w:lang w:val="uk-UA"/>
        </w:rPr>
        <w:t>Malgorzata</w:t>
      </w:r>
      <w:proofErr w:type="spellEnd"/>
      <w:r w:rsidRPr="00ED35A9">
        <w:rPr>
          <w:rFonts w:eastAsia="Calibri"/>
          <w:szCs w:val="28"/>
          <w:lang w:val="uk-UA"/>
        </w:rPr>
        <w:t xml:space="preserve"> GRZEMSKA, </w:t>
      </w:r>
      <w:proofErr w:type="spellStart"/>
      <w:r w:rsidRPr="00ED35A9">
        <w:rPr>
          <w:rFonts w:eastAsia="Calibri"/>
          <w:szCs w:val="28"/>
          <w:lang w:val="uk-UA"/>
        </w:rPr>
        <w:t>Avinash</w:t>
      </w:r>
      <w:proofErr w:type="spellEnd"/>
      <w:r w:rsidRPr="00ED35A9">
        <w:rPr>
          <w:rFonts w:eastAsia="Calibri"/>
          <w:szCs w:val="28"/>
          <w:lang w:val="uk-UA"/>
        </w:rPr>
        <w:t xml:space="preserve"> KANCHAR, </w:t>
      </w:r>
      <w:proofErr w:type="spellStart"/>
      <w:r w:rsidRPr="00ED35A9">
        <w:rPr>
          <w:rFonts w:eastAsia="Calibri"/>
          <w:szCs w:val="28"/>
          <w:lang w:val="uk-UA"/>
        </w:rPr>
        <w:t>Soleil</w:t>
      </w:r>
      <w:proofErr w:type="spellEnd"/>
      <w:r w:rsidRPr="00ED35A9">
        <w:rPr>
          <w:rFonts w:eastAsia="Calibri"/>
          <w:szCs w:val="28"/>
          <w:lang w:val="uk-UA"/>
        </w:rPr>
        <w:t xml:space="preserve"> LABELLE, </w:t>
      </w:r>
      <w:proofErr w:type="spellStart"/>
      <w:r w:rsidRPr="00ED35A9">
        <w:rPr>
          <w:rFonts w:eastAsia="Calibri"/>
          <w:szCs w:val="28"/>
          <w:lang w:val="uk-UA"/>
        </w:rPr>
        <w:t>Christian</w:t>
      </w:r>
      <w:proofErr w:type="spellEnd"/>
      <w:r w:rsidRPr="00ED35A9">
        <w:rPr>
          <w:rFonts w:eastAsia="Calibri"/>
          <w:szCs w:val="28"/>
          <w:lang w:val="uk-UA"/>
        </w:rPr>
        <w:t xml:space="preserve"> LIENHARDT, </w:t>
      </w:r>
      <w:proofErr w:type="spellStart"/>
      <w:r w:rsidRPr="00ED35A9">
        <w:rPr>
          <w:rFonts w:eastAsia="Calibri"/>
          <w:szCs w:val="28"/>
          <w:lang w:val="uk-UA"/>
        </w:rPr>
        <w:t>Knut</w:t>
      </w:r>
      <w:proofErr w:type="spellEnd"/>
      <w:r w:rsidRPr="00ED35A9">
        <w:rPr>
          <w:rFonts w:eastAsia="Calibri"/>
          <w:szCs w:val="28"/>
          <w:lang w:val="uk-UA"/>
        </w:rPr>
        <w:t xml:space="preserve"> LONNROTH, </w:t>
      </w:r>
      <w:proofErr w:type="spellStart"/>
      <w:r w:rsidRPr="00ED35A9">
        <w:rPr>
          <w:rFonts w:eastAsia="Calibri"/>
          <w:szCs w:val="28"/>
          <w:lang w:val="uk-UA"/>
        </w:rPr>
        <w:t>Fuad</w:t>
      </w:r>
      <w:proofErr w:type="spellEnd"/>
      <w:r w:rsidRPr="00ED35A9">
        <w:rPr>
          <w:rFonts w:eastAsia="Calibri"/>
          <w:szCs w:val="28"/>
          <w:lang w:val="uk-UA"/>
        </w:rPr>
        <w:t xml:space="preserve"> MIRZAYEV, </w:t>
      </w:r>
      <w:proofErr w:type="spellStart"/>
      <w:r w:rsidRPr="00ED35A9">
        <w:rPr>
          <w:rFonts w:eastAsia="Calibri"/>
          <w:szCs w:val="28"/>
          <w:lang w:val="uk-UA"/>
        </w:rPr>
        <w:t>Linh</w:t>
      </w:r>
      <w:proofErr w:type="spellEnd"/>
      <w:r w:rsidRPr="00ED35A9">
        <w:rPr>
          <w:rFonts w:eastAsia="Calibri"/>
          <w:szCs w:val="28"/>
          <w:lang w:val="uk-UA"/>
        </w:rPr>
        <w:t xml:space="preserve"> NHAT NGUYEN, </w:t>
      </w:r>
      <w:proofErr w:type="spellStart"/>
      <w:r w:rsidRPr="00ED35A9">
        <w:rPr>
          <w:rFonts w:eastAsia="Calibri"/>
          <w:szCs w:val="28"/>
          <w:lang w:val="uk-UA"/>
        </w:rPr>
        <w:t>Marco</w:t>
      </w:r>
      <w:proofErr w:type="spellEnd"/>
      <w:r w:rsidRPr="00ED35A9">
        <w:rPr>
          <w:rFonts w:eastAsia="Calibri"/>
          <w:szCs w:val="28"/>
          <w:lang w:val="uk-UA"/>
        </w:rPr>
        <w:t xml:space="preserve"> </w:t>
      </w:r>
      <w:proofErr w:type="spellStart"/>
      <w:r w:rsidRPr="00ED35A9">
        <w:rPr>
          <w:rFonts w:eastAsia="Calibri"/>
          <w:szCs w:val="28"/>
          <w:lang w:val="uk-UA"/>
        </w:rPr>
        <w:t>Antonio</w:t>
      </w:r>
      <w:proofErr w:type="spellEnd"/>
      <w:r w:rsidRPr="00ED35A9">
        <w:rPr>
          <w:rFonts w:eastAsia="Calibri"/>
          <w:szCs w:val="28"/>
          <w:lang w:val="uk-UA"/>
        </w:rPr>
        <w:t xml:space="preserve"> VITORIA, </w:t>
      </w:r>
      <w:proofErr w:type="spellStart"/>
      <w:r w:rsidRPr="00ED35A9">
        <w:rPr>
          <w:rFonts w:eastAsia="Calibri"/>
          <w:szCs w:val="28"/>
          <w:lang w:val="uk-UA"/>
        </w:rPr>
        <w:t>Fraser</w:t>
      </w:r>
      <w:proofErr w:type="spellEnd"/>
      <w:r w:rsidRPr="00ED35A9">
        <w:rPr>
          <w:rFonts w:eastAsia="Calibri"/>
          <w:szCs w:val="28"/>
          <w:lang w:val="uk-UA"/>
        </w:rPr>
        <w:t xml:space="preserve"> WARES, </w:t>
      </w:r>
      <w:proofErr w:type="spellStart"/>
      <w:r w:rsidRPr="00ED35A9">
        <w:rPr>
          <w:rFonts w:eastAsia="Calibri"/>
          <w:szCs w:val="28"/>
          <w:lang w:val="uk-UA"/>
        </w:rPr>
        <w:t>Diana</w:t>
      </w:r>
      <w:proofErr w:type="spellEnd"/>
      <w:r w:rsidRPr="00ED35A9">
        <w:rPr>
          <w:rFonts w:eastAsia="Calibri"/>
          <w:szCs w:val="28"/>
          <w:lang w:val="uk-UA"/>
        </w:rPr>
        <w:t xml:space="preserve"> WEIL </w:t>
      </w:r>
      <w:r w:rsidRPr="00ED35A9">
        <w:rPr>
          <w:szCs w:val="28"/>
          <w:lang w:val="uk-UA"/>
        </w:rPr>
        <w:t>та</w:t>
      </w:r>
      <w:r w:rsidRPr="00ED35A9">
        <w:rPr>
          <w:rFonts w:eastAsia="Calibri"/>
          <w:szCs w:val="28"/>
          <w:lang w:val="uk-UA"/>
        </w:rPr>
        <w:t xml:space="preserve"> </w:t>
      </w:r>
      <w:proofErr w:type="spellStart"/>
      <w:r w:rsidRPr="00ED35A9">
        <w:rPr>
          <w:rFonts w:eastAsia="Calibri"/>
          <w:szCs w:val="28"/>
          <w:lang w:val="uk-UA"/>
        </w:rPr>
        <w:t>Matteo</w:t>
      </w:r>
      <w:proofErr w:type="spellEnd"/>
      <w:r w:rsidRPr="00ED35A9">
        <w:rPr>
          <w:rFonts w:eastAsia="Calibri"/>
          <w:szCs w:val="28"/>
          <w:lang w:val="uk-UA"/>
        </w:rPr>
        <w:t xml:space="preserve"> ZIGNOL</w:t>
      </w:r>
      <w:r w:rsidRPr="00ED35A9">
        <w:rPr>
          <w:szCs w:val="28"/>
          <w:lang w:val="uk-UA"/>
        </w:rPr>
        <w:t xml:space="preserve">. Рецензування фінального проекту настанови було проведено наступними працівниками ВООЗ із регіональних бюро: </w:t>
      </w:r>
      <w:proofErr w:type="spellStart"/>
      <w:r w:rsidRPr="00ED35A9">
        <w:rPr>
          <w:rFonts w:eastAsia="Calibri"/>
          <w:szCs w:val="28"/>
          <w:lang w:val="uk-UA"/>
        </w:rPr>
        <w:t>Masoud</w:t>
      </w:r>
      <w:proofErr w:type="spellEnd"/>
      <w:r w:rsidRPr="00ED35A9">
        <w:rPr>
          <w:rFonts w:eastAsia="Calibri"/>
          <w:szCs w:val="28"/>
          <w:lang w:val="uk-UA"/>
        </w:rPr>
        <w:t xml:space="preserve"> DARA </w:t>
      </w:r>
      <w:r w:rsidRPr="00ED35A9">
        <w:rPr>
          <w:szCs w:val="28"/>
          <w:lang w:val="uk-UA"/>
        </w:rPr>
        <w:t xml:space="preserve">(Європа), </w:t>
      </w:r>
      <w:proofErr w:type="spellStart"/>
      <w:r w:rsidRPr="00ED35A9">
        <w:rPr>
          <w:rFonts w:eastAsia="Calibri"/>
          <w:szCs w:val="28"/>
          <w:lang w:val="uk-UA"/>
        </w:rPr>
        <w:t>Mirtha</w:t>
      </w:r>
      <w:proofErr w:type="spellEnd"/>
      <w:r w:rsidRPr="00ED35A9">
        <w:rPr>
          <w:rFonts w:eastAsia="Calibri"/>
          <w:szCs w:val="28"/>
          <w:lang w:val="uk-UA"/>
        </w:rPr>
        <w:t xml:space="preserve"> DEL GRANADO </w:t>
      </w:r>
      <w:r w:rsidRPr="00ED35A9">
        <w:rPr>
          <w:szCs w:val="28"/>
          <w:lang w:val="uk-UA"/>
        </w:rPr>
        <w:t xml:space="preserve">(Південна та Північна Америки), </w:t>
      </w:r>
      <w:proofErr w:type="spellStart"/>
      <w:r w:rsidRPr="00ED35A9">
        <w:rPr>
          <w:rFonts w:eastAsia="Calibri"/>
          <w:szCs w:val="28"/>
          <w:lang w:val="uk-UA"/>
        </w:rPr>
        <w:t>Daniel</w:t>
      </w:r>
      <w:proofErr w:type="spellEnd"/>
      <w:r w:rsidRPr="00ED35A9">
        <w:rPr>
          <w:rFonts w:eastAsia="Calibri"/>
          <w:szCs w:val="28"/>
          <w:lang w:val="uk-UA"/>
        </w:rPr>
        <w:t xml:space="preserve"> KIBUGA </w:t>
      </w:r>
      <w:r w:rsidRPr="00ED35A9">
        <w:rPr>
          <w:szCs w:val="28"/>
          <w:lang w:val="uk-UA"/>
        </w:rPr>
        <w:t xml:space="preserve">(Африка), </w:t>
      </w:r>
      <w:proofErr w:type="spellStart"/>
      <w:r w:rsidRPr="00ED35A9">
        <w:rPr>
          <w:rFonts w:eastAsia="Calibri"/>
          <w:szCs w:val="28"/>
          <w:lang w:val="uk-UA"/>
        </w:rPr>
        <w:t>Hyder</w:t>
      </w:r>
      <w:proofErr w:type="spellEnd"/>
      <w:r w:rsidRPr="00ED35A9">
        <w:rPr>
          <w:szCs w:val="28"/>
          <w:lang w:val="uk-UA"/>
        </w:rPr>
        <w:t xml:space="preserve"> </w:t>
      </w:r>
      <w:r w:rsidRPr="00ED35A9">
        <w:rPr>
          <w:rFonts w:eastAsia="Calibri"/>
          <w:szCs w:val="28"/>
          <w:lang w:val="uk-UA"/>
        </w:rPr>
        <w:t>KHURSHID</w:t>
      </w:r>
      <w:r w:rsidRPr="00ED35A9">
        <w:rPr>
          <w:szCs w:val="28"/>
          <w:lang w:val="uk-UA"/>
        </w:rPr>
        <w:t xml:space="preserve"> (Південно-Східна Азія), </w:t>
      </w:r>
      <w:proofErr w:type="spellStart"/>
      <w:r w:rsidRPr="00ED35A9">
        <w:rPr>
          <w:rFonts w:eastAsia="Calibri"/>
          <w:szCs w:val="28"/>
          <w:lang w:val="uk-UA"/>
        </w:rPr>
        <w:t>Mohammed</w:t>
      </w:r>
      <w:proofErr w:type="spellEnd"/>
      <w:r w:rsidRPr="00ED35A9">
        <w:rPr>
          <w:rFonts w:eastAsia="Calibri"/>
          <w:szCs w:val="28"/>
          <w:lang w:val="uk-UA"/>
        </w:rPr>
        <w:t xml:space="preserve"> ABDEL AZIZ </w:t>
      </w:r>
      <w:r w:rsidRPr="00ED35A9">
        <w:rPr>
          <w:szCs w:val="28"/>
          <w:lang w:val="uk-UA"/>
        </w:rPr>
        <w:t xml:space="preserve">(Східне Середземномор’я) та </w:t>
      </w:r>
      <w:proofErr w:type="spellStart"/>
      <w:r w:rsidRPr="00ED35A9">
        <w:rPr>
          <w:rFonts w:eastAsia="Calibri"/>
          <w:szCs w:val="28"/>
          <w:lang w:val="uk-UA"/>
        </w:rPr>
        <w:t>Nobuyuki</w:t>
      </w:r>
      <w:proofErr w:type="spellEnd"/>
      <w:r w:rsidRPr="00ED35A9">
        <w:rPr>
          <w:rFonts w:eastAsia="Calibri"/>
          <w:szCs w:val="28"/>
          <w:lang w:val="uk-UA"/>
        </w:rPr>
        <w:t xml:space="preserve"> NISHIKIORI </w:t>
      </w:r>
      <w:r w:rsidRPr="00ED35A9">
        <w:rPr>
          <w:szCs w:val="28"/>
          <w:lang w:val="uk-UA"/>
        </w:rPr>
        <w:t>(</w:t>
      </w:r>
      <w:proofErr w:type="spellStart"/>
      <w:r w:rsidRPr="00ED35A9">
        <w:rPr>
          <w:szCs w:val="28"/>
          <w:lang w:val="uk-UA"/>
        </w:rPr>
        <w:t>Західно</w:t>
      </w:r>
      <w:proofErr w:type="spellEnd"/>
      <w:r w:rsidRPr="00ED35A9">
        <w:rPr>
          <w:szCs w:val="28"/>
          <w:lang w:val="uk-UA"/>
        </w:rPr>
        <w:t xml:space="preserve">-тихоокеанський регіон). Роботу з документом було завершено після отримання коментарів від членів ГРН, ГЗР та Керівного комітету ВООЗ із розроблення настанови на початку 2016 р., після чого у березні 2016 р. її було подано до затвердження </w:t>
      </w:r>
      <w:r w:rsidR="00F8362D" w:rsidRPr="00ED35A9">
        <w:rPr>
          <w:rFonts w:eastAsia="Arial" w:cs="Times New Roman"/>
          <w:szCs w:val="28"/>
          <w:lang w:val="uk-UA"/>
        </w:rPr>
        <w:t>КПН</w:t>
      </w:r>
      <w:r w:rsidR="00F8362D" w:rsidRPr="00ED35A9">
        <w:rPr>
          <w:szCs w:val="28"/>
          <w:lang w:val="uk-UA"/>
        </w:rPr>
        <w:t xml:space="preserve"> </w:t>
      </w:r>
      <w:r w:rsidRPr="00ED35A9">
        <w:rPr>
          <w:szCs w:val="28"/>
          <w:lang w:val="uk-UA"/>
        </w:rPr>
        <w:t>відповідно до внутрішніх правил ВООЗ. Фінансування щодо оновлення настанови було проведено USAID через консолідований грант USAID-ВООЗ GHA-G-00-09-00003/US-2014-735.</w:t>
      </w:r>
    </w:p>
    <w:p w:rsidR="00184AD2" w:rsidRPr="00ED35A9" w:rsidRDefault="00184AD2" w:rsidP="00184AD2">
      <w:pPr>
        <w:jc w:val="left"/>
        <w:rPr>
          <w:b/>
          <w:szCs w:val="28"/>
          <w:lang w:val="uk-UA"/>
        </w:rPr>
      </w:pPr>
      <w:r w:rsidRPr="00ED35A9">
        <w:rPr>
          <w:b/>
          <w:szCs w:val="28"/>
          <w:lang w:val="uk-UA"/>
        </w:rPr>
        <w:t xml:space="preserve">Настанова з лікування та догляду пацієнтів з лікарсько-чутливим туберкульозом: оновлення 2017 р. </w:t>
      </w:r>
    </w:p>
    <w:p w:rsidR="00184AD2" w:rsidRPr="00ED35A9" w:rsidRDefault="00184AD2" w:rsidP="00184AD2">
      <w:pPr>
        <w:rPr>
          <w:szCs w:val="28"/>
          <w:lang w:val="uk-UA"/>
        </w:rPr>
      </w:pPr>
      <w:r w:rsidRPr="00ED35A9">
        <w:rPr>
          <w:szCs w:val="28"/>
          <w:lang w:val="uk-UA"/>
        </w:rPr>
        <w:t xml:space="preserve">Рекомендації та коментарі, наведені у цій настанові, є результатом дискусій ГРН, проведених під егідою ВООЗ/GTB у Женеві (Швейцарія) </w:t>
      </w:r>
      <w:r w:rsidR="008C5B22">
        <w:rPr>
          <w:szCs w:val="28"/>
          <w:lang w:val="uk-UA"/>
        </w:rPr>
        <w:br/>
      </w:r>
      <w:r w:rsidRPr="00ED35A9">
        <w:rPr>
          <w:szCs w:val="28"/>
          <w:lang w:val="uk-UA"/>
        </w:rPr>
        <w:t>з 11 по 13 лютого 2016 р. ВООЗ із вдячністю відзначає внесок членів ГРН.</w:t>
      </w:r>
    </w:p>
    <w:p w:rsidR="00184AD2" w:rsidRPr="00ED35A9" w:rsidRDefault="00184AD2" w:rsidP="00184AD2">
      <w:pPr>
        <w:rPr>
          <w:szCs w:val="28"/>
          <w:lang w:val="uk-UA"/>
        </w:rPr>
      </w:pPr>
      <w:proofErr w:type="spellStart"/>
      <w:r w:rsidRPr="00ED35A9">
        <w:rPr>
          <w:rFonts w:eastAsia="Calibri"/>
          <w:szCs w:val="28"/>
          <w:lang w:val="uk-UA"/>
        </w:rPr>
        <w:t>Holger</w:t>
      </w:r>
      <w:proofErr w:type="spellEnd"/>
      <w:r w:rsidRPr="00ED35A9">
        <w:rPr>
          <w:rFonts w:eastAsia="Calibri"/>
          <w:szCs w:val="28"/>
          <w:lang w:val="uk-UA"/>
        </w:rPr>
        <w:t xml:space="preserve"> SCHÜNEMANN </w:t>
      </w:r>
      <w:r w:rsidRPr="00ED35A9">
        <w:rPr>
          <w:szCs w:val="28"/>
          <w:lang w:val="uk-UA"/>
        </w:rPr>
        <w:t>(методолог GRADE) очолював ГРН, якою було зібрано, синтезовано та оцінено доказові дані для перегляду настанови у 2017 р.</w:t>
      </w:r>
    </w:p>
    <w:p w:rsidR="00184AD2" w:rsidRPr="008C5B22" w:rsidRDefault="00184AD2" w:rsidP="00184AD2">
      <w:pPr>
        <w:rPr>
          <w:spacing w:val="-2"/>
          <w:szCs w:val="28"/>
          <w:lang w:val="uk-UA"/>
        </w:rPr>
      </w:pPr>
      <w:r w:rsidRPr="008C5B22">
        <w:rPr>
          <w:spacing w:val="-2"/>
          <w:szCs w:val="28"/>
          <w:lang w:val="uk-UA"/>
        </w:rPr>
        <w:t xml:space="preserve">ВООЗ висловлює подяку експертам ГРН, які проводили консультування впродовж всього періоду розробки настанови: </w:t>
      </w:r>
      <w:proofErr w:type="spellStart"/>
      <w:r w:rsidRPr="008C5B22">
        <w:rPr>
          <w:rFonts w:eastAsia="Calibri"/>
          <w:spacing w:val="-2"/>
          <w:szCs w:val="28"/>
          <w:lang w:val="uk-UA"/>
        </w:rPr>
        <w:t>Si</w:t>
      </w:r>
      <w:proofErr w:type="spellEnd"/>
      <w:r w:rsidRPr="008C5B22">
        <w:rPr>
          <w:rFonts w:eastAsia="Calibri"/>
          <w:spacing w:val="-2"/>
          <w:szCs w:val="28"/>
          <w:lang w:val="uk-UA"/>
        </w:rPr>
        <w:t xml:space="preserve"> </w:t>
      </w:r>
      <w:proofErr w:type="spellStart"/>
      <w:r w:rsidRPr="008C5B22">
        <w:rPr>
          <w:rFonts w:eastAsia="Calibri"/>
          <w:spacing w:val="-2"/>
          <w:szCs w:val="28"/>
          <w:lang w:val="uk-UA"/>
        </w:rPr>
        <w:t>Thu</w:t>
      </w:r>
      <w:proofErr w:type="spellEnd"/>
      <w:r w:rsidRPr="008C5B22">
        <w:rPr>
          <w:rFonts w:eastAsia="Calibri"/>
          <w:spacing w:val="-2"/>
          <w:szCs w:val="28"/>
          <w:lang w:val="uk-UA"/>
        </w:rPr>
        <w:t xml:space="preserve"> AUNG; </w:t>
      </w:r>
      <w:proofErr w:type="spellStart"/>
      <w:r w:rsidRPr="008C5B22">
        <w:rPr>
          <w:rFonts w:eastAsia="Calibri"/>
          <w:spacing w:val="-2"/>
          <w:szCs w:val="28"/>
          <w:lang w:val="uk-UA"/>
        </w:rPr>
        <w:t>Frank</w:t>
      </w:r>
      <w:proofErr w:type="spellEnd"/>
      <w:r w:rsidRPr="008C5B22">
        <w:rPr>
          <w:rFonts w:eastAsia="Calibri"/>
          <w:spacing w:val="-2"/>
          <w:szCs w:val="28"/>
          <w:lang w:val="uk-UA"/>
        </w:rPr>
        <w:t xml:space="preserve"> BONSU, </w:t>
      </w:r>
      <w:proofErr w:type="spellStart"/>
      <w:r w:rsidRPr="008C5B22">
        <w:rPr>
          <w:rFonts w:eastAsia="Calibri"/>
          <w:spacing w:val="-2"/>
          <w:szCs w:val="28"/>
          <w:lang w:val="uk-UA"/>
        </w:rPr>
        <w:t>Jeremiah</w:t>
      </w:r>
      <w:proofErr w:type="spellEnd"/>
      <w:r w:rsidRPr="008C5B22">
        <w:rPr>
          <w:rFonts w:eastAsia="Calibri"/>
          <w:spacing w:val="-2"/>
          <w:szCs w:val="28"/>
          <w:lang w:val="uk-UA"/>
        </w:rPr>
        <w:t xml:space="preserve"> CHAKAYA, </w:t>
      </w:r>
      <w:proofErr w:type="spellStart"/>
      <w:r w:rsidRPr="008C5B22">
        <w:rPr>
          <w:rFonts w:eastAsia="Calibri"/>
          <w:spacing w:val="-2"/>
          <w:szCs w:val="28"/>
          <w:lang w:val="uk-UA"/>
        </w:rPr>
        <w:t>Lucy</w:t>
      </w:r>
      <w:proofErr w:type="spellEnd"/>
      <w:r w:rsidRPr="008C5B22">
        <w:rPr>
          <w:rFonts w:eastAsia="Calibri"/>
          <w:spacing w:val="-2"/>
          <w:szCs w:val="28"/>
          <w:lang w:val="uk-UA"/>
        </w:rPr>
        <w:t xml:space="preserve"> CHESIRE, </w:t>
      </w:r>
      <w:proofErr w:type="spellStart"/>
      <w:r w:rsidRPr="008C5B22">
        <w:rPr>
          <w:rFonts w:eastAsia="Calibri"/>
          <w:spacing w:val="-2"/>
          <w:szCs w:val="28"/>
          <w:lang w:val="uk-UA"/>
        </w:rPr>
        <w:t>Daniela</w:t>
      </w:r>
      <w:proofErr w:type="spellEnd"/>
      <w:r w:rsidRPr="008C5B22">
        <w:rPr>
          <w:rFonts w:eastAsia="Calibri"/>
          <w:spacing w:val="-2"/>
          <w:szCs w:val="28"/>
          <w:lang w:val="uk-UA"/>
        </w:rPr>
        <w:t xml:space="preserve"> CIRILLO, </w:t>
      </w:r>
      <w:proofErr w:type="spellStart"/>
      <w:r w:rsidRPr="008C5B22">
        <w:rPr>
          <w:rFonts w:eastAsia="Calibri"/>
          <w:spacing w:val="-2"/>
          <w:szCs w:val="28"/>
          <w:lang w:val="uk-UA"/>
        </w:rPr>
        <w:t>Poonam</w:t>
      </w:r>
      <w:proofErr w:type="spellEnd"/>
      <w:r w:rsidRPr="008C5B22">
        <w:rPr>
          <w:rFonts w:eastAsia="Calibri"/>
          <w:spacing w:val="-2"/>
          <w:szCs w:val="28"/>
          <w:lang w:val="uk-UA"/>
        </w:rPr>
        <w:t xml:space="preserve"> DHAVAN, </w:t>
      </w:r>
      <w:proofErr w:type="spellStart"/>
      <w:r w:rsidRPr="008C5B22">
        <w:rPr>
          <w:rFonts w:eastAsia="Calibri"/>
          <w:spacing w:val="-2"/>
          <w:szCs w:val="28"/>
          <w:lang w:val="uk-UA"/>
        </w:rPr>
        <w:t>Kelly</w:t>
      </w:r>
      <w:proofErr w:type="spellEnd"/>
      <w:r w:rsidRPr="008C5B22">
        <w:rPr>
          <w:rFonts w:eastAsia="Calibri"/>
          <w:spacing w:val="-2"/>
          <w:szCs w:val="28"/>
          <w:lang w:val="uk-UA"/>
        </w:rPr>
        <w:t xml:space="preserve"> DOOLEY, </w:t>
      </w:r>
      <w:proofErr w:type="spellStart"/>
      <w:r w:rsidRPr="008C5B22">
        <w:rPr>
          <w:rFonts w:eastAsia="Calibri"/>
          <w:spacing w:val="-2"/>
          <w:szCs w:val="28"/>
          <w:lang w:val="uk-UA"/>
        </w:rPr>
        <w:t>Kathy</w:t>
      </w:r>
      <w:proofErr w:type="spellEnd"/>
      <w:r w:rsidRPr="008C5B22">
        <w:rPr>
          <w:rFonts w:eastAsia="Calibri"/>
          <w:spacing w:val="-2"/>
          <w:szCs w:val="28"/>
          <w:lang w:val="uk-UA"/>
        </w:rPr>
        <w:t xml:space="preserve"> FIEKERT, </w:t>
      </w:r>
      <w:proofErr w:type="spellStart"/>
      <w:r w:rsidRPr="008C5B22">
        <w:rPr>
          <w:rFonts w:eastAsia="Calibri"/>
          <w:spacing w:val="-2"/>
          <w:szCs w:val="28"/>
          <w:lang w:val="uk-UA"/>
        </w:rPr>
        <w:t>Mike</w:t>
      </w:r>
      <w:proofErr w:type="spellEnd"/>
      <w:r w:rsidRPr="008C5B22">
        <w:rPr>
          <w:rFonts w:eastAsia="Calibri"/>
          <w:spacing w:val="-2"/>
          <w:szCs w:val="28"/>
          <w:lang w:val="uk-UA"/>
        </w:rPr>
        <w:t xml:space="preserve"> FRICK, </w:t>
      </w:r>
      <w:proofErr w:type="spellStart"/>
      <w:r w:rsidRPr="008C5B22">
        <w:rPr>
          <w:rFonts w:eastAsia="Calibri"/>
          <w:spacing w:val="-2"/>
          <w:szCs w:val="28"/>
          <w:lang w:val="uk-UA"/>
        </w:rPr>
        <w:t>Andrei</w:t>
      </w:r>
      <w:proofErr w:type="spellEnd"/>
      <w:r w:rsidRPr="008C5B22">
        <w:rPr>
          <w:rFonts w:eastAsia="Calibri"/>
          <w:spacing w:val="-2"/>
          <w:szCs w:val="28"/>
          <w:lang w:val="uk-UA"/>
        </w:rPr>
        <w:t xml:space="preserve"> MARYANDYSHEV, </w:t>
      </w:r>
      <w:proofErr w:type="spellStart"/>
      <w:r w:rsidRPr="008C5B22">
        <w:rPr>
          <w:rFonts w:eastAsia="Calibri"/>
          <w:spacing w:val="-2"/>
          <w:szCs w:val="28"/>
          <w:lang w:val="uk-UA"/>
        </w:rPr>
        <w:t>Nguyen</w:t>
      </w:r>
      <w:proofErr w:type="spellEnd"/>
      <w:r w:rsidRPr="008C5B22">
        <w:rPr>
          <w:rFonts w:eastAsia="Calibri"/>
          <w:spacing w:val="-2"/>
          <w:szCs w:val="28"/>
          <w:lang w:val="uk-UA"/>
        </w:rPr>
        <w:t xml:space="preserve"> </w:t>
      </w:r>
      <w:proofErr w:type="spellStart"/>
      <w:r w:rsidRPr="008C5B22">
        <w:rPr>
          <w:rFonts w:eastAsia="Calibri"/>
          <w:spacing w:val="-2"/>
          <w:szCs w:val="28"/>
          <w:lang w:val="uk-UA"/>
        </w:rPr>
        <w:t>Viet</w:t>
      </w:r>
      <w:proofErr w:type="spellEnd"/>
      <w:r w:rsidRPr="008C5B22">
        <w:rPr>
          <w:rFonts w:eastAsia="Calibri"/>
          <w:spacing w:val="-2"/>
          <w:szCs w:val="28"/>
          <w:lang w:val="uk-UA"/>
        </w:rPr>
        <w:t xml:space="preserve"> NHUNG, </w:t>
      </w:r>
      <w:proofErr w:type="spellStart"/>
      <w:r w:rsidRPr="008C5B22">
        <w:rPr>
          <w:rFonts w:eastAsia="Calibri"/>
          <w:spacing w:val="-2"/>
          <w:szCs w:val="28"/>
          <w:lang w:val="uk-UA"/>
        </w:rPr>
        <w:t>Ejaz</w:t>
      </w:r>
      <w:proofErr w:type="spellEnd"/>
      <w:r w:rsidRPr="008C5B22">
        <w:rPr>
          <w:rFonts w:eastAsia="Calibri"/>
          <w:spacing w:val="-2"/>
          <w:szCs w:val="28"/>
          <w:lang w:val="uk-UA"/>
        </w:rPr>
        <w:t xml:space="preserve"> QADEER, </w:t>
      </w:r>
      <w:proofErr w:type="spellStart"/>
      <w:r w:rsidRPr="008C5B22">
        <w:rPr>
          <w:rFonts w:eastAsia="Calibri"/>
          <w:spacing w:val="-2"/>
          <w:szCs w:val="28"/>
          <w:lang w:val="uk-UA"/>
        </w:rPr>
        <w:t>Abdul</w:t>
      </w:r>
      <w:proofErr w:type="spellEnd"/>
      <w:r w:rsidRPr="008C5B22">
        <w:rPr>
          <w:rFonts w:eastAsia="Calibri"/>
          <w:spacing w:val="-2"/>
          <w:szCs w:val="28"/>
          <w:lang w:val="uk-UA"/>
        </w:rPr>
        <w:t xml:space="preserve"> </w:t>
      </w:r>
      <w:proofErr w:type="spellStart"/>
      <w:r w:rsidRPr="008C5B22">
        <w:rPr>
          <w:rFonts w:eastAsia="Calibri"/>
          <w:spacing w:val="-2"/>
          <w:szCs w:val="28"/>
          <w:lang w:val="uk-UA"/>
        </w:rPr>
        <w:t>Hamid</w:t>
      </w:r>
      <w:proofErr w:type="spellEnd"/>
      <w:r w:rsidRPr="008C5B22">
        <w:rPr>
          <w:rFonts w:eastAsia="Calibri"/>
          <w:spacing w:val="-2"/>
          <w:szCs w:val="28"/>
          <w:lang w:val="uk-UA"/>
        </w:rPr>
        <w:t xml:space="preserve"> SALIM, </w:t>
      </w:r>
      <w:proofErr w:type="spellStart"/>
      <w:r w:rsidRPr="008C5B22">
        <w:rPr>
          <w:rFonts w:eastAsia="Calibri"/>
          <w:spacing w:val="-2"/>
          <w:szCs w:val="28"/>
          <w:lang w:val="uk-UA"/>
        </w:rPr>
        <w:t>Simon</w:t>
      </w:r>
      <w:proofErr w:type="spellEnd"/>
      <w:r w:rsidRPr="008C5B22">
        <w:rPr>
          <w:rFonts w:eastAsia="Calibri"/>
          <w:spacing w:val="-2"/>
          <w:szCs w:val="28"/>
          <w:lang w:val="uk-UA"/>
        </w:rPr>
        <w:t xml:space="preserve"> SCHAAF, </w:t>
      </w:r>
      <w:proofErr w:type="spellStart"/>
      <w:r w:rsidRPr="008C5B22">
        <w:rPr>
          <w:rFonts w:eastAsia="Calibri"/>
          <w:spacing w:val="-2"/>
          <w:szCs w:val="28"/>
          <w:lang w:val="uk-UA"/>
        </w:rPr>
        <w:t>Pedro</w:t>
      </w:r>
      <w:proofErr w:type="spellEnd"/>
      <w:r w:rsidRPr="008C5B22">
        <w:rPr>
          <w:rFonts w:eastAsia="Calibri"/>
          <w:spacing w:val="-2"/>
          <w:szCs w:val="28"/>
          <w:lang w:val="uk-UA"/>
        </w:rPr>
        <w:t xml:space="preserve"> SUAREZ, </w:t>
      </w:r>
      <w:proofErr w:type="spellStart"/>
      <w:r w:rsidRPr="008C5B22">
        <w:rPr>
          <w:rFonts w:eastAsia="Calibri"/>
          <w:spacing w:val="-2"/>
          <w:szCs w:val="28"/>
          <w:lang w:val="uk-UA"/>
        </w:rPr>
        <w:t>Carrie</w:t>
      </w:r>
      <w:proofErr w:type="spellEnd"/>
      <w:r w:rsidRPr="008C5B22">
        <w:rPr>
          <w:rFonts w:eastAsia="Calibri"/>
          <w:spacing w:val="-2"/>
          <w:szCs w:val="28"/>
          <w:lang w:val="uk-UA"/>
        </w:rPr>
        <w:t xml:space="preserve"> TUDOR, </w:t>
      </w:r>
      <w:proofErr w:type="spellStart"/>
      <w:r w:rsidRPr="008C5B22">
        <w:rPr>
          <w:rFonts w:eastAsia="Calibri"/>
          <w:spacing w:val="-2"/>
          <w:szCs w:val="28"/>
          <w:lang w:val="uk-UA"/>
        </w:rPr>
        <w:t>Justin</w:t>
      </w:r>
      <w:proofErr w:type="spellEnd"/>
      <w:r w:rsidRPr="008C5B22">
        <w:rPr>
          <w:rFonts w:eastAsia="Calibri"/>
          <w:spacing w:val="-2"/>
          <w:szCs w:val="28"/>
          <w:lang w:val="uk-UA"/>
        </w:rPr>
        <w:t xml:space="preserve"> </w:t>
      </w:r>
      <w:proofErr w:type="spellStart"/>
      <w:r w:rsidRPr="008C5B22">
        <w:rPr>
          <w:rFonts w:eastAsia="Calibri"/>
          <w:spacing w:val="-2"/>
          <w:szCs w:val="28"/>
          <w:lang w:val="uk-UA"/>
        </w:rPr>
        <w:t>Wong</w:t>
      </w:r>
      <w:proofErr w:type="spellEnd"/>
      <w:r w:rsidRPr="008C5B22">
        <w:rPr>
          <w:rFonts w:eastAsia="Calibri"/>
          <w:spacing w:val="-2"/>
          <w:szCs w:val="28"/>
          <w:lang w:val="uk-UA"/>
        </w:rPr>
        <w:t xml:space="preserve"> </w:t>
      </w:r>
      <w:proofErr w:type="spellStart"/>
      <w:r w:rsidRPr="008C5B22">
        <w:rPr>
          <w:rFonts w:eastAsia="Calibri"/>
          <w:spacing w:val="-2"/>
          <w:szCs w:val="28"/>
          <w:lang w:val="uk-UA"/>
        </w:rPr>
        <w:t>Yun</w:t>
      </w:r>
      <w:proofErr w:type="spellEnd"/>
      <w:r w:rsidRPr="008C5B22">
        <w:rPr>
          <w:rFonts w:eastAsia="Calibri"/>
          <w:spacing w:val="-2"/>
          <w:szCs w:val="28"/>
          <w:lang w:val="uk-UA"/>
        </w:rPr>
        <w:t xml:space="preserve"> YAW</w:t>
      </w:r>
      <w:r w:rsidRPr="008C5B22">
        <w:rPr>
          <w:spacing w:val="-2"/>
          <w:szCs w:val="28"/>
          <w:lang w:val="uk-UA"/>
        </w:rPr>
        <w:t>.</w:t>
      </w:r>
    </w:p>
    <w:p w:rsidR="00184AD2" w:rsidRPr="00ED35A9" w:rsidRDefault="00184AD2" w:rsidP="00184AD2">
      <w:pPr>
        <w:rPr>
          <w:szCs w:val="28"/>
          <w:lang w:val="uk-UA"/>
        </w:rPr>
      </w:pPr>
      <w:r w:rsidRPr="00ED35A9">
        <w:rPr>
          <w:szCs w:val="28"/>
          <w:lang w:val="uk-UA"/>
        </w:rPr>
        <w:t>Слід зазначити, що роботу не було б завершено без внеску АТТ, ЦКЗ та АТІХ, з якими було встановлено домовленість про обмін профілями доказових даних на ранніх етапах та результатами систематичних оглядів лікування лікарсько-чутливого ТБ, що було замовлено ними для оновлення настанови із лікування ТБ АТТ/ЦКЗ/АТІХ</w:t>
      </w:r>
      <w:r w:rsidRPr="00ED35A9">
        <w:rPr>
          <w:szCs w:val="28"/>
          <w:vertAlign w:val="superscript"/>
          <w:lang w:val="uk-UA"/>
        </w:rPr>
        <w:footnoteReference w:id="38"/>
      </w:r>
      <w:r w:rsidRPr="00ED35A9">
        <w:rPr>
          <w:szCs w:val="28"/>
          <w:lang w:val="uk-UA"/>
        </w:rPr>
        <w:t>. Це партнерство також дозволило Керівному комітету ВООЗ налагодити співпрацю з групами дослідників для підготовки та надання профілів доказових даних на зустрічі ГРН. ВООЗ висловлює подяку наступним установам: Університет Каліфорнії (Сан </w:t>
      </w:r>
      <w:proofErr w:type="spellStart"/>
      <w:r w:rsidRPr="00ED35A9">
        <w:rPr>
          <w:szCs w:val="28"/>
          <w:lang w:val="uk-UA"/>
        </w:rPr>
        <w:t>Франциско</w:t>
      </w:r>
      <w:proofErr w:type="spellEnd"/>
      <w:r w:rsidRPr="00ED35A9">
        <w:rPr>
          <w:szCs w:val="28"/>
          <w:lang w:val="uk-UA"/>
        </w:rPr>
        <w:t xml:space="preserve">, США), Університет </w:t>
      </w:r>
      <w:proofErr w:type="spellStart"/>
      <w:r w:rsidRPr="00ED35A9">
        <w:rPr>
          <w:szCs w:val="28"/>
          <w:lang w:val="uk-UA"/>
        </w:rPr>
        <w:t>МакГілла</w:t>
      </w:r>
      <w:proofErr w:type="spellEnd"/>
      <w:r w:rsidRPr="00ED35A9">
        <w:rPr>
          <w:szCs w:val="28"/>
          <w:lang w:val="uk-UA"/>
        </w:rPr>
        <w:t xml:space="preserve"> (Монреаль, Канада), </w:t>
      </w:r>
      <w:r w:rsidRPr="00ED35A9">
        <w:rPr>
          <w:szCs w:val="28"/>
          <w:lang w:val="uk-UA"/>
        </w:rPr>
        <w:lastRenderedPageBreak/>
        <w:t xml:space="preserve">Університет Сіднея (Австралія), </w:t>
      </w:r>
      <w:proofErr w:type="spellStart"/>
      <w:r w:rsidRPr="00ED35A9">
        <w:rPr>
          <w:szCs w:val="28"/>
          <w:lang w:val="uk-UA"/>
        </w:rPr>
        <w:t>Блумберзька</w:t>
      </w:r>
      <w:proofErr w:type="spellEnd"/>
      <w:r w:rsidRPr="00ED35A9">
        <w:rPr>
          <w:szCs w:val="28"/>
          <w:lang w:val="uk-UA"/>
        </w:rPr>
        <w:t xml:space="preserve"> школа громадського здоров’я Джонса Гопкінса (Балтімор, США) та Університет Британської Колумбії (Ванкувер, Канада). А також співробітникам цих установ: </w:t>
      </w:r>
      <w:proofErr w:type="spellStart"/>
      <w:r w:rsidRPr="00ED35A9">
        <w:rPr>
          <w:rFonts w:eastAsia="Calibri"/>
          <w:szCs w:val="28"/>
          <w:lang w:val="uk-UA"/>
        </w:rPr>
        <w:t>Narges</w:t>
      </w:r>
      <w:proofErr w:type="spellEnd"/>
      <w:r w:rsidRPr="00ED35A9">
        <w:rPr>
          <w:rFonts w:eastAsia="Calibri"/>
          <w:szCs w:val="28"/>
          <w:lang w:val="uk-UA"/>
        </w:rPr>
        <w:t xml:space="preserve"> ALIPANAH, </w:t>
      </w:r>
      <w:proofErr w:type="spellStart"/>
      <w:r w:rsidRPr="00ED35A9">
        <w:rPr>
          <w:rFonts w:eastAsia="Calibri"/>
          <w:szCs w:val="28"/>
          <w:lang w:val="uk-UA"/>
        </w:rPr>
        <w:t>Lelia</w:t>
      </w:r>
      <w:proofErr w:type="spellEnd"/>
      <w:r w:rsidRPr="00ED35A9">
        <w:rPr>
          <w:rFonts w:eastAsia="Calibri"/>
          <w:szCs w:val="28"/>
          <w:lang w:val="uk-UA"/>
        </w:rPr>
        <w:t xml:space="preserve"> CHAISSON, </w:t>
      </w:r>
      <w:proofErr w:type="spellStart"/>
      <w:r w:rsidRPr="00ED35A9">
        <w:rPr>
          <w:rFonts w:eastAsia="Calibri"/>
          <w:szCs w:val="28"/>
          <w:lang w:val="uk-UA"/>
        </w:rPr>
        <w:t>Gregory</w:t>
      </w:r>
      <w:proofErr w:type="spellEnd"/>
      <w:r w:rsidRPr="00ED35A9">
        <w:rPr>
          <w:rFonts w:eastAsia="Calibri"/>
          <w:szCs w:val="28"/>
          <w:lang w:val="uk-UA"/>
        </w:rPr>
        <w:t xml:space="preserve"> FOX, </w:t>
      </w:r>
      <w:proofErr w:type="spellStart"/>
      <w:r w:rsidRPr="00ED35A9">
        <w:rPr>
          <w:rFonts w:eastAsia="Calibri"/>
          <w:szCs w:val="28"/>
          <w:lang w:val="uk-UA"/>
        </w:rPr>
        <w:t>Jennifer</w:t>
      </w:r>
      <w:proofErr w:type="spellEnd"/>
      <w:r w:rsidRPr="00ED35A9">
        <w:rPr>
          <w:rFonts w:eastAsia="Calibri"/>
          <w:szCs w:val="28"/>
          <w:lang w:val="uk-UA"/>
        </w:rPr>
        <w:t xml:space="preserve"> HO, </w:t>
      </w:r>
      <w:proofErr w:type="spellStart"/>
      <w:r w:rsidRPr="00ED35A9">
        <w:rPr>
          <w:rFonts w:eastAsia="Calibri"/>
          <w:szCs w:val="28"/>
          <w:lang w:val="uk-UA"/>
        </w:rPr>
        <w:t>James</w:t>
      </w:r>
      <w:proofErr w:type="spellEnd"/>
      <w:r w:rsidRPr="00ED35A9">
        <w:rPr>
          <w:rFonts w:eastAsia="Calibri"/>
          <w:szCs w:val="28"/>
          <w:lang w:val="uk-UA"/>
        </w:rPr>
        <w:t xml:space="preserve"> JOHNSTON, </w:t>
      </w:r>
      <w:proofErr w:type="spellStart"/>
      <w:r w:rsidRPr="00ED35A9">
        <w:rPr>
          <w:rFonts w:eastAsia="Calibri"/>
          <w:szCs w:val="28"/>
          <w:lang w:val="uk-UA"/>
        </w:rPr>
        <w:t>Richard</w:t>
      </w:r>
      <w:proofErr w:type="spellEnd"/>
      <w:r w:rsidRPr="00ED35A9">
        <w:rPr>
          <w:rFonts w:eastAsia="Calibri"/>
          <w:szCs w:val="28"/>
          <w:lang w:val="uk-UA"/>
        </w:rPr>
        <w:t xml:space="preserve"> MENZIES, </w:t>
      </w:r>
      <w:proofErr w:type="spellStart"/>
      <w:r w:rsidRPr="00ED35A9">
        <w:rPr>
          <w:rFonts w:eastAsia="Calibri"/>
          <w:szCs w:val="28"/>
          <w:lang w:val="uk-UA"/>
        </w:rPr>
        <w:t>Cecily</w:t>
      </w:r>
      <w:proofErr w:type="spellEnd"/>
      <w:r w:rsidRPr="00ED35A9">
        <w:rPr>
          <w:rFonts w:eastAsia="Calibri"/>
          <w:szCs w:val="28"/>
          <w:lang w:val="uk-UA"/>
        </w:rPr>
        <w:t xml:space="preserve"> MILLER, </w:t>
      </w:r>
      <w:proofErr w:type="spellStart"/>
      <w:r w:rsidRPr="00ED35A9">
        <w:rPr>
          <w:rFonts w:eastAsia="Calibri"/>
          <w:szCs w:val="28"/>
          <w:lang w:val="uk-UA"/>
        </w:rPr>
        <w:t>Payam</w:t>
      </w:r>
      <w:proofErr w:type="spellEnd"/>
      <w:r w:rsidRPr="00ED35A9">
        <w:rPr>
          <w:rFonts w:eastAsia="Calibri"/>
          <w:szCs w:val="28"/>
          <w:lang w:val="uk-UA"/>
        </w:rPr>
        <w:t xml:space="preserve"> NAHID</w:t>
      </w:r>
      <w:r w:rsidRPr="00ED35A9">
        <w:rPr>
          <w:szCs w:val="28"/>
          <w:lang w:val="uk-UA"/>
        </w:rPr>
        <w:t>.</w:t>
      </w:r>
    </w:p>
    <w:p w:rsidR="00184AD2" w:rsidRPr="008C5B22" w:rsidRDefault="00184AD2" w:rsidP="00184AD2">
      <w:pPr>
        <w:rPr>
          <w:spacing w:val="-2"/>
          <w:szCs w:val="28"/>
          <w:lang w:val="uk-UA"/>
        </w:rPr>
      </w:pPr>
      <w:r w:rsidRPr="008C5B22">
        <w:rPr>
          <w:spacing w:val="-2"/>
          <w:szCs w:val="28"/>
          <w:lang w:val="uk-UA"/>
        </w:rPr>
        <w:t xml:space="preserve">ВООЗ висловлює подяку ГЗР, члени якої провели рецензування готового документу: </w:t>
      </w:r>
      <w:proofErr w:type="spellStart"/>
      <w:r w:rsidRPr="008C5B22">
        <w:rPr>
          <w:rFonts w:eastAsia="Calibri"/>
          <w:spacing w:val="-2"/>
          <w:szCs w:val="28"/>
          <w:lang w:val="uk-UA"/>
        </w:rPr>
        <w:t>Riitta</w:t>
      </w:r>
      <w:proofErr w:type="spellEnd"/>
      <w:r w:rsidRPr="008C5B22">
        <w:rPr>
          <w:rFonts w:eastAsia="Calibri"/>
          <w:spacing w:val="-2"/>
          <w:szCs w:val="28"/>
          <w:lang w:val="uk-UA"/>
        </w:rPr>
        <w:t xml:space="preserve"> DLODLO, </w:t>
      </w:r>
      <w:proofErr w:type="spellStart"/>
      <w:r w:rsidRPr="008C5B22">
        <w:rPr>
          <w:rFonts w:eastAsia="Calibri"/>
          <w:spacing w:val="-2"/>
          <w:szCs w:val="28"/>
          <w:lang w:val="uk-UA"/>
        </w:rPr>
        <w:t>Celine</w:t>
      </w:r>
      <w:proofErr w:type="spellEnd"/>
      <w:r w:rsidRPr="008C5B22">
        <w:rPr>
          <w:rFonts w:eastAsia="Calibri"/>
          <w:spacing w:val="-2"/>
          <w:szCs w:val="28"/>
          <w:lang w:val="uk-UA"/>
        </w:rPr>
        <w:t xml:space="preserve"> GARFIN, </w:t>
      </w:r>
      <w:proofErr w:type="spellStart"/>
      <w:r w:rsidRPr="008C5B22">
        <w:rPr>
          <w:rFonts w:eastAsia="Calibri"/>
          <w:spacing w:val="-2"/>
          <w:szCs w:val="28"/>
          <w:lang w:val="uk-UA"/>
        </w:rPr>
        <w:t>Vaira</w:t>
      </w:r>
      <w:proofErr w:type="spellEnd"/>
      <w:r w:rsidRPr="008C5B22">
        <w:rPr>
          <w:rFonts w:eastAsia="Calibri"/>
          <w:spacing w:val="-2"/>
          <w:szCs w:val="28"/>
          <w:lang w:val="uk-UA"/>
        </w:rPr>
        <w:t xml:space="preserve"> LEIMANE, </w:t>
      </w:r>
      <w:proofErr w:type="spellStart"/>
      <w:r w:rsidRPr="008C5B22">
        <w:rPr>
          <w:rFonts w:eastAsia="Calibri"/>
          <w:spacing w:val="-2"/>
          <w:szCs w:val="28"/>
          <w:lang w:val="uk-UA"/>
        </w:rPr>
        <w:t>Lee</w:t>
      </w:r>
      <w:proofErr w:type="spellEnd"/>
      <w:r w:rsidRPr="008C5B22">
        <w:rPr>
          <w:rFonts w:eastAsia="Calibri"/>
          <w:spacing w:val="-2"/>
          <w:szCs w:val="28"/>
          <w:lang w:val="uk-UA"/>
        </w:rPr>
        <w:t xml:space="preserve"> REICHMAN, </w:t>
      </w:r>
      <w:proofErr w:type="spellStart"/>
      <w:r w:rsidRPr="008C5B22">
        <w:rPr>
          <w:rFonts w:eastAsia="Calibri"/>
          <w:spacing w:val="-2"/>
          <w:szCs w:val="28"/>
          <w:lang w:val="uk-UA"/>
        </w:rPr>
        <w:t>Rohit</w:t>
      </w:r>
      <w:proofErr w:type="spellEnd"/>
      <w:r w:rsidRPr="008C5B22">
        <w:rPr>
          <w:rFonts w:eastAsia="Calibri"/>
          <w:spacing w:val="-2"/>
          <w:szCs w:val="28"/>
          <w:lang w:val="uk-UA"/>
        </w:rPr>
        <w:t xml:space="preserve"> SARIN, </w:t>
      </w:r>
      <w:proofErr w:type="spellStart"/>
      <w:r w:rsidRPr="008C5B22">
        <w:rPr>
          <w:rFonts w:eastAsia="Calibri"/>
          <w:spacing w:val="-2"/>
          <w:szCs w:val="28"/>
          <w:lang w:val="uk-UA"/>
        </w:rPr>
        <w:t>Dalene</w:t>
      </w:r>
      <w:proofErr w:type="spellEnd"/>
      <w:r w:rsidRPr="008C5B22">
        <w:rPr>
          <w:rFonts w:eastAsia="Calibri"/>
          <w:spacing w:val="-2"/>
          <w:szCs w:val="28"/>
          <w:lang w:val="uk-UA"/>
        </w:rPr>
        <w:t xml:space="preserve"> VON DELFT, </w:t>
      </w:r>
      <w:proofErr w:type="spellStart"/>
      <w:r w:rsidRPr="008C5B22">
        <w:rPr>
          <w:rFonts w:eastAsia="Calibri"/>
          <w:spacing w:val="-2"/>
          <w:szCs w:val="28"/>
          <w:lang w:val="uk-UA"/>
        </w:rPr>
        <w:t>Fraser</w:t>
      </w:r>
      <w:proofErr w:type="spellEnd"/>
      <w:r w:rsidRPr="008C5B22">
        <w:rPr>
          <w:rFonts w:eastAsia="Calibri"/>
          <w:spacing w:val="-2"/>
          <w:szCs w:val="28"/>
          <w:lang w:val="uk-UA"/>
        </w:rPr>
        <w:t xml:space="preserve"> WARES</w:t>
      </w:r>
      <w:r w:rsidRPr="008C5B22">
        <w:rPr>
          <w:spacing w:val="-2"/>
          <w:szCs w:val="28"/>
          <w:lang w:val="uk-UA"/>
        </w:rPr>
        <w:t xml:space="preserve">; а також співробітникам регіональних бюро ВООЗ: </w:t>
      </w:r>
      <w:proofErr w:type="spellStart"/>
      <w:r w:rsidRPr="008C5B22">
        <w:rPr>
          <w:rFonts w:eastAsia="Calibri"/>
          <w:spacing w:val="-2"/>
          <w:szCs w:val="28"/>
          <w:lang w:val="uk-UA"/>
        </w:rPr>
        <w:t>Mohamed</w:t>
      </w:r>
      <w:proofErr w:type="spellEnd"/>
      <w:r w:rsidRPr="008C5B22">
        <w:rPr>
          <w:rFonts w:eastAsia="Calibri"/>
          <w:spacing w:val="-2"/>
          <w:szCs w:val="28"/>
          <w:lang w:val="uk-UA"/>
        </w:rPr>
        <w:t xml:space="preserve"> AZIZ </w:t>
      </w:r>
      <w:r w:rsidRPr="008C5B22">
        <w:rPr>
          <w:spacing w:val="-2"/>
          <w:szCs w:val="28"/>
          <w:lang w:val="uk-UA"/>
        </w:rPr>
        <w:t xml:space="preserve">(Східне Середземномор’я), </w:t>
      </w:r>
      <w:proofErr w:type="spellStart"/>
      <w:r w:rsidRPr="008C5B22">
        <w:rPr>
          <w:rFonts w:eastAsia="Calibri"/>
          <w:spacing w:val="-2"/>
          <w:szCs w:val="28"/>
          <w:lang w:val="uk-UA"/>
        </w:rPr>
        <w:t>Masoud</w:t>
      </w:r>
      <w:proofErr w:type="spellEnd"/>
      <w:r w:rsidRPr="008C5B22">
        <w:rPr>
          <w:rFonts w:eastAsia="Calibri"/>
          <w:spacing w:val="-2"/>
          <w:szCs w:val="28"/>
          <w:lang w:val="uk-UA"/>
        </w:rPr>
        <w:t xml:space="preserve"> DARA </w:t>
      </w:r>
      <w:r w:rsidRPr="008C5B22">
        <w:rPr>
          <w:spacing w:val="-2"/>
          <w:szCs w:val="28"/>
          <w:lang w:val="uk-UA"/>
        </w:rPr>
        <w:t xml:space="preserve">(Європа), </w:t>
      </w:r>
      <w:proofErr w:type="spellStart"/>
      <w:r w:rsidRPr="008C5B22">
        <w:rPr>
          <w:rFonts w:eastAsia="Calibri"/>
          <w:spacing w:val="-2"/>
          <w:szCs w:val="28"/>
          <w:lang w:val="uk-UA"/>
        </w:rPr>
        <w:t>Mirtha</w:t>
      </w:r>
      <w:proofErr w:type="spellEnd"/>
      <w:r w:rsidRPr="008C5B22">
        <w:rPr>
          <w:rFonts w:eastAsia="Calibri"/>
          <w:spacing w:val="-2"/>
          <w:szCs w:val="28"/>
          <w:lang w:val="uk-UA"/>
        </w:rPr>
        <w:t xml:space="preserve"> DEL GRANADO </w:t>
      </w:r>
      <w:r w:rsidRPr="008C5B22">
        <w:rPr>
          <w:spacing w:val="-2"/>
          <w:szCs w:val="28"/>
          <w:lang w:val="uk-UA"/>
        </w:rPr>
        <w:t>(</w:t>
      </w:r>
      <w:proofErr w:type="spellStart"/>
      <w:r w:rsidRPr="008C5B22">
        <w:rPr>
          <w:spacing w:val="-2"/>
          <w:szCs w:val="28"/>
          <w:lang w:val="uk-UA"/>
        </w:rPr>
        <w:t>Південня</w:t>
      </w:r>
      <w:proofErr w:type="spellEnd"/>
      <w:r w:rsidRPr="008C5B22">
        <w:rPr>
          <w:spacing w:val="-2"/>
          <w:szCs w:val="28"/>
          <w:lang w:val="uk-UA"/>
        </w:rPr>
        <w:t xml:space="preserve"> та Північна Америки), </w:t>
      </w:r>
      <w:proofErr w:type="spellStart"/>
      <w:r w:rsidRPr="008C5B22">
        <w:rPr>
          <w:rFonts w:eastAsia="Calibri"/>
          <w:spacing w:val="-2"/>
          <w:szCs w:val="28"/>
          <w:lang w:val="uk-UA"/>
        </w:rPr>
        <w:t>Hyder</w:t>
      </w:r>
      <w:proofErr w:type="spellEnd"/>
      <w:r w:rsidRPr="008C5B22">
        <w:rPr>
          <w:rFonts w:eastAsia="Calibri"/>
          <w:spacing w:val="-2"/>
          <w:szCs w:val="28"/>
          <w:lang w:val="uk-UA"/>
        </w:rPr>
        <w:t xml:space="preserve"> KHURSHID </w:t>
      </w:r>
      <w:r w:rsidRPr="008C5B22">
        <w:rPr>
          <w:spacing w:val="-2"/>
          <w:szCs w:val="28"/>
          <w:lang w:val="uk-UA"/>
        </w:rPr>
        <w:t xml:space="preserve">(Південно-Східна Азія), </w:t>
      </w:r>
      <w:proofErr w:type="spellStart"/>
      <w:r w:rsidRPr="008C5B22">
        <w:rPr>
          <w:rFonts w:eastAsia="Calibri"/>
          <w:spacing w:val="-2"/>
          <w:szCs w:val="28"/>
          <w:lang w:val="uk-UA"/>
        </w:rPr>
        <w:t>Daniel</w:t>
      </w:r>
      <w:proofErr w:type="spellEnd"/>
      <w:r w:rsidRPr="008C5B22">
        <w:rPr>
          <w:rFonts w:eastAsia="Calibri"/>
          <w:spacing w:val="-2"/>
          <w:szCs w:val="28"/>
          <w:lang w:val="uk-UA"/>
        </w:rPr>
        <w:t xml:space="preserve"> KIBUGA </w:t>
      </w:r>
      <w:r w:rsidRPr="008C5B22">
        <w:rPr>
          <w:spacing w:val="-2"/>
          <w:szCs w:val="28"/>
          <w:lang w:val="uk-UA"/>
        </w:rPr>
        <w:t xml:space="preserve">(Африка) та </w:t>
      </w:r>
      <w:proofErr w:type="spellStart"/>
      <w:r w:rsidRPr="008C5B22">
        <w:rPr>
          <w:rFonts w:eastAsia="Calibri"/>
          <w:spacing w:val="-2"/>
          <w:szCs w:val="28"/>
          <w:lang w:val="uk-UA"/>
        </w:rPr>
        <w:t>Nobuyuki</w:t>
      </w:r>
      <w:proofErr w:type="spellEnd"/>
      <w:r w:rsidRPr="008C5B22">
        <w:rPr>
          <w:rFonts w:eastAsia="Calibri"/>
          <w:spacing w:val="-2"/>
          <w:szCs w:val="28"/>
          <w:lang w:val="uk-UA"/>
        </w:rPr>
        <w:t xml:space="preserve"> NISHIKIORI </w:t>
      </w:r>
      <w:r w:rsidRPr="008C5B22">
        <w:rPr>
          <w:spacing w:val="-2"/>
          <w:szCs w:val="28"/>
          <w:lang w:val="uk-UA"/>
        </w:rPr>
        <w:t>(</w:t>
      </w:r>
      <w:proofErr w:type="spellStart"/>
      <w:r w:rsidRPr="008C5B22">
        <w:rPr>
          <w:spacing w:val="-2"/>
          <w:szCs w:val="28"/>
          <w:lang w:val="uk-UA"/>
        </w:rPr>
        <w:t>Західно</w:t>
      </w:r>
      <w:proofErr w:type="spellEnd"/>
      <w:r w:rsidRPr="008C5B22">
        <w:rPr>
          <w:spacing w:val="-2"/>
          <w:szCs w:val="28"/>
          <w:lang w:val="uk-UA"/>
        </w:rPr>
        <w:t>-Тихоокеанський регіон).</w:t>
      </w:r>
    </w:p>
    <w:p w:rsidR="00184AD2" w:rsidRPr="00ED35A9" w:rsidRDefault="00184AD2" w:rsidP="00184AD2">
      <w:pPr>
        <w:rPr>
          <w:szCs w:val="28"/>
          <w:lang w:val="uk-UA"/>
        </w:rPr>
      </w:pPr>
      <w:r w:rsidRPr="00ED35A9">
        <w:rPr>
          <w:szCs w:val="28"/>
          <w:lang w:val="uk-UA"/>
        </w:rPr>
        <w:t xml:space="preserve">Написання цієї настанови координували </w:t>
      </w:r>
      <w:r w:rsidRPr="00ED35A9">
        <w:rPr>
          <w:rFonts w:eastAsia="Calibri"/>
          <w:szCs w:val="28"/>
          <w:lang w:val="uk-UA"/>
        </w:rPr>
        <w:t xml:space="preserve">GARGIONI, </w:t>
      </w:r>
      <w:proofErr w:type="spellStart"/>
      <w:r w:rsidRPr="00ED35A9">
        <w:rPr>
          <w:rFonts w:eastAsia="Calibri"/>
          <w:szCs w:val="28"/>
          <w:lang w:val="uk-UA"/>
        </w:rPr>
        <w:t>Linh</w:t>
      </w:r>
      <w:proofErr w:type="spellEnd"/>
      <w:r w:rsidRPr="00ED35A9">
        <w:rPr>
          <w:rFonts w:eastAsia="Calibri"/>
          <w:szCs w:val="28"/>
          <w:lang w:val="uk-UA"/>
        </w:rPr>
        <w:t xml:space="preserve"> NGUYEN та </w:t>
      </w:r>
      <w:proofErr w:type="spellStart"/>
      <w:r w:rsidRPr="00ED35A9">
        <w:rPr>
          <w:rFonts w:eastAsia="Calibri"/>
          <w:szCs w:val="28"/>
          <w:lang w:val="uk-UA"/>
        </w:rPr>
        <w:t>Elizabeth</w:t>
      </w:r>
      <w:proofErr w:type="spellEnd"/>
      <w:r w:rsidRPr="00ED35A9">
        <w:rPr>
          <w:rFonts w:eastAsia="Calibri"/>
          <w:szCs w:val="28"/>
          <w:lang w:val="uk-UA"/>
        </w:rPr>
        <w:t xml:space="preserve"> HARAUSZ</w:t>
      </w:r>
      <w:r w:rsidRPr="00ED35A9">
        <w:rPr>
          <w:szCs w:val="28"/>
          <w:lang w:val="uk-UA"/>
        </w:rPr>
        <w:t xml:space="preserve"> під керівництвом </w:t>
      </w:r>
      <w:proofErr w:type="spellStart"/>
      <w:r w:rsidRPr="00ED35A9">
        <w:rPr>
          <w:rFonts w:eastAsia="Calibri"/>
          <w:szCs w:val="28"/>
          <w:lang w:val="uk-UA"/>
        </w:rPr>
        <w:t>Malgorzata</w:t>
      </w:r>
      <w:proofErr w:type="spellEnd"/>
      <w:r w:rsidRPr="00ED35A9">
        <w:rPr>
          <w:rFonts w:eastAsia="Calibri"/>
          <w:szCs w:val="28"/>
          <w:lang w:val="uk-UA"/>
        </w:rPr>
        <w:t xml:space="preserve"> GRZEMSKA </w:t>
      </w:r>
      <w:r w:rsidRPr="00ED35A9">
        <w:rPr>
          <w:szCs w:val="28"/>
          <w:lang w:val="uk-UA"/>
        </w:rPr>
        <w:t xml:space="preserve">та загальним </w:t>
      </w:r>
      <w:proofErr w:type="spellStart"/>
      <w:r w:rsidRPr="00ED35A9">
        <w:rPr>
          <w:szCs w:val="28"/>
          <w:lang w:val="uk-UA"/>
        </w:rPr>
        <w:t>очоленням</w:t>
      </w:r>
      <w:proofErr w:type="spellEnd"/>
      <w:r w:rsidRPr="00ED35A9">
        <w:rPr>
          <w:szCs w:val="28"/>
          <w:lang w:val="uk-UA"/>
        </w:rPr>
        <w:t xml:space="preserve"> </w:t>
      </w:r>
      <w:proofErr w:type="spellStart"/>
      <w:r w:rsidRPr="00ED35A9">
        <w:rPr>
          <w:rFonts w:eastAsia="Calibri"/>
          <w:szCs w:val="28"/>
          <w:lang w:val="uk-UA"/>
        </w:rPr>
        <w:t>Mario</w:t>
      </w:r>
      <w:proofErr w:type="spellEnd"/>
      <w:r w:rsidRPr="00ED35A9">
        <w:rPr>
          <w:rFonts w:eastAsia="Calibri"/>
          <w:szCs w:val="28"/>
          <w:lang w:val="uk-UA"/>
        </w:rPr>
        <w:t xml:space="preserve"> RAVIGLIONE</w:t>
      </w:r>
      <w:r w:rsidRPr="00ED35A9">
        <w:rPr>
          <w:szCs w:val="28"/>
          <w:lang w:val="uk-UA"/>
        </w:rPr>
        <w:t xml:space="preserve"> (директор ВООЗ/GTB). ВООЗ відзначає внесок працівників ВООЗ, що входили до складу Керівного комітету з розробки настанови та проводили технічне консультування протягом усього періоду розробки настанови, а саме: </w:t>
      </w:r>
      <w:proofErr w:type="spellStart"/>
      <w:r w:rsidRPr="00ED35A9">
        <w:rPr>
          <w:rFonts w:eastAsia="Calibri"/>
          <w:szCs w:val="28"/>
          <w:lang w:val="uk-UA"/>
        </w:rPr>
        <w:t>Dennis</w:t>
      </w:r>
      <w:proofErr w:type="spellEnd"/>
      <w:r w:rsidRPr="00ED35A9">
        <w:rPr>
          <w:rFonts w:eastAsia="Calibri"/>
          <w:szCs w:val="28"/>
          <w:lang w:val="uk-UA"/>
        </w:rPr>
        <w:t xml:space="preserve"> FALZON, </w:t>
      </w:r>
      <w:proofErr w:type="spellStart"/>
      <w:r w:rsidRPr="00ED35A9">
        <w:rPr>
          <w:rFonts w:eastAsia="Calibri"/>
          <w:szCs w:val="28"/>
          <w:lang w:val="uk-UA"/>
        </w:rPr>
        <w:t>Ernesto</w:t>
      </w:r>
      <w:proofErr w:type="spellEnd"/>
      <w:r w:rsidRPr="00ED35A9">
        <w:rPr>
          <w:rFonts w:eastAsia="Calibri"/>
          <w:szCs w:val="28"/>
          <w:lang w:val="uk-UA"/>
        </w:rPr>
        <w:t xml:space="preserve"> JARAMILLO, </w:t>
      </w:r>
      <w:proofErr w:type="spellStart"/>
      <w:r w:rsidRPr="00ED35A9">
        <w:rPr>
          <w:rFonts w:eastAsia="Calibri"/>
          <w:szCs w:val="28"/>
          <w:lang w:val="uk-UA"/>
        </w:rPr>
        <w:t>Avinash</w:t>
      </w:r>
      <w:proofErr w:type="spellEnd"/>
      <w:r w:rsidRPr="00ED35A9">
        <w:rPr>
          <w:rFonts w:eastAsia="Calibri"/>
          <w:szCs w:val="28"/>
          <w:lang w:val="uk-UA"/>
        </w:rPr>
        <w:t xml:space="preserve"> KANCHAR, </w:t>
      </w:r>
      <w:proofErr w:type="spellStart"/>
      <w:r w:rsidRPr="00ED35A9">
        <w:rPr>
          <w:rFonts w:eastAsia="Calibri"/>
          <w:szCs w:val="28"/>
          <w:lang w:val="uk-UA"/>
        </w:rPr>
        <w:t>Soleil</w:t>
      </w:r>
      <w:proofErr w:type="spellEnd"/>
      <w:r w:rsidRPr="00ED35A9">
        <w:rPr>
          <w:rFonts w:eastAsia="Calibri"/>
          <w:szCs w:val="28"/>
          <w:lang w:val="uk-UA"/>
        </w:rPr>
        <w:t xml:space="preserve"> LABELLE, </w:t>
      </w:r>
      <w:proofErr w:type="spellStart"/>
      <w:r w:rsidRPr="00ED35A9">
        <w:rPr>
          <w:rFonts w:eastAsia="Calibri"/>
          <w:szCs w:val="28"/>
          <w:lang w:val="uk-UA"/>
        </w:rPr>
        <w:t>Christian</w:t>
      </w:r>
      <w:proofErr w:type="spellEnd"/>
      <w:r w:rsidRPr="00ED35A9">
        <w:rPr>
          <w:rFonts w:eastAsia="Calibri"/>
          <w:szCs w:val="28"/>
          <w:lang w:val="uk-UA"/>
        </w:rPr>
        <w:t xml:space="preserve"> LIENHARDT, </w:t>
      </w:r>
      <w:proofErr w:type="spellStart"/>
      <w:r w:rsidRPr="00ED35A9">
        <w:rPr>
          <w:rFonts w:eastAsia="Calibri"/>
          <w:szCs w:val="28"/>
          <w:lang w:val="uk-UA"/>
        </w:rPr>
        <w:t>Knut</w:t>
      </w:r>
      <w:proofErr w:type="spellEnd"/>
      <w:r w:rsidRPr="00ED35A9">
        <w:rPr>
          <w:rFonts w:eastAsia="Calibri"/>
          <w:szCs w:val="28"/>
          <w:lang w:val="uk-UA"/>
        </w:rPr>
        <w:t xml:space="preserve"> LÖNNROTH, </w:t>
      </w:r>
      <w:proofErr w:type="spellStart"/>
      <w:r w:rsidRPr="00ED35A9">
        <w:rPr>
          <w:rFonts w:eastAsia="Calibri"/>
          <w:szCs w:val="28"/>
          <w:lang w:val="uk-UA"/>
        </w:rPr>
        <w:t>Nicola</w:t>
      </w:r>
      <w:proofErr w:type="spellEnd"/>
      <w:r w:rsidRPr="00ED35A9">
        <w:rPr>
          <w:rFonts w:eastAsia="Calibri"/>
          <w:szCs w:val="28"/>
          <w:lang w:val="uk-UA"/>
        </w:rPr>
        <w:t xml:space="preserve"> MAGRINI, </w:t>
      </w:r>
      <w:proofErr w:type="spellStart"/>
      <w:r w:rsidRPr="00ED35A9">
        <w:rPr>
          <w:rFonts w:eastAsia="Calibri"/>
          <w:szCs w:val="28"/>
          <w:lang w:val="uk-UA"/>
        </w:rPr>
        <w:t>Fuad</w:t>
      </w:r>
      <w:proofErr w:type="spellEnd"/>
      <w:r w:rsidRPr="00ED35A9">
        <w:rPr>
          <w:rFonts w:eastAsia="Calibri"/>
          <w:szCs w:val="28"/>
          <w:lang w:val="uk-UA"/>
        </w:rPr>
        <w:t xml:space="preserve"> MIRZAYEV, </w:t>
      </w:r>
      <w:proofErr w:type="spellStart"/>
      <w:r w:rsidRPr="00ED35A9">
        <w:rPr>
          <w:rFonts w:eastAsia="Calibri"/>
          <w:szCs w:val="28"/>
          <w:lang w:val="uk-UA"/>
        </w:rPr>
        <w:t>Marco</w:t>
      </w:r>
      <w:proofErr w:type="spellEnd"/>
      <w:r w:rsidRPr="00ED35A9">
        <w:rPr>
          <w:rFonts w:eastAsia="Calibri"/>
          <w:szCs w:val="28"/>
          <w:lang w:val="uk-UA"/>
        </w:rPr>
        <w:t xml:space="preserve"> VITORIA, </w:t>
      </w:r>
      <w:proofErr w:type="spellStart"/>
      <w:r w:rsidRPr="00ED35A9">
        <w:rPr>
          <w:rFonts w:eastAsia="Calibri"/>
          <w:szCs w:val="28"/>
          <w:lang w:val="uk-UA"/>
        </w:rPr>
        <w:t>Diana</w:t>
      </w:r>
      <w:proofErr w:type="spellEnd"/>
      <w:r w:rsidRPr="00ED35A9">
        <w:rPr>
          <w:rFonts w:eastAsia="Calibri"/>
          <w:szCs w:val="28"/>
          <w:lang w:val="uk-UA"/>
        </w:rPr>
        <w:t xml:space="preserve"> WEIL, </w:t>
      </w:r>
      <w:proofErr w:type="spellStart"/>
      <w:r w:rsidRPr="00ED35A9">
        <w:rPr>
          <w:rFonts w:eastAsia="Calibri"/>
          <w:szCs w:val="28"/>
          <w:lang w:val="uk-UA"/>
        </w:rPr>
        <w:t>Karin</w:t>
      </w:r>
      <w:proofErr w:type="spellEnd"/>
      <w:r w:rsidRPr="00ED35A9">
        <w:rPr>
          <w:rFonts w:eastAsia="Calibri"/>
          <w:szCs w:val="28"/>
          <w:lang w:val="uk-UA"/>
        </w:rPr>
        <w:t xml:space="preserve"> WEYER та </w:t>
      </w:r>
      <w:proofErr w:type="spellStart"/>
      <w:r w:rsidRPr="00ED35A9">
        <w:rPr>
          <w:rFonts w:eastAsia="Calibri"/>
          <w:szCs w:val="28"/>
          <w:lang w:val="uk-UA"/>
        </w:rPr>
        <w:t>Matteo</w:t>
      </w:r>
      <w:proofErr w:type="spellEnd"/>
      <w:r w:rsidRPr="00ED35A9">
        <w:rPr>
          <w:rFonts w:eastAsia="Calibri"/>
          <w:szCs w:val="28"/>
          <w:lang w:val="uk-UA"/>
        </w:rPr>
        <w:t xml:space="preserve"> ZIGNOL</w:t>
      </w:r>
      <w:r w:rsidRPr="00ED35A9">
        <w:rPr>
          <w:szCs w:val="28"/>
          <w:lang w:val="uk-UA"/>
        </w:rPr>
        <w:t xml:space="preserve">. Також відзначено внесок </w:t>
      </w:r>
      <w:proofErr w:type="spellStart"/>
      <w:r w:rsidRPr="00ED35A9">
        <w:rPr>
          <w:rFonts w:eastAsia="Calibri"/>
          <w:szCs w:val="28"/>
          <w:lang w:val="uk-UA"/>
        </w:rPr>
        <w:t>Soleil</w:t>
      </w:r>
      <w:proofErr w:type="spellEnd"/>
      <w:r w:rsidRPr="00ED35A9">
        <w:rPr>
          <w:rFonts w:eastAsia="Calibri"/>
          <w:szCs w:val="28"/>
          <w:lang w:val="uk-UA"/>
        </w:rPr>
        <w:t xml:space="preserve"> LABELLE </w:t>
      </w:r>
      <w:r w:rsidRPr="00ED35A9">
        <w:rPr>
          <w:szCs w:val="28"/>
          <w:lang w:val="uk-UA"/>
        </w:rPr>
        <w:t xml:space="preserve">щодо підтримки секретаріату та узгодження декларацій інтересів, а також </w:t>
      </w:r>
      <w:proofErr w:type="spellStart"/>
      <w:r w:rsidRPr="00ED35A9">
        <w:rPr>
          <w:rFonts w:eastAsia="Calibri"/>
          <w:szCs w:val="28"/>
          <w:lang w:val="uk-UA"/>
        </w:rPr>
        <w:t>Annabel</w:t>
      </w:r>
      <w:proofErr w:type="spellEnd"/>
      <w:r w:rsidRPr="00ED35A9">
        <w:rPr>
          <w:rFonts w:eastAsia="Calibri"/>
          <w:szCs w:val="28"/>
          <w:lang w:val="uk-UA"/>
        </w:rPr>
        <w:t xml:space="preserve"> BADDELEY та </w:t>
      </w:r>
      <w:proofErr w:type="spellStart"/>
      <w:r w:rsidRPr="00ED35A9">
        <w:rPr>
          <w:rFonts w:eastAsia="Calibri"/>
          <w:szCs w:val="28"/>
          <w:lang w:val="uk-UA"/>
        </w:rPr>
        <w:t>Lana</w:t>
      </w:r>
      <w:proofErr w:type="spellEnd"/>
      <w:r w:rsidRPr="00ED35A9">
        <w:rPr>
          <w:rFonts w:eastAsia="Calibri"/>
          <w:szCs w:val="28"/>
          <w:lang w:val="uk-UA"/>
        </w:rPr>
        <w:t xml:space="preserve"> SYED </w:t>
      </w:r>
      <w:r w:rsidRPr="00ED35A9">
        <w:rPr>
          <w:szCs w:val="28"/>
          <w:lang w:val="uk-UA"/>
        </w:rPr>
        <w:t xml:space="preserve">щодо перегляду розділів з лікування та догляду пацієнтів з ТБ/ВІЛ. </w:t>
      </w:r>
      <w:proofErr w:type="spellStart"/>
      <w:r w:rsidRPr="00ED35A9">
        <w:rPr>
          <w:rFonts w:eastAsia="Calibri"/>
          <w:szCs w:val="28"/>
          <w:lang w:val="uk-UA"/>
        </w:rPr>
        <w:t>Natacha</w:t>
      </w:r>
      <w:proofErr w:type="spellEnd"/>
      <w:r w:rsidRPr="00ED35A9">
        <w:rPr>
          <w:rFonts w:eastAsia="Calibri"/>
          <w:szCs w:val="28"/>
          <w:lang w:val="uk-UA"/>
        </w:rPr>
        <w:t xml:space="preserve"> BARRAS </w:t>
      </w:r>
      <w:r w:rsidRPr="00ED35A9">
        <w:rPr>
          <w:szCs w:val="28"/>
          <w:lang w:val="uk-UA"/>
        </w:rPr>
        <w:t>надала адміністративну підтримку.</w:t>
      </w:r>
    </w:p>
    <w:p w:rsidR="00184AD2" w:rsidRPr="00ED35A9" w:rsidRDefault="00184AD2" w:rsidP="00184AD2">
      <w:pPr>
        <w:rPr>
          <w:szCs w:val="28"/>
          <w:lang w:val="uk-UA"/>
        </w:rPr>
      </w:pPr>
      <w:r w:rsidRPr="00ED35A9">
        <w:rPr>
          <w:szCs w:val="28"/>
          <w:lang w:val="uk-UA"/>
        </w:rPr>
        <w:t xml:space="preserve">Роботу з документом було завершено після отримання коментарів від членів ГРН, ГЗР та Керівного комітету ВООЗ із розроблення настанови на початку 2016 р., після чого у січні 2017 р. її було подано до затвердження </w:t>
      </w:r>
      <w:r w:rsidR="00F8362D" w:rsidRPr="00ED35A9">
        <w:rPr>
          <w:rFonts w:eastAsia="Arial" w:cs="Times New Roman"/>
          <w:szCs w:val="28"/>
          <w:lang w:val="uk-UA"/>
        </w:rPr>
        <w:t>КПН</w:t>
      </w:r>
      <w:r w:rsidR="00F8362D" w:rsidRPr="00ED35A9">
        <w:rPr>
          <w:szCs w:val="28"/>
          <w:lang w:val="uk-UA"/>
        </w:rPr>
        <w:t xml:space="preserve"> </w:t>
      </w:r>
      <w:r w:rsidRPr="00ED35A9">
        <w:rPr>
          <w:szCs w:val="28"/>
          <w:lang w:val="uk-UA"/>
        </w:rPr>
        <w:t>відповідно до внутрішніх правил ВООЗ. ВООЗ висловлює подяку USAID за надання фінансової підтримки грантами US-2015-823 та US-2015-827. Складові даної публікації не обов’язково відбивають погляди USAID або уряду США.</w:t>
      </w:r>
    </w:p>
    <w:p w:rsidR="004B5B7F" w:rsidRPr="00ED35A9" w:rsidRDefault="004B5B7F" w:rsidP="000E0B10">
      <w:pPr>
        <w:rPr>
          <w:rFonts w:cs="Times New Roman"/>
          <w:szCs w:val="28"/>
          <w:lang w:val="uk-UA"/>
        </w:rPr>
      </w:pPr>
    </w:p>
    <w:p w:rsidR="004B5B7F" w:rsidRPr="00ED35A9" w:rsidRDefault="004B5B7F" w:rsidP="000E0B10">
      <w:pPr>
        <w:rPr>
          <w:rFonts w:cs="Times New Roman"/>
          <w:szCs w:val="28"/>
          <w:lang w:val="uk-UA"/>
        </w:rPr>
        <w:sectPr w:rsidR="004B5B7F" w:rsidRPr="00ED35A9" w:rsidSect="00B36008">
          <w:headerReference w:type="default" r:id="rId9"/>
          <w:footerReference w:type="default" r:id="rId10"/>
          <w:type w:val="nextColumn"/>
          <w:pgSz w:w="11907" w:h="16840" w:code="9"/>
          <w:pgMar w:top="1134" w:right="851" w:bottom="1134" w:left="1701" w:header="0" w:footer="6" w:gutter="0"/>
          <w:cols w:space="720"/>
          <w:noEndnote/>
          <w:docGrid w:linePitch="360"/>
        </w:sectPr>
      </w:pPr>
      <w:bookmarkStart w:id="86" w:name="_Toc417570644"/>
    </w:p>
    <w:p w:rsidR="004B5B7F" w:rsidRPr="00ED35A9" w:rsidRDefault="004B5B7F" w:rsidP="00823898">
      <w:pPr>
        <w:pStyle w:val="1"/>
        <w:rPr>
          <w:lang w:val="uk-UA"/>
        </w:rPr>
      </w:pPr>
      <w:bookmarkStart w:id="87" w:name="_Toc18416329"/>
      <w:bookmarkEnd w:id="86"/>
      <w:r w:rsidRPr="00ED35A9">
        <w:rPr>
          <w:lang w:val="uk-UA"/>
        </w:rPr>
        <w:lastRenderedPageBreak/>
        <w:t>ЛІТЕРАТУРА</w:t>
      </w:r>
      <w:bookmarkEnd w:id="87"/>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handbook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development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second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2014 (</w:t>
      </w:r>
      <w:hyperlink r:id="rId11" w:history="1">
        <w:r w:rsidRPr="00ED35A9">
          <w:rPr>
            <w:rFonts w:eastAsia="Calibri" w:cs="Times New Roman"/>
            <w:sz w:val="24"/>
            <w:szCs w:val="24"/>
            <w:lang w:val="uk-UA"/>
          </w:rPr>
          <w:t>http://www.who.int/publications/guidelines/handbook_2nd_ed.pdf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2011 </w:t>
      </w:r>
      <w:proofErr w:type="spellStart"/>
      <w:r w:rsidRPr="00ED35A9">
        <w:rPr>
          <w:rFonts w:eastAsia="Calibri" w:cs="Times New Roman"/>
          <w:sz w:val="24"/>
          <w:szCs w:val="24"/>
          <w:lang w:val="uk-UA"/>
        </w:rPr>
        <w:t>update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 xml:space="preserve">2011 (WHO/HTM/TB/2011.6; </w:t>
      </w:r>
      <w:hyperlink r:id="rId12" w:history="1">
        <w:r w:rsidRPr="00ED35A9">
          <w:rPr>
            <w:rFonts w:eastAsia="Calibri" w:cs="Times New Roman"/>
            <w:sz w:val="24"/>
            <w:szCs w:val="24"/>
            <w:lang w:val="uk-UA"/>
          </w:rPr>
          <w:t>http://whqlibdoc.who.int/</w:t>
        </w:r>
      </w:hyperlink>
      <w:r w:rsidRPr="00ED35A9">
        <w:rPr>
          <w:rFonts w:eastAsia="Calibri" w:cs="Times New Roman"/>
          <w:sz w:val="24"/>
          <w:szCs w:val="24"/>
          <w:lang w:val="uk-UA"/>
        </w:rPr>
        <w:t xml:space="preserve">publications/2011/9789241501583_eng.pdf,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bedaquiline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Interim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 xml:space="preserve">2013 (WHO/HTM/TB/2013.6; </w:t>
      </w:r>
      <w:hyperlink r:id="rId13" w:history="1">
        <w:r w:rsidRPr="00ED35A9">
          <w:rPr>
            <w:rFonts w:eastAsia="Calibri" w:cs="Times New Roman"/>
            <w:sz w:val="24"/>
            <w:szCs w:val="24"/>
            <w:lang w:val="uk-UA"/>
          </w:rPr>
          <w:t>http://apps.who.int/iris/</w:t>
        </w:r>
      </w:hyperlink>
      <w:r w:rsidRPr="00ED35A9">
        <w:rPr>
          <w:rFonts w:eastAsia="Calibri" w:cs="Times New Roman"/>
          <w:sz w:val="24"/>
          <w:szCs w:val="24"/>
          <w:lang w:val="uk-UA"/>
        </w:rPr>
        <w:t>bitstream/10665/84879/l/9789241505482_eng.pdf</w:t>
      </w:r>
      <w:r w:rsidR="00550F8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delamanid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Interim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 xml:space="preserve">2014 (WHO/HTM/TB/2014.23; </w:t>
      </w:r>
      <w:hyperlink r:id="rId14" w:history="1">
        <w:r w:rsidRPr="00ED35A9">
          <w:rPr>
            <w:rFonts w:eastAsia="Calibri" w:cs="Times New Roman"/>
            <w:sz w:val="24"/>
            <w:szCs w:val="24"/>
            <w:lang w:val="uk-UA"/>
          </w:rPr>
          <w:t>http://apps.who.int/iris/</w:t>
        </w:r>
      </w:hyperlink>
      <w:r w:rsidRPr="00ED35A9">
        <w:rPr>
          <w:rFonts w:eastAsia="Calibri" w:cs="Times New Roman"/>
          <w:sz w:val="24"/>
          <w:szCs w:val="24"/>
          <w:lang w:val="uk-UA"/>
        </w:rPr>
        <w:t xml:space="preserve">bitstream/10665/137334/l/WHO_HTM_TB_2014.23_eng.pdf,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delamanid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adolescents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interim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 xml:space="preserve">2016 (WHO/HTM/TB/2016.14; </w:t>
      </w:r>
      <w:hyperlink r:id="rId15" w:history="1">
        <w:r w:rsidRPr="00ED35A9">
          <w:rPr>
            <w:rFonts w:eastAsia="Calibri" w:cs="Times New Roman"/>
            <w:sz w:val="24"/>
            <w:szCs w:val="24"/>
            <w:lang w:val="uk-UA"/>
          </w:rPr>
          <w:t>http://apps</w:t>
        </w:r>
      </w:hyperlink>
      <w:r w:rsidRPr="00ED35A9">
        <w:rPr>
          <w:rFonts w:eastAsia="Calibri" w:cs="Times New Roman"/>
          <w:sz w:val="24"/>
          <w:szCs w:val="24"/>
          <w:lang w:val="uk-UA"/>
        </w:rPr>
        <w:t>.who.int/iris/bitstream/10665/250614/1/</w:t>
      </w:r>
      <w:r w:rsidR="00550F8C" w:rsidRPr="00ED35A9">
        <w:rPr>
          <w:rFonts w:eastAsia="Calibri" w:cs="Times New Roman"/>
          <w:sz w:val="24"/>
          <w:szCs w:val="24"/>
          <w:lang w:val="uk-UA"/>
        </w:rPr>
        <w:br/>
      </w:r>
      <w:r w:rsidRPr="00ED35A9">
        <w:rPr>
          <w:rFonts w:eastAsia="Calibri" w:cs="Times New Roman"/>
          <w:sz w:val="24"/>
          <w:szCs w:val="24"/>
          <w:lang w:val="uk-UA"/>
        </w:rPr>
        <w:t xml:space="preserve">9789241549899-eng.pdf,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2016 </w:t>
      </w:r>
      <w:proofErr w:type="spellStart"/>
      <w:r w:rsidRPr="00ED35A9">
        <w:rPr>
          <w:rFonts w:eastAsia="Calibri" w:cs="Times New Roman"/>
          <w:sz w:val="24"/>
          <w:szCs w:val="24"/>
          <w:lang w:val="uk-UA"/>
        </w:rPr>
        <w:t>update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50F8C"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50F8C" w:rsidRPr="00ED35A9">
        <w:rPr>
          <w:rFonts w:eastAsia="Calibri" w:cs="Times New Roman"/>
          <w:sz w:val="24"/>
          <w:szCs w:val="24"/>
          <w:lang w:val="uk-UA"/>
        </w:rPr>
        <w:t xml:space="preserve">. </w:t>
      </w:r>
      <w:r w:rsidRPr="00ED35A9">
        <w:rPr>
          <w:rFonts w:eastAsia="Calibri" w:cs="Times New Roman"/>
          <w:sz w:val="24"/>
          <w:szCs w:val="24"/>
          <w:lang w:val="uk-UA"/>
        </w:rPr>
        <w:t xml:space="preserve">2016 (WHO/HTM/TB/2016.4; </w:t>
      </w:r>
      <w:hyperlink r:id="rId16" w:history="1">
        <w:r w:rsidRPr="00ED35A9">
          <w:rPr>
            <w:rFonts w:eastAsia="Calibri" w:cs="Times New Roman"/>
            <w:sz w:val="24"/>
            <w:szCs w:val="24"/>
            <w:lang w:val="uk-UA"/>
          </w:rPr>
          <w:t>http://apps.who.int/iris/bitstream/</w:t>
        </w:r>
        <w:r w:rsidR="00A6758E" w:rsidRPr="00ED35A9">
          <w:rPr>
            <w:rFonts w:eastAsia="Calibri" w:cs="Times New Roman"/>
            <w:sz w:val="24"/>
            <w:szCs w:val="24"/>
            <w:lang w:val="uk-UA"/>
          </w:rPr>
          <w:br/>
        </w:r>
        <w:r w:rsidRPr="00ED35A9">
          <w:rPr>
            <w:rFonts w:eastAsia="Calibri" w:cs="Times New Roman"/>
            <w:sz w:val="24"/>
            <w:szCs w:val="24"/>
            <w:lang w:val="uk-UA"/>
          </w:rPr>
          <w:t>10665/250125/l/9789241549639-eng.pdf</w:t>
        </w:r>
      </w:hyperlink>
      <w:r w:rsidR="00A6758E"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Companion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handbook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WHO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A6758E"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A6758E" w:rsidRPr="00ED35A9">
        <w:rPr>
          <w:rFonts w:eastAsia="Calibri" w:cs="Times New Roman"/>
          <w:sz w:val="24"/>
          <w:szCs w:val="24"/>
          <w:lang w:val="uk-UA"/>
        </w:rPr>
        <w:t xml:space="preserve">. </w:t>
      </w:r>
      <w:r w:rsidRPr="00ED35A9">
        <w:rPr>
          <w:rFonts w:eastAsia="Calibri" w:cs="Times New Roman"/>
          <w:sz w:val="24"/>
          <w:szCs w:val="24"/>
          <w:lang w:val="uk-UA"/>
        </w:rPr>
        <w:t xml:space="preserve">2015 (WHO/HTM/TB/2014.11; </w:t>
      </w:r>
      <w:hyperlink r:id="rId17" w:history="1">
        <w:r w:rsidRPr="00ED35A9">
          <w:rPr>
            <w:rFonts w:eastAsia="Calibri" w:cs="Times New Roman"/>
            <w:sz w:val="24"/>
            <w:szCs w:val="24"/>
            <w:lang w:val="uk-UA"/>
          </w:rPr>
          <w:t>http://apps.who.int/iris/</w:t>
        </w:r>
      </w:hyperlink>
      <w:r w:rsidRPr="00ED35A9">
        <w:rPr>
          <w:rFonts w:eastAsia="Calibri" w:cs="Times New Roman"/>
          <w:sz w:val="24"/>
          <w:szCs w:val="24"/>
          <w:lang w:val="uk-UA"/>
        </w:rPr>
        <w:t>bitstream/10665/130918/l/</w:t>
      </w:r>
      <w:r w:rsidR="00A6758E" w:rsidRPr="00ED35A9">
        <w:rPr>
          <w:rFonts w:eastAsia="Calibri" w:cs="Times New Roman"/>
          <w:sz w:val="24"/>
          <w:szCs w:val="24"/>
          <w:lang w:val="uk-UA"/>
        </w:rPr>
        <w:br/>
      </w:r>
      <w:r w:rsidRPr="00ED35A9">
        <w:rPr>
          <w:rFonts w:eastAsia="Calibri" w:cs="Times New Roman"/>
          <w:sz w:val="24"/>
          <w:szCs w:val="24"/>
          <w:lang w:val="uk-UA"/>
        </w:rPr>
        <w:t xml:space="preserve">9789241548809_eng.pdf,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Implementing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diagnostics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framework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A6758E"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A6758E" w:rsidRPr="00ED35A9">
        <w:rPr>
          <w:rFonts w:eastAsia="Calibri" w:cs="Times New Roman"/>
          <w:sz w:val="24"/>
          <w:szCs w:val="24"/>
          <w:lang w:val="uk-UA"/>
        </w:rPr>
        <w:t xml:space="preserve">. </w:t>
      </w:r>
      <w:r w:rsidRPr="00ED35A9">
        <w:rPr>
          <w:rFonts w:eastAsia="Calibri" w:cs="Times New Roman"/>
          <w:sz w:val="24"/>
          <w:szCs w:val="24"/>
          <w:lang w:val="uk-UA"/>
        </w:rPr>
        <w:t xml:space="preserve">2015 (WHO/HTM/TB/2015.11; </w:t>
      </w:r>
      <w:hyperlink r:id="rId18" w:history="1">
        <w:r w:rsidRPr="00ED35A9">
          <w:rPr>
            <w:rFonts w:eastAsia="Calibri" w:cs="Times New Roman"/>
            <w:sz w:val="24"/>
            <w:szCs w:val="24"/>
            <w:lang w:val="uk-UA"/>
          </w:rPr>
          <w:t>http://apps.who.int/iris/bitstream/10665/</w:t>
        </w:r>
        <w:r w:rsidR="00A6758E" w:rsidRPr="00ED35A9">
          <w:rPr>
            <w:rFonts w:eastAsia="Calibri" w:cs="Times New Roman"/>
            <w:sz w:val="24"/>
            <w:szCs w:val="24"/>
            <w:lang w:val="uk-UA"/>
          </w:rPr>
          <w:br/>
        </w:r>
        <w:r w:rsidRPr="00ED35A9">
          <w:rPr>
            <w:rFonts w:eastAsia="Calibri" w:cs="Times New Roman"/>
            <w:sz w:val="24"/>
            <w:szCs w:val="24"/>
            <w:lang w:val="uk-UA"/>
          </w:rPr>
          <w:t>162712/l/9789241508612_eng.pdf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Wiseman</w:t>
      </w:r>
      <w:proofErr w:type="spellEnd"/>
      <w:r w:rsidRPr="00ED35A9">
        <w:rPr>
          <w:rFonts w:eastAsia="Calibri" w:cs="Times New Roman"/>
          <w:sz w:val="24"/>
          <w:szCs w:val="24"/>
          <w:lang w:val="uk-UA"/>
        </w:rPr>
        <w:t xml:space="preserve"> CA, </w:t>
      </w:r>
      <w:proofErr w:type="spellStart"/>
      <w:r w:rsidRPr="00ED35A9">
        <w:rPr>
          <w:rFonts w:eastAsia="Calibri" w:cs="Times New Roman"/>
          <w:sz w:val="24"/>
          <w:szCs w:val="24"/>
          <w:lang w:val="uk-UA"/>
        </w:rPr>
        <w:t>Gie</w:t>
      </w:r>
      <w:proofErr w:type="spellEnd"/>
      <w:r w:rsidRPr="00ED35A9">
        <w:rPr>
          <w:rFonts w:eastAsia="Calibri" w:cs="Times New Roman"/>
          <w:sz w:val="24"/>
          <w:szCs w:val="24"/>
          <w:lang w:val="uk-UA"/>
        </w:rPr>
        <w:t xml:space="preserve"> RR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Starke</w:t>
      </w:r>
      <w:proofErr w:type="spellEnd"/>
      <w:r w:rsidRPr="00ED35A9">
        <w:rPr>
          <w:rFonts w:eastAsia="Calibri" w:cs="Times New Roman"/>
          <w:sz w:val="24"/>
          <w:szCs w:val="24"/>
          <w:lang w:val="uk-UA"/>
        </w:rPr>
        <w:t xml:space="preserve"> JR, </w:t>
      </w:r>
      <w:proofErr w:type="spellStart"/>
      <w:r w:rsidRPr="00ED35A9">
        <w:rPr>
          <w:rFonts w:eastAsia="Calibri" w:cs="Times New Roman"/>
          <w:sz w:val="24"/>
          <w:szCs w:val="24"/>
          <w:lang w:val="uk-UA"/>
        </w:rPr>
        <w:t>Schaaf</w:t>
      </w:r>
      <w:proofErr w:type="spellEnd"/>
      <w:r w:rsidRPr="00ED35A9">
        <w:rPr>
          <w:rFonts w:eastAsia="Calibri" w:cs="Times New Roman"/>
          <w:sz w:val="24"/>
          <w:szCs w:val="24"/>
          <w:lang w:val="uk-UA"/>
        </w:rPr>
        <w:t xml:space="preserve"> HS, </w:t>
      </w:r>
      <w:proofErr w:type="spellStart"/>
      <w:r w:rsidRPr="00ED35A9">
        <w:rPr>
          <w:rFonts w:eastAsia="Calibri" w:cs="Times New Roman"/>
          <w:sz w:val="24"/>
          <w:szCs w:val="24"/>
          <w:lang w:val="uk-UA"/>
        </w:rPr>
        <w:t>Donald</w:t>
      </w:r>
      <w:proofErr w:type="spellEnd"/>
      <w:r w:rsidRPr="00ED35A9">
        <w:rPr>
          <w:rFonts w:eastAsia="Calibri" w:cs="Times New Roman"/>
          <w:sz w:val="24"/>
          <w:szCs w:val="24"/>
          <w:lang w:val="uk-UA"/>
        </w:rPr>
        <w:t xml:space="preserve"> PR, </w:t>
      </w:r>
      <w:proofErr w:type="spellStart"/>
      <w:r w:rsidRPr="00ED35A9">
        <w:rPr>
          <w:rFonts w:eastAsia="Calibri" w:cs="Times New Roman"/>
          <w:sz w:val="24"/>
          <w:szCs w:val="24"/>
          <w:lang w:val="uk-UA"/>
        </w:rPr>
        <w:t>Cotton</w:t>
      </w:r>
      <w:proofErr w:type="spellEnd"/>
      <w:r w:rsidRPr="00ED35A9">
        <w:rPr>
          <w:rFonts w:eastAsia="Calibri" w:cs="Times New Roman"/>
          <w:sz w:val="24"/>
          <w:szCs w:val="24"/>
          <w:lang w:val="uk-UA"/>
        </w:rPr>
        <w:t xml:space="preserve"> MF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Proposed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comprehensive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classification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severity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Pediatr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A6758E" w:rsidRPr="00ED35A9">
        <w:rPr>
          <w:rFonts w:eastAsia="Calibri" w:cs="Times New Roman"/>
          <w:i/>
          <w:sz w:val="24"/>
          <w:szCs w:val="24"/>
          <w:lang w:val="uk-UA"/>
        </w:rPr>
        <w:t> </w:t>
      </w:r>
      <w:r w:rsidRPr="00ED35A9">
        <w:rPr>
          <w:rFonts w:eastAsia="Calibri" w:cs="Times New Roman"/>
          <w:i/>
          <w:sz w:val="24"/>
          <w:szCs w:val="24"/>
          <w:lang w:val="uk-UA"/>
        </w:rPr>
        <w:t>J</w:t>
      </w:r>
      <w:r w:rsidR="00A6758E" w:rsidRPr="00ED35A9">
        <w:rPr>
          <w:rFonts w:eastAsia="Calibri" w:cs="Times New Roman"/>
          <w:sz w:val="24"/>
          <w:szCs w:val="24"/>
          <w:lang w:val="uk-UA"/>
        </w:rPr>
        <w:t xml:space="preserve">, </w:t>
      </w:r>
      <w:r w:rsidRPr="00ED35A9">
        <w:rPr>
          <w:rFonts w:eastAsia="Calibri" w:cs="Times New Roman"/>
          <w:sz w:val="24"/>
          <w:szCs w:val="24"/>
          <w:lang w:val="uk-UA"/>
        </w:rPr>
        <w:t>2012</w:t>
      </w:r>
      <w:r w:rsidR="00A6758E" w:rsidRPr="00ED35A9">
        <w:rPr>
          <w:rFonts w:eastAsia="Calibri" w:cs="Times New Roman"/>
          <w:sz w:val="24"/>
          <w:szCs w:val="24"/>
          <w:lang w:val="uk-UA"/>
        </w:rPr>
        <w:t xml:space="preserve">, </w:t>
      </w:r>
      <w:r w:rsidRPr="00ED35A9">
        <w:rPr>
          <w:rFonts w:eastAsia="Calibri" w:cs="Times New Roman"/>
          <w:sz w:val="24"/>
          <w:szCs w:val="24"/>
          <w:lang w:val="uk-UA"/>
        </w:rPr>
        <w:t>31(4):</w:t>
      </w:r>
      <w:r w:rsidR="00A6758E" w:rsidRPr="00ED35A9">
        <w:rPr>
          <w:rFonts w:eastAsia="Calibri" w:cs="Times New Roman"/>
          <w:sz w:val="24"/>
          <w:szCs w:val="24"/>
          <w:lang w:val="uk-UA"/>
        </w:rPr>
        <w:t xml:space="preserve"> </w:t>
      </w:r>
      <w:r w:rsidRPr="00ED35A9">
        <w:rPr>
          <w:rFonts w:eastAsia="Calibri" w:cs="Times New Roman"/>
          <w:sz w:val="24"/>
          <w:szCs w:val="24"/>
          <w:lang w:val="uk-UA"/>
        </w:rPr>
        <w:t>347</w:t>
      </w:r>
      <w:r w:rsidR="00A6758E" w:rsidRPr="00ED35A9">
        <w:rPr>
          <w:rFonts w:eastAsia="Calibri" w:cs="Times New Roman"/>
          <w:sz w:val="24"/>
          <w:szCs w:val="24"/>
          <w:lang w:val="uk-UA"/>
        </w:rPr>
        <w:t>–3</w:t>
      </w:r>
      <w:r w:rsidRPr="00ED35A9">
        <w:rPr>
          <w:rFonts w:eastAsia="Calibri" w:cs="Times New Roman"/>
          <w:sz w:val="24"/>
          <w:szCs w:val="24"/>
          <w:lang w:val="uk-UA"/>
        </w:rPr>
        <w:t>52.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Institutes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Cancer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Institute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Terminology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Criteria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Adverse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Events</w:t>
      </w:r>
      <w:proofErr w:type="spellEnd"/>
      <w:r w:rsidRPr="00ED35A9">
        <w:rPr>
          <w:rFonts w:eastAsia="Calibri" w:cs="Times New Roman"/>
          <w:sz w:val="24"/>
          <w:szCs w:val="24"/>
          <w:lang w:val="uk-UA"/>
        </w:rPr>
        <w:t xml:space="preserve"> (CTCAE). </w:t>
      </w:r>
      <w:proofErr w:type="spellStart"/>
      <w:r w:rsidRPr="00ED35A9">
        <w:rPr>
          <w:rFonts w:eastAsia="Calibri" w:cs="Times New Roman"/>
          <w:sz w:val="24"/>
          <w:szCs w:val="24"/>
          <w:lang w:val="uk-UA"/>
        </w:rPr>
        <w:t>Version</w:t>
      </w:r>
      <w:proofErr w:type="spellEnd"/>
      <w:r w:rsidRPr="00ED35A9">
        <w:rPr>
          <w:rFonts w:eastAsia="Calibri" w:cs="Times New Roman"/>
          <w:sz w:val="24"/>
          <w:szCs w:val="24"/>
          <w:lang w:val="uk-UA"/>
        </w:rPr>
        <w:t xml:space="preserve"> 4.0. U.S. </w:t>
      </w:r>
      <w:proofErr w:type="spellStart"/>
      <w:r w:rsidRPr="00ED35A9">
        <w:rPr>
          <w:rFonts w:eastAsia="Calibri" w:cs="Times New Roman"/>
          <w:sz w:val="24"/>
          <w:szCs w:val="24"/>
          <w:lang w:val="uk-UA"/>
        </w:rPr>
        <w:t>Department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Human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Services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2009 (</w:t>
      </w:r>
      <w:hyperlink r:id="rId19" w:history="1">
        <w:r w:rsidRPr="00ED35A9">
          <w:rPr>
            <w:rFonts w:eastAsia="Calibri" w:cs="Times New Roman"/>
            <w:sz w:val="24"/>
            <w:szCs w:val="24"/>
            <w:lang w:val="uk-UA"/>
          </w:rPr>
          <w:t>https://evs.nci.nih.gov/ftpl/</w:t>
        </w:r>
      </w:hyperlink>
      <w:r w:rsidRPr="00ED35A9">
        <w:rPr>
          <w:rFonts w:eastAsia="Calibri" w:cs="Times New Roman"/>
          <w:sz w:val="24"/>
          <w:szCs w:val="24"/>
          <w:lang w:val="uk-UA"/>
        </w:rPr>
        <w:t>CTCAE/CTCAE_4.03/CTCAE_4.03_2010-06-14_QuickReference_5x7.pdf</w:t>
      </w:r>
      <w:r w:rsidR="00DA528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drug-safety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aDSM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Framework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implementation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2015 (WHO/HTM/TB/2015.28; </w:t>
      </w:r>
      <w:hyperlink r:id="rId20" w:history="1">
        <w:r w:rsidRPr="00ED35A9">
          <w:rPr>
            <w:rFonts w:eastAsia="Calibri" w:cs="Times New Roman"/>
            <w:sz w:val="24"/>
            <w:szCs w:val="24"/>
            <w:lang w:val="uk-UA"/>
          </w:rPr>
          <w:t>http://apps.who.int/iris/</w:t>
        </w:r>
      </w:hyperlink>
      <w:r w:rsidRPr="00ED35A9">
        <w:rPr>
          <w:rFonts w:eastAsia="Calibri" w:cs="Times New Roman"/>
          <w:sz w:val="24"/>
          <w:szCs w:val="24"/>
          <w:lang w:val="uk-UA"/>
        </w:rPr>
        <w:t xml:space="preserve">bitstream/10665/204465/l/WHO_HTM_TB_2015.28_eng.pdf,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Definitions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reporting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framework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r w:rsidR="00DA5289" w:rsidRPr="00ED35A9">
        <w:rPr>
          <w:rFonts w:eastAsia="Calibri" w:cs="Times New Roman"/>
          <w:sz w:val="24"/>
          <w:szCs w:val="24"/>
          <w:lang w:val="uk-UA"/>
        </w:rPr>
        <w:t>–</w:t>
      </w:r>
      <w:r w:rsidRPr="00ED35A9">
        <w:rPr>
          <w:rFonts w:eastAsia="Calibri" w:cs="Times New Roman"/>
          <w:sz w:val="24"/>
          <w:szCs w:val="24"/>
          <w:lang w:val="uk-UA"/>
        </w:rPr>
        <w:t xml:space="preserve"> 2013 </w:t>
      </w:r>
      <w:proofErr w:type="spellStart"/>
      <w:r w:rsidRPr="00ED35A9">
        <w:rPr>
          <w:rFonts w:eastAsia="Calibri" w:cs="Times New Roman"/>
          <w:sz w:val="24"/>
          <w:szCs w:val="24"/>
          <w:lang w:val="uk-UA"/>
        </w:rPr>
        <w:t>revision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2013 (WHO/HTM/TB/2013.2; </w:t>
      </w:r>
      <w:hyperlink r:id="rId21" w:history="1">
        <w:r w:rsidRPr="00ED35A9">
          <w:rPr>
            <w:rFonts w:eastAsia="Calibri" w:cs="Times New Roman"/>
            <w:sz w:val="24"/>
            <w:szCs w:val="24"/>
            <w:lang w:val="uk-UA"/>
          </w:rPr>
          <w:t>http://apps.who.int/iris/bitstream/</w:t>
        </w:r>
        <w:r w:rsidR="00DA5289" w:rsidRPr="00ED35A9">
          <w:rPr>
            <w:rFonts w:eastAsia="Calibri" w:cs="Times New Roman"/>
            <w:sz w:val="24"/>
            <w:szCs w:val="24"/>
            <w:lang w:val="uk-UA"/>
          </w:rPr>
          <w:br/>
        </w:r>
        <w:r w:rsidRPr="00ED35A9">
          <w:rPr>
            <w:rFonts w:eastAsia="Calibri" w:cs="Times New Roman"/>
            <w:sz w:val="24"/>
            <w:szCs w:val="24"/>
            <w:lang w:val="uk-UA"/>
          </w:rPr>
          <w:t>10665/79199/l/9789241505345_eng.pdf</w:t>
        </w:r>
      </w:hyperlink>
      <w:r w:rsidR="00DA528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Laserson</w:t>
      </w:r>
      <w:proofErr w:type="spellEnd"/>
      <w:r w:rsidRPr="00ED35A9">
        <w:rPr>
          <w:rFonts w:eastAsia="Calibri" w:cs="Times New Roman"/>
          <w:sz w:val="24"/>
          <w:szCs w:val="24"/>
          <w:lang w:val="uk-UA"/>
        </w:rPr>
        <w:t xml:space="preserve"> KF, </w:t>
      </w:r>
      <w:proofErr w:type="spellStart"/>
      <w:r w:rsidRPr="00ED35A9">
        <w:rPr>
          <w:rFonts w:eastAsia="Calibri" w:cs="Times New Roman"/>
          <w:sz w:val="24"/>
          <w:szCs w:val="24"/>
          <w:lang w:val="uk-UA"/>
        </w:rPr>
        <w:t>Thorpe</w:t>
      </w:r>
      <w:proofErr w:type="spellEnd"/>
      <w:r w:rsidRPr="00ED35A9">
        <w:rPr>
          <w:rFonts w:eastAsia="Calibri" w:cs="Times New Roman"/>
          <w:sz w:val="24"/>
          <w:szCs w:val="24"/>
          <w:lang w:val="uk-UA"/>
        </w:rPr>
        <w:t xml:space="preserve"> LE, </w:t>
      </w:r>
      <w:proofErr w:type="spellStart"/>
      <w:r w:rsidRPr="00ED35A9">
        <w:rPr>
          <w:rFonts w:eastAsia="Calibri" w:cs="Times New Roman"/>
          <w:sz w:val="24"/>
          <w:szCs w:val="24"/>
          <w:lang w:val="uk-UA"/>
        </w:rPr>
        <w:t>Leimane</w:t>
      </w:r>
      <w:proofErr w:type="spellEnd"/>
      <w:r w:rsidRPr="00ED35A9">
        <w:rPr>
          <w:rFonts w:eastAsia="Calibri" w:cs="Times New Roman"/>
          <w:sz w:val="24"/>
          <w:szCs w:val="24"/>
          <w:lang w:val="uk-UA"/>
        </w:rPr>
        <w:t xml:space="preserve"> V</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Weyer</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Mitnick</w:t>
      </w:r>
      <w:proofErr w:type="spellEnd"/>
      <w:r w:rsidRPr="00ED35A9">
        <w:rPr>
          <w:rFonts w:eastAsia="Calibri" w:cs="Times New Roman"/>
          <w:sz w:val="24"/>
          <w:szCs w:val="24"/>
          <w:lang w:val="uk-UA"/>
        </w:rPr>
        <w:t xml:space="preserve"> CD, </w:t>
      </w:r>
      <w:proofErr w:type="spellStart"/>
      <w:r w:rsidRPr="00ED35A9">
        <w:rPr>
          <w:rFonts w:eastAsia="Calibri" w:cs="Times New Roman"/>
          <w:sz w:val="24"/>
          <w:szCs w:val="24"/>
          <w:lang w:val="uk-UA"/>
        </w:rPr>
        <w:t>Riekstina</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Speaking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language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definitions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2005</w:t>
      </w:r>
      <w:r w:rsidR="00DA5289" w:rsidRPr="00ED35A9">
        <w:rPr>
          <w:rFonts w:eastAsia="Calibri" w:cs="Times New Roman"/>
          <w:sz w:val="24"/>
          <w:szCs w:val="24"/>
          <w:lang w:val="uk-UA"/>
        </w:rPr>
        <w:t xml:space="preserve">, </w:t>
      </w:r>
      <w:r w:rsidRPr="00ED35A9">
        <w:rPr>
          <w:rFonts w:eastAsia="Calibri" w:cs="Times New Roman"/>
          <w:sz w:val="24"/>
          <w:szCs w:val="24"/>
          <w:lang w:val="uk-UA"/>
        </w:rPr>
        <w:t>9(6):</w:t>
      </w:r>
      <w:r w:rsidR="00DA5289" w:rsidRPr="00ED35A9">
        <w:rPr>
          <w:rFonts w:eastAsia="Calibri" w:cs="Times New Roman"/>
          <w:sz w:val="24"/>
          <w:szCs w:val="24"/>
          <w:lang w:val="uk-UA"/>
        </w:rPr>
        <w:t xml:space="preserve"> </w:t>
      </w:r>
      <w:r w:rsidRPr="00ED35A9">
        <w:rPr>
          <w:rFonts w:eastAsia="Calibri" w:cs="Times New Roman"/>
          <w:sz w:val="24"/>
          <w:szCs w:val="24"/>
          <w:lang w:val="uk-UA"/>
        </w:rPr>
        <w:t>640</w:t>
      </w:r>
      <w:r w:rsidR="00DA5289" w:rsidRPr="00ED35A9">
        <w:rPr>
          <w:rFonts w:eastAsia="Calibri" w:cs="Times New Roman"/>
          <w:sz w:val="24"/>
          <w:szCs w:val="24"/>
          <w:lang w:val="uk-UA"/>
        </w:rPr>
        <w:t>–64</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Escalante</w:t>
      </w:r>
      <w:proofErr w:type="spellEnd"/>
      <w:r w:rsidRPr="00ED35A9">
        <w:rPr>
          <w:rFonts w:eastAsia="Calibri" w:cs="Times New Roman"/>
          <w:sz w:val="24"/>
          <w:szCs w:val="24"/>
          <w:lang w:val="uk-UA"/>
        </w:rPr>
        <w:t xml:space="preserve"> P</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Graviss</w:t>
      </w:r>
      <w:proofErr w:type="spellEnd"/>
      <w:r w:rsidRPr="00ED35A9">
        <w:rPr>
          <w:rFonts w:eastAsia="Calibri" w:cs="Times New Roman"/>
          <w:sz w:val="24"/>
          <w:szCs w:val="24"/>
          <w:lang w:val="uk-UA"/>
        </w:rPr>
        <w:t xml:space="preserve"> EA, </w:t>
      </w:r>
      <w:proofErr w:type="spellStart"/>
      <w:r w:rsidRPr="00ED35A9">
        <w:rPr>
          <w:rFonts w:eastAsia="Calibri" w:cs="Times New Roman"/>
          <w:sz w:val="24"/>
          <w:szCs w:val="24"/>
          <w:lang w:val="uk-UA"/>
        </w:rPr>
        <w:t>Griffith</w:t>
      </w:r>
      <w:proofErr w:type="spellEnd"/>
      <w:r w:rsidRPr="00ED35A9">
        <w:rPr>
          <w:rFonts w:eastAsia="Calibri" w:cs="Times New Roman"/>
          <w:sz w:val="24"/>
          <w:szCs w:val="24"/>
          <w:lang w:val="uk-UA"/>
        </w:rPr>
        <w:t xml:space="preserve"> DE, </w:t>
      </w:r>
      <w:proofErr w:type="spellStart"/>
      <w:r w:rsidRPr="00ED35A9">
        <w:rPr>
          <w:rFonts w:eastAsia="Calibri" w:cs="Times New Roman"/>
          <w:sz w:val="24"/>
          <w:szCs w:val="24"/>
          <w:lang w:val="uk-UA"/>
        </w:rPr>
        <w:t>Musser</w:t>
      </w:r>
      <w:proofErr w:type="spellEnd"/>
      <w:r w:rsidRPr="00ED35A9">
        <w:rPr>
          <w:rFonts w:eastAsia="Calibri" w:cs="Times New Roman"/>
          <w:sz w:val="24"/>
          <w:szCs w:val="24"/>
          <w:lang w:val="uk-UA"/>
        </w:rPr>
        <w:t xml:space="preserve"> JM, </w:t>
      </w:r>
      <w:proofErr w:type="spellStart"/>
      <w:r w:rsidRPr="00ED35A9">
        <w:rPr>
          <w:rFonts w:eastAsia="Calibri" w:cs="Times New Roman"/>
          <w:sz w:val="24"/>
          <w:szCs w:val="24"/>
          <w:lang w:val="uk-UA"/>
        </w:rPr>
        <w:t>Awe</w:t>
      </w:r>
      <w:proofErr w:type="spellEnd"/>
      <w:r w:rsidRPr="00ED35A9">
        <w:rPr>
          <w:rFonts w:eastAsia="Calibri" w:cs="Times New Roman"/>
          <w:sz w:val="24"/>
          <w:szCs w:val="24"/>
          <w:lang w:val="uk-UA"/>
        </w:rPr>
        <w:t xml:space="preserve"> RJ.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southeastern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Texas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Chest</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2001</w:t>
      </w:r>
      <w:r w:rsidR="00DA5289" w:rsidRPr="00ED35A9">
        <w:rPr>
          <w:rFonts w:eastAsia="Calibri" w:cs="Times New Roman"/>
          <w:sz w:val="24"/>
          <w:szCs w:val="24"/>
          <w:lang w:val="uk-UA"/>
        </w:rPr>
        <w:t xml:space="preserve">, </w:t>
      </w:r>
      <w:r w:rsidRPr="00ED35A9">
        <w:rPr>
          <w:rFonts w:eastAsia="Calibri" w:cs="Times New Roman"/>
          <w:sz w:val="24"/>
          <w:szCs w:val="24"/>
          <w:lang w:val="uk-UA"/>
        </w:rPr>
        <w:t>119(6):</w:t>
      </w:r>
      <w:r w:rsidR="00DA5289" w:rsidRPr="00ED35A9">
        <w:rPr>
          <w:rFonts w:eastAsia="Calibri" w:cs="Times New Roman"/>
          <w:sz w:val="24"/>
          <w:szCs w:val="24"/>
          <w:lang w:val="uk-UA"/>
        </w:rPr>
        <w:t xml:space="preserve"> </w:t>
      </w:r>
      <w:r w:rsidRPr="00ED35A9">
        <w:rPr>
          <w:rFonts w:eastAsia="Calibri" w:cs="Times New Roman"/>
          <w:sz w:val="24"/>
          <w:szCs w:val="24"/>
          <w:lang w:val="uk-UA"/>
        </w:rPr>
        <w:t>1730</w:t>
      </w:r>
      <w:r w:rsidR="00DA5289" w:rsidRPr="00ED35A9">
        <w:rPr>
          <w:rFonts w:eastAsia="Calibri" w:cs="Times New Roman"/>
          <w:sz w:val="24"/>
          <w:szCs w:val="24"/>
          <w:lang w:val="uk-UA"/>
        </w:rPr>
        <w:t>–173</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Nolan</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Goldberg</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ethambutol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pyrazinamide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6 </w:t>
      </w:r>
      <w:proofErr w:type="spellStart"/>
      <w:r w:rsidRPr="00ED35A9">
        <w:rPr>
          <w:rFonts w:eastAsia="Calibri" w:cs="Times New Roman"/>
          <w:sz w:val="24"/>
          <w:szCs w:val="24"/>
          <w:lang w:val="uk-UA"/>
        </w:rPr>
        <w:t>months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2002</w:t>
      </w:r>
      <w:r w:rsidR="00DA5289" w:rsidRPr="00ED35A9">
        <w:rPr>
          <w:rFonts w:eastAsia="Calibri" w:cs="Times New Roman"/>
          <w:sz w:val="24"/>
          <w:szCs w:val="24"/>
          <w:lang w:val="uk-UA"/>
        </w:rPr>
        <w:t xml:space="preserve">, </w:t>
      </w:r>
      <w:r w:rsidRPr="00ED35A9">
        <w:rPr>
          <w:rFonts w:eastAsia="Calibri" w:cs="Times New Roman"/>
          <w:sz w:val="24"/>
          <w:szCs w:val="24"/>
          <w:lang w:val="uk-UA"/>
        </w:rPr>
        <w:t>6(</w:t>
      </w:r>
      <w:r w:rsidR="00DA5289" w:rsidRPr="00ED35A9">
        <w:rPr>
          <w:rFonts w:eastAsia="Calibri" w:cs="Times New Roman"/>
          <w:sz w:val="24"/>
          <w:szCs w:val="24"/>
          <w:lang w:val="uk-UA"/>
        </w:rPr>
        <w:t>11</w:t>
      </w:r>
      <w:r w:rsidRPr="00ED35A9">
        <w:rPr>
          <w:rFonts w:eastAsia="Calibri" w:cs="Times New Roman"/>
          <w:sz w:val="24"/>
          <w:szCs w:val="24"/>
          <w:lang w:val="uk-UA"/>
        </w:rPr>
        <w:t>):</w:t>
      </w:r>
      <w:r w:rsidR="00DA5289" w:rsidRPr="00ED35A9">
        <w:rPr>
          <w:rFonts w:eastAsia="Calibri" w:cs="Times New Roman"/>
          <w:sz w:val="24"/>
          <w:szCs w:val="24"/>
          <w:lang w:val="uk-UA"/>
        </w:rPr>
        <w:t xml:space="preserve"> </w:t>
      </w:r>
      <w:r w:rsidRPr="00ED35A9">
        <w:rPr>
          <w:rFonts w:eastAsia="Calibri" w:cs="Times New Roman"/>
          <w:sz w:val="24"/>
          <w:szCs w:val="24"/>
          <w:lang w:val="uk-UA"/>
        </w:rPr>
        <w:t>952</w:t>
      </w:r>
      <w:r w:rsidR="00DA5289" w:rsidRPr="00ED35A9">
        <w:rPr>
          <w:rFonts w:eastAsia="Calibri" w:cs="Times New Roman"/>
          <w:sz w:val="24"/>
          <w:szCs w:val="24"/>
          <w:lang w:val="uk-UA"/>
        </w:rPr>
        <w:t>–95</w:t>
      </w:r>
      <w:r w:rsidRPr="00ED35A9">
        <w:rPr>
          <w:rFonts w:eastAsia="Calibri" w:cs="Times New Roman"/>
          <w:sz w:val="24"/>
          <w:szCs w:val="24"/>
          <w:lang w:val="uk-UA"/>
        </w:rPr>
        <w:t xml:space="preserve">8. </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Kim</w:t>
      </w:r>
      <w:proofErr w:type="spellEnd"/>
      <w:r w:rsidRPr="00ED35A9">
        <w:rPr>
          <w:rFonts w:eastAsia="Calibri" w:cs="Times New Roman"/>
          <w:sz w:val="24"/>
          <w:szCs w:val="24"/>
          <w:lang w:val="uk-UA"/>
        </w:rPr>
        <w:t xml:space="preserve"> YH, </w:t>
      </w:r>
      <w:proofErr w:type="spellStart"/>
      <w:r w:rsidRPr="00ED35A9">
        <w:rPr>
          <w:rFonts w:eastAsia="Calibri" w:cs="Times New Roman"/>
          <w:sz w:val="24"/>
          <w:szCs w:val="24"/>
          <w:lang w:val="uk-UA"/>
        </w:rPr>
        <w:t>Suh</w:t>
      </w:r>
      <w:proofErr w:type="spellEnd"/>
      <w:r w:rsidRPr="00ED35A9">
        <w:rPr>
          <w:rFonts w:eastAsia="Calibri" w:cs="Times New Roman"/>
          <w:sz w:val="24"/>
          <w:szCs w:val="24"/>
          <w:lang w:val="uk-UA"/>
        </w:rPr>
        <w:t xml:space="preserve"> GY, </w:t>
      </w:r>
      <w:proofErr w:type="spellStart"/>
      <w:r w:rsidRPr="00ED35A9">
        <w:rPr>
          <w:rFonts w:eastAsia="Calibri" w:cs="Times New Roman"/>
          <w:sz w:val="24"/>
          <w:szCs w:val="24"/>
          <w:lang w:val="uk-UA"/>
        </w:rPr>
        <w:t>Chung</w:t>
      </w:r>
      <w:proofErr w:type="spellEnd"/>
      <w:r w:rsidRPr="00ED35A9">
        <w:rPr>
          <w:rFonts w:eastAsia="Calibri" w:cs="Times New Roman"/>
          <w:sz w:val="24"/>
          <w:szCs w:val="24"/>
          <w:lang w:val="uk-UA"/>
        </w:rPr>
        <w:t xml:space="preserve"> MR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Kim</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Kwon</w:t>
      </w:r>
      <w:proofErr w:type="spellEnd"/>
      <w:r w:rsidRPr="00ED35A9">
        <w:rPr>
          <w:rFonts w:eastAsia="Calibri" w:cs="Times New Roman"/>
          <w:sz w:val="24"/>
          <w:szCs w:val="24"/>
          <w:lang w:val="uk-UA"/>
        </w:rPr>
        <w:t xml:space="preserve"> OJ, </w:t>
      </w:r>
      <w:proofErr w:type="spellStart"/>
      <w:r w:rsidRPr="00ED35A9">
        <w:rPr>
          <w:rFonts w:eastAsia="Calibri" w:cs="Times New Roman"/>
          <w:sz w:val="24"/>
          <w:szCs w:val="24"/>
          <w:lang w:val="uk-UA"/>
        </w:rPr>
        <w:t>Lim</w:t>
      </w:r>
      <w:proofErr w:type="spellEnd"/>
      <w:r w:rsidRPr="00ED35A9">
        <w:rPr>
          <w:rFonts w:eastAsia="Calibri" w:cs="Times New Roman"/>
          <w:sz w:val="24"/>
          <w:szCs w:val="24"/>
          <w:lang w:val="uk-UA"/>
        </w:rPr>
        <w:t xml:space="preserve"> SY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2008</w:t>
      </w:r>
      <w:r w:rsidR="00DA5289" w:rsidRPr="00ED35A9">
        <w:rPr>
          <w:rFonts w:eastAsia="Calibri" w:cs="Times New Roman"/>
          <w:sz w:val="24"/>
          <w:szCs w:val="24"/>
          <w:lang w:val="uk-UA"/>
        </w:rPr>
        <w:t xml:space="preserve">, </w:t>
      </w:r>
      <w:r w:rsidRPr="00ED35A9">
        <w:rPr>
          <w:rFonts w:eastAsia="Calibri" w:cs="Times New Roman"/>
          <w:sz w:val="24"/>
          <w:szCs w:val="24"/>
          <w:lang w:val="uk-UA"/>
        </w:rPr>
        <w:t>8(1):</w:t>
      </w:r>
      <w:r w:rsidR="00DA5289" w:rsidRPr="00ED35A9">
        <w:rPr>
          <w:rFonts w:eastAsia="Calibri" w:cs="Times New Roman"/>
          <w:sz w:val="24"/>
          <w:szCs w:val="24"/>
          <w:lang w:val="uk-UA"/>
        </w:rPr>
        <w:t xml:space="preserve"> </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Fregonese</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Ahuja</w:t>
      </w:r>
      <w:proofErr w:type="spellEnd"/>
      <w:r w:rsidRPr="00ED35A9">
        <w:rPr>
          <w:rFonts w:eastAsia="Calibri" w:cs="Times New Roman"/>
          <w:sz w:val="24"/>
          <w:szCs w:val="24"/>
          <w:lang w:val="uk-UA"/>
        </w:rPr>
        <w:t xml:space="preserve"> SD, </w:t>
      </w:r>
      <w:proofErr w:type="spellStart"/>
      <w:r w:rsidRPr="00ED35A9">
        <w:rPr>
          <w:rFonts w:eastAsia="Calibri" w:cs="Times New Roman"/>
          <w:sz w:val="24"/>
          <w:szCs w:val="24"/>
          <w:lang w:val="uk-UA"/>
        </w:rPr>
        <w:t>Akkerman</w:t>
      </w:r>
      <w:proofErr w:type="spellEnd"/>
      <w:r w:rsidRPr="00ED35A9">
        <w:rPr>
          <w:rFonts w:eastAsia="Calibri" w:cs="Times New Roman"/>
          <w:sz w:val="24"/>
          <w:szCs w:val="24"/>
          <w:lang w:val="uk-UA"/>
        </w:rPr>
        <w:t xml:space="preserve"> OW, </w:t>
      </w:r>
      <w:proofErr w:type="spellStart"/>
      <w:r w:rsidRPr="00ED35A9">
        <w:rPr>
          <w:rFonts w:eastAsia="Calibri" w:cs="Times New Roman"/>
          <w:sz w:val="24"/>
          <w:szCs w:val="24"/>
          <w:lang w:val="uk-UA"/>
        </w:rPr>
        <w:t>Arakaki-Sanchez</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Ayakaka</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Baghaei</w:t>
      </w:r>
      <w:proofErr w:type="spellEnd"/>
      <w:r w:rsidRPr="00ED35A9">
        <w:rPr>
          <w:rFonts w:eastAsia="Calibri" w:cs="Times New Roman"/>
          <w:sz w:val="24"/>
          <w:szCs w:val="24"/>
          <w:lang w:val="uk-UA"/>
        </w:rPr>
        <w:t xml:space="preserve"> P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Comparison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different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individual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data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2018</w:t>
      </w:r>
      <w:r w:rsidR="00DA5289" w:rsidRPr="00ED35A9">
        <w:rPr>
          <w:rFonts w:eastAsia="Calibri" w:cs="Times New Roman"/>
          <w:sz w:val="24"/>
          <w:szCs w:val="24"/>
          <w:lang w:val="uk-UA"/>
        </w:rPr>
        <w:t xml:space="preserve">, </w:t>
      </w:r>
      <w:r w:rsidRPr="00ED35A9">
        <w:rPr>
          <w:rFonts w:eastAsia="Calibri" w:cs="Times New Roman"/>
          <w:sz w:val="24"/>
          <w:szCs w:val="24"/>
          <w:lang w:val="uk-UA"/>
        </w:rPr>
        <w:t>6(4):</w:t>
      </w:r>
      <w:r w:rsidR="00DA5289" w:rsidRPr="00ED35A9">
        <w:rPr>
          <w:rFonts w:eastAsia="Calibri" w:cs="Times New Roman"/>
          <w:sz w:val="24"/>
          <w:szCs w:val="24"/>
          <w:lang w:val="uk-UA"/>
        </w:rPr>
        <w:t xml:space="preserve"> </w:t>
      </w:r>
      <w:r w:rsidRPr="00ED35A9">
        <w:rPr>
          <w:rFonts w:eastAsia="Calibri" w:cs="Times New Roman"/>
          <w:sz w:val="24"/>
          <w:szCs w:val="24"/>
          <w:lang w:val="uk-UA"/>
        </w:rPr>
        <w:t>265</w:t>
      </w:r>
      <w:r w:rsidR="00DA5289" w:rsidRPr="00ED35A9">
        <w:rPr>
          <w:rFonts w:eastAsia="Calibri" w:cs="Times New Roman"/>
          <w:sz w:val="24"/>
          <w:szCs w:val="24"/>
          <w:lang w:val="uk-UA"/>
        </w:rPr>
        <w:t>–2</w:t>
      </w:r>
      <w:r w:rsidRPr="00ED35A9">
        <w:rPr>
          <w:rFonts w:eastAsia="Calibri" w:cs="Times New Roman"/>
          <w:sz w:val="24"/>
          <w:szCs w:val="24"/>
          <w:lang w:val="uk-UA"/>
        </w:rPr>
        <w:t>75.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Andrade</w:t>
      </w:r>
      <w:proofErr w:type="spellEnd"/>
      <w:r w:rsidRPr="00ED35A9">
        <w:rPr>
          <w:rFonts w:eastAsia="Calibri" w:cs="Times New Roman"/>
          <w:sz w:val="24"/>
          <w:szCs w:val="24"/>
          <w:lang w:val="uk-UA"/>
        </w:rPr>
        <w:t xml:space="preserve"> RJ, </w:t>
      </w:r>
      <w:proofErr w:type="spellStart"/>
      <w:r w:rsidRPr="00ED35A9">
        <w:rPr>
          <w:rFonts w:eastAsia="Calibri" w:cs="Times New Roman"/>
          <w:sz w:val="24"/>
          <w:szCs w:val="24"/>
          <w:lang w:val="uk-UA"/>
        </w:rPr>
        <w:t>Tulkens</w:t>
      </w:r>
      <w:proofErr w:type="spellEnd"/>
      <w:r w:rsidRPr="00ED35A9">
        <w:rPr>
          <w:rFonts w:eastAsia="Calibri" w:cs="Times New Roman"/>
          <w:sz w:val="24"/>
          <w:szCs w:val="24"/>
          <w:lang w:val="uk-UA"/>
        </w:rPr>
        <w:t xml:space="preserve"> PM. </w:t>
      </w:r>
      <w:proofErr w:type="spellStart"/>
      <w:r w:rsidRPr="00ED35A9">
        <w:rPr>
          <w:rFonts w:eastAsia="Calibri" w:cs="Times New Roman"/>
          <w:sz w:val="24"/>
          <w:szCs w:val="24"/>
          <w:lang w:val="uk-UA"/>
        </w:rPr>
        <w:t>Hepatic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safety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antibiotics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primary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Antimicrob</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Chemother</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2011</w:t>
      </w:r>
      <w:r w:rsidR="00DA5289" w:rsidRPr="00ED35A9">
        <w:rPr>
          <w:rFonts w:eastAsia="Calibri" w:cs="Times New Roman"/>
          <w:sz w:val="24"/>
          <w:szCs w:val="24"/>
          <w:lang w:val="uk-UA"/>
        </w:rPr>
        <w:t xml:space="preserve">, </w:t>
      </w:r>
      <w:r w:rsidRPr="00ED35A9">
        <w:rPr>
          <w:rFonts w:eastAsia="Calibri" w:cs="Times New Roman"/>
          <w:sz w:val="24"/>
          <w:szCs w:val="24"/>
          <w:lang w:val="uk-UA"/>
        </w:rPr>
        <w:t>66(7):</w:t>
      </w:r>
      <w:r w:rsidR="00DA5289" w:rsidRPr="00ED35A9">
        <w:rPr>
          <w:rFonts w:eastAsia="Calibri" w:cs="Times New Roman"/>
          <w:sz w:val="24"/>
          <w:szCs w:val="24"/>
          <w:lang w:val="uk-UA"/>
        </w:rPr>
        <w:t xml:space="preserve"> </w:t>
      </w:r>
      <w:r w:rsidRPr="00ED35A9">
        <w:rPr>
          <w:rFonts w:eastAsia="Calibri" w:cs="Times New Roman"/>
          <w:sz w:val="24"/>
          <w:szCs w:val="24"/>
          <w:lang w:val="uk-UA"/>
        </w:rPr>
        <w:t>1431</w:t>
      </w:r>
      <w:r w:rsidR="00DA5289" w:rsidRPr="00ED35A9">
        <w:rPr>
          <w:rFonts w:eastAsia="Calibri" w:cs="Times New Roman"/>
          <w:sz w:val="24"/>
          <w:szCs w:val="24"/>
          <w:lang w:val="uk-UA"/>
        </w:rPr>
        <w:t>–14</w:t>
      </w:r>
      <w:r w:rsidRPr="00ED35A9">
        <w:rPr>
          <w:rFonts w:eastAsia="Calibri" w:cs="Times New Roman"/>
          <w:sz w:val="24"/>
          <w:szCs w:val="24"/>
          <w:lang w:val="uk-UA"/>
        </w:rPr>
        <w:t>46.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Centers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Update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severe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liver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injuries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associated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pyrazinamide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latent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revisions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American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Thoracic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Society</w:t>
      </w:r>
      <w:proofErr w:type="spellEnd"/>
      <w:r w:rsidRPr="00ED35A9">
        <w:rPr>
          <w:rFonts w:eastAsia="Calibri" w:cs="Times New Roman"/>
          <w:sz w:val="24"/>
          <w:szCs w:val="24"/>
          <w:lang w:val="uk-UA"/>
        </w:rPr>
        <w:t xml:space="preserve">/CDC </w:t>
      </w:r>
      <w:proofErr w:type="spellStart"/>
      <w:r w:rsidRPr="00ED35A9">
        <w:rPr>
          <w:rFonts w:eastAsia="Calibri" w:cs="Times New Roman"/>
          <w:sz w:val="24"/>
          <w:szCs w:val="24"/>
          <w:lang w:val="uk-UA"/>
        </w:rPr>
        <w:t>recommendations-United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States</w:t>
      </w:r>
      <w:proofErr w:type="spellEnd"/>
      <w:r w:rsidRPr="00ED35A9">
        <w:rPr>
          <w:rFonts w:eastAsia="Calibri" w:cs="Times New Roman"/>
          <w:sz w:val="24"/>
          <w:szCs w:val="24"/>
          <w:lang w:val="uk-UA"/>
        </w:rPr>
        <w:t xml:space="preserve">, 2001. </w:t>
      </w:r>
      <w:r w:rsidRPr="00ED35A9">
        <w:rPr>
          <w:rFonts w:eastAsia="Calibri" w:cs="Times New Roman"/>
          <w:i/>
          <w:sz w:val="24"/>
          <w:szCs w:val="24"/>
          <w:lang w:val="uk-UA"/>
        </w:rPr>
        <w:t xml:space="preserve">MMWR </w:t>
      </w:r>
      <w:proofErr w:type="spellStart"/>
      <w:r w:rsidRPr="00ED35A9">
        <w:rPr>
          <w:rFonts w:eastAsia="Calibri" w:cs="Times New Roman"/>
          <w:i/>
          <w:sz w:val="24"/>
          <w:szCs w:val="24"/>
          <w:lang w:val="uk-UA"/>
        </w:rPr>
        <w:t>Morb</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Mortal</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Wkly</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Rep</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2001</w:t>
      </w:r>
      <w:r w:rsidR="00DA5289" w:rsidRPr="00ED35A9">
        <w:rPr>
          <w:rFonts w:eastAsia="Calibri" w:cs="Times New Roman"/>
          <w:sz w:val="24"/>
          <w:szCs w:val="24"/>
          <w:lang w:val="uk-UA"/>
        </w:rPr>
        <w:t xml:space="preserve">, </w:t>
      </w:r>
      <w:r w:rsidRPr="00ED35A9">
        <w:rPr>
          <w:rFonts w:eastAsia="Calibri" w:cs="Times New Roman"/>
          <w:sz w:val="24"/>
          <w:szCs w:val="24"/>
          <w:lang w:val="uk-UA"/>
        </w:rPr>
        <w:t>50(34):</w:t>
      </w:r>
      <w:r w:rsidR="00DA5289" w:rsidRPr="00ED35A9">
        <w:rPr>
          <w:rFonts w:eastAsia="Calibri" w:cs="Times New Roman"/>
          <w:sz w:val="24"/>
          <w:szCs w:val="24"/>
          <w:lang w:val="uk-UA"/>
        </w:rPr>
        <w:t xml:space="preserve"> </w:t>
      </w:r>
      <w:r w:rsidRPr="00ED35A9">
        <w:rPr>
          <w:rFonts w:eastAsia="Calibri" w:cs="Times New Roman"/>
          <w:sz w:val="24"/>
          <w:szCs w:val="24"/>
          <w:lang w:val="uk-UA"/>
        </w:rPr>
        <w:t>733.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Voogt</w:t>
      </w:r>
      <w:proofErr w:type="spellEnd"/>
      <w:r w:rsidRPr="00ED35A9">
        <w:rPr>
          <w:rFonts w:eastAsia="Calibri" w:cs="Times New Roman"/>
          <w:sz w:val="24"/>
          <w:szCs w:val="24"/>
          <w:lang w:val="uk-UA"/>
        </w:rPr>
        <w:t xml:space="preserve"> GR, </w:t>
      </w:r>
      <w:proofErr w:type="spellStart"/>
      <w:r w:rsidRPr="00ED35A9">
        <w:rPr>
          <w:rFonts w:eastAsia="Calibri" w:cs="Times New Roman"/>
          <w:sz w:val="24"/>
          <w:szCs w:val="24"/>
          <w:lang w:val="uk-UA"/>
        </w:rPr>
        <w:t>Schoeman</w:t>
      </w:r>
      <w:proofErr w:type="spellEnd"/>
      <w:r w:rsidRPr="00ED35A9">
        <w:rPr>
          <w:rFonts w:eastAsia="Calibri" w:cs="Times New Roman"/>
          <w:sz w:val="24"/>
          <w:szCs w:val="24"/>
          <w:lang w:val="uk-UA"/>
        </w:rPr>
        <w:t xml:space="preserve"> HS. </w:t>
      </w:r>
      <w:proofErr w:type="spellStart"/>
      <w:r w:rsidRPr="00ED35A9">
        <w:rPr>
          <w:rFonts w:eastAsia="Calibri" w:cs="Times New Roman"/>
          <w:sz w:val="24"/>
          <w:szCs w:val="24"/>
          <w:lang w:val="uk-UA"/>
        </w:rPr>
        <w:t>Ototoxicity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aminoglycoside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S </w:t>
      </w:r>
      <w:proofErr w:type="spellStart"/>
      <w:r w:rsidRPr="00ED35A9">
        <w:rPr>
          <w:rFonts w:eastAsia="Calibri" w:cs="Times New Roman"/>
          <w:i/>
          <w:sz w:val="24"/>
          <w:szCs w:val="24"/>
          <w:lang w:val="uk-UA"/>
        </w:rPr>
        <w:t>Afr</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Commun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Disord</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1996</w:t>
      </w:r>
      <w:r w:rsidR="00DA5289" w:rsidRPr="00ED35A9">
        <w:rPr>
          <w:rFonts w:eastAsia="Calibri" w:cs="Times New Roman"/>
          <w:sz w:val="24"/>
          <w:szCs w:val="24"/>
          <w:lang w:val="uk-UA"/>
        </w:rPr>
        <w:t xml:space="preserve">, </w:t>
      </w:r>
      <w:r w:rsidRPr="00ED35A9">
        <w:rPr>
          <w:rFonts w:eastAsia="Calibri" w:cs="Times New Roman"/>
          <w:sz w:val="24"/>
          <w:szCs w:val="24"/>
          <w:lang w:val="uk-UA"/>
        </w:rPr>
        <w:t>43:</w:t>
      </w:r>
      <w:r w:rsidR="00DA5289" w:rsidRPr="00ED35A9">
        <w:rPr>
          <w:rFonts w:eastAsia="Calibri" w:cs="Times New Roman"/>
          <w:sz w:val="24"/>
          <w:szCs w:val="24"/>
          <w:lang w:val="uk-UA"/>
        </w:rPr>
        <w:t xml:space="preserve"> </w:t>
      </w:r>
      <w:r w:rsidRPr="00ED35A9">
        <w:rPr>
          <w:rFonts w:eastAsia="Calibri" w:cs="Times New Roman"/>
          <w:sz w:val="24"/>
          <w:szCs w:val="24"/>
          <w:lang w:val="uk-UA"/>
        </w:rPr>
        <w:t>3</w:t>
      </w:r>
      <w:r w:rsidR="00DA5289" w:rsidRPr="00ED35A9">
        <w:rPr>
          <w:rFonts w:eastAsia="Calibri" w:cs="Times New Roman"/>
          <w:sz w:val="24"/>
          <w:szCs w:val="24"/>
          <w:lang w:val="uk-UA"/>
        </w:rPr>
        <w:t>–</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GQlbay</w:t>
      </w:r>
      <w:proofErr w:type="spellEnd"/>
      <w:r w:rsidRPr="00ED35A9">
        <w:rPr>
          <w:rFonts w:eastAsia="Calibri" w:cs="Times New Roman"/>
          <w:sz w:val="24"/>
          <w:szCs w:val="24"/>
          <w:lang w:val="uk-UA"/>
        </w:rPr>
        <w:t xml:space="preserve"> BE, </w:t>
      </w:r>
      <w:proofErr w:type="spellStart"/>
      <w:r w:rsidRPr="00ED35A9">
        <w:rPr>
          <w:rFonts w:eastAsia="Calibri" w:cs="Times New Roman"/>
          <w:sz w:val="24"/>
          <w:szCs w:val="24"/>
          <w:lang w:val="uk-UA"/>
        </w:rPr>
        <w:t>GGrkan</w:t>
      </w:r>
      <w:proofErr w:type="spellEnd"/>
      <w:r w:rsidRPr="00ED35A9">
        <w:rPr>
          <w:rFonts w:eastAsia="Calibri" w:cs="Times New Roman"/>
          <w:sz w:val="24"/>
          <w:szCs w:val="24"/>
          <w:lang w:val="uk-UA"/>
        </w:rPr>
        <w:t xml:space="preserve"> OU, </w:t>
      </w:r>
      <w:proofErr w:type="spellStart"/>
      <w:r w:rsidRPr="00ED35A9">
        <w:rPr>
          <w:rFonts w:eastAsia="Calibri" w:cs="Times New Roman"/>
          <w:sz w:val="24"/>
          <w:szCs w:val="24"/>
          <w:lang w:val="uk-UA"/>
        </w:rPr>
        <w:t>Yildiz</w:t>
      </w:r>
      <w:proofErr w:type="spellEnd"/>
      <w:r w:rsidRPr="00ED35A9">
        <w:rPr>
          <w:rFonts w:eastAsia="Calibri" w:cs="Times New Roman"/>
          <w:sz w:val="24"/>
          <w:szCs w:val="24"/>
          <w:lang w:val="uk-UA"/>
        </w:rPr>
        <w:t xml:space="preserve"> OA, </w:t>
      </w:r>
      <w:proofErr w:type="spellStart"/>
      <w:r w:rsidRPr="00ED35A9">
        <w:rPr>
          <w:rFonts w:eastAsia="Calibri" w:cs="Times New Roman"/>
          <w:sz w:val="24"/>
          <w:szCs w:val="24"/>
          <w:lang w:val="uk-UA"/>
        </w:rPr>
        <w:t>Onen</w:t>
      </w:r>
      <w:proofErr w:type="spellEnd"/>
      <w:r w:rsidRPr="00ED35A9">
        <w:rPr>
          <w:rFonts w:eastAsia="Calibri" w:cs="Times New Roman"/>
          <w:sz w:val="24"/>
          <w:szCs w:val="24"/>
          <w:lang w:val="uk-UA"/>
        </w:rPr>
        <w:t xml:space="preserve"> ZR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Erkekol</w:t>
      </w:r>
      <w:proofErr w:type="spellEnd"/>
      <w:r w:rsidRPr="00ED35A9">
        <w:rPr>
          <w:rFonts w:eastAsia="Calibri" w:cs="Times New Roman"/>
          <w:sz w:val="24"/>
          <w:szCs w:val="24"/>
          <w:lang w:val="uk-UA"/>
        </w:rPr>
        <w:t xml:space="preserve"> FO, </w:t>
      </w:r>
      <w:proofErr w:type="spellStart"/>
      <w:r w:rsidRPr="00ED35A9">
        <w:rPr>
          <w:rFonts w:eastAsia="Calibri" w:cs="Times New Roman"/>
          <w:sz w:val="24"/>
          <w:szCs w:val="24"/>
          <w:lang w:val="uk-UA"/>
        </w:rPr>
        <w:t>Baqgioglu</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primary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initial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1149 </w:t>
      </w:r>
      <w:proofErr w:type="spellStart"/>
      <w:r w:rsidRPr="00ED35A9">
        <w:rPr>
          <w:rFonts w:eastAsia="Calibri" w:cs="Times New Roman"/>
          <w:sz w:val="24"/>
          <w:szCs w:val="24"/>
          <w:lang w:val="uk-UA"/>
        </w:rPr>
        <w:t>hospitalized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2006</w:t>
      </w:r>
      <w:r w:rsidR="00DA5289" w:rsidRPr="00ED35A9">
        <w:rPr>
          <w:rFonts w:eastAsia="Calibri" w:cs="Times New Roman"/>
          <w:sz w:val="24"/>
          <w:szCs w:val="24"/>
          <w:lang w:val="uk-UA"/>
        </w:rPr>
        <w:t xml:space="preserve">, </w:t>
      </w:r>
      <w:r w:rsidRPr="00ED35A9">
        <w:rPr>
          <w:rFonts w:eastAsia="Calibri" w:cs="Times New Roman"/>
          <w:sz w:val="24"/>
          <w:szCs w:val="24"/>
          <w:lang w:val="uk-UA"/>
        </w:rPr>
        <w:t>100(10):</w:t>
      </w:r>
      <w:r w:rsidR="00DA5289" w:rsidRPr="00ED35A9">
        <w:rPr>
          <w:rFonts w:eastAsia="Calibri" w:cs="Times New Roman"/>
          <w:sz w:val="24"/>
          <w:szCs w:val="24"/>
          <w:lang w:val="uk-UA"/>
        </w:rPr>
        <w:t xml:space="preserve"> </w:t>
      </w:r>
      <w:r w:rsidRPr="00ED35A9">
        <w:rPr>
          <w:rFonts w:eastAsia="Calibri" w:cs="Times New Roman"/>
          <w:sz w:val="24"/>
          <w:szCs w:val="24"/>
          <w:lang w:val="uk-UA"/>
        </w:rPr>
        <w:t>1834</w:t>
      </w:r>
      <w:r w:rsidR="00DA5289" w:rsidRPr="00ED35A9">
        <w:rPr>
          <w:rFonts w:eastAsia="Calibri" w:cs="Times New Roman"/>
          <w:sz w:val="24"/>
          <w:szCs w:val="24"/>
          <w:lang w:val="uk-UA"/>
        </w:rPr>
        <w:t>–18</w:t>
      </w:r>
      <w:r w:rsidRPr="00ED35A9">
        <w:rPr>
          <w:rFonts w:eastAsia="Calibri" w:cs="Times New Roman"/>
          <w:sz w:val="24"/>
          <w:szCs w:val="24"/>
          <w:lang w:val="uk-UA"/>
        </w:rPr>
        <w:t>42.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Bloss</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Kuksa</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Holtz</w:t>
      </w:r>
      <w:proofErr w:type="spellEnd"/>
      <w:r w:rsidRPr="00ED35A9">
        <w:rPr>
          <w:rFonts w:eastAsia="Calibri" w:cs="Times New Roman"/>
          <w:sz w:val="24"/>
          <w:szCs w:val="24"/>
          <w:lang w:val="uk-UA"/>
        </w:rPr>
        <w:t xml:space="preserve"> TH, </w:t>
      </w:r>
      <w:proofErr w:type="spellStart"/>
      <w:r w:rsidRPr="00ED35A9">
        <w:rPr>
          <w:rFonts w:eastAsia="Calibri" w:cs="Times New Roman"/>
          <w:sz w:val="24"/>
          <w:szCs w:val="24"/>
          <w:lang w:val="uk-UA"/>
        </w:rPr>
        <w:t>Riekstina</w:t>
      </w:r>
      <w:proofErr w:type="spellEnd"/>
      <w:r w:rsidRPr="00ED35A9">
        <w:rPr>
          <w:rFonts w:eastAsia="Calibri" w:cs="Times New Roman"/>
          <w:sz w:val="24"/>
          <w:szCs w:val="24"/>
          <w:lang w:val="uk-UA"/>
        </w:rPr>
        <w:t xml:space="preserve"> У </w:t>
      </w:r>
      <w:proofErr w:type="spellStart"/>
      <w:r w:rsidRPr="00ED35A9">
        <w:rPr>
          <w:rFonts w:eastAsia="Calibri" w:cs="Times New Roman"/>
          <w:sz w:val="24"/>
          <w:szCs w:val="24"/>
          <w:lang w:val="uk-UA"/>
        </w:rPr>
        <w:t>Skripconoka</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Kammerer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Adver</w:t>
      </w:r>
      <w:r w:rsidR="00DA5289" w:rsidRPr="00ED35A9">
        <w:rPr>
          <w:rFonts w:eastAsia="Calibri" w:cs="Times New Roman"/>
          <w:sz w:val="24"/>
          <w:szCs w:val="24"/>
          <w:lang w:val="uk-UA"/>
        </w:rPr>
        <w:t>se</w:t>
      </w:r>
      <w:proofErr w:type="spellEnd"/>
      <w:r w:rsidR="00DA5289" w:rsidRPr="00ED35A9">
        <w:rPr>
          <w:rFonts w:eastAsia="Calibri" w:cs="Times New Roman"/>
          <w:sz w:val="24"/>
          <w:szCs w:val="24"/>
          <w:lang w:val="uk-UA"/>
        </w:rPr>
        <w:t xml:space="preserve"> </w:t>
      </w:r>
      <w:proofErr w:type="spellStart"/>
      <w:r w:rsidR="00DA5289" w:rsidRPr="00ED35A9">
        <w:rPr>
          <w:rFonts w:eastAsia="Calibri" w:cs="Times New Roman"/>
          <w:sz w:val="24"/>
          <w:szCs w:val="24"/>
          <w:lang w:val="uk-UA"/>
        </w:rPr>
        <w:t>events</w:t>
      </w:r>
      <w:proofErr w:type="spellEnd"/>
      <w:r w:rsidR="00DA5289" w:rsidRPr="00ED35A9">
        <w:rPr>
          <w:rFonts w:eastAsia="Calibri" w:cs="Times New Roman"/>
          <w:sz w:val="24"/>
          <w:szCs w:val="24"/>
          <w:lang w:val="uk-UA"/>
        </w:rPr>
        <w:t xml:space="preserve"> </w:t>
      </w:r>
      <w:proofErr w:type="spellStart"/>
      <w:r w:rsidR="00DA5289" w:rsidRPr="00ED35A9">
        <w:rPr>
          <w:rFonts w:eastAsia="Calibri" w:cs="Times New Roman"/>
          <w:sz w:val="24"/>
          <w:szCs w:val="24"/>
          <w:lang w:val="uk-UA"/>
        </w:rPr>
        <w:t>related</w:t>
      </w:r>
      <w:proofErr w:type="spellEnd"/>
      <w:r w:rsidR="00DA5289" w:rsidRPr="00ED35A9">
        <w:rPr>
          <w:rFonts w:eastAsia="Calibri" w:cs="Times New Roman"/>
          <w:sz w:val="24"/>
          <w:szCs w:val="24"/>
          <w:lang w:val="uk-UA"/>
        </w:rPr>
        <w:t xml:space="preserve"> </w:t>
      </w:r>
      <w:proofErr w:type="spellStart"/>
      <w:r w:rsidR="00DA5289" w:rsidRPr="00ED35A9">
        <w:rPr>
          <w:rFonts w:eastAsia="Calibri" w:cs="Times New Roman"/>
          <w:sz w:val="24"/>
          <w:szCs w:val="24"/>
          <w:lang w:val="uk-UA"/>
        </w:rPr>
        <w:t>to</w:t>
      </w:r>
      <w:proofErr w:type="spellEnd"/>
      <w:r w:rsidR="00DA5289" w:rsidRPr="00ED35A9">
        <w:rPr>
          <w:rFonts w:eastAsia="Calibri" w:cs="Times New Roman"/>
          <w:sz w:val="24"/>
          <w:szCs w:val="24"/>
          <w:lang w:val="uk-UA"/>
        </w:rPr>
        <w:t xml:space="preserve"> </w:t>
      </w:r>
      <w:proofErr w:type="spellStart"/>
      <w:r w:rsidR="00DA5289" w:rsidRPr="00ED35A9">
        <w:rPr>
          <w:rFonts w:eastAsia="Calibri" w:cs="Times New Roman"/>
          <w:sz w:val="24"/>
          <w:szCs w:val="24"/>
          <w:lang w:val="uk-UA"/>
        </w:rPr>
        <w:t>multidrug-</w:t>
      </w:r>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Latvia</w:t>
      </w:r>
      <w:proofErr w:type="spellEnd"/>
      <w:r w:rsidRPr="00ED35A9">
        <w:rPr>
          <w:rFonts w:eastAsia="Calibri" w:cs="Times New Roman"/>
          <w:sz w:val="24"/>
          <w:szCs w:val="24"/>
          <w:lang w:val="uk-UA"/>
        </w:rPr>
        <w:t>, 2000</w:t>
      </w:r>
      <w:r w:rsidR="00DA5289" w:rsidRPr="00ED35A9">
        <w:rPr>
          <w:rFonts w:eastAsia="Calibri" w:cs="Times New Roman"/>
          <w:sz w:val="24"/>
          <w:szCs w:val="24"/>
          <w:lang w:val="uk-UA"/>
        </w:rPr>
        <w:t>–</w:t>
      </w:r>
      <w:r w:rsidRPr="00ED35A9">
        <w:rPr>
          <w:rFonts w:eastAsia="Calibri" w:cs="Times New Roman"/>
          <w:sz w:val="24"/>
          <w:szCs w:val="24"/>
          <w:lang w:val="uk-UA"/>
        </w:rPr>
        <w:t xml:space="preserve">2004.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2010</w:t>
      </w:r>
      <w:r w:rsidR="00DA5289" w:rsidRPr="00ED35A9">
        <w:rPr>
          <w:rFonts w:eastAsia="Calibri" w:cs="Times New Roman"/>
          <w:sz w:val="24"/>
          <w:szCs w:val="24"/>
          <w:lang w:val="uk-UA"/>
        </w:rPr>
        <w:t xml:space="preserve">, </w:t>
      </w:r>
      <w:r w:rsidRPr="00ED35A9">
        <w:rPr>
          <w:rFonts w:eastAsia="Calibri" w:cs="Times New Roman"/>
          <w:sz w:val="24"/>
          <w:szCs w:val="24"/>
          <w:lang w:val="uk-UA"/>
        </w:rPr>
        <w:t>14(3):</w:t>
      </w:r>
      <w:r w:rsidR="00DA5289" w:rsidRPr="00ED35A9">
        <w:rPr>
          <w:rFonts w:eastAsia="Calibri" w:cs="Times New Roman"/>
          <w:sz w:val="24"/>
          <w:szCs w:val="24"/>
          <w:lang w:val="uk-UA"/>
        </w:rPr>
        <w:t xml:space="preserve"> </w:t>
      </w:r>
      <w:r w:rsidRPr="00ED35A9">
        <w:rPr>
          <w:rFonts w:eastAsia="Calibri" w:cs="Times New Roman"/>
          <w:sz w:val="24"/>
          <w:szCs w:val="24"/>
          <w:lang w:val="uk-UA"/>
        </w:rPr>
        <w:t>275</w:t>
      </w:r>
      <w:r w:rsidR="00DA5289" w:rsidRPr="00ED35A9">
        <w:rPr>
          <w:rFonts w:eastAsia="Calibri" w:cs="Times New Roman"/>
          <w:sz w:val="24"/>
          <w:szCs w:val="24"/>
          <w:lang w:val="uk-UA"/>
        </w:rPr>
        <w:t>–2</w:t>
      </w:r>
      <w:r w:rsidRPr="00ED35A9">
        <w:rPr>
          <w:rFonts w:eastAsia="Calibri" w:cs="Times New Roman"/>
          <w:sz w:val="24"/>
          <w:szCs w:val="24"/>
          <w:lang w:val="uk-UA"/>
        </w:rPr>
        <w:t>81.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Oxlade</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Falzon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Menzies</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strategies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Eur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J</w:t>
      </w:r>
      <w:r w:rsidR="00DA5289" w:rsidRPr="00ED35A9">
        <w:rPr>
          <w:rFonts w:eastAsia="Calibri" w:cs="Times New Roman"/>
          <w:sz w:val="24"/>
          <w:szCs w:val="24"/>
          <w:lang w:val="uk-UA"/>
        </w:rPr>
        <w:t xml:space="preserve">, </w:t>
      </w:r>
      <w:r w:rsidRPr="00ED35A9">
        <w:rPr>
          <w:rFonts w:eastAsia="Calibri" w:cs="Times New Roman"/>
          <w:sz w:val="24"/>
          <w:szCs w:val="24"/>
          <w:lang w:val="uk-UA"/>
        </w:rPr>
        <w:t>2012</w:t>
      </w:r>
      <w:r w:rsidR="00DA5289" w:rsidRPr="00ED35A9">
        <w:rPr>
          <w:rFonts w:eastAsia="Calibri" w:cs="Times New Roman"/>
          <w:sz w:val="24"/>
          <w:szCs w:val="24"/>
          <w:lang w:val="uk-UA"/>
        </w:rPr>
        <w:t xml:space="preserve">, </w:t>
      </w:r>
      <w:r w:rsidRPr="00ED35A9">
        <w:rPr>
          <w:rFonts w:eastAsia="Calibri" w:cs="Times New Roman"/>
          <w:sz w:val="24"/>
          <w:szCs w:val="24"/>
          <w:lang w:val="uk-UA"/>
        </w:rPr>
        <w:t>39(3):</w:t>
      </w:r>
      <w:r w:rsidR="00DA5289" w:rsidRPr="00ED35A9">
        <w:rPr>
          <w:rFonts w:eastAsia="Calibri" w:cs="Times New Roman"/>
          <w:sz w:val="24"/>
          <w:szCs w:val="24"/>
          <w:lang w:val="uk-UA"/>
        </w:rPr>
        <w:t xml:space="preserve"> </w:t>
      </w:r>
      <w:r w:rsidRPr="00ED35A9">
        <w:rPr>
          <w:rFonts w:eastAsia="Calibri" w:cs="Times New Roman"/>
          <w:sz w:val="24"/>
          <w:szCs w:val="24"/>
          <w:lang w:val="uk-UA"/>
        </w:rPr>
        <w:t>626</w:t>
      </w:r>
      <w:r w:rsidR="00DA5289" w:rsidRPr="00ED35A9">
        <w:rPr>
          <w:rFonts w:eastAsia="Calibri" w:cs="Times New Roman"/>
          <w:sz w:val="24"/>
          <w:szCs w:val="24"/>
          <w:lang w:val="uk-UA"/>
        </w:rPr>
        <w:t>–6</w:t>
      </w:r>
      <w:r w:rsidRPr="00ED35A9">
        <w:rPr>
          <w:rFonts w:eastAsia="Calibri" w:cs="Times New Roman"/>
          <w:sz w:val="24"/>
          <w:szCs w:val="24"/>
          <w:lang w:val="uk-UA"/>
        </w:rPr>
        <w:t>34.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Automated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real-time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nucleic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amplification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technology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rapid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simultaneous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rifampicin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Xpert</w:t>
      </w:r>
      <w:proofErr w:type="spellEnd"/>
      <w:r w:rsidRPr="00ED35A9">
        <w:rPr>
          <w:rFonts w:eastAsia="Calibri" w:cs="Times New Roman"/>
          <w:sz w:val="24"/>
          <w:szCs w:val="24"/>
          <w:lang w:val="uk-UA"/>
        </w:rPr>
        <w:t xml:space="preserve"> MTB/RIF </w:t>
      </w:r>
      <w:proofErr w:type="spellStart"/>
      <w:r w:rsidRPr="00ED35A9">
        <w:rPr>
          <w:rFonts w:eastAsia="Calibri" w:cs="Times New Roman"/>
          <w:sz w:val="24"/>
          <w:szCs w:val="24"/>
          <w:lang w:val="uk-UA"/>
        </w:rPr>
        <w:t>assay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diagnosis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extrapulmonary</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update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2013 </w:t>
      </w:r>
      <w:r w:rsidR="00DA5289" w:rsidRPr="00ED35A9">
        <w:rPr>
          <w:rFonts w:eastAsia="Calibri" w:cs="Times New Roman"/>
          <w:sz w:val="24"/>
          <w:szCs w:val="24"/>
          <w:lang w:val="uk-UA"/>
        </w:rPr>
        <w:t>(WHO/</w:t>
      </w:r>
      <w:r w:rsidRPr="00ED35A9">
        <w:rPr>
          <w:rFonts w:eastAsia="Calibri" w:cs="Times New Roman"/>
          <w:sz w:val="24"/>
          <w:szCs w:val="24"/>
          <w:lang w:val="uk-UA"/>
        </w:rPr>
        <w:t xml:space="preserve">HTM/TB/2013.16; </w:t>
      </w:r>
      <w:hyperlink r:id="rId22" w:history="1">
        <w:r w:rsidRPr="00ED35A9">
          <w:rPr>
            <w:rFonts w:eastAsia="Calibri" w:cs="Times New Roman"/>
            <w:sz w:val="24"/>
            <w:szCs w:val="24"/>
            <w:lang w:val="uk-UA"/>
          </w:rPr>
          <w:t>http://apps.who.int/iris/</w:t>
        </w:r>
        <w:r w:rsidR="00DA5289" w:rsidRPr="00ED35A9">
          <w:rPr>
            <w:rFonts w:eastAsia="Calibri" w:cs="Times New Roman"/>
            <w:sz w:val="24"/>
            <w:szCs w:val="24"/>
            <w:lang w:val="uk-UA"/>
          </w:rPr>
          <w:br/>
        </w:r>
        <w:proofErr w:type="spellStart"/>
        <w:r w:rsidRPr="00ED35A9">
          <w:rPr>
            <w:rFonts w:eastAsia="Calibri" w:cs="Times New Roman"/>
            <w:sz w:val="24"/>
            <w:szCs w:val="24"/>
            <w:lang w:val="uk-UA"/>
          </w:rPr>
          <w:t>bitstream</w:t>
        </w:r>
        <w:proofErr w:type="spellEnd"/>
        <w:r w:rsidRPr="00ED35A9">
          <w:rPr>
            <w:rFonts w:eastAsia="Calibri" w:cs="Times New Roman"/>
            <w:sz w:val="24"/>
            <w:szCs w:val="24"/>
            <w:lang w:val="uk-UA"/>
          </w:rPr>
          <w:t>/10665/112472/l/9789241506335_eng.pdf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molecular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probe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assays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rifampicin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2016 (WHO/HTM/TB/2016.121; </w:t>
      </w:r>
      <w:hyperlink r:id="rId23" w:history="1">
        <w:r w:rsidRPr="00ED35A9">
          <w:rPr>
            <w:rFonts w:eastAsia="Calibri" w:cs="Times New Roman"/>
            <w:sz w:val="24"/>
            <w:szCs w:val="24"/>
            <w:lang w:val="uk-UA"/>
          </w:rPr>
          <w:t>http://apps.who.int/iris/bitstr</w:t>
        </w:r>
      </w:hyperlink>
      <w:r w:rsidRPr="00ED35A9">
        <w:rPr>
          <w:rFonts w:eastAsia="Calibri" w:cs="Times New Roman"/>
          <w:sz w:val="24"/>
          <w:szCs w:val="24"/>
          <w:lang w:val="uk-UA"/>
        </w:rPr>
        <w:t xml:space="preserve">eam/10665/250586/l/9789241511261-eng.pdf?ua=l,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Bollela</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Namburete</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Feliciano</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Macheque</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Harrison</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Caminero</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katG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inhA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mutations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ethionamide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2016</w:t>
      </w:r>
      <w:r w:rsidR="00DA5289" w:rsidRPr="00ED35A9">
        <w:rPr>
          <w:rFonts w:eastAsia="Calibri" w:cs="Times New Roman"/>
          <w:sz w:val="24"/>
          <w:szCs w:val="24"/>
          <w:lang w:val="uk-UA"/>
        </w:rPr>
        <w:t xml:space="preserve">, </w:t>
      </w:r>
      <w:r w:rsidRPr="00ED35A9">
        <w:rPr>
          <w:rFonts w:eastAsia="Calibri" w:cs="Times New Roman"/>
          <w:sz w:val="24"/>
          <w:szCs w:val="24"/>
          <w:lang w:val="uk-UA"/>
        </w:rPr>
        <w:t>20(8):</w:t>
      </w:r>
      <w:r w:rsidR="00DA5289" w:rsidRPr="00ED35A9">
        <w:rPr>
          <w:rFonts w:eastAsia="Calibri" w:cs="Times New Roman"/>
          <w:sz w:val="24"/>
          <w:szCs w:val="24"/>
          <w:lang w:val="uk-UA"/>
        </w:rPr>
        <w:t xml:space="preserve"> </w:t>
      </w:r>
      <w:r w:rsidRPr="00ED35A9">
        <w:rPr>
          <w:rFonts w:eastAsia="Calibri" w:cs="Times New Roman"/>
          <w:sz w:val="24"/>
          <w:szCs w:val="24"/>
          <w:lang w:val="uk-UA"/>
        </w:rPr>
        <w:t>1099</w:t>
      </w:r>
      <w:r w:rsidR="00DA5289" w:rsidRPr="00ED35A9">
        <w:rPr>
          <w:rFonts w:eastAsia="Calibri" w:cs="Times New Roman"/>
          <w:sz w:val="24"/>
          <w:szCs w:val="24"/>
          <w:lang w:val="uk-UA"/>
        </w:rPr>
        <w:t>–1</w:t>
      </w:r>
      <w:r w:rsidRPr="00ED35A9">
        <w:rPr>
          <w:rFonts w:eastAsia="Calibri" w:cs="Times New Roman"/>
          <w:sz w:val="24"/>
          <w:szCs w:val="24"/>
          <w:lang w:val="uk-UA"/>
        </w:rPr>
        <w:t>104.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Blumberg</w:t>
      </w:r>
      <w:proofErr w:type="spellEnd"/>
      <w:r w:rsidRPr="00ED35A9">
        <w:rPr>
          <w:rFonts w:eastAsia="Calibri" w:cs="Times New Roman"/>
          <w:sz w:val="24"/>
          <w:szCs w:val="24"/>
          <w:lang w:val="uk-UA"/>
        </w:rPr>
        <w:t xml:space="preserve"> HM, </w:t>
      </w:r>
      <w:proofErr w:type="spellStart"/>
      <w:r w:rsidRPr="00ED35A9">
        <w:rPr>
          <w:rFonts w:eastAsia="Calibri" w:cs="Times New Roman"/>
          <w:sz w:val="24"/>
          <w:szCs w:val="24"/>
          <w:lang w:val="uk-UA"/>
        </w:rPr>
        <w:t>Burman</w:t>
      </w:r>
      <w:proofErr w:type="spellEnd"/>
      <w:r w:rsidRPr="00ED35A9">
        <w:rPr>
          <w:rFonts w:eastAsia="Calibri" w:cs="Times New Roman"/>
          <w:sz w:val="24"/>
          <w:szCs w:val="24"/>
          <w:lang w:val="uk-UA"/>
        </w:rPr>
        <w:t xml:space="preserve"> WJ, </w:t>
      </w:r>
      <w:proofErr w:type="spellStart"/>
      <w:r w:rsidRPr="00ED35A9">
        <w:rPr>
          <w:rFonts w:eastAsia="Calibri" w:cs="Times New Roman"/>
          <w:sz w:val="24"/>
          <w:szCs w:val="24"/>
          <w:lang w:val="uk-UA"/>
        </w:rPr>
        <w:t>Chaisson</w:t>
      </w:r>
      <w:proofErr w:type="spellEnd"/>
      <w:r w:rsidRPr="00ED35A9">
        <w:rPr>
          <w:rFonts w:eastAsia="Calibri" w:cs="Times New Roman"/>
          <w:sz w:val="24"/>
          <w:szCs w:val="24"/>
          <w:lang w:val="uk-UA"/>
        </w:rPr>
        <w:t xml:space="preserve"> RE, </w:t>
      </w:r>
      <w:proofErr w:type="spellStart"/>
      <w:r w:rsidRPr="00ED35A9">
        <w:rPr>
          <w:rFonts w:eastAsia="Calibri" w:cs="Times New Roman"/>
          <w:sz w:val="24"/>
          <w:szCs w:val="24"/>
          <w:lang w:val="uk-UA"/>
        </w:rPr>
        <w:t>Daley</w:t>
      </w:r>
      <w:proofErr w:type="spellEnd"/>
      <w:r w:rsidRPr="00ED35A9">
        <w:rPr>
          <w:rFonts w:eastAsia="Calibri" w:cs="Times New Roman"/>
          <w:sz w:val="24"/>
          <w:szCs w:val="24"/>
          <w:lang w:val="uk-UA"/>
        </w:rPr>
        <w:t xml:space="preserve"> CL. </w:t>
      </w:r>
      <w:proofErr w:type="spellStart"/>
      <w:r w:rsidRPr="00ED35A9">
        <w:rPr>
          <w:rFonts w:eastAsia="Calibri" w:cs="Times New Roman"/>
          <w:sz w:val="24"/>
          <w:szCs w:val="24"/>
          <w:lang w:val="uk-UA"/>
        </w:rPr>
        <w:t>American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Thoracic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Society</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Centers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Prevention</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Infectious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America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Crit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Care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2003</w:t>
      </w:r>
      <w:r w:rsidR="00DA5289" w:rsidRPr="00ED35A9">
        <w:rPr>
          <w:rFonts w:eastAsia="Calibri" w:cs="Times New Roman"/>
          <w:sz w:val="24"/>
          <w:szCs w:val="24"/>
          <w:lang w:val="uk-UA"/>
        </w:rPr>
        <w:t xml:space="preserve">, </w:t>
      </w:r>
      <w:r w:rsidRPr="00ED35A9">
        <w:rPr>
          <w:rFonts w:eastAsia="Calibri" w:cs="Times New Roman"/>
          <w:sz w:val="24"/>
          <w:szCs w:val="24"/>
          <w:lang w:val="uk-UA"/>
        </w:rPr>
        <w:t>167(4):</w:t>
      </w:r>
      <w:r w:rsidR="00DA5289" w:rsidRPr="00ED35A9">
        <w:rPr>
          <w:rFonts w:eastAsia="Calibri" w:cs="Times New Roman"/>
          <w:sz w:val="24"/>
          <w:szCs w:val="24"/>
          <w:lang w:val="uk-UA"/>
        </w:rPr>
        <w:t xml:space="preserve"> </w:t>
      </w:r>
      <w:r w:rsidRPr="00ED35A9">
        <w:rPr>
          <w:rFonts w:eastAsia="Calibri" w:cs="Times New Roman"/>
          <w:sz w:val="24"/>
          <w:szCs w:val="24"/>
          <w:lang w:val="uk-UA"/>
        </w:rPr>
        <w:t>603.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Ahmad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Minion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Al-Motairi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Benedetti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Harries</w:t>
      </w:r>
      <w:proofErr w:type="spellEnd"/>
      <w:r w:rsidRPr="00ED35A9">
        <w:rPr>
          <w:rFonts w:eastAsia="Calibri" w:cs="Times New Roman"/>
          <w:sz w:val="24"/>
          <w:szCs w:val="24"/>
          <w:lang w:val="uk-UA"/>
        </w:rPr>
        <w:t xml:space="preserve"> AD, </w:t>
      </w:r>
      <w:proofErr w:type="spellStart"/>
      <w:r w:rsidRPr="00ED35A9">
        <w:rPr>
          <w:rFonts w:eastAsia="Calibri" w:cs="Times New Roman"/>
          <w:sz w:val="24"/>
          <w:szCs w:val="24"/>
          <w:lang w:val="uk-UA"/>
        </w:rPr>
        <w:t>Menzies</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updated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systematic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2012</w:t>
      </w:r>
      <w:r w:rsidR="00DA5289" w:rsidRPr="00ED35A9">
        <w:rPr>
          <w:rFonts w:eastAsia="Calibri" w:cs="Times New Roman"/>
          <w:sz w:val="24"/>
          <w:szCs w:val="24"/>
          <w:lang w:val="uk-UA"/>
        </w:rPr>
        <w:t xml:space="preserve">, </w:t>
      </w:r>
      <w:r w:rsidRPr="00ED35A9">
        <w:rPr>
          <w:rFonts w:eastAsia="Calibri" w:cs="Times New Roman"/>
          <w:sz w:val="24"/>
          <w:szCs w:val="24"/>
          <w:lang w:val="uk-UA"/>
        </w:rPr>
        <w:t>55(8):</w:t>
      </w:r>
      <w:r w:rsidR="00DA5289" w:rsidRPr="00ED35A9">
        <w:rPr>
          <w:rFonts w:eastAsia="Calibri" w:cs="Times New Roman"/>
          <w:sz w:val="24"/>
          <w:szCs w:val="24"/>
          <w:lang w:val="uk-UA"/>
        </w:rPr>
        <w:t xml:space="preserve"> </w:t>
      </w:r>
      <w:r w:rsidRPr="00ED35A9">
        <w:rPr>
          <w:rFonts w:eastAsia="Calibri" w:cs="Times New Roman"/>
          <w:sz w:val="24"/>
          <w:szCs w:val="24"/>
          <w:lang w:val="uk-UA"/>
        </w:rPr>
        <w:t>1154</w:t>
      </w:r>
      <w:r w:rsidR="00DA5289" w:rsidRPr="00ED35A9">
        <w:rPr>
          <w:rFonts w:eastAsia="Calibri" w:cs="Times New Roman"/>
          <w:sz w:val="24"/>
          <w:szCs w:val="24"/>
          <w:lang w:val="uk-UA"/>
        </w:rPr>
        <w:t>–11</w:t>
      </w:r>
      <w:r w:rsidRPr="00ED35A9">
        <w:rPr>
          <w:rFonts w:eastAsia="Calibri" w:cs="Times New Roman"/>
          <w:sz w:val="24"/>
          <w:szCs w:val="24"/>
          <w:lang w:val="uk-UA"/>
        </w:rPr>
        <w:t>63.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drug-susceptible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2017 </w:t>
      </w:r>
      <w:proofErr w:type="spellStart"/>
      <w:r w:rsidRPr="00ED35A9">
        <w:rPr>
          <w:rFonts w:eastAsia="Calibri" w:cs="Times New Roman"/>
          <w:sz w:val="24"/>
          <w:szCs w:val="24"/>
          <w:lang w:val="uk-UA"/>
        </w:rPr>
        <w:t>update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2017 (WHO/HTM/TB/2017.05; </w:t>
      </w:r>
      <w:hyperlink r:id="rId24" w:history="1">
        <w:r w:rsidRPr="00ED35A9">
          <w:rPr>
            <w:rFonts w:eastAsia="Calibri" w:cs="Times New Roman"/>
            <w:sz w:val="24"/>
            <w:szCs w:val="24"/>
            <w:lang w:val="uk-UA"/>
          </w:rPr>
          <w:t>http://apps.who.int/</w:t>
        </w:r>
        <w:r w:rsidR="00DA5289" w:rsidRPr="00ED35A9">
          <w:rPr>
            <w:rFonts w:eastAsia="Calibri" w:cs="Times New Roman"/>
            <w:sz w:val="24"/>
            <w:szCs w:val="24"/>
            <w:lang w:val="uk-UA"/>
          </w:rPr>
          <w:br/>
        </w:r>
        <w:proofErr w:type="spellStart"/>
        <w:r w:rsidRPr="00ED35A9">
          <w:rPr>
            <w:rFonts w:eastAsia="Calibri" w:cs="Times New Roman"/>
            <w:sz w:val="24"/>
            <w:szCs w:val="24"/>
            <w:lang w:val="uk-UA"/>
          </w:rPr>
          <w:t>iris</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bitstr</w:t>
        </w:r>
      </w:hyperlink>
      <w:r w:rsidRPr="00ED35A9">
        <w:rPr>
          <w:rFonts w:eastAsia="Calibri" w:cs="Times New Roman"/>
          <w:sz w:val="24"/>
          <w:szCs w:val="24"/>
          <w:lang w:val="uk-UA"/>
        </w:rPr>
        <w:t>eam</w:t>
      </w:r>
      <w:proofErr w:type="spellEnd"/>
      <w:r w:rsidRPr="00ED35A9">
        <w:rPr>
          <w:rFonts w:eastAsia="Calibri" w:cs="Times New Roman"/>
          <w:sz w:val="24"/>
          <w:szCs w:val="24"/>
          <w:lang w:val="uk-UA"/>
        </w:rPr>
        <w:t>/10665/255052/1/9789241550000-eng.pdf</w:t>
      </w:r>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Consolidated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antiretroviral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preventing</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Recommendations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public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approach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second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2016 (</w:t>
      </w:r>
      <w:hyperlink r:id="rId25" w:history="1">
        <w:r w:rsidRPr="00ED35A9">
          <w:rPr>
            <w:rFonts w:eastAsia="Calibri" w:cs="Times New Roman"/>
            <w:sz w:val="24"/>
            <w:szCs w:val="24"/>
            <w:lang w:val="uk-UA"/>
          </w:rPr>
          <w:t>http://apps.who.int/iris/bitstream/10665/208825/l/</w:t>
        </w:r>
        <w:r w:rsidR="00DA5289" w:rsidRPr="00ED35A9">
          <w:rPr>
            <w:rFonts w:eastAsia="Calibri" w:cs="Times New Roman"/>
            <w:sz w:val="24"/>
            <w:szCs w:val="24"/>
            <w:lang w:val="uk-UA"/>
          </w:rPr>
          <w:br/>
        </w:r>
        <w:r w:rsidRPr="00ED35A9">
          <w:rPr>
            <w:rFonts w:eastAsia="Calibri" w:cs="Times New Roman"/>
            <w:sz w:val="24"/>
            <w:szCs w:val="24"/>
            <w:lang w:val="uk-UA"/>
          </w:rPr>
          <w:t>9789241549684_eng.pdf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Zignol</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Dean</w:t>
      </w:r>
      <w:proofErr w:type="spellEnd"/>
      <w:r w:rsidRPr="00ED35A9">
        <w:rPr>
          <w:rFonts w:eastAsia="Calibri" w:cs="Times New Roman"/>
          <w:sz w:val="24"/>
          <w:szCs w:val="24"/>
          <w:lang w:val="uk-UA"/>
        </w:rPr>
        <w:t xml:space="preserve"> AS, </w:t>
      </w:r>
      <w:proofErr w:type="spellStart"/>
      <w:r w:rsidRPr="00ED35A9">
        <w:rPr>
          <w:rFonts w:eastAsia="Calibri" w:cs="Times New Roman"/>
          <w:sz w:val="24"/>
          <w:szCs w:val="24"/>
          <w:lang w:val="uk-UA"/>
        </w:rPr>
        <w:t>Alikhanova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Andres</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Cabibbe</w:t>
      </w:r>
      <w:proofErr w:type="spellEnd"/>
      <w:r w:rsidRPr="00ED35A9">
        <w:rPr>
          <w:rFonts w:eastAsia="Calibri" w:cs="Times New Roman"/>
          <w:sz w:val="24"/>
          <w:szCs w:val="24"/>
          <w:lang w:val="uk-UA"/>
        </w:rPr>
        <w:t xml:space="preserve"> AM, </w:t>
      </w:r>
      <w:proofErr w:type="spellStart"/>
      <w:r w:rsidRPr="00ED35A9">
        <w:rPr>
          <w:rFonts w:eastAsia="Calibri" w:cs="Times New Roman"/>
          <w:sz w:val="24"/>
          <w:szCs w:val="24"/>
          <w:lang w:val="uk-UA"/>
        </w:rPr>
        <w:t>Cirillo</w:t>
      </w:r>
      <w:proofErr w:type="spellEnd"/>
      <w:r w:rsidRPr="00ED35A9">
        <w:rPr>
          <w:rFonts w:eastAsia="Calibri" w:cs="Times New Roman"/>
          <w:sz w:val="24"/>
          <w:szCs w:val="24"/>
          <w:lang w:val="uk-UA"/>
        </w:rPr>
        <w:t xml:space="preserve"> DM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Population-based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Mycobacterium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isolates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pyrazinamide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fluoroquinolones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multicountry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surveillance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project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2016</w:t>
      </w:r>
      <w:r w:rsidR="00DA5289" w:rsidRPr="00ED35A9">
        <w:rPr>
          <w:rFonts w:eastAsia="Calibri" w:cs="Times New Roman"/>
          <w:sz w:val="24"/>
          <w:szCs w:val="24"/>
          <w:lang w:val="uk-UA"/>
        </w:rPr>
        <w:t xml:space="preserve">, </w:t>
      </w:r>
      <w:r w:rsidRPr="00ED35A9">
        <w:rPr>
          <w:rFonts w:eastAsia="Calibri" w:cs="Times New Roman"/>
          <w:sz w:val="24"/>
          <w:szCs w:val="24"/>
          <w:lang w:val="uk-UA"/>
        </w:rPr>
        <w:t>16(10):</w:t>
      </w:r>
      <w:r w:rsidR="00DA5289" w:rsidRPr="00ED35A9">
        <w:rPr>
          <w:rFonts w:eastAsia="Calibri" w:cs="Times New Roman"/>
          <w:sz w:val="24"/>
          <w:szCs w:val="24"/>
          <w:lang w:val="uk-UA"/>
        </w:rPr>
        <w:t xml:space="preserve"> </w:t>
      </w:r>
      <w:r w:rsidRPr="00ED35A9">
        <w:rPr>
          <w:rFonts w:eastAsia="Calibri" w:cs="Times New Roman"/>
          <w:sz w:val="24"/>
          <w:szCs w:val="24"/>
          <w:lang w:val="uk-UA"/>
        </w:rPr>
        <w:t>1185</w:t>
      </w:r>
      <w:r w:rsidR="00DA5289" w:rsidRPr="00ED35A9">
        <w:rPr>
          <w:rFonts w:eastAsia="Calibri" w:cs="Times New Roman"/>
          <w:sz w:val="24"/>
          <w:szCs w:val="24"/>
          <w:lang w:val="uk-UA"/>
        </w:rPr>
        <w:t>–11</w:t>
      </w:r>
      <w:r w:rsidRPr="00ED35A9">
        <w:rPr>
          <w:rFonts w:eastAsia="Calibri" w:cs="Times New Roman"/>
          <w:sz w:val="24"/>
          <w:szCs w:val="24"/>
          <w:lang w:val="uk-UA"/>
        </w:rPr>
        <w:t>92.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molecular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probe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assays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second-line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A52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 xml:space="preserve">2016 (WHO/HTM/TB/2016.07; </w:t>
      </w:r>
      <w:hyperlink r:id="rId26" w:history="1">
        <w:r w:rsidRPr="00ED35A9">
          <w:rPr>
            <w:rFonts w:eastAsia="Calibri" w:cs="Times New Roman"/>
            <w:sz w:val="24"/>
            <w:szCs w:val="24"/>
            <w:lang w:val="uk-UA"/>
          </w:rPr>
          <w:t>http://www.who.int/</w:t>
        </w:r>
      </w:hyperlink>
      <w:r w:rsidRPr="00ED35A9">
        <w:rPr>
          <w:rFonts w:eastAsia="Calibri" w:cs="Times New Roman"/>
          <w:sz w:val="24"/>
          <w:szCs w:val="24"/>
          <w:lang w:val="uk-UA"/>
        </w:rPr>
        <w:t xml:space="preserve">tb/publications/lpa-mdr-diagnostics/en/,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Ramachandran</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Kumar</w:t>
      </w:r>
      <w:proofErr w:type="spellEnd"/>
      <w:r w:rsidRPr="00ED35A9">
        <w:rPr>
          <w:rFonts w:eastAsia="Calibri" w:cs="Times New Roman"/>
          <w:sz w:val="24"/>
          <w:szCs w:val="24"/>
          <w:lang w:val="uk-UA"/>
        </w:rPr>
        <w:t xml:space="preserve"> AH, </w:t>
      </w:r>
      <w:proofErr w:type="spellStart"/>
      <w:r w:rsidRPr="00ED35A9">
        <w:rPr>
          <w:rFonts w:eastAsia="Calibri" w:cs="Times New Roman"/>
          <w:sz w:val="24"/>
          <w:szCs w:val="24"/>
          <w:lang w:val="uk-UA"/>
        </w:rPr>
        <w:t>Srinivasan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Geetharani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Sugirda</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Nandhakumar</w:t>
      </w:r>
      <w:proofErr w:type="spellEnd"/>
      <w:r w:rsidRPr="00ED35A9">
        <w:rPr>
          <w:rFonts w:eastAsia="Calibri" w:cs="Times New Roman"/>
          <w:sz w:val="24"/>
          <w:szCs w:val="24"/>
          <w:lang w:val="uk-UA"/>
        </w:rPr>
        <w:t xml:space="preserve"> В </w:t>
      </w:r>
      <w:proofErr w:type="spellStart"/>
      <w:r w:rsidRPr="00ED35A9">
        <w:rPr>
          <w:rFonts w:eastAsia="Calibri" w:cs="Times New Roman"/>
          <w:sz w:val="24"/>
          <w:szCs w:val="24"/>
          <w:lang w:val="uk-UA"/>
        </w:rPr>
        <w:t>et</w:t>
      </w:r>
      <w:proofErr w:type="spellEnd"/>
      <w:r w:rsidR="00334BFD" w:rsidRPr="00ED35A9">
        <w:rPr>
          <w:rFonts w:eastAsia="Calibri" w:cs="Times New Roman"/>
          <w:sz w:val="24"/>
          <w:szCs w:val="24"/>
          <w:lang w:val="uk-UA"/>
        </w:rPr>
        <w:t>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rifampicin</w:t>
      </w:r>
      <w:proofErr w:type="spellEnd"/>
      <w:r w:rsidRPr="00ED35A9">
        <w:rPr>
          <w:rFonts w:eastAsia="Calibri" w:cs="Times New Roman"/>
          <w:sz w:val="24"/>
          <w:szCs w:val="24"/>
          <w:lang w:val="uk-UA"/>
        </w:rPr>
        <w:t xml:space="preserve"> &amp; </w:t>
      </w:r>
      <w:proofErr w:type="spellStart"/>
      <w:r w:rsidRPr="00ED35A9">
        <w:rPr>
          <w:rFonts w:eastAsia="Calibri" w:cs="Times New Roman"/>
          <w:sz w:val="24"/>
          <w:szCs w:val="24"/>
          <w:lang w:val="uk-UA"/>
        </w:rPr>
        <w:t>isoniazid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steady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pharmacokinetics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moxifloxacin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Indian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2012</w:t>
      </w:r>
      <w:r w:rsidR="00DA5289" w:rsidRPr="00ED35A9">
        <w:rPr>
          <w:rFonts w:eastAsia="Calibri" w:cs="Times New Roman"/>
          <w:sz w:val="24"/>
          <w:szCs w:val="24"/>
          <w:lang w:val="uk-UA"/>
        </w:rPr>
        <w:t xml:space="preserve">, </w:t>
      </w:r>
      <w:r w:rsidRPr="00ED35A9">
        <w:rPr>
          <w:rFonts w:eastAsia="Calibri" w:cs="Times New Roman"/>
          <w:sz w:val="24"/>
          <w:szCs w:val="24"/>
          <w:lang w:val="uk-UA"/>
        </w:rPr>
        <w:t>136(6):</w:t>
      </w:r>
      <w:r w:rsidR="00DA5289" w:rsidRPr="00ED35A9">
        <w:rPr>
          <w:rFonts w:eastAsia="Calibri" w:cs="Times New Roman"/>
          <w:sz w:val="24"/>
          <w:szCs w:val="24"/>
          <w:lang w:val="uk-UA"/>
        </w:rPr>
        <w:t xml:space="preserve"> </w:t>
      </w:r>
      <w:r w:rsidRPr="00ED35A9">
        <w:rPr>
          <w:rFonts w:eastAsia="Calibri" w:cs="Times New Roman"/>
          <w:sz w:val="24"/>
          <w:szCs w:val="24"/>
          <w:lang w:val="uk-UA"/>
        </w:rPr>
        <w:t>979.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Fish</w:t>
      </w:r>
      <w:proofErr w:type="spellEnd"/>
      <w:r w:rsidRPr="00ED35A9">
        <w:rPr>
          <w:rFonts w:eastAsia="Calibri" w:cs="Times New Roman"/>
          <w:sz w:val="24"/>
          <w:szCs w:val="24"/>
          <w:lang w:val="uk-UA"/>
        </w:rPr>
        <w:t xml:space="preserve"> DN, </w:t>
      </w:r>
      <w:proofErr w:type="spellStart"/>
      <w:r w:rsidRPr="00ED35A9">
        <w:rPr>
          <w:rFonts w:eastAsia="Calibri" w:cs="Times New Roman"/>
          <w:sz w:val="24"/>
          <w:szCs w:val="24"/>
          <w:lang w:val="uk-UA"/>
        </w:rPr>
        <w:t>Chow</w:t>
      </w:r>
      <w:proofErr w:type="spellEnd"/>
      <w:r w:rsidRPr="00ED35A9">
        <w:rPr>
          <w:rFonts w:eastAsia="Calibri" w:cs="Times New Roman"/>
          <w:sz w:val="24"/>
          <w:szCs w:val="24"/>
          <w:lang w:val="uk-UA"/>
        </w:rPr>
        <w:t xml:space="preserve"> AT.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pharmacokinetics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levofloxacin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Pharmacokinet</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1997</w:t>
      </w:r>
      <w:r w:rsidR="00DA5289" w:rsidRPr="00ED35A9">
        <w:rPr>
          <w:rFonts w:eastAsia="Calibri" w:cs="Times New Roman"/>
          <w:sz w:val="24"/>
          <w:szCs w:val="24"/>
          <w:lang w:val="uk-UA"/>
        </w:rPr>
        <w:t xml:space="preserve">, </w:t>
      </w:r>
      <w:r w:rsidRPr="00ED35A9">
        <w:rPr>
          <w:rFonts w:eastAsia="Calibri" w:cs="Times New Roman"/>
          <w:sz w:val="24"/>
          <w:szCs w:val="24"/>
          <w:lang w:val="uk-UA"/>
        </w:rPr>
        <w:t>32(2):</w:t>
      </w:r>
      <w:r w:rsidR="00DA5289" w:rsidRPr="00ED35A9">
        <w:rPr>
          <w:rFonts w:eastAsia="Calibri" w:cs="Times New Roman"/>
          <w:sz w:val="24"/>
          <w:szCs w:val="24"/>
          <w:lang w:val="uk-UA"/>
        </w:rPr>
        <w:t xml:space="preserve"> </w:t>
      </w:r>
      <w:r w:rsidRPr="00ED35A9">
        <w:rPr>
          <w:rFonts w:eastAsia="Calibri" w:cs="Times New Roman"/>
          <w:sz w:val="24"/>
          <w:szCs w:val="24"/>
          <w:lang w:val="uk-UA"/>
        </w:rPr>
        <w:t>101</w:t>
      </w:r>
      <w:r w:rsidR="00DA5289" w:rsidRPr="00ED35A9">
        <w:rPr>
          <w:rFonts w:eastAsia="Calibri" w:cs="Times New Roman"/>
          <w:sz w:val="24"/>
          <w:szCs w:val="24"/>
          <w:lang w:val="uk-UA"/>
        </w:rPr>
        <w:t>–1</w:t>
      </w:r>
      <w:r w:rsidRPr="00ED35A9">
        <w:rPr>
          <w:rFonts w:eastAsia="Calibri" w:cs="Times New Roman"/>
          <w:sz w:val="24"/>
          <w:szCs w:val="24"/>
          <w:lang w:val="uk-UA"/>
        </w:rPr>
        <w:t>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HIV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interactions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University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Liverpool</w:t>
      </w:r>
      <w:proofErr w:type="spellEnd"/>
      <w:r w:rsidRPr="00ED35A9">
        <w:rPr>
          <w:rFonts w:eastAsia="Calibri" w:cs="Times New Roman"/>
          <w:sz w:val="24"/>
          <w:szCs w:val="24"/>
          <w:lang w:val="uk-UA"/>
        </w:rPr>
        <w:t xml:space="preserve"> </w:t>
      </w:r>
      <w:r w:rsidR="00DA5289"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w:t>
      </w:r>
      <w:hyperlink r:id="rId27" w:history="1">
        <w:r w:rsidRPr="00ED35A9">
          <w:rPr>
            <w:rFonts w:eastAsia="Calibri" w:cs="Times New Roman"/>
            <w:sz w:val="24"/>
            <w:szCs w:val="24"/>
            <w:lang w:val="uk-UA"/>
          </w:rPr>
          <w:t>https://www.hiv-druginteractions.org/checker</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Lempens</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Meehan</w:t>
      </w:r>
      <w:proofErr w:type="spellEnd"/>
      <w:r w:rsidRPr="00ED35A9">
        <w:rPr>
          <w:rFonts w:eastAsia="Calibri" w:cs="Times New Roman"/>
          <w:sz w:val="24"/>
          <w:szCs w:val="24"/>
          <w:lang w:val="uk-UA"/>
        </w:rPr>
        <w:t xml:space="preserve"> CJ, </w:t>
      </w:r>
      <w:proofErr w:type="spellStart"/>
      <w:r w:rsidRPr="00ED35A9">
        <w:rPr>
          <w:rFonts w:eastAsia="Calibri" w:cs="Times New Roman"/>
          <w:sz w:val="24"/>
          <w:szCs w:val="24"/>
          <w:lang w:val="uk-UA"/>
        </w:rPr>
        <w:t>Vandelannoote</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Fissette</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Ryk</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Deun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levels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Mycobacterium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largely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predicted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high-confidence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resistance-conferring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mutations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Sci</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Rep</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2018</w:t>
      </w:r>
      <w:r w:rsidR="00DA5289" w:rsidRPr="00ED35A9">
        <w:rPr>
          <w:rFonts w:eastAsia="Calibri" w:cs="Times New Roman"/>
          <w:sz w:val="24"/>
          <w:szCs w:val="24"/>
          <w:lang w:val="uk-UA"/>
        </w:rPr>
        <w:t xml:space="preserve">, </w:t>
      </w:r>
      <w:r w:rsidRPr="00ED35A9">
        <w:rPr>
          <w:rFonts w:eastAsia="Calibri" w:cs="Times New Roman"/>
          <w:sz w:val="24"/>
          <w:szCs w:val="24"/>
          <w:lang w:val="uk-UA"/>
        </w:rPr>
        <w:t>8(1):</w:t>
      </w:r>
      <w:r w:rsidR="00DA5289" w:rsidRPr="00ED35A9">
        <w:rPr>
          <w:rFonts w:eastAsia="Calibri" w:cs="Times New Roman"/>
          <w:sz w:val="24"/>
          <w:szCs w:val="24"/>
          <w:lang w:val="uk-UA"/>
        </w:rPr>
        <w:t xml:space="preserve"> </w:t>
      </w:r>
      <w:r w:rsidRPr="00ED35A9">
        <w:rPr>
          <w:rFonts w:eastAsia="Calibri" w:cs="Times New Roman"/>
          <w:sz w:val="24"/>
          <w:szCs w:val="24"/>
          <w:lang w:val="uk-UA"/>
        </w:rPr>
        <w:t>3246.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Nahid</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Dorman</w:t>
      </w:r>
      <w:proofErr w:type="spellEnd"/>
      <w:r w:rsidRPr="00ED35A9">
        <w:rPr>
          <w:rFonts w:eastAsia="Calibri" w:cs="Times New Roman"/>
          <w:sz w:val="24"/>
          <w:szCs w:val="24"/>
          <w:lang w:val="uk-UA"/>
        </w:rPr>
        <w:t xml:space="preserve"> SE, </w:t>
      </w:r>
      <w:proofErr w:type="spellStart"/>
      <w:r w:rsidRPr="00ED35A9">
        <w:rPr>
          <w:rFonts w:eastAsia="Calibri" w:cs="Times New Roman"/>
          <w:sz w:val="24"/>
          <w:szCs w:val="24"/>
          <w:lang w:val="uk-UA"/>
        </w:rPr>
        <w:t>Alipanah</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Barry</w:t>
      </w:r>
      <w:proofErr w:type="spellEnd"/>
      <w:r w:rsidRPr="00ED35A9">
        <w:rPr>
          <w:rFonts w:eastAsia="Calibri" w:cs="Times New Roman"/>
          <w:sz w:val="24"/>
          <w:szCs w:val="24"/>
          <w:lang w:val="uk-UA"/>
        </w:rPr>
        <w:t xml:space="preserve"> PM, </w:t>
      </w:r>
      <w:proofErr w:type="spellStart"/>
      <w:r w:rsidRPr="00ED35A9">
        <w:rPr>
          <w:rFonts w:eastAsia="Calibri" w:cs="Times New Roman"/>
          <w:sz w:val="24"/>
          <w:szCs w:val="24"/>
          <w:lang w:val="uk-UA"/>
        </w:rPr>
        <w:t>Brozek</w:t>
      </w:r>
      <w:proofErr w:type="spellEnd"/>
      <w:r w:rsidRPr="00ED35A9">
        <w:rPr>
          <w:rFonts w:eastAsia="Calibri" w:cs="Times New Roman"/>
          <w:sz w:val="24"/>
          <w:szCs w:val="24"/>
          <w:lang w:val="uk-UA"/>
        </w:rPr>
        <w:t xml:space="preserve"> JL, </w:t>
      </w:r>
      <w:proofErr w:type="spellStart"/>
      <w:r w:rsidRPr="00ED35A9">
        <w:rPr>
          <w:rFonts w:eastAsia="Calibri" w:cs="Times New Roman"/>
          <w:sz w:val="24"/>
          <w:szCs w:val="24"/>
          <w:lang w:val="uk-UA"/>
        </w:rPr>
        <w:t>Cattamanchi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Official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American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Thoracic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Society</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Centers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Prevention</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Infectious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Diseases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America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Practice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drug-susceptible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A5289" w:rsidRPr="00ED35A9">
        <w:rPr>
          <w:rFonts w:eastAsia="Calibri" w:cs="Times New Roman"/>
          <w:sz w:val="24"/>
          <w:szCs w:val="24"/>
          <w:lang w:val="uk-UA"/>
        </w:rPr>
        <w:t xml:space="preserve">, </w:t>
      </w:r>
      <w:r w:rsidRPr="00ED35A9">
        <w:rPr>
          <w:rFonts w:eastAsia="Calibri" w:cs="Times New Roman"/>
          <w:sz w:val="24"/>
          <w:szCs w:val="24"/>
          <w:lang w:val="uk-UA"/>
        </w:rPr>
        <w:t>2016</w:t>
      </w:r>
      <w:r w:rsidR="00DA5289" w:rsidRPr="00ED35A9">
        <w:rPr>
          <w:rFonts w:eastAsia="Calibri" w:cs="Times New Roman"/>
          <w:sz w:val="24"/>
          <w:szCs w:val="24"/>
          <w:lang w:val="uk-UA"/>
        </w:rPr>
        <w:t xml:space="preserve">, </w:t>
      </w:r>
      <w:r w:rsidRPr="00ED35A9">
        <w:rPr>
          <w:rFonts w:eastAsia="Calibri" w:cs="Times New Roman"/>
          <w:sz w:val="24"/>
          <w:szCs w:val="24"/>
          <w:lang w:val="uk-UA"/>
        </w:rPr>
        <w:t>63(7):</w:t>
      </w:r>
      <w:r w:rsidR="00DA5289" w:rsidRPr="00ED35A9">
        <w:rPr>
          <w:rFonts w:eastAsia="Calibri" w:cs="Times New Roman"/>
          <w:sz w:val="24"/>
          <w:szCs w:val="24"/>
          <w:lang w:val="uk-UA"/>
        </w:rPr>
        <w:t xml:space="preserve"> </w:t>
      </w:r>
      <w:r w:rsidRPr="00ED35A9">
        <w:rPr>
          <w:rFonts w:eastAsia="Calibri" w:cs="Times New Roman"/>
          <w:sz w:val="24"/>
          <w:szCs w:val="24"/>
          <w:lang w:val="uk-UA"/>
        </w:rPr>
        <w:t>e</w:t>
      </w:r>
      <w:r w:rsidR="00DA5289" w:rsidRPr="00ED35A9">
        <w:rPr>
          <w:rFonts w:eastAsia="Calibri" w:cs="Times New Roman"/>
          <w:sz w:val="24"/>
          <w:szCs w:val="24"/>
          <w:lang w:val="uk-UA"/>
        </w:rPr>
        <w:t>1</w:t>
      </w:r>
      <w:r w:rsidRPr="00ED35A9">
        <w:rPr>
          <w:rFonts w:eastAsia="Calibri" w:cs="Times New Roman"/>
          <w:sz w:val="24"/>
          <w:szCs w:val="24"/>
          <w:lang w:val="uk-UA"/>
        </w:rPr>
        <w:t>47</w:t>
      </w:r>
      <w:r w:rsidR="00DA5289" w:rsidRPr="00ED35A9">
        <w:rPr>
          <w:rFonts w:eastAsia="Calibri" w:cs="Times New Roman"/>
          <w:sz w:val="24"/>
          <w:szCs w:val="24"/>
          <w:lang w:val="uk-UA"/>
        </w:rPr>
        <w:t>–e1</w:t>
      </w:r>
      <w:r w:rsidRPr="00ED35A9">
        <w:rPr>
          <w:rFonts w:eastAsia="Calibri" w:cs="Times New Roman"/>
          <w:sz w:val="24"/>
          <w:szCs w:val="24"/>
          <w:lang w:val="uk-UA"/>
        </w:rPr>
        <w:t>95.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isoniazid-resistant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Supplement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WHO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Pr="00ED35A9">
        <w:rPr>
          <w:rFonts w:eastAsia="Calibri" w:cs="Times New Roman"/>
          <w:sz w:val="24"/>
          <w:szCs w:val="24"/>
          <w:lang w:val="uk-UA"/>
        </w:rPr>
        <w:t>. 2018 (WHO/CDS/TB/2018.7</w:t>
      </w:r>
      <w:r w:rsidR="00301DB4" w:rsidRPr="00ED35A9">
        <w:rPr>
          <w:rFonts w:eastAsia="Calibri" w:cs="Times New Roman"/>
          <w:sz w:val="24"/>
          <w:szCs w:val="24"/>
          <w:lang w:val="uk-UA"/>
        </w:rPr>
        <w:t xml:space="preserve">; </w:t>
      </w:r>
      <w:r w:rsidRPr="00ED35A9">
        <w:rPr>
          <w:rFonts w:eastAsia="Calibri" w:cs="Times New Roman"/>
          <w:sz w:val="24"/>
          <w:szCs w:val="24"/>
          <w:lang w:val="uk-UA"/>
        </w:rPr>
        <w:t>http://apps.who.int/iris/bitstream/handle/10665/260494/</w:t>
      </w:r>
      <w:r w:rsidR="00301DB4" w:rsidRPr="00ED35A9">
        <w:rPr>
          <w:rFonts w:eastAsia="Calibri" w:cs="Times New Roman"/>
          <w:sz w:val="24"/>
          <w:szCs w:val="24"/>
          <w:lang w:val="uk-UA"/>
        </w:rPr>
        <w:br/>
      </w:r>
      <w:r w:rsidRPr="00ED35A9">
        <w:rPr>
          <w:rFonts w:eastAsia="Calibri" w:cs="Times New Roman"/>
          <w:sz w:val="24"/>
          <w:szCs w:val="24"/>
          <w:lang w:val="uk-UA"/>
        </w:rPr>
        <w:t xml:space="preserve">9789241550079-eng.pdf,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Global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Facility</w:t>
      </w:r>
      <w:proofErr w:type="spellEnd"/>
      <w:r w:rsidRPr="00ED35A9">
        <w:rPr>
          <w:rFonts w:eastAsia="Calibri" w:cs="Times New Roman"/>
          <w:sz w:val="24"/>
          <w:szCs w:val="24"/>
          <w:lang w:val="uk-UA"/>
        </w:rPr>
        <w:t xml:space="preserve"> (GDF) </w:t>
      </w:r>
      <w:proofErr w:type="spellStart"/>
      <w:r w:rsidRPr="00ED35A9">
        <w:rPr>
          <w:rFonts w:eastAsia="Calibri" w:cs="Times New Roman"/>
          <w:sz w:val="24"/>
          <w:szCs w:val="24"/>
          <w:lang w:val="uk-UA"/>
        </w:rPr>
        <w:t>Products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Stop</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Partnership</w:t>
      </w:r>
      <w:proofErr w:type="spellEnd"/>
      <w:r w:rsidRPr="00ED35A9">
        <w:rPr>
          <w:rFonts w:eastAsia="Calibri" w:cs="Times New Roman"/>
          <w:sz w:val="24"/>
          <w:szCs w:val="24"/>
          <w:lang w:val="uk-UA"/>
        </w:rPr>
        <w:t xml:space="preserve"> </w:t>
      </w:r>
      <w:r w:rsidR="00301DB4"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301DB4"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Stop</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Partnership</w:t>
      </w:r>
      <w:proofErr w:type="spellEnd"/>
      <w:r w:rsidRPr="00ED35A9">
        <w:rPr>
          <w:rFonts w:eastAsia="Calibri" w:cs="Times New Roman"/>
          <w:sz w:val="24"/>
          <w:szCs w:val="24"/>
          <w:lang w:val="uk-UA"/>
        </w:rPr>
        <w:t xml:space="preserve"> (</w:t>
      </w:r>
      <w:hyperlink r:id="rId28" w:history="1">
        <w:r w:rsidRPr="00ED35A9">
          <w:rPr>
            <w:rFonts w:eastAsia="Calibri" w:cs="Times New Roman"/>
            <w:sz w:val="24"/>
            <w:szCs w:val="24"/>
            <w:lang w:val="uk-UA"/>
          </w:rPr>
          <w:t>http://www.stoptb.org/gdf/drugsupply/drugs_diagnostics.asp</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Guidance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second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 xml:space="preserve">2014 (WHO/TB/2014.03; </w:t>
      </w:r>
      <w:hyperlink r:id="rId29" w:history="1">
        <w:r w:rsidRPr="00ED35A9">
          <w:rPr>
            <w:rFonts w:eastAsia="Calibri" w:cs="Times New Roman"/>
            <w:sz w:val="24"/>
            <w:szCs w:val="24"/>
            <w:lang w:val="uk-UA"/>
          </w:rPr>
          <w:t>http://apps.who.int/iris/</w:t>
        </w:r>
      </w:hyperlink>
      <w:r w:rsidRPr="00ED35A9">
        <w:rPr>
          <w:rFonts w:eastAsia="Calibri" w:cs="Times New Roman"/>
          <w:sz w:val="24"/>
          <w:szCs w:val="24"/>
          <w:lang w:val="uk-UA"/>
        </w:rPr>
        <w:t xml:space="preserve">bitstream/10665/112360/l/9789241548748_eng.pdf,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Global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report</w:t>
      </w:r>
      <w:proofErr w:type="spellEnd"/>
      <w:r w:rsidRPr="00ED35A9">
        <w:rPr>
          <w:rFonts w:eastAsia="Calibri" w:cs="Times New Roman"/>
          <w:sz w:val="24"/>
          <w:szCs w:val="24"/>
          <w:lang w:val="uk-UA"/>
        </w:rPr>
        <w:t xml:space="preserve"> 2018.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w:t>
      </w:r>
      <w:r w:rsidR="00301DB4" w:rsidRPr="00ED35A9">
        <w:rPr>
          <w:rFonts w:eastAsia="Calibri" w:cs="Times New Roman"/>
          <w:sz w:val="24"/>
          <w:szCs w:val="24"/>
          <w:lang w:val="uk-UA"/>
        </w:rPr>
        <w:t>18 (WHO/CDS/TB/2018.20; http://</w:t>
      </w:r>
      <w:r w:rsidRPr="00ED35A9">
        <w:rPr>
          <w:rFonts w:eastAsia="Calibri" w:cs="Times New Roman"/>
          <w:sz w:val="24"/>
          <w:szCs w:val="24"/>
          <w:lang w:val="uk-UA"/>
        </w:rPr>
        <w:t>apps.who.int/iris/bitstream/handle/10665/274453/</w:t>
      </w:r>
      <w:r w:rsidR="00301DB4" w:rsidRPr="00ED35A9">
        <w:rPr>
          <w:rFonts w:eastAsia="Calibri" w:cs="Times New Roman"/>
          <w:sz w:val="24"/>
          <w:szCs w:val="24"/>
          <w:lang w:val="uk-UA"/>
        </w:rPr>
        <w:br/>
      </w:r>
      <w:r w:rsidRPr="00ED35A9">
        <w:rPr>
          <w:rFonts w:eastAsia="Calibri" w:cs="Times New Roman"/>
          <w:sz w:val="24"/>
          <w:szCs w:val="24"/>
          <w:lang w:val="uk-UA"/>
        </w:rPr>
        <w:t xml:space="preserve">9789241565646-eng.pdf,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Ahuja</w:t>
      </w:r>
      <w:proofErr w:type="spellEnd"/>
      <w:r w:rsidRPr="00ED35A9">
        <w:rPr>
          <w:rFonts w:eastAsia="Calibri" w:cs="Times New Roman"/>
          <w:sz w:val="24"/>
          <w:szCs w:val="24"/>
          <w:lang w:val="uk-UA"/>
        </w:rPr>
        <w:t xml:space="preserve"> SD, </w:t>
      </w:r>
      <w:proofErr w:type="spellStart"/>
      <w:r w:rsidRPr="00ED35A9">
        <w:rPr>
          <w:rFonts w:eastAsia="Calibri" w:cs="Times New Roman"/>
          <w:sz w:val="24"/>
          <w:szCs w:val="24"/>
          <w:lang w:val="uk-UA"/>
        </w:rPr>
        <w:t>Ashkin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Avendano</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Banerjee</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Bauer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Bayona</w:t>
      </w:r>
      <w:proofErr w:type="spellEnd"/>
      <w:r w:rsidRPr="00ED35A9">
        <w:rPr>
          <w:rFonts w:eastAsia="Calibri" w:cs="Times New Roman"/>
          <w:sz w:val="24"/>
          <w:szCs w:val="24"/>
          <w:lang w:val="uk-UA"/>
        </w:rPr>
        <w:t xml:space="preserve"> JN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individual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data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9,153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2012</w:t>
      </w:r>
      <w:r w:rsidR="00301DB4" w:rsidRPr="00ED35A9">
        <w:rPr>
          <w:rFonts w:eastAsia="Calibri" w:cs="Times New Roman"/>
          <w:sz w:val="24"/>
          <w:szCs w:val="24"/>
          <w:lang w:val="uk-UA"/>
        </w:rPr>
        <w:t xml:space="preserve">, </w:t>
      </w:r>
      <w:r w:rsidRPr="00ED35A9">
        <w:rPr>
          <w:rFonts w:eastAsia="Calibri" w:cs="Times New Roman"/>
          <w:sz w:val="24"/>
          <w:szCs w:val="24"/>
          <w:lang w:val="uk-UA"/>
        </w:rPr>
        <w:t>9(8):</w:t>
      </w:r>
      <w:r w:rsidR="00301DB4" w:rsidRPr="00ED35A9">
        <w:rPr>
          <w:rFonts w:eastAsia="Calibri" w:cs="Times New Roman"/>
          <w:sz w:val="24"/>
          <w:szCs w:val="24"/>
          <w:lang w:val="uk-UA"/>
        </w:rPr>
        <w:t xml:space="preserve"> </w:t>
      </w:r>
      <w:r w:rsidRPr="00ED35A9">
        <w:rPr>
          <w:rFonts w:eastAsia="Calibri" w:cs="Times New Roman"/>
          <w:sz w:val="24"/>
          <w:szCs w:val="24"/>
          <w:lang w:val="uk-UA"/>
        </w:rPr>
        <w:t>el001300.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Ahmad</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Ahuja</w:t>
      </w:r>
      <w:proofErr w:type="spellEnd"/>
      <w:r w:rsidRPr="00ED35A9">
        <w:rPr>
          <w:rFonts w:eastAsia="Calibri" w:cs="Times New Roman"/>
          <w:sz w:val="24"/>
          <w:szCs w:val="24"/>
          <w:lang w:val="uk-UA"/>
        </w:rPr>
        <w:t xml:space="preserve"> SD, </w:t>
      </w:r>
      <w:proofErr w:type="spellStart"/>
      <w:r w:rsidRPr="00ED35A9">
        <w:rPr>
          <w:rFonts w:eastAsia="Calibri" w:cs="Times New Roman"/>
          <w:sz w:val="24"/>
          <w:szCs w:val="24"/>
          <w:lang w:val="uk-UA"/>
        </w:rPr>
        <w:t>Akkerman</w:t>
      </w:r>
      <w:proofErr w:type="spellEnd"/>
      <w:r w:rsidRPr="00ED35A9">
        <w:rPr>
          <w:rFonts w:eastAsia="Calibri" w:cs="Times New Roman"/>
          <w:sz w:val="24"/>
          <w:szCs w:val="24"/>
          <w:lang w:val="uk-UA"/>
        </w:rPr>
        <w:t xml:space="preserve"> OW, </w:t>
      </w:r>
      <w:proofErr w:type="spellStart"/>
      <w:r w:rsidRPr="00ED35A9">
        <w:rPr>
          <w:rFonts w:eastAsia="Calibri" w:cs="Times New Roman"/>
          <w:sz w:val="24"/>
          <w:szCs w:val="24"/>
          <w:lang w:val="uk-UA"/>
        </w:rPr>
        <w:t>Alffenaar</w:t>
      </w:r>
      <w:proofErr w:type="spellEnd"/>
      <w:r w:rsidRPr="00ED35A9">
        <w:rPr>
          <w:rFonts w:eastAsia="Calibri" w:cs="Times New Roman"/>
          <w:sz w:val="24"/>
          <w:szCs w:val="24"/>
          <w:lang w:val="uk-UA"/>
        </w:rPr>
        <w:t xml:space="preserve"> J-WC, </w:t>
      </w:r>
      <w:proofErr w:type="spellStart"/>
      <w:r w:rsidRPr="00ED35A9">
        <w:rPr>
          <w:rFonts w:eastAsia="Calibri" w:cs="Times New Roman"/>
          <w:sz w:val="24"/>
          <w:szCs w:val="24"/>
          <w:lang w:val="uk-UA"/>
        </w:rPr>
        <w:t>Anderson</w:t>
      </w:r>
      <w:proofErr w:type="spellEnd"/>
      <w:r w:rsidRPr="00ED35A9">
        <w:rPr>
          <w:rFonts w:eastAsia="Calibri" w:cs="Times New Roman"/>
          <w:sz w:val="24"/>
          <w:szCs w:val="24"/>
          <w:lang w:val="uk-UA"/>
        </w:rPr>
        <w:t xml:space="preserve"> LF, </w:t>
      </w:r>
      <w:proofErr w:type="spellStart"/>
      <w:r w:rsidRPr="00ED35A9">
        <w:rPr>
          <w:rFonts w:eastAsia="Calibri" w:cs="Times New Roman"/>
          <w:sz w:val="24"/>
          <w:szCs w:val="24"/>
          <w:lang w:val="uk-UA"/>
        </w:rPr>
        <w:t>Baghaei</w:t>
      </w:r>
      <w:proofErr w:type="spellEnd"/>
      <w:r w:rsidRPr="00ED35A9">
        <w:rPr>
          <w:rFonts w:eastAsia="Calibri" w:cs="Times New Roman"/>
          <w:sz w:val="24"/>
          <w:szCs w:val="24"/>
          <w:lang w:val="uk-UA"/>
        </w:rPr>
        <w:t xml:space="preserve"> P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correlates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successful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individual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data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2018</w:t>
      </w:r>
      <w:r w:rsidR="00301DB4" w:rsidRPr="00ED35A9">
        <w:rPr>
          <w:rFonts w:eastAsia="Calibri" w:cs="Times New Roman"/>
          <w:sz w:val="24"/>
          <w:szCs w:val="24"/>
          <w:lang w:val="uk-UA"/>
        </w:rPr>
        <w:t xml:space="preserve">, </w:t>
      </w:r>
      <w:r w:rsidRPr="00ED35A9">
        <w:rPr>
          <w:rFonts w:eastAsia="Calibri" w:cs="Times New Roman"/>
          <w:sz w:val="24"/>
          <w:szCs w:val="24"/>
          <w:lang w:val="uk-UA"/>
        </w:rPr>
        <w:t>392(10150):</w:t>
      </w:r>
      <w:r w:rsidR="00301DB4" w:rsidRPr="00ED35A9">
        <w:rPr>
          <w:rFonts w:eastAsia="Calibri" w:cs="Times New Roman"/>
          <w:sz w:val="24"/>
          <w:szCs w:val="24"/>
          <w:lang w:val="uk-UA"/>
        </w:rPr>
        <w:t xml:space="preserve"> </w:t>
      </w:r>
      <w:r w:rsidRPr="00ED35A9">
        <w:rPr>
          <w:rFonts w:eastAsia="Calibri" w:cs="Times New Roman"/>
          <w:sz w:val="24"/>
          <w:szCs w:val="24"/>
          <w:lang w:val="uk-UA"/>
        </w:rPr>
        <w:t>821</w:t>
      </w:r>
      <w:r w:rsidR="00301DB4" w:rsidRPr="00ED35A9">
        <w:rPr>
          <w:rFonts w:eastAsia="Calibri" w:cs="Times New Roman"/>
          <w:sz w:val="24"/>
          <w:szCs w:val="24"/>
          <w:lang w:val="uk-UA"/>
        </w:rPr>
        <w:t>–8</w:t>
      </w:r>
      <w:r w:rsidRPr="00ED35A9">
        <w:rPr>
          <w:rFonts w:eastAsia="Calibri" w:cs="Times New Roman"/>
          <w:sz w:val="24"/>
          <w:szCs w:val="24"/>
          <w:lang w:val="uk-UA"/>
        </w:rPr>
        <w:t>34.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Harausz</w:t>
      </w:r>
      <w:proofErr w:type="spellEnd"/>
      <w:r w:rsidRPr="00ED35A9">
        <w:rPr>
          <w:rFonts w:eastAsia="Calibri" w:cs="Times New Roman"/>
          <w:sz w:val="24"/>
          <w:szCs w:val="24"/>
          <w:lang w:val="uk-UA"/>
        </w:rPr>
        <w:t xml:space="preserve"> ER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Garcia-Prats</w:t>
      </w:r>
      <w:proofErr w:type="spellEnd"/>
      <w:r w:rsidRPr="00ED35A9">
        <w:rPr>
          <w:rFonts w:eastAsia="Calibri" w:cs="Times New Roman"/>
          <w:sz w:val="24"/>
          <w:szCs w:val="24"/>
          <w:lang w:val="uk-UA"/>
        </w:rPr>
        <w:t xml:space="preserve"> AJ, </w:t>
      </w:r>
      <w:proofErr w:type="spellStart"/>
      <w:r w:rsidRPr="00ED35A9">
        <w:rPr>
          <w:rFonts w:eastAsia="Calibri" w:cs="Times New Roman"/>
          <w:sz w:val="24"/>
          <w:szCs w:val="24"/>
          <w:lang w:val="uk-UA"/>
        </w:rPr>
        <w:t>Law</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Schaaf</w:t>
      </w:r>
      <w:proofErr w:type="spellEnd"/>
      <w:r w:rsidRPr="00ED35A9">
        <w:rPr>
          <w:rFonts w:eastAsia="Calibri" w:cs="Times New Roman"/>
          <w:sz w:val="24"/>
          <w:szCs w:val="24"/>
          <w:lang w:val="uk-UA"/>
        </w:rPr>
        <w:t xml:space="preserve"> HS, </w:t>
      </w:r>
      <w:proofErr w:type="spellStart"/>
      <w:r w:rsidRPr="00ED35A9">
        <w:rPr>
          <w:rFonts w:eastAsia="Calibri" w:cs="Times New Roman"/>
          <w:sz w:val="24"/>
          <w:szCs w:val="24"/>
          <w:lang w:val="uk-UA"/>
        </w:rPr>
        <w:t>Kredo</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Seddon</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systematic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individual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data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PLOS </w:t>
      </w:r>
      <w:proofErr w:type="spellStart"/>
      <w:r w:rsidRPr="00ED35A9">
        <w:rPr>
          <w:rFonts w:eastAsia="Calibri" w:cs="Times New Roman"/>
          <w:i/>
          <w:sz w:val="24"/>
          <w:szCs w:val="24"/>
          <w:lang w:val="uk-UA"/>
        </w:rPr>
        <w:t>Med</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2018</w:t>
      </w:r>
      <w:r w:rsidR="00301DB4" w:rsidRPr="00ED35A9">
        <w:rPr>
          <w:rFonts w:eastAsia="Calibri" w:cs="Times New Roman"/>
          <w:sz w:val="24"/>
          <w:szCs w:val="24"/>
          <w:lang w:val="uk-UA"/>
        </w:rPr>
        <w:t xml:space="preserve">, </w:t>
      </w:r>
      <w:r w:rsidRPr="00ED35A9">
        <w:rPr>
          <w:rFonts w:eastAsia="Calibri" w:cs="Times New Roman"/>
          <w:sz w:val="24"/>
          <w:szCs w:val="24"/>
          <w:lang w:val="uk-UA"/>
        </w:rPr>
        <w:t>15(7):</w:t>
      </w:r>
      <w:r w:rsidR="00301DB4" w:rsidRPr="00ED35A9">
        <w:rPr>
          <w:rFonts w:eastAsia="Calibri" w:cs="Times New Roman"/>
          <w:sz w:val="24"/>
          <w:szCs w:val="24"/>
          <w:lang w:val="uk-UA"/>
        </w:rPr>
        <w:t xml:space="preserve"> </w:t>
      </w:r>
      <w:r w:rsidRPr="00ED35A9">
        <w:rPr>
          <w:rFonts w:eastAsia="Calibri" w:cs="Times New Roman"/>
          <w:sz w:val="24"/>
          <w:szCs w:val="24"/>
          <w:lang w:val="uk-UA"/>
        </w:rPr>
        <w:t>e</w:t>
      </w:r>
      <w:r w:rsidR="00301DB4" w:rsidRPr="00ED35A9">
        <w:rPr>
          <w:rFonts w:eastAsia="Calibri" w:cs="Times New Roman"/>
          <w:sz w:val="24"/>
          <w:szCs w:val="24"/>
          <w:lang w:val="uk-UA"/>
        </w:rPr>
        <w:t>1</w:t>
      </w:r>
      <w:r w:rsidRPr="00ED35A9">
        <w:rPr>
          <w:rFonts w:eastAsia="Calibri" w:cs="Times New Roman"/>
          <w:sz w:val="24"/>
          <w:szCs w:val="24"/>
          <w:lang w:val="uk-UA"/>
        </w:rPr>
        <w:t>002591.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Seddon</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Hesseling</w:t>
      </w:r>
      <w:proofErr w:type="spellEnd"/>
      <w:r w:rsidRPr="00ED35A9">
        <w:rPr>
          <w:rFonts w:eastAsia="Calibri" w:cs="Times New Roman"/>
          <w:sz w:val="24"/>
          <w:szCs w:val="24"/>
          <w:lang w:val="uk-UA"/>
        </w:rPr>
        <w:t xml:space="preserve"> AC, </w:t>
      </w:r>
      <w:proofErr w:type="spellStart"/>
      <w:r w:rsidRPr="00ED35A9">
        <w:rPr>
          <w:rFonts w:eastAsia="Calibri" w:cs="Times New Roman"/>
          <w:sz w:val="24"/>
          <w:szCs w:val="24"/>
          <w:lang w:val="uk-UA"/>
        </w:rPr>
        <w:t>Godfrey-Faussett</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Schaaf</w:t>
      </w:r>
      <w:proofErr w:type="spellEnd"/>
      <w:r w:rsidRPr="00ED35A9">
        <w:rPr>
          <w:rFonts w:eastAsia="Calibri" w:cs="Times New Roman"/>
          <w:sz w:val="24"/>
          <w:szCs w:val="24"/>
          <w:lang w:val="uk-UA"/>
        </w:rPr>
        <w:t xml:space="preserve"> HS.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success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Thorax</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2014</w:t>
      </w:r>
      <w:r w:rsidR="00301DB4" w:rsidRPr="00ED35A9">
        <w:rPr>
          <w:rFonts w:eastAsia="Calibri" w:cs="Times New Roman"/>
          <w:sz w:val="24"/>
          <w:szCs w:val="24"/>
          <w:lang w:val="uk-UA"/>
        </w:rPr>
        <w:t xml:space="preserve">, </w:t>
      </w:r>
      <w:r w:rsidRPr="00ED35A9">
        <w:rPr>
          <w:rFonts w:eastAsia="Calibri" w:cs="Times New Roman"/>
          <w:sz w:val="24"/>
          <w:szCs w:val="24"/>
          <w:lang w:val="uk-UA"/>
        </w:rPr>
        <w:t>69(5):</w:t>
      </w:r>
      <w:r w:rsidR="00301DB4" w:rsidRPr="00ED35A9">
        <w:rPr>
          <w:rFonts w:eastAsia="Calibri" w:cs="Times New Roman"/>
          <w:sz w:val="24"/>
          <w:szCs w:val="24"/>
          <w:lang w:val="uk-UA"/>
        </w:rPr>
        <w:t xml:space="preserve"> </w:t>
      </w:r>
      <w:r w:rsidRPr="00ED35A9">
        <w:rPr>
          <w:rFonts w:eastAsia="Calibri" w:cs="Times New Roman"/>
          <w:sz w:val="24"/>
          <w:szCs w:val="24"/>
          <w:lang w:val="uk-UA"/>
        </w:rPr>
        <w:t>458</w:t>
      </w:r>
      <w:r w:rsidR="00301DB4" w:rsidRPr="00ED35A9">
        <w:rPr>
          <w:rFonts w:eastAsia="Calibri" w:cs="Times New Roman"/>
          <w:sz w:val="24"/>
          <w:szCs w:val="24"/>
          <w:lang w:val="uk-UA"/>
        </w:rPr>
        <w:t>4</w:t>
      </w:r>
      <w:r w:rsidRPr="00ED35A9">
        <w:rPr>
          <w:rFonts w:eastAsia="Calibri" w:cs="Times New Roman"/>
          <w:sz w:val="24"/>
          <w:szCs w:val="24"/>
          <w:lang w:val="uk-UA"/>
        </w:rPr>
        <w:t>64.</w:t>
      </w:r>
    </w:p>
    <w:p w:rsidR="004B5B7F" w:rsidRPr="00ED35A9" w:rsidRDefault="004B5B7F" w:rsidP="00561CCA">
      <w:pPr>
        <w:pStyle w:val="a7"/>
        <w:numPr>
          <w:ilvl w:val="0"/>
          <w:numId w:val="3"/>
        </w:numPr>
        <w:spacing w:after="120"/>
        <w:ind w:left="567" w:hanging="567"/>
        <w:contextualSpacing w:val="0"/>
        <w:rPr>
          <w:rFonts w:eastAsia="Calibri" w:cs="Times New Roman"/>
          <w:spacing w:val="-2"/>
          <w:sz w:val="24"/>
          <w:szCs w:val="24"/>
          <w:lang w:val="uk-UA"/>
        </w:rPr>
      </w:pPr>
      <w:r w:rsidRPr="00ED35A9">
        <w:rPr>
          <w:rFonts w:eastAsia="Calibri" w:cs="Times New Roman"/>
          <w:spacing w:val="-2"/>
          <w:sz w:val="24"/>
          <w:szCs w:val="24"/>
          <w:lang w:val="uk-UA"/>
        </w:rPr>
        <w:t>WHO</w:t>
      </w:r>
      <w:r w:rsidR="00301DB4" w:rsidRPr="00ED35A9">
        <w:rPr>
          <w:rFonts w:eastAsia="Calibri" w:cs="Times New Roman"/>
          <w:spacing w:val="-2"/>
          <w:sz w:val="24"/>
          <w:szCs w:val="24"/>
          <w:lang w:val="uk-UA"/>
        </w:rPr>
        <w:t>/</w:t>
      </w:r>
      <w:proofErr w:type="spellStart"/>
      <w:r w:rsidRPr="00ED35A9">
        <w:rPr>
          <w:rFonts w:eastAsia="Calibri" w:cs="Times New Roman"/>
          <w:spacing w:val="-2"/>
          <w:sz w:val="24"/>
          <w:szCs w:val="24"/>
          <w:lang w:val="uk-UA"/>
        </w:rPr>
        <w:t>Tuberculosis</w:t>
      </w:r>
      <w:proofErr w:type="spellEnd"/>
      <w:r w:rsidRPr="00ED35A9">
        <w:rPr>
          <w:rFonts w:eastAsia="Calibri" w:cs="Times New Roman"/>
          <w:spacing w:val="-2"/>
          <w:sz w:val="24"/>
          <w:szCs w:val="24"/>
          <w:lang w:val="uk-UA"/>
        </w:rPr>
        <w:t xml:space="preserve"> (TB). </w:t>
      </w:r>
      <w:proofErr w:type="spellStart"/>
      <w:r w:rsidRPr="00ED35A9">
        <w:rPr>
          <w:rFonts w:eastAsia="Calibri" w:cs="Times New Roman"/>
          <w:spacing w:val="-2"/>
          <w:sz w:val="24"/>
          <w:szCs w:val="24"/>
          <w:lang w:val="uk-UA"/>
        </w:rPr>
        <w:t>Public</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call</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for</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individual</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patient</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data</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treatment</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rifampicin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and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multidrug</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resistant</w:t>
      </w:r>
      <w:proofErr w:type="spellEnd"/>
      <w:r w:rsidRPr="00ED35A9">
        <w:rPr>
          <w:rFonts w:eastAsia="Calibri" w:cs="Times New Roman"/>
          <w:spacing w:val="-2"/>
          <w:sz w:val="24"/>
          <w:szCs w:val="24"/>
          <w:lang w:val="uk-UA"/>
        </w:rPr>
        <w:t xml:space="preserve"> (MDR/RR-TB) </w:t>
      </w:r>
      <w:proofErr w:type="spellStart"/>
      <w:r w:rsidRPr="00ED35A9">
        <w:rPr>
          <w:rFonts w:eastAsia="Calibri" w:cs="Times New Roman"/>
          <w:spacing w:val="-2"/>
          <w:sz w:val="24"/>
          <w:szCs w:val="24"/>
          <w:lang w:val="uk-UA"/>
        </w:rPr>
        <w:t>tuberculosis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In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World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Health</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Organization</w:t>
      </w:r>
      <w:proofErr w:type="spellEnd"/>
      <w:r w:rsidRPr="00ED35A9">
        <w:rPr>
          <w:rFonts w:eastAsia="Calibri" w:cs="Times New Roman"/>
          <w:spacing w:val="-2"/>
          <w:sz w:val="24"/>
          <w:szCs w:val="24"/>
          <w:lang w:val="uk-UA"/>
        </w:rPr>
        <w:t xml:space="preserve"> </w:t>
      </w:r>
      <w:r w:rsidR="00301DB4" w:rsidRPr="00ED35A9">
        <w:rPr>
          <w:rFonts w:eastAsia="Calibri" w:cs="Times New Roman"/>
          <w:spacing w:val="-2"/>
          <w:sz w:val="24"/>
          <w:szCs w:val="24"/>
          <w:lang w:val="uk-UA"/>
        </w:rPr>
        <w:t>(</w:t>
      </w:r>
      <w:proofErr w:type="spellStart"/>
      <w:r w:rsidRPr="00ED35A9">
        <w:rPr>
          <w:rFonts w:eastAsia="Calibri" w:cs="Times New Roman"/>
          <w:spacing w:val="-2"/>
          <w:sz w:val="24"/>
          <w:szCs w:val="24"/>
          <w:lang w:val="uk-UA"/>
        </w:rPr>
        <w:t>website</w:t>
      </w:r>
      <w:proofErr w:type="spellEnd"/>
      <w:r w:rsidR="00301DB4" w:rsidRPr="00ED35A9">
        <w:rPr>
          <w:rFonts w:eastAsia="Calibri" w:cs="Times New Roman"/>
          <w:spacing w:val="-2"/>
          <w:sz w:val="24"/>
          <w:szCs w:val="24"/>
          <w:lang w:val="uk-UA"/>
        </w:rPr>
        <w:t>)</w:t>
      </w:r>
      <w:r w:rsidRPr="00ED35A9">
        <w:rPr>
          <w:rFonts w:eastAsia="Calibri" w:cs="Times New Roman"/>
          <w:spacing w:val="-2"/>
          <w:sz w:val="24"/>
          <w:szCs w:val="24"/>
          <w:lang w:val="uk-UA"/>
        </w:rPr>
        <w:t xml:space="preserve"> (</w:t>
      </w:r>
      <w:hyperlink r:id="rId30" w:history="1">
        <w:r w:rsidRPr="00ED35A9">
          <w:rPr>
            <w:rFonts w:eastAsia="Calibri" w:cs="Times New Roman"/>
            <w:spacing w:val="-2"/>
            <w:sz w:val="24"/>
            <w:szCs w:val="24"/>
            <w:lang w:val="uk-UA"/>
          </w:rPr>
          <w:t>http://www.who.int/tb/</w:t>
        </w:r>
      </w:hyperlink>
      <w:r w:rsidRPr="00ED35A9">
        <w:rPr>
          <w:rFonts w:eastAsia="Calibri" w:cs="Times New Roman"/>
          <w:spacing w:val="-2"/>
          <w:sz w:val="24"/>
          <w:szCs w:val="24"/>
          <w:lang w:val="uk-UA"/>
        </w:rPr>
        <w:t xml:space="preserve">features_archive/public_call_treatment_RR_MDR_TB/en/, </w:t>
      </w:r>
      <w:proofErr w:type="spellStart"/>
      <w:r w:rsidRPr="00ED35A9">
        <w:rPr>
          <w:rFonts w:eastAsia="Calibri" w:cs="Times New Roman"/>
          <w:spacing w:val="-2"/>
          <w:sz w:val="24"/>
          <w:szCs w:val="24"/>
          <w:lang w:val="uk-UA"/>
        </w:rPr>
        <w:t>accessed</w:t>
      </w:r>
      <w:proofErr w:type="spellEnd"/>
      <w:r w:rsidRPr="00ED35A9">
        <w:rPr>
          <w:rFonts w:eastAsia="Calibri" w:cs="Times New Roman"/>
          <w:spacing w:val="-2"/>
          <w:sz w:val="24"/>
          <w:szCs w:val="24"/>
          <w:lang w:val="uk-UA"/>
        </w:rPr>
        <w:t xml:space="preserve"> 1 </w:t>
      </w:r>
      <w:proofErr w:type="spellStart"/>
      <w:r w:rsidRPr="00ED35A9">
        <w:rPr>
          <w:rFonts w:eastAsia="Calibri" w:cs="Times New Roman"/>
          <w:spacing w:val="-2"/>
          <w:sz w:val="24"/>
          <w:szCs w:val="24"/>
          <w:lang w:val="uk-UA"/>
        </w:rPr>
        <w:t>March</w:t>
      </w:r>
      <w:proofErr w:type="spellEnd"/>
      <w:r w:rsidRPr="00ED35A9">
        <w:rPr>
          <w:rFonts w:eastAsia="Calibri" w:cs="Times New Roman"/>
          <w:spacing w:val="-2"/>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Safety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delamanid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6 </w:t>
      </w:r>
      <w:proofErr w:type="spellStart"/>
      <w:r w:rsidRPr="00ED35A9">
        <w:rPr>
          <w:rFonts w:eastAsia="Calibri" w:cs="Times New Roman"/>
          <w:sz w:val="24"/>
          <w:szCs w:val="24"/>
          <w:lang w:val="uk-UA"/>
        </w:rPr>
        <w:t>months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NIH. US </w:t>
      </w:r>
      <w:proofErr w:type="spellStart"/>
      <w:r w:rsidRPr="00ED35A9">
        <w:rPr>
          <w:rFonts w:eastAsia="Calibri" w:cs="Times New Roman"/>
          <w:sz w:val="24"/>
          <w:szCs w:val="24"/>
          <w:lang w:val="uk-UA"/>
        </w:rPr>
        <w:t>Library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Medicine</w:t>
      </w:r>
      <w:proofErr w:type="spellEnd"/>
      <w:r w:rsidRPr="00ED35A9">
        <w:rPr>
          <w:rFonts w:eastAsia="Calibri" w:cs="Times New Roman"/>
          <w:sz w:val="24"/>
          <w:szCs w:val="24"/>
          <w:lang w:val="uk-UA"/>
        </w:rPr>
        <w:t xml:space="preserve">; ClinicalTrials.gov </w:t>
      </w:r>
      <w:r w:rsidR="00301DB4"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301DB4" w:rsidRPr="00ED35A9">
        <w:rPr>
          <w:rFonts w:eastAsia="Calibri" w:cs="Times New Roman"/>
          <w:sz w:val="24"/>
          <w:szCs w:val="24"/>
          <w:lang w:val="uk-UA"/>
        </w:rPr>
        <w:t>)</w:t>
      </w:r>
      <w:r w:rsidRPr="00ED35A9">
        <w:rPr>
          <w:rFonts w:eastAsia="Calibri" w:cs="Times New Roman"/>
          <w:sz w:val="24"/>
          <w:szCs w:val="24"/>
          <w:lang w:val="uk-UA"/>
        </w:rPr>
        <w:t xml:space="preserve"> (</w:t>
      </w:r>
      <w:hyperlink r:id="rId31" w:history="1">
        <w:r w:rsidRPr="00ED35A9">
          <w:rPr>
            <w:rFonts w:eastAsia="Calibri" w:cs="Times New Roman"/>
            <w:sz w:val="24"/>
            <w:szCs w:val="24"/>
            <w:lang w:val="uk-UA"/>
          </w:rPr>
          <w:t>https://clinicaltrials.gov/ct2/show/NCT01424670</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 </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best-practice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off-label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bedaquiline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delamanid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r w:rsidR="00301DB4" w:rsidRPr="00ED35A9">
        <w:rPr>
          <w:rFonts w:eastAsia="Calibri" w:cs="Times New Roman"/>
          <w:sz w:val="24"/>
          <w:szCs w:val="24"/>
          <w:lang w:val="uk-UA"/>
        </w:rPr>
        <w:t>,</w:t>
      </w:r>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w:t>
      </w:r>
      <w:r w:rsidR="00301DB4" w:rsidRPr="00ED35A9">
        <w:rPr>
          <w:rFonts w:eastAsia="Calibri" w:cs="Times New Roman"/>
          <w:sz w:val="24"/>
          <w:szCs w:val="24"/>
          <w:lang w:val="uk-UA"/>
        </w:rPr>
        <w:t>17 (WHO/HTM/TB/2017.20; http://</w:t>
      </w:r>
      <w:r w:rsidRPr="00ED35A9">
        <w:rPr>
          <w:rFonts w:eastAsia="Calibri" w:cs="Times New Roman"/>
          <w:sz w:val="24"/>
          <w:szCs w:val="24"/>
          <w:lang w:val="uk-UA"/>
        </w:rPr>
        <w:t>apps.who.int/iris/bitstream/10665/258941/l/WHO-HTM-TB-2017.20-eng.pdf</w:t>
      </w:r>
      <w:r w:rsidR="00301DB4"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8C5B22" w:rsidRDefault="004B5B7F" w:rsidP="00561CCA">
      <w:pPr>
        <w:pStyle w:val="a7"/>
        <w:numPr>
          <w:ilvl w:val="0"/>
          <w:numId w:val="3"/>
        </w:numPr>
        <w:spacing w:after="120"/>
        <w:ind w:left="567" w:hanging="567"/>
        <w:contextualSpacing w:val="0"/>
        <w:rPr>
          <w:rFonts w:eastAsia="Calibri" w:cs="Times New Roman"/>
          <w:spacing w:val="-2"/>
          <w:sz w:val="24"/>
          <w:szCs w:val="24"/>
          <w:lang w:val="uk-UA"/>
        </w:rPr>
      </w:pPr>
      <w:proofErr w:type="spellStart"/>
      <w:r w:rsidRPr="008C5B22">
        <w:rPr>
          <w:rFonts w:eastAsia="Calibri" w:cs="Times New Roman"/>
          <w:spacing w:val="-2"/>
          <w:sz w:val="24"/>
          <w:szCs w:val="24"/>
          <w:lang w:val="uk-UA"/>
        </w:rPr>
        <w:t>Tang</w:t>
      </w:r>
      <w:proofErr w:type="spellEnd"/>
      <w:r w:rsidRPr="008C5B22">
        <w:rPr>
          <w:rFonts w:eastAsia="Calibri" w:cs="Times New Roman"/>
          <w:spacing w:val="-2"/>
          <w:sz w:val="24"/>
          <w:szCs w:val="24"/>
          <w:lang w:val="uk-UA"/>
        </w:rPr>
        <w:t xml:space="preserve"> S, </w:t>
      </w:r>
      <w:proofErr w:type="spellStart"/>
      <w:r w:rsidRPr="008C5B22">
        <w:rPr>
          <w:rFonts w:eastAsia="Calibri" w:cs="Times New Roman"/>
          <w:spacing w:val="-2"/>
          <w:sz w:val="24"/>
          <w:szCs w:val="24"/>
          <w:lang w:val="uk-UA"/>
        </w:rPr>
        <w:t>Yao</w:t>
      </w:r>
      <w:proofErr w:type="spellEnd"/>
      <w:r w:rsidRPr="008C5B22">
        <w:rPr>
          <w:rFonts w:eastAsia="Calibri" w:cs="Times New Roman"/>
          <w:spacing w:val="-2"/>
          <w:sz w:val="24"/>
          <w:szCs w:val="24"/>
          <w:lang w:val="uk-UA"/>
        </w:rPr>
        <w:t xml:space="preserve"> L, </w:t>
      </w:r>
      <w:proofErr w:type="spellStart"/>
      <w:r w:rsidRPr="008C5B22">
        <w:rPr>
          <w:rFonts w:eastAsia="Calibri" w:cs="Times New Roman"/>
          <w:spacing w:val="-2"/>
          <w:sz w:val="24"/>
          <w:szCs w:val="24"/>
          <w:lang w:val="uk-UA"/>
        </w:rPr>
        <w:t>Hao</w:t>
      </w:r>
      <w:proofErr w:type="spellEnd"/>
      <w:r w:rsidRPr="008C5B22">
        <w:rPr>
          <w:rFonts w:eastAsia="Calibri" w:cs="Times New Roman"/>
          <w:spacing w:val="-2"/>
          <w:sz w:val="24"/>
          <w:szCs w:val="24"/>
          <w:lang w:val="uk-UA"/>
        </w:rPr>
        <w:t xml:space="preserve"> X, </w:t>
      </w:r>
      <w:proofErr w:type="spellStart"/>
      <w:r w:rsidRPr="008C5B22">
        <w:rPr>
          <w:rFonts w:eastAsia="Calibri" w:cs="Times New Roman"/>
          <w:spacing w:val="-2"/>
          <w:sz w:val="24"/>
          <w:szCs w:val="24"/>
          <w:lang w:val="uk-UA"/>
        </w:rPr>
        <w:t>Zhang</w:t>
      </w:r>
      <w:proofErr w:type="spellEnd"/>
      <w:r w:rsidRPr="008C5B22">
        <w:rPr>
          <w:rFonts w:eastAsia="Calibri" w:cs="Times New Roman"/>
          <w:spacing w:val="-2"/>
          <w:sz w:val="24"/>
          <w:szCs w:val="24"/>
          <w:lang w:val="uk-UA"/>
        </w:rPr>
        <w:t xml:space="preserve"> X, </w:t>
      </w:r>
      <w:proofErr w:type="spellStart"/>
      <w:r w:rsidRPr="008C5B22">
        <w:rPr>
          <w:rFonts w:eastAsia="Calibri" w:cs="Times New Roman"/>
          <w:spacing w:val="-2"/>
          <w:sz w:val="24"/>
          <w:szCs w:val="24"/>
          <w:lang w:val="uk-UA"/>
        </w:rPr>
        <w:t>Liu</w:t>
      </w:r>
      <w:proofErr w:type="spellEnd"/>
      <w:r w:rsidRPr="008C5B22">
        <w:rPr>
          <w:rFonts w:eastAsia="Calibri" w:cs="Times New Roman"/>
          <w:spacing w:val="-2"/>
          <w:sz w:val="24"/>
          <w:szCs w:val="24"/>
          <w:lang w:val="uk-UA"/>
        </w:rPr>
        <w:t xml:space="preserve"> G, </w:t>
      </w:r>
      <w:proofErr w:type="spellStart"/>
      <w:r w:rsidRPr="008C5B22">
        <w:rPr>
          <w:rFonts w:eastAsia="Calibri" w:cs="Times New Roman"/>
          <w:spacing w:val="-2"/>
          <w:sz w:val="24"/>
          <w:szCs w:val="24"/>
          <w:lang w:val="uk-UA"/>
        </w:rPr>
        <w:t>Liu</w:t>
      </w:r>
      <w:proofErr w:type="spellEnd"/>
      <w:r w:rsidRPr="008C5B22">
        <w:rPr>
          <w:rFonts w:eastAsia="Calibri" w:cs="Times New Roman"/>
          <w:spacing w:val="-2"/>
          <w:sz w:val="24"/>
          <w:szCs w:val="24"/>
          <w:lang w:val="uk-UA"/>
        </w:rPr>
        <w:t xml:space="preserve"> X </w:t>
      </w:r>
      <w:proofErr w:type="spellStart"/>
      <w:r w:rsidRPr="008C5B22">
        <w:rPr>
          <w:rFonts w:eastAsia="Calibri" w:cs="Times New Roman"/>
          <w:spacing w:val="-2"/>
          <w:sz w:val="24"/>
          <w:szCs w:val="24"/>
          <w:lang w:val="uk-UA"/>
        </w:rPr>
        <w:t>et</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al</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Efficacy</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safety</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and</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tolerability</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of</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linezolid</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for</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the</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treatment</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of</w:t>
      </w:r>
      <w:proofErr w:type="spellEnd"/>
      <w:r w:rsidRPr="008C5B22">
        <w:rPr>
          <w:rFonts w:eastAsia="Calibri" w:cs="Times New Roman"/>
          <w:spacing w:val="-2"/>
          <w:sz w:val="24"/>
          <w:szCs w:val="24"/>
          <w:lang w:val="uk-UA"/>
        </w:rPr>
        <w:t xml:space="preserve"> XDR-TB: a </w:t>
      </w:r>
      <w:proofErr w:type="spellStart"/>
      <w:r w:rsidRPr="008C5B22">
        <w:rPr>
          <w:rFonts w:eastAsia="Calibri" w:cs="Times New Roman"/>
          <w:spacing w:val="-2"/>
          <w:sz w:val="24"/>
          <w:szCs w:val="24"/>
          <w:lang w:val="uk-UA"/>
        </w:rPr>
        <w:t>study</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in</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spacing w:val="-2"/>
          <w:sz w:val="24"/>
          <w:szCs w:val="24"/>
          <w:lang w:val="uk-UA"/>
        </w:rPr>
        <w:t>China</w:t>
      </w:r>
      <w:proofErr w:type="spellEnd"/>
      <w:r w:rsidRPr="008C5B22">
        <w:rPr>
          <w:rFonts w:eastAsia="Calibri" w:cs="Times New Roman"/>
          <w:spacing w:val="-2"/>
          <w:sz w:val="24"/>
          <w:szCs w:val="24"/>
          <w:lang w:val="uk-UA"/>
        </w:rPr>
        <w:t xml:space="preserve">. </w:t>
      </w:r>
      <w:proofErr w:type="spellStart"/>
      <w:r w:rsidRPr="008C5B22">
        <w:rPr>
          <w:rFonts w:eastAsia="Calibri" w:cs="Times New Roman"/>
          <w:i/>
          <w:spacing w:val="-2"/>
          <w:sz w:val="24"/>
          <w:szCs w:val="24"/>
          <w:lang w:val="uk-UA"/>
        </w:rPr>
        <w:t>Eur</w:t>
      </w:r>
      <w:proofErr w:type="spellEnd"/>
      <w:r w:rsidRPr="008C5B22">
        <w:rPr>
          <w:rFonts w:eastAsia="Calibri" w:cs="Times New Roman"/>
          <w:i/>
          <w:spacing w:val="-2"/>
          <w:sz w:val="24"/>
          <w:szCs w:val="24"/>
          <w:lang w:val="uk-UA"/>
        </w:rPr>
        <w:t xml:space="preserve"> </w:t>
      </w:r>
      <w:proofErr w:type="spellStart"/>
      <w:r w:rsidRPr="008C5B22">
        <w:rPr>
          <w:rFonts w:eastAsia="Calibri" w:cs="Times New Roman"/>
          <w:i/>
          <w:spacing w:val="-2"/>
          <w:sz w:val="24"/>
          <w:szCs w:val="24"/>
          <w:lang w:val="uk-UA"/>
        </w:rPr>
        <w:t>Respir</w:t>
      </w:r>
      <w:proofErr w:type="spellEnd"/>
      <w:r w:rsidRPr="008C5B22">
        <w:rPr>
          <w:rFonts w:eastAsia="Calibri" w:cs="Times New Roman"/>
          <w:i/>
          <w:spacing w:val="-2"/>
          <w:sz w:val="24"/>
          <w:szCs w:val="24"/>
          <w:lang w:val="uk-UA"/>
        </w:rPr>
        <w:t xml:space="preserve"> J</w:t>
      </w:r>
      <w:r w:rsidR="00301DB4" w:rsidRPr="008C5B22">
        <w:rPr>
          <w:rFonts w:eastAsia="Calibri" w:cs="Times New Roman"/>
          <w:spacing w:val="-2"/>
          <w:sz w:val="24"/>
          <w:szCs w:val="24"/>
          <w:lang w:val="uk-UA"/>
        </w:rPr>
        <w:t xml:space="preserve">, </w:t>
      </w:r>
      <w:r w:rsidRPr="008C5B22">
        <w:rPr>
          <w:rFonts w:eastAsia="Calibri" w:cs="Times New Roman"/>
          <w:spacing w:val="-2"/>
          <w:sz w:val="24"/>
          <w:szCs w:val="24"/>
          <w:lang w:val="uk-UA"/>
        </w:rPr>
        <w:t>2015</w:t>
      </w:r>
      <w:r w:rsidR="00301DB4" w:rsidRPr="008C5B22">
        <w:rPr>
          <w:rFonts w:eastAsia="Calibri" w:cs="Times New Roman"/>
          <w:spacing w:val="-2"/>
          <w:sz w:val="24"/>
          <w:szCs w:val="24"/>
          <w:lang w:val="uk-UA"/>
        </w:rPr>
        <w:t xml:space="preserve">, </w:t>
      </w:r>
      <w:r w:rsidRPr="008C5B22">
        <w:rPr>
          <w:rFonts w:eastAsia="Calibri" w:cs="Times New Roman"/>
          <w:spacing w:val="-2"/>
          <w:sz w:val="24"/>
          <w:szCs w:val="24"/>
          <w:lang w:val="uk-UA"/>
        </w:rPr>
        <w:t>45(l):</w:t>
      </w:r>
      <w:r w:rsidR="00301DB4" w:rsidRPr="008C5B22">
        <w:rPr>
          <w:rFonts w:eastAsia="Calibri" w:cs="Times New Roman"/>
          <w:spacing w:val="-2"/>
          <w:sz w:val="24"/>
          <w:szCs w:val="24"/>
          <w:lang w:val="uk-UA"/>
        </w:rPr>
        <w:t xml:space="preserve"> </w:t>
      </w:r>
      <w:r w:rsidRPr="008C5B22">
        <w:rPr>
          <w:rFonts w:eastAsia="Calibri" w:cs="Times New Roman"/>
          <w:spacing w:val="-2"/>
          <w:sz w:val="24"/>
          <w:szCs w:val="24"/>
          <w:lang w:val="uk-UA"/>
        </w:rPr>
        <w:t>161</w:t>
      </w:r>
      <w:r w:rsidR="00301DB4" w:rsidRPr="008C5B22">
        <w:rPr>
          <w:rFonts w:eastAsia="Calibri" w:cs="Times New Roman"/>
          <w:spacing w:val="-2"/>
          <w:sz w:val="24"/>
          <w:szCs w:val="24"/>
          <w:lang w:val="uk-UA"/>
        </w:rPr>
        <w:t>–1</w:t>
      </w:r>
      <w:r w:rsidRPr="008C5B22">
        <w:rPr>
          <w:rFonts w:eastAsia="Calibri" w:cs="Times New Roman"/>
          <w:spacing w:val="-2"/>
          <w:sz w:val="24"/>
          <w:szCs w:val="24"/>
          <w:lang w:val="uk-UA"/>
        </w:rPr>
        <w:t>70.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Thwaites</w:t>
      </w:r>
      <w:proofErr w:type="spellEnd"/>
      <w:r w:rsidRPr="00ED35A9">
        <w:rPr>
          <w:rFonts w:eastAsia="Calibri" w:cs="Times New Roman"/>
          <w:sz w:val="24"/>
          <w:szCs w:val="24"/>
          <w:lang w:val="uk-UA"/>
        </w:rPr>
        <w:t xml:space="preserve"> GE, </w:t>
      </w:r>
      <w:proofErr w:type="spellStart"/>
      <w:r w:rsidRPr="00ED35A9">
        <w:rPr>
          <w:rFonts w:eastAsia="Calibri" w:cs="Times New Roman"/>
          <w:sz w:val="24"/>
          <w:szCs w:val="24"/>
          <w:lang w:val="uk-UA"/>
        </w:rPr>
        <w:t>Bhavnani</w:t>
      </w:r>
      <w:proofErr w:type="spellEnd"/>
      <w:r w:rsidRPr="00ED35A9">
        <w:rPr>
          <w:rFonts w:eastAsia="Calibri" w:cs="Times New Roman"/>
          <w:sz w:val="24"/>
          <w:szCs w:val="24"/>
          <w:lang w:val="uk-UA"/>
        </w:rPr>
        <w:t xml:space="preserve"> SM, </w:t>
      </w:r>
      <w:proofErr w:type="spellStart"/>
      <w:r w:rsidRPr="00ED35A9">
        <w:rPr>
          <w:rFonts w:eastAsia="Calibri" w:cs="Times New Roman"/>
          <w:sz w:val="24"/>
          <w:szCs w:val="24"/>
          <w:lang w:val="uk-UA"/>
        </w:rPr>
        <w:t>Chau</w:t>
      </w:r>
      <w:proofErr w:type="spellEnd"/>
      <w:r w:rsidRPr="00ED35A9">
        <w:rPr>
          <w:rFonts w:eastAsia="Calibri" w:cs="Times New Roman"/>
          <w:sz w:val="24"/>
          <w:szCs w:val="24"/>
          <w:lang w:val="uk-UA"/>
        </w:rPr>
        <w:t xml:space="preserve"> TTH, </w:t>
      </w:r>
      <w:proofErr w:type="spellStart"/>
      <w:r w:rsidRPr="00ED35A9">
        <w:rPr>
          <w:rFonts w:eastAsia="Calibri" w:cs="Times New Roman"/>
          <w:sz w:val="24"/>
          <w:szCs w:val="24"/>
          <w:lang w:val="uk-UA"/>
        </w:rPr>
        <w:t>Hammel</w:t>
      </w:r>
      <w:proofErr w:type="spellEnd"/>
      <w:r w:rsidRPr="00ED35A9">
        <w:rPr>
          <w:rFonts w:eastAsia="Calibri" w:cs="Times New Roman"/>
          <w:sz w:val="24"/>
          <w:szCs w:val="24"/>
          <w:lang w:val="uk-UA"/>
        </w:rPr>
        <w:t xml:space="preserve"> JR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Torok</w:t>
      </w:r>
      <w:proofErr w:type="spellEnd"/>
      <w:r w:rsidRPr="00ED35A9">
        <w:rPr>
          <w:rFonts w:eastAsia="Calibri" w:cs="Times New Roman"/>
          <w:sz w:val="24"/>
          <w:szCs w:val="24"/>
          <w:lang w:val="uk-UA"/>
        </w:rPr>
        <w:t xml:space="preserve"> ME,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Wart</w:t>
      </w:r>
      <w:proofErr w:type="spellEnd"/>
      <w:r w:rsidRPr="00ED35A9">
        <w:rPr>
          <w:rFonts w:eastAsia="Calibri" w:cs="Times New Roman"/>
          <w:sz w:val="24"/>
          <w:szCs w:val="24"/>
          <w:lang w:val="uk-UA"/>
        </w:rPr>
        <w:t xml:space="preserve"> SA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pharmacokinetic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pharmacodynamic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comparison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fluoroquinolones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meningitis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Antimicrob</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Agents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Chemother</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2011</w:t>
      </w:r>
      <w:r w:rsidR="00301DB4" w:rsidRPr="00ED35A9">
        <w:rPr>
          <w:rFonts w:eastAsia="Calibri" w:cs="Times New Roman"/>
          <w:sz w:val="24"/>
          <w:szCs w:val="24"/>
          <w:lang w:val="uk-UA"/>
        </w:rPr>
        <w:t xml:space="preserve">, </w:t>
      </w:r>
      <w:r w:rsidRPr="00ED35A9">
        <w:rPr>
          <w:rFonts w:eastAsia="Calibri" w:cs="Times New Roman"/>
          <w:sz w:val="24"/>
          <w:szCs w:val="24"/>
          <w:lang w:val="uk-UA"/>
        </w:rPr>
        <w:t>55(7):</w:t>
      </w:r>
      <w:r w:rsidR="00301DB4" w:rsidRPr="00ED35A9">
        <w:rPr>
          <w:rFonts w:eastAsia="Calibri" w:cs="Times New Roman"/>
          <w:sz w:val="24"/>
          <w:szCs w:val="24"/>
          <w:lang w:val="uk-UA"/>
        </w:rPr>
        <w:t xml:space="preserve"> </w:t>
      </w:r>
      <w:r w:rsidRPr="00ED35A9">
        <w:rPr>
          <w:rFonts w:eastAsia="Calibri" w:cs="Times New Roman"/>
          <w:sz w:val="24"/>
          <w:szCs w:val="24"/>
          <w:lang w:val="uk-UA"/>
        </w:rPr>
        <w:t>3244</w:t>
      </w:r>
      <w:r w:rsidR="00301DB4" w:rsidRPr="00ED35A9">
        <w:rPr>
          <w:rFonts w:eastAsia="Calibri" w:cs="Times New Roman"/>
          <w:sz w:val="24"/>
          <w:szCs w:val="24"/>
          <w:lang w:val="uk-UA"/>
        </w:rPr>
        <w:t>–32</w:t>
      </w:r>
      <w:r w:rsidRPr="00ED35A9">
        <w:rPr>
          <w:rFonts w:eastAsia="Calibri" w:cs="Times New Roman"/>
          <w:sz w:val="24"/>
          <w:szCs w:val="24"/>
          <w:lang w:val="uk-UA"/>
        </w:rPr>
        <w:t>53.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Donald</w:t>
      </w:r>
      <w:proofErr w:type="spellEnd"/>
      <w:r w:rsidRPr="00ED35A9">
        <w:rPr>
          <w:rFonts w:eastAsia="Calibri" w:cs="Times New Roman"/>
          <w:sz w:val="24"/>
          <w:szCs w:val="24"/>
          <w:lang w:val="uk-UA"/>
        </w:rPr>
        <w:t xml:space="preserve"> PR.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chemotherapy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meningitis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children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adults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Tuberculosis</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2010</w:t>
      </w:r>
      <w:r w:rsidR="00301DB4" w:rsidRPr="00ED35A9">
        <w:rPr>
          <w:rFonts w:eastAsia="Calibri" w:cs="Times New Roman"/>
          <w:sz w:val="24"/>
          <w:szCs w:val="24"/>
          <w:lang w:val="uk-UA"/>
        </w:rPr>
        <w:t xml:space="preserve">, </w:t>
      </w:r>
      <w:r w:rsidRPr="00ED35A9">
        <w:rPr>
          <w:rFonts w:eastAsia="Calibri" w:cs="Times New Roman"/>
          <w:sz w:val="24"/>
          <w:szCs w:val="24"/>
          <w:lang w:val="uk-UA"/>
        </w:rPr>
        <w:t>90(6):</w:t>
      </w:r>
      <w:r w:rsidR="00301DB4" w:rsidRPr="00ED35A9">
        <w:rPr>
          <w:rFonts w:eastAsia="Calibri" w:cs="Times New Roman"/>
          <w:sz w:val="24"/>
          <w:szCs w:val="24"/>
          <w:lang w:val="uk-UA"/>
        </w:rPr>
        <w:t xml:space="preserve"> </w:t>
      </w:r>
      <w:r w:rsidRPr="00ED35A9">
        <w:rPr>
          <w:rFonts w:eastAsia="Calibri" w:cs="Times New Roman"/>
          <w:sz w:val="24"/>
          <w:szCs w:val="24"/>
          <w:lang w:val="uk-UA"/>
        </w:rPr>
        <w:t>375</w:t>
      </w:r>
      <w:r w:rsidR="00301DB4" w:rsidRPr="00ED35A9">
        <w:rPr>
          <w:rFonts w:eastAsia="Calibri" w:cs="Times New Roman"/>
          <w:sz w:val="24"/>
          <w:szCs w:val="24"/>
          <w:lang w:val="uk-UA"/>
        </w:rPr>
        <w:t>–3</w:t>
      </w:r>
      <w:r w:rsidRPr="00ED35A9">
        <w:rPr>
          <w:rFonts w:eastAsia="Calibri" w:cs="Times New Roman"/>
          <w:sz w:val="24"/>
          <w:szCs w:val="24"/>
          <w:lang w:val="uk-UA"/>
        </w:rPr>
        <w:t>92.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Sun</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Ruan</w:t>
      </w:r>
      <w:proofErr w:type="spellEnd"/>
      <w:r w:rsidRPr="00ED35A9">
        <w:rPr>
          <w:rFonts w:eastAsia="Calibri" w:cs="Times New Roman"/>
          <w:sz w:val="24"/>
          <w:szCs w:val="24"/>
          <w:lang w:val="uk-UA"/>
        </w:rPr>
        <w:t xml:space="preserve"> Q, </w:t>
      </w:r>
      <w:proofErr w:type="spellStart"/>
      <w:r w:rsidRPr="00ED35A9">
        <w:rPr>
          <w:rFonts w:eastAsia="Calibri" w:cs="Times New Roman"/>
          <w:sz w:val="24"/>
          <w:szCs w:val="24"/>
          <w:lang w:val="uk-UA"/>
        </w:rPr>
        <w:t>Wang</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Chen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Jin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Shao</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Linezolid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manifests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rapid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dramatic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therapeutic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life-threatening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meningitis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Antimicrob</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Agents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Chemother</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2014</w:t>
      </w:r>
      <w:r w:rsidR="00301DB4" w:rsidRPr="00ED35A9">
        <w:rPr>
          <w:rFonts w:eastAsia="Calibri" w:cs="Times New Roman"/>
          <w:sz w:val="24"/>
          <w:szCs w:val="24"/>
          <w:lang w:val="uk-UA"/>
        </w:rPr>
        <w:t xml:space="preserve">, </w:t>
      </w:r>
      <w:r w:rsidRPr="00ED35A9">
        <w:rPr>
          <w:rFonts w:eastAsia="Calibri" w:cs="Times New Roman"/>
          <w:sz w:val="24"/>
          <w:szCs w:val="24"/>
          <w:lang w:val="uk-UA"/>
        </w:rPr>
        <w:t>58(10):</w:t>
      </w:r>
      <w:r w:rsidR="00301DB4" w:rsidRPr="00ED35A9">
        <w:rPr>
          <w:rFonts w:eastAsia="Calibri" w:cs="Times New Roman"/>
          <w:sz w:val="24"/>
          <w:szCs w:val="24"/>
          <w:lang w:val="uk-UA"/>
        </w:rPr>
        <w:t xml:space="preserve"> </w:t>
      </w:r>
      <w:r w:rsidRPr="00ED35A9">
        <w:rPr>
          <w:rFonts w:eastAsia="Calibri" w:cs="Times New Roman"/>
          <w:sz w:val="24"/>
          <w:szCs w:val="24"/>
          <w:lang w:val="uk-UA"/>
        </w:rPr>
        <w:t>6297</w:t>
      </w:r>
      <w:r w:rsidR="00301DB4" w:rsidRPr="00ED35A9">
        <w:rPr>
          <w:rFonts w:eastAsia="Calibri" w:cs="Times New Roman"/>
          <w:sz w:val="24"/>
          <w:szCs w:val="24"/>
          <w:lang w:val="uk-UA"/>
        </w:rPr>
        <w:t>–6</w:t>
      </w:r>
      <w:r w:rsidRPr="00ED35A9">
        <w:rPr>
          <w:rFonts w:eastAsia="Calibri" w:cs="Times New Roman"/>
          <w:sz w:val="24"/>
          <w:szCs w:val="24"/>
          <w:lang w:val="uk-UA"/>
        </w:rPr>
        <w:t>301.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Global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Fund</w:t>
      </w:r>
      <w:proofErr w:type="spellEnd"/>
      <w:r w:rsidRPr="00ED35A9">
        <w:rPr>
          <w:rFonts w:eastAsia="Calibri" w:cs="Times New Roman"/>
          <w:sz w:val="24"/>
          <w:szCs w:val="24"/>
          <w:lang w:val="uk-UA"/>
        </w:rPr>
        <w:t xml:space="preserve">, GDF. </w:t>
      </w:r>
      <w:proofErr w:type="spellStart"/>
      <w:r w:rsidRPr="00ED35A9">
        <w:rPr>
          <w:rFonts w:eastAsia="Calibri" w:cs="Times New Roman"/>
          <w:sz w:val="24"/>
          <w:szCs w:val="24"/>
          <w:lang w:val="uk-UA"/>
        </w:rPr>
        <w:t>Frequently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asked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questions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WHO </w:t>
      </w:r>
      <w:proofErr w:type="spellStart"/>
      <w:r w:rsidRPr="00ED35A9">
        <w:rPr>
          <w:rFonts w:eastAsia="Calibri" w:cs="Times New Roman"/>
          <w:sz w:val="24"/>
          <w:szCs w:val="24"/>
          <w:lang w:val="uk-UA"/>
        </w:rPr>
        <w:t>Rapid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key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changes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rifampicin-resistant</w:t>
      </w:r>
      <w:proofErr w:type="spellEnd"/>
      <w:r w:rsidRPr="00ED35A9">
        <w:rPr>
          <w:rFonts w:eastAsia="Calibri" w:cs="Times New Roman"/>
          <w:sz w:val="24"/>
          <w:szCs w:val="24"/>
          <w:lang w:val="uk-UA"/>
        </w:rPr>
        <w:t xml:space="preserve"> TB. 2018 (</w:t>
      </w:r>
      <w:hyperlink r:id="rId32" w:history="1">
        <w:r w:rsidRPr="00ED35A9">
          <w:rPr>
            <w:rFonts w:eastAsia="Calibri" w:cs="Times New Roman"/>
            <w:sz w:val="24"/>
            <w:szCs w:val="24"/>
            <w:lang w:val="uk-UA"/>
          </w:rPr>
          <w:t>http://www.who.int/tb/areas-of-work/drug-resistant-tb/treatment/MDR_RR-TB-TaskForce-FAQs-vl.pdf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Technical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pharmacokinetics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pharmacodynamics</w:t>
      </w:r>
      <w:proofErr w:type="spellEnd"/>
      <w:r w:rsidRPr="00ED35A9">
        <w:rPr>
          <w:rFonts w:eastAsia="Calibri" w:cs="Times New Roman"/>
          <w:sz w:val="24"/>
          <w:szCs w:val="24"/>
          <w:lang w:val="uk-UA"/>
        </w:rPr>
        <w:t xml:space="preserve"> (PK/PD)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 xml:space="preserve">2018 (WHO/CDS/TB/2018.6; </w:t>
      </w:r>
      <w:hyperlink r:id="rId33" w:history="1">
        <w:r w:rsidRPr="00ED35A9">
          <w:rPr>
            <w:rFonts w:eastAsia="Calibri" w:cs="Times New Roman"/>
            <w:sz w:val="24"/>
            <w:szCs w:val="24"/>
            <w:lang w:val="uk-UA"/>
          </w:rPr>
          <w:t>http://apps</w:t>
        </w:r>
      </w:hyperlink>
      <w:r w:rsidR="00301DB4" w:rsidRPr="00ED35A9">
        <w:rPr>
          <w:rFonts w:eastAsia="Calibri" w:cs="Times New Roman"/>
          <w:sz w:val="24"/>
          <w:szCs w:val="24"/>
          <w:lang w:val="uk-UA"/>
        </w:rPr>
        <w:t>.</w:t>
      </w:r>
      <w:r w:rsidRPr="00ED35A9">
        <w:rPr>
          <w:rFonts w:eastAsia="Calibri" w:cs="Times New Roman"/>
          <w:sz w:val="24"/>
          <w:szCs w:val="24"/>
          <w:lang w:val="uk-UA"/>
        </w:rPr>
        <w:t xml:space="preserve">who.int/iris/bitstream/10665/260440/l/WHO-CDS-TB-2018.6-eng.pdf,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next-generation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sequencing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technologies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mutations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associated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Mycobacterium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complex</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technical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00301DB4" w:rsidRPr="00ED35A9">
        <w:rPr>
          <w:rFonts w:eastAsia="Calibri" w:cs="Times New Roman"/>
          <w:sz w:val="24"/>
          <w:szCs w:val="24"/>
          <w:lang w:val="uk-UA"/>
        </w:rPr>
        <w:t>World</w:t>
      </w:r>
      <w:proofErr w:type="spellEnd"/>
      <w:r w:rsidR="00301DB4" w:rsidRPr="00ED35A9">
        <w:rPr>
          <w:rFonts w:eastAsia="Calibri" w:cs="Times New Roman"/>
          <w:sz w:val="24"/>
          <w:szCs w:val="24"/>
          <w:lang w:val="uk-UA"/>
        </w:rPr>
        <w:t xml:space="preserve"> </w:t>
      </w:r>
      <w:proofErr w:type="spellStart"/>
      <w:r w:rsidR="00301DB4" w:rsidRPr="00ED35A9">
        <w:rPr>
          <w:rFonts w:eastAsia="Calibri" w:cs="Times New Roman"/>
          <w:sz w:val="24"/>
          <w:szCs w:val="24"/>
          <w:lang w:val="uk-UA"/>
        </w:rPr>
        <w:t>Health</w:t>
      </w:r>
      <w:proofErr w:type="spellEnd"/>
      <w:r w:rsidR="00301DB4" w:rsidRPr="00ED35A9">
        <w:rPr>
          <w:rFonts w:eastAsia="Calibri" w:cs="Times New Roman"/>
          <w:sz w:val="24"/>
          <w:szCs w:val="24"/>
          <w:lang w:val="uk-UA"/>
        </w:rPr>
        <w:t xml:space="preserve"> </w:t>
      </w:r>
      <w:proofErr w:type="spellStart"/>
      <w:r w:rsidR="00301DB4"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w:t>
      </w:r>
      <w:r w:rsidRPr="00ED35A9">
        <w:rPr>
          <w:rFonts w:eastAsia="Calibri" w:cs="Times New Roman"/>
          <w:sz w:val="24"/>
          <w:szCs w:val="24"/>
          <w:lang w:val="uk-UA"/>
        </w:rPr>
        <w:t>FIND</w:t>
      </w:r>
      <w:r w:rsidR="00301DB4" w:rsidRPr="00ED35A9">
        <w:rPr>
          <w:rFonts w:eastAsia="Calibri" w:cs="Times New Roman"/>
          <w:sz w:val="24"/>
          <w:szCs w:val="24"/>
          <w:lang w:val="uk-UA"/>
        </w:rPr>
        <w:t xml:space="preserve">. </w:t>
      </w:r>
      <w:r w:rsidRPr="00ED35A9">
        <w:rPr>
          <w:rFonts w:eastAsia="Calibri" w:cs="Times New Roman"/>
          <w:sz w:val="24"/>
          <w:szCs w:val="24"/>
          <w:lang w:val="uk-UA"/>
        </w:rPr>
        <w:t xml:space="preserve">2018 (WHO/CDS/TB/2018.19; </w:t>
      </w:r>
      <w:hyperlink r:id="rId34" w:history="1">
        <w:r w:rsidRPr="00ED35A9">
          <w:rPr>
            <w:rFonts w:eastAsia="Calibri" w:cs="Times New Roman"/>
            <w:sz w:val="24"/>
            <w:szCs w:val="24"/>
            <w:lang w:val="uk-UA"/>
          </w:rPr>
          <w:t>http://apps.who.int/iris/bitstream/handle/10665/274443/WHO-CDS-TB-2018.19-eng.pdf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surveillance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fifth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 xml:space="preserve">2015 (WHO/TB/2015.13; </w:t>
      </w:r>
      <w:hyperlink r:id="rId35" w:history="1">
        <w:r w:rsidRPr="00ED35A9">
          <w:rPr>
            <w:rFonts w:eastAsia="Calibri" w:cs="Times New Roman"/>
            <w:sz w:val="24"/>
            <w:szCs w:val="24"/>
            <w:lang w:val="uk-UA"/>
          </w:rPr>
          <w:t>http://apps.who.int/iris/bitstream/10665/</w:t>
        </w:r>
        <w:r w:rsidR="00301DB4" w:rsidRPr="00ED35A9">
          <w:rPr>
            <w:rFonts w:eastAsia="Calibri" w:cs="Times New Roman"/>
            <w:sz w:val="24"/>
            <w:szCs w:val="24"/>
            <w:lang w:val="uk-UA"/>
          </w:rPr>
          <w:br/>
        </w:r>
        <w:r w:rsidRPr="00ED35A9">
          <w:rPr>
            <w:rFonts w:eastAsia="Calibri" w:cs="Times New Roman"/>
            <w:sz w:val="24"/>
            <w:szCs w:val="24"/>
            <w:lang w:val="uk-UA"/>
          </w:rPr>
          <w:t>174897/l/9789241549134_eng.pdf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BRIEFING PACKAGE </w:t>
      </w:r>
      <w:proofErr w:type="spellStart"/>
      <w:r w:rsidRPr="00ED35A9">
        <w:rPr>
          <w:rFonts w:eastAsia="Calibri" w:cs="Times New Roman"/>
          <w:sz w:val="24"/>
          <w:szCs w:val="24"/>
          <w:lang w:val="uk-UA"/>
        </w:rPr>
        <w:t>Division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Anti-Infective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Products</w:t>
      </w:r>
      <w:proofErr w:type="spellEnd"/>
      <w:r w:rsidRPr="00ED35A9">
        <w:rPr>
          <w:rFonts w:eastAsia="Calibri" w:cs="Times New Roman"/>
          <w:sz w:val="24"/>
          <w:szCs w:val="24"/>
          <w:lang w:val="uk-UA"/>
        </w:rPr>
        <w:t xml:space="preserve"> Office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Antimicrobial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Products</w:t>
      </w:r>
      <w:proofErr w:type="spellEnd"/>
      <w:r w:rsidRPr="00ED35A9">
        <w:rPr>
          <w:rFonts w:eastAsia="Calibri" w:cs="Times New Roman"/>
          <w:sz w:val="24"/>
          <w:szCs w:val="24"/>
          <w:lang w:val="uk-UA"/>
        </w:rPr>
        <w:t xml:space="preserve"> CDER, FDA. </w:t>
      </w:r>
      <w:proofErr w:type="spellStart"/>
      <w:r w:rsidRPr="00ED35A9">
        <w:rPr>
          <w:rFonts w:eastAsia="Calibri" w:cs="Times New Roman"/>
          <w:sz w:val="24"/>
          <w:szCs w:val="24"/>
          <w:lang w:val="uk-UA"/>
        </w:rPr>
        <w:t>SirturoTM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bedaquiline</w:t>
      </w:r>
      <w:proofErr w:type="spellEnd"/>
      <w:r w:rsidRPr="00ED35A9">
        <w:rPr>
          <w:rFonts w:eastAsia="Calibri" w:cs="Times New Roman"/>
          <w:sz w:val="24"/>
          <w:szCs w:val="24"/>
          <w:lang w:val="uk-UA"/>
        </w:rPr>
        <w:t xml:space="preserve"> 100 </w:t>
      </w:r>
      <w:proofErr w:type="spellStart"/>
      <w:r w:rsidRPr="00ED35A9">
        <w:rPr>
          <w:rFonts w:eastAsia="Calibri" w:cs="Times New Roman"/>
          <w:sz w:val="24"/>
          <w:szCs w:val="24"/>
          <w:lang w:val="uk-UA"/>
        </w:rPr>
        <w:t>mg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tablets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adults</w:t>
      </w:r>
      <w:proofErr w:type="spellEnd"/>
      <w:r w:rsidRPr="00ED35A9">
        <w:rPr>
          <w:rFonts w:eastAsia="Calibri" w:cs="Times New Roman"/>
          <w:sz w:val="24"/>
          <w:szCs w:val="24"/>
          <w:lang w:val="uk-UA"/>
        </w:rPr>
        <w:t xml:space="preserve"> (&gt;18 </w:t>
      </w:r>
      <w:proofErr w:type="spellStart"/>
      <w:r w:rsidRPr="00ED35A9">
        <w:rPr>
          <w:rFonts w:eastAsia="Calibri" w:cs="Times New Roman"/>
          <w:sz w:val="24"/>
          <w:szCs w:val="24"/>
          <w:lang w:val="uk-UA"/>
        </w:rPr>
        <w:t>years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combination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Applicant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Janssen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Research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Development</w:t>
      </w:r>
      <w:proofErr w:type="spellEnd"/>
      <w:r w:rsidRPr="00ED35A9">
        <w:rPr>
          <w:rFonts w:eastAsia="Calibri" w:cs="Times New Roman"/>
          <w:sz w:val="24"/>
          <w:szCs w:val="24"/>
          <w:lang w:val="uk-UA"/>
        </w:rPr>
        <w:t xml:space="preserve">, L.L.C FDA </w:t>
      </w:r>
      <w:proofErr w:type="spellStart"/>
      <w:r w:rsidRPr="00ED35A9">
        <w:rPr>
          <w:rFonts w:eastAsia="Calibri" w:cs="Times New Roman"/>
          <w:sz w:val="24"/>
          <w:szCs w:val="24"/>
          <w:lang w:val="uk-UA"/>
        </w:rPr>
        <w:t>Anti-Infective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Advisory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Committee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Meeting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Silver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Spring</w:t>
      </w:r>
      <w:proofErr w:type="spellEnd"/>
      <w:r w:rsidRPr="00ED35A9">
        <w:rPr>
          <w:rFonts w:eastAsia="Calibri" w:cs="Times New Roman"/>
          <w:sz w:val="24"/>
          <w:szCs w:val="24"/>
          <w:lang w:val="uk-UA"/>
        </w:rPr>
        <w:t xml:space="preserve">, MD </w:t>
      </w:r>
      <w:proofErr w:type="spellStart"/>
      <w:r w:rsidRPr="00ED35A9">
        <w:rPr>
          <w:rFonts w:eastAsia="Calibri" w:cs="Times New Roman"/>
          <w:sz w:val="24"/>
          <w:szCs w:val="24"/>
          <w:lang w:val="uk-UA"/>
        </w:rPr>
        <w:t>Date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November</w:t>
      </w:r>
      <w:proofErr w:type="spellEnd"/>
      <w:r w:rsidRPr="00ED35A9">
        <w:rPr>
          <w:rFonts w:eastAsia="Calibri" w:cs="Times New Roman"/>
          <w:sz w:val="24"/>
          <w:szCs w:val="24"/>
          <w:lang w:val="uk-UA"/>
        </w:rPr>
        <w:t xml:space="preserve"> 28, 2012. (</w:t>
      </w:r>
      <w:hyperlink r:id="rId36" w:history="1">
        <w:r w:rsidRPr="00ED35A9">
          <w:rPr>
            <w:rFonts w:eastAsia="Calibri" w:cs="Times New Roman"/>
            <w:sz w:val="24"/>
            <w:szCs w:val="24"/>
            <w:lang w:val="uk-UA"/>
          </w:rPr>
          <w:t>http://www.natap.org/2013/newsUpdates/20121128-AIDAC-Bl-01-FDA_Backgrounder.pdf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8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Sirturo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bedaquiline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European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Agency</w:t>
      </w:r>
      <w:proofErr w:type="spellEnd"/>
      <w:r w:rsidRPr="00ED35A9">
        <w:rPr>
          <w:rFonts w:eastAsia="Calibri" w:cs="Times New Roman"/>
          <w:sz w:val="24"/>
          <w:szCs w:val="24"/>
          <w:lang w:val="uk-UA"/>
        </w:rPr>
        <w:t xml:space="preserve"> </w:t>
      </w:r>
      <w:r w:rsidR="00301DB4"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301DB4" w:rsidRPr="00ED35A9">
        <w:rPr>
          <w:rFonts w:eastAsia="Calibri" w:cs="Times New Roman"/>
          <w:sz w:val="24"/>
          <w:szCs w:val="24"/>
          <w:lang w:val="uk-UA"/>
        </w:rPr>
        <w:t>)</w:t>
      </w:r>
      <w:r w:rsidRPr="00ED35A9">
        <w:rPr>
          <w:rFonts w:eastAsia="Calibri" w:cs="Times New Roman"/>
          <w:sz w:val="24"/>
          <w:szCs w:val="24"/>
          <w:lang w:val="uk-UA"/>
        </w:rPr>
        <w:t xml:space="preserve"> (</w:t>
      </w:r>
      <w:hyperlink r:id="rId37" w:history="1">
        <w:r w:rsidRPr="00ED35A9">
          <w:rPr>
            <w:rFonts w:eastAsia="Calibri" w:cs="Times New Roman"/>
            <w:sz w:val="24"/>
            <w:szCs w:val="24"/>
            <w:lang w:val="uk-UA"/>
          </w:rPr>
          <w:t>http://www.ema.europa</w:t>
        </w:r>
      </w:hyperlink>
      <w:r w:rsidRPr="00ED35A9">
        <w:rPr>
          <w:rFonts w:eastAsia="Calibri" w:cs="Times New Roman"/>
          <w:sz w:val="24"/>
          <w:szCs w:val="24"/>
          <w:lang w:val="uk-UA"/>
        </w:rPr>
        <w:t>.</w:t>
      </w:r>
      <w:r w:rsidR="00301DB4" w:rsidRPr="00ED35A9">
        <w:rPr>
          <w:rFonts w:eastAsia="Calibri" w:cs="Times New Roman"/>
          <w:sz w:val="24"/>
          <w:szCs w:val="24"/>
          <w:lang w:val="uk-UA"/>
        </w:rPr>
        <w:br/>
      </w:r>
      <w:r w:rsidRPr="00ED35A9">
        <w:rPr>
          <w:rFonts w:eastAsia="Calibri" w:cs="Times New Roman"/>
          <w:sz w:val="24"/>
          <w:szCs w:val="24"/>
          <w:lang w:val="uk-UA"/>
        </w:rPr>
        <w:t>eu/ema/index.jsp?curl=pages/medicines/human/medicines/002614/human_med_001730.</w:t>
      </w:r>
      <w:r w:rsidR="00301DB4" w:rsidRPr="00ED35A9">
        <w:rPr>
          <w:rFonts w:eastAsia="Calibri" w:cs="Times New Roman"/>
          <w:sz w:val="24"/>
          <w:szCs w:val="24"/>
          <w:lang w:val="uk-UA"/>
        </w:rPr>
        <w:br/>
      </w:r>
      <w:proofErr w:type="spellStart"/>
      <w:r w:rsidRPr="00ED35A9">
        <w:rPr>
          <w:rFonts w:eastAsia="Calibri" w:cs="Times New Roman"/>
          <w:sz w:val="24"/>
          <w:szCs w:val="24"/>
          <w:lang w:val="uk-UA"/>
        </w:rPr>
        <w:t>jsp&amp;mid</w:t>
      </w:r>
      <w:proofErr w:type="spellEnd"/>
      <w:r w:rsidRPr="00ED35A9">
        <w:rPr>
          <w:rFonts w:eastAsia="Calibri" w:cs="Times New Roman"/>
          <w:sz w:val="24"/>
          <w:szCs w:val="24"/>
          <w:lang w:val="uk-UA"/>
        </w:rPr>
        <w:t xml:space="preserve">=WC0b01ac058001dl24,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Deltyba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delamanid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European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Agency</w:t>
      </w:r>
      <w:proofErr w:type="spellEnd"/>
      <w:r w:rsidRPr="00ED35A9">
        <w:rPr>
          <w:rFonts w:eastAsia="Calibri" w:cs="Times New Roman"/>
          <w:sz w:val="24"/>
          <w:szCs w:val="24"/>
          <w:lang w:val="uk-UA"/>
        </w:rPr>
        <w:t xml:space="preserve"> </w:t>
      </w:r>
      <w:r w:rsidR="00301DB4"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301DB4" w:rsidRPr="00ED35A9">
        <w:rPr>
          <w:rFonts w:eastAsia="Calibri" w:cs="Times New Roman"/>
          <w:sz w:val="24"/>
          <w:szCs w:val="24"/>
          <w:lang w:val="uk-UA"/>
        </w:rPr>
        <w:t>)</w:t>
      </w:r>
      <w:r w:rsidRPr="00ED35A9">
        <w:rPr>
          <w:rFonts w:eastAsia="Calibri" w:cs="Times New Roman"/>
          <w:sz w:val="24"/>
          <w:szCs w:val="24"/>
          <w:lang w:val="uk-UA"/>
        </w:rPr>
        <w:t xml:space="preserve"> (</w:t>
      </w:r>
      <w:hyperlink r:id="rId38" w:history="1">
        <w:r w:rsidRPr="00ED35A9">
          <w:rPr>
            <w:rFonts w:eastAsia="Calibri" w:cs="Times New Roman"/>
            <w:sz w:val="24"/>
            <w:szCs w:val="24"/>
            <w:lang w:val="uk-UA"/>
          </w:rPr>
          <w:t>https://www.ema.europa.eu/en/medicines/</w:t>
        </w:r>
      </w:hyperlink>
      <w:r w:rsidRPr="00ED35A9">
        <w:rPr>
          <w:rFonts w:eastAsia="Calibri" w:cs="Times New Roman"/>
          <w:sz w:val="24"/>
          <w:szCs w:val="24"/>
          <w:lang w:val="uk-UA"/>
        </w:rPr>
        <w:t xml:space="preserve">human/EPAR/deltyba,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Electronic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recording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reporting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 xml:space="preserve">2012 (WHO/HTM/TB/2011.22; </w:t>
      </w:r>
      <w:hyperlink r:id="rId39" w:history="1">
        <w:r w:rsidRPr="00ED35A9">
          <w:rPr>
            <w:rFonts w:eastAsia="Calibri" w:cs="Times New Roman"/>
            <w:sz w:val="24"/>
            <w:szCs w:val="24"/>
            <w:lang w:val="uk-UA"/>
          </w:rPr>
          <w:t>http://whqlibdoc.who.int/publications/</w:t>
        </w:r>
        <w:r w:rsidR="00301DB4" w:rsidRPr="00ED35A9">
          <w:rPr>
            <w:rFonts w:eastAsia="Calibri" w:cs="Times New Roman"/>
            <w:sz w:val="24"/>
            <w:szCs w:val="24"/>
            <w:lang w:val="uk-UA"/>
          </w:rPr>
          <w:br/>
        </w:r>
        <w:r w:rsidRPr="00ED35A9">
          <w:rPr>
            <w:rFonts w:eastAsia="Calibri" w:cs="Times New Roman"/>
            <w:sz w:val="24"/>
            <w:szCs w:val="24"/>
            <w:lang w:val="uk-UA"/>
          </w:rPr>
          <w:t>2012/9789241564465_eng.pdf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Nunn</w:t>
      </w:r>
      <w:proofErr w:type="spellEnd"/>
      <w:r w:rsidRPr="00ED35A9">
        <w:rPr>
          <w:rFonts w:eastAsia="Calibri" w:cs="Times New Roman"/>
          <w:sz w:val="24"/>
          <w:szCs w:val="24"/>
          <w:lang w:val="uk-UA"/>
        </w:rPr>
        <w:t xml:space="preserve"> AJ, </w:t>
      </w:r>
      <w:proofErr w:type="spellStart"/>
      <w:r w:rsidRPr="00ED35A9">
        <w:rPr>
          <w:rFonts w:eastAsia="Calibri" w:cs="Times New Roman"/>
          <w:sz w:val="24"/>
          <w:szCs w:val="24"/>
          <w:lang w:val="uk-UA"/>
        </w:rPr>
        <w:t>Rusen</w:t>
      </w:r>
      <w:proofErr w:type="spellEnd"/>
      <w:r w:rsidRPr="00ED35A9">
        <w:rPr>
          <w:rFonts w:eastAsia="Calibri" w:cs="Times New Roman"/>
          <w:sz w:val="24"/>
          <w:szCs w:val="24"/>
          <w:lang w:val="uk-UA"/>
        </w:rPr>
        <w:t xml:space="preserve"> ID,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Deun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Torrea</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Phillips</w:t>
      </w:r>
      <w:proofErr w:type="spellEnd"/>
      <w:r w:rsidRPr="00ED35A9">
        <w:rPr>
          <w:rFonts w:eastAsia="Calibri" w:cs="Times New Roman"/>
          <w:sz w:val="24"/>
          <w:szCs w:val="24"/>
          <w:lang w:val="uk-UA"/>
        </w:rPr>
        <w:t xml:space="preserve"> PPJ, </w:t>
      </w:r>
      <w:proofErr w:type="spellStart"/>
      <w:r w:rsidRPr="00ED35A9">
        <w:rPr>
          <w:rFonts w:eastAsia="Calibri" w:cs="Times New Roman"/>
          <w:sz w:val="24"/>
          <w:szCs w:val="24"/>
          <w:lang w:val="uk-UA"/>
        </w:rPr>
        <w:t>Chiang</w:t>
      </w:r>
      <w:proofErr w:type="spellEnd"/>
      <w:r w:rsidRPr="00ED35A9">
        <w:rPr>
          <w:rFonts w:eastAsia="Calibri" w:cs="Times New Roman"/>
          <w:sz w:val="24"/>
          <w:szCs w:val="24"/>
          <w:lang w:val="uk-UA"/>
        </w:rPr>
        <w:t xml:space="preserve"> C-Y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standardized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(STREAM):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protocol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Trials</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2014</w:t>
      </w:r>
      <w:r w:rsidR="00301DB4" w:rsidRPr="00ED35A9">
        <w:rPr>
          <w:rFonts w:eastAsia="Calibri" w:cs="Times New Roman"/>
          <w:sz w:val="24"/>
          <w:szCs w:val="24"/>
          <w:lang w:val="uk-UA"/>
        </w:rPr>
        <w:t xml:space="preserve">, </w:t>
      </w:r>
      <w:r w:rsidRPr="00ED35A9">
        <w:rPr>
          <w:rFonts w:eastAsia="Calibri" w:cs="Times New Roman"/>
          <w:sz w:val="24"/>
          <w:szCs w:val="24"/>
          <w:lang w:val="uk-UA"/>
        </w:rPr>
        <w:t>15:</w:t>
      </w:r>
      <w:r w:rsidR="00301DB4" w:rsidRPr="00ED35A9">
        <w:rPr>
          <w:rFonts w:eastAsia="Calibri" w:cs="Times New Roman"/>
          <w:sz w:val="24"/>
          <w:szCs w:val="24"/>
          <w:lang w:val="uk-UA"/>
        </w:rPr>
        <w:t xml:space="preserve"> </w:t>
      </w:r>
      <w:r w:rsidRPr="00ED35A9">
        <w:rPr>
          <w:rFonts w:eastAsia="Calibri" w:cs="Times New Roman"/>
          <w:sz w:val="24"/>
          <w:szCs w:val="24"/>
          <w:lang w:val="uk-UA"/>
        </w:rPr>
        <w:t>353.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Position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continued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shorter</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following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expedited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STREAM </w:t>
      </w:r>
      <w:proofErr w:type="spellStart"/>
      <w:r w:rsidRPr="00ED35A9">
        <w:rPr>
          <w:rFonts w:eastAsia="Calibri" w:cs="Times New Roman"/>
          <w:sz w:val="24"/>
          <w:szCs w:val="24"/>
          <w:lang w:val="uk-UA"/>
        </w:rPr>
        <w:t>Stage</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preliminary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301DB4"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2018 (</w:t>
      </w:r>
      <w:hyperlink r:id="rId40" w:history="1">
        <w:r w:rsidRPr="00ED35A9">
          <w:rPr>
            <w:rFonts w:eastAsia="Calibri" w:cs="Times New Roman"/>
            <w:sz w:val="24"/>
            <w:szCs w:val="24"/>
            <w:lang w:val="uk-UA"/>
          </w:rPr>
          <w:t>https://www.who.int/</w:t>
        </w:r>
      </w:hyperlink>
      <w:r w:rsidRPr="00ED35A9">
        <w:rPr>
          <w:rFonts w:eastAsia="Calibri" w:cs="Times New Roman"/>
          <w:sz w:val="24"/>
          <w:szCs w:val="24"/>
          <w:lang w:val="uk-UA"/>
        </w:rPr>
        <w:t>tb/areas-of-work/</w:t>
      </w:r>
      <w:r w:rsidR="00301DB4" w:rsidRPr="00ED35A9">
        <w:rPr>
          <w:rFonts w:eastAsia="Calibri" w:cs="Times New Roman"/>
          <w:sz w:val="24"/>
          <w:szCs w:val="24"/>
          <w:lang w:val="uk-UA"/>
        </w:rPr>
        <w:t>drug-resistant-tb/treatment/</w:t>
      </w:r>
      <w:r w:rsidR="00301DB4" w:rsidRPr="00ED35A9">
        <w:rPr>
          <w:rFonts w:eastAsia="Calibri" w:cs="Times New Roman"/>
          <w:sz w:val="24"/>
          <w:szCs w:val="24"/>
          <w:lang w:val="uk-UA"/>
        </w:rPr>
        <w:br/>
        <w:t>WHO</w:t>
      </w:r>
      <w:r w:rsidRPr="00ED35A9">
        <w:rPr>
          <w:rFonts w:eastAsia="Calibri" w:cs="Times New Roman"/>
          <w:sz w:val="24"/>
          <w:szCs w:val="24"/>
          <w:lang w:val="uk-UA"/>
        </w:rPr>
        <w:t>PositionStatem</w:t>
      </w:r>
      <w:r w:rsidR="00301DB4" w:rsidRPr="00ED35A9">
        <w:rPr>
          <w:rFonts w:eastAsia="Calibri" w:cs="Times New Roman"/>
          <w:sz w:val="24"/>
          <w:szCs w:val="24"/>
          <w:lang w:val="uk-UA"/>
        </w:rPr>
        <w:t>entShorterRegimensSTREAMStagel.</w:t>
      </w:r>
      <w:r w:rsidRPr="00ED35A9">
        <w:rPr>
          <w:rFonts w:eastAsia="Calibri" w:cs="Times New Roman"/>
          <w:sz w:val="24"/>
          <w:szCs w:val="24"/>
          <w:lang w:val="uk-UA"/>
        </w:rPr>
        <w:t>pdf</w:t>
      </w:r>
      <w:r w:rsidR="00301DB4"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14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Deun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Maug</w:t>
      </w:r>
      <w:proofErr w:type="spellEnd"/>
      <w:r w:rsidRPr="00ED35A9">
        <w:rPr>
          <w:rFonts w:eastAsia="Calibri" w:cs="Times New Roman"/>
          <w:sz w:val="24"/>
          <w:szCs w:val="24"/>
          <w:lang w:val="uk-UA"/>
        </w:rPr>
        <w:t xml:space="preserve"> AKJ, </w:t>
      </w:r>
      <w:proofErr w:type="spellStart"/>
      <w:r w:rsidRPr="00ED35A9">
        <w:rPr>
          <w:rFonts w:eastAsia="Calibri" w:cs="Times New Roman"/>
          <w:sz w:val="24"/>
          <w:szCs w:val="24"/>
          <w:lang w:val="uk-UA"/>
        </w:rPr>
        <w:t>Salim</w:t>
      </w:r>
      <w:proofErr w:type="spellEnd"/>
      <w:r w:rsidRPr="00ED35A9">
        <w:rPr>
          <w:rFonts w:eastAsia="Calibri" w:cs="Times New Roman"/>
          <w:sz w:val="24"/>
          <w:szCs w:val="24"/>
          <w:lang w:val="uk-UA"/>
        </w:rPr>
        <w:t xml:space="preserve"> MAH, </w:t>
      </w:r>
      <w:proofErr w:type="spellStart"/>
      <w:r w:rsidRPr="00ED35A9">
        <w:rPr>
          <w:rFonts w:eastAsia="Calibri" w:cs="Times New Roman"/>
          <w:sz w:val="24"/>
          <w:szCs w:val="24"/>
          <w:lang w:val="uk-UA"/>
        </w:rPr>
        <w:t>Das</w:t>
      </w:r>
      <w:proofErr w:type="spellEnd"/>
      <w:r w:rsidRPr="00ED35A9">
        <w:rPr>
          <w:rFonts w:eastAsia="Calibri" w:cs="Times New Roman"/>
          <w:sz w:val="24"/>
          <w:szCs w:val="24"/>
          <w:lang w:val="uk-UA"/>
        </w:rPr>
        <w:t xml:space="preserve"> PK, </w:t>
      </w:r>
      <w:proofErr w:type="spellStart"/>
      <w:r w:rsidRPr="00ED35A9">
        <w:rPr>
          <w:rFonts w:eastAsia="Calibri" w:cs="Times New Roman"/>
          <w:sz w:val="24"/>
          <w:szCs w:val="24"/>
          <w:lang w:val="uk-UA"/>
        </w:rPr>
        <w:t>Sarker</w:t>
      </w:r>
      <w:proofErr w:type="spellEnd"/>
      <w:r w:rsidRPr="00ED35A9">
        <w:rPr>
          <w:rFonts w:eastAsia="Calibri" w:cs="Times New Roman"/>
          <w:sz w:val="24"/>
          <w:szCs w:val="24"/>
          <w:lang w:val="uk-UA"/>
        </w:rPr>
        <w:t xml:space="preserve"> MR, </w:t>
      </w:r>
      <w:proofErr w:type="spellStart"/>
      <w:r w:rsidRPr="00ED35A9">
        <w:rPr>
          <w:rFonts w:eastAsia="Calibri" w:cs="Times New Roman"/>
          <w:sz w:val="24"/>
          <w:szCs w:val="24"/>
          <w:lang w:val="uk-UA"/>
        </w:rPr>
        <w:t>Daru</w:t>
      </w:r>
      <w:proofErr w:type="spellEnd"/>
      <w:r w:rsidRPr="00ED35A9">
        <w:rPr>
          <w:rFonts w:eastAsia="Calibri" w:cs="Times New Roman"/>
          <w:sz w:val="24"/>
          <w:szCs w:val="24"/>
          <w:lang w:val="uk-UA"/>
        </w:rPr>
        <w:t xml:space="preserve"> P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inexpensive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standardized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Crit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Care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301DB4" w:rsidRPr="00ED35A9">
        <w:rPr>
          <w:rFonts w:eastAsia="Calibri" w:cs="Times New Roman"/>
          <w:sz w:val="24"/>
          <w:szCs w:val="24"/>
          <w:lang w:val="uk-UA"/>
        </w:rPr>
        <w:t xml:space="preserve">, </w:t>
      </w:r>
      <w:r w:rsidRPr="00ED35A9">
        <w:rPr>
          <w:rFonts w:eastAsia="Calibri" w:cs="Times New Roman"/>
          <w:sz w:val="24"/>
          <w:szCs w:val="24"/>
          <w:lang w:val="uk-UA"/>
        </w:rPr>
        <w:t>2010</w:t>
      </w:r>
      <w:r w:rsidR="00301DB4" w:rsidRPr="00ED35A9">
        <w:rPr>
          <w:rFonts w:eastAsia="Calibri" w:cs="Times New Roman"/>
          <w:sz w:val="24"/>
          <w:szCs w:val="24"/>
          <w:lang w:val="uk-UA"/>
        </w:rPr>
        <w:t xml:space="preserve">, </w:t>
      </w:r>
      <w:r w:rsidRPr="00ED35A9">
        <w:rPr>
          <w:rFonts w:eastAsia="Calibri" w:cs="Times New Roman"/>
          <w:sz w:val="24"/>
          <w:szCs w:val="24"/>
          <w:lang w:val="uk-UA"/>
        </w:rPr>
        <w:t>182(5):</w:t>
      </w:r>
      <w:r w:rsidR="00301DB4" w:rsidRPr="00ED35A9">
        <w:rPr>
          <w:rFonts w:eastAsia="Calibri" w:cs="Times New Roman"/>
          <w:sz w:val="24"/>
          <w:szCs w:val="24"/>
          <w:lang w:val="uk-UA"/>
        </w:rPr>
        <w:t xml:space="preserve"> </w:t>
      </w:r>
      <w:r w:rsidRPr="00ED35A9">
        <w:rPr>
          <w:rFonts w:eastAsia="Calibri" w:cs="Times New Roman"/>
          <w:sz w:val="24"/>
          <w:szCs w:val="24"/>
          <w:lang w:val="uk-UA"/>
        </w:rPr>
        <w:t>684</w:t>
      </w:r>
      <w:r w:rsidR="00301DB4" w:rsidRPr="00ED35A9">
        <w:rPr>
          <w:rFonts w:eastAsia="Calibri" w:cs="Times New Roman"/>
          <w:sz w:val="24"/>
          <w:szCs w:val="24"/>
          <w:lang w:val="uk-UA"/>
        </w:rPr>
        <w:t>–6</w:t>
      </w:r>
      <w:r w:rsidRPr="00ED35A9">
        <w:rPr>
          <w:rFonts w:eastAsia="Calibri" w:cs="Times New Roman"/>
          <w:sz w:val="24"/>
          <w:szCs w:val="24"/>
          <w:lang w:val="uk-UA"/>
        </w:rPr>
        <w:t>92.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Kuaban</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Noeske</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Rieder</w:t>
      </w:r>
      <w:proofErr w:type="spellEnd"/>
      <w:r w:rsidRPr="00ED35A9">
        <w:rPr>
          <w:rFonts w:eastAsia="Calibri" w:cs="Times New Roman"/>
          <w:sz w:val="24"/>
          <w:szCs w:val="24"/>
          <w:lang w:val="uk-UA"/>
        </w:rPr>
        <w:t xml:space="preserve"> HL, </w:t>
      </w:r>
      <w:proofErr w:type="spellStart"/>
      <w:r w:rsidRPr="00ED35A9">
        <w:rPr>
          <w:rFonts w:eastAsia="Calibri" w:cs="Times New Roman"/>
          <w:sz w:val="24"/>
          <w:szCs w:val="24"/>
          <w:lang w:val="uk-UA"/>
        </w:rPr>
        <w:t>Ai’t-Khaled</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Abena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Foe</w:t>
      </w:r>
      <w:proofErr w:type="spellEnd"/>
      <w:r w:rsidRPr="00ED35A9">
        <w:rPr>
          <w:rFonts w:eastAsia="Calibri" w:cs="Times New Roman"/>
          <w:sz w:val="24"/>
          <w:szCs w:val="24"/>
          <w:lang w:val="uk-UA"/>
        </w:rPr>
        <w:t xml:space="preserve"> JL, </w:t>
      </w:r>
      <w:proofErr w:type="spellStart"/>
      <w:r w:rsidRPr="00ED35A9">
        <w:rPr>
          <w:rFonts w:eastAsia="Calibri" w:cs="Times New Roman"/>
          <w:sz w:val="24"/>
          <w:szCs w:val="24"/>
          <w:lang w:val="uk-UA"/>
        </w:rPr>
        <w:t>Trebucq</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12-month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Cameroon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2015</w:t>
      </w:r>
      <w:r w:rsidR="00D4784D" w:rsidRPr="00ED35A9">
        <w:rPr>
          <w:rFonts w:eastAsia="Calibri" w:cs="Times New Roman"/>
          <w:sz w:val="24"/>
          <w:szCs w:val="24"/>
          <w:lang w:val="uk-UA"/>
        </w:rPr>
        <w:t xml:space="preserve">, </w:t>
      </w:r>
      <w:r w:rsidRPr="00ED35A9">
        <w:rPr>
          <w:rFonts w:eastAsia="Calibri" w:cs="Times New Roman"/>
          <w:sz w:val="24"/>
          <w:szCs w:val="24"/>
          <w:lang w:val="uk-UA"/>
        </w:rPr>
        <w:t>19(5):</w:t>
      </w:r>
      <w:r w:rsidR="00D4784D" w:rsidRPr="00ED35A9">
        <w:rPr>
          <w:rFonts w:eastAsia="Calibri" w:cs="Times New Roman"/>
          <w:sz w:val="24"/>
          <w:szCs w:val="24"/>
          <w:lang w:val="uk-UA"/>
        </w:rPr>
        <w:t xml:space="preserve"> </w:t>
      </w:r>
      <w:r w:rsidRPr="00ED35A9">
        <w:rPr>
          <w:rFonts w:eastAsia="Calibri" w:cs="Times New Roman"/>
          <w:sz w:val="24"/>
          <w:szCs w:val="24"/>
          <w:lang w:val="uk-UA"/>
        </w:rPr>
        <w:t>517</w:t>
      </w:r>
      <w:r w:rsidR="00D4784D" w:rsidRPr="00ED35A9">
        <w:rPr>
          <w:rFonts w:eastAsia="Calibri" w:cs="Times New Roman"/>
          <w:sz w:val="24"/>
          <w:szCs w:val="24"/>
          <w:lang w:val="uk-UA"/>
        </w:rPr>
        <w:t>–5</w:t>
      </w:r>
      <w:r w:rsidRPr="00ED35A9">
        <w:rPr>
          <w:rFonts w:eastAsia="Calibri" w:cs="Times New Roman"/>
          <w:sz w:val="24"/>
          <w:szCs w:val="24"/>
          <w:lang w:val="uk-UA"/>
        </w:rPr>
        <w:t>24.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Piubello</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Harouna</w:t>
      </w:r>
      <w:proofErr w:type="spellEnd"/>
      <w:r w:rsidRPr="00ED35A9">
        <w:rPr>
          <w:rFonts w:eastAsia="Calibri" w:cs="Times New Roman"/>
          <w:sz w:val="24"/>
          <w:szCs w:val="24"/>
          <w:lang w:val="uk-UA"/>
        </w:rPr>
        <w:t xml:space="preserve"> SH, </w:t>
      </w:r>
      <w:proofErr w:type="spellStart"/>
      <w:r w:rsidRPr="00ED35A9">
        <w:rPr>
          <w:rFonts w:eastAsia="Calibri" w:cs="Times New Roman"/>
          <w:sz w:val="24"/>
          <w:szCs w:val="24"/>
          <w:lang w:val="uk-UA"/>
        </w:rPr>
        <w:t>Souleymane</w:t>
      </w:r>
      <w:proofErr w:type="spellEnd"/>
      <w:r w:rsidRPr="00ED35A9">
        <w:rPr>
          <w:rFonts w:eastAsia="Calibri" w:cs="Times New Roman"/>
          <w:sz w:val="24"/>
          <w:szCs w:val="24"/>
          <w:lang w:val="uk-UA"/>
        </w:rPr>
        <w:t xml:space="preserve"> MB, </w:t>
      </w:r>
      <w:proofErr w:type="spellStart"/>
      <w:r w:rsidRPr="00ED35A9">
        <w:rPr>
          <w:rFonts w:eastAsia="Calibri" w:cs="Times New Roman"/>
          <w:sz w:val="24"/>
          <w:szCs w:val="24"/>
          <w:lang w:val="uk-UA"/>
        </w:rPr>
        <w:t>Boukary</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Morou</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Daouda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cure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standardised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short-course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Niger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relapses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2014</w:t>
      </w:r>
      <w:r w:rsidR="00D4784D" w:rsidRPr="00ED35A9">
        <w:rPr>
          <w:rFonts w:eastAsia="Calibri" w:cs="Times New Roman"/>
          <w:sz w:val="24"/>
          <w:szCs w:val="24"/>
          <w:lang w:val="uk-UA"/>
        </w:rPr>
        <w:t xml:space="preserve">, </w:t>
      </w:r>
      <w:r w:rsidRPr="00ED35A9">
        <w:rPr>
          <w:rFonts w:eastAsia="Calibri" w:cs="Times New Roman"/>
          <w:sz w:val="24"/>
          <w:szCs w:val="24"/>
          <w:lang w:val="uk-UA"/>
        </w:rPr>
        <w:t>18(10):</w:t>
      </w:r>
      <w:r w:rsidR="00D4784D" w:rsidRPr="00ED35A9">
        <w:rPr>
          <w:rFonts w:eastAsia="Calibri" w:cs="Times New Roman"/>
          <w:sz w:val="24"/>
          <w:szCs w:val="24"/>
          <w:lang w:val="uk-UA"/>
        </w:rPr>
        <w:t xml:space="preserve"> </w:t>
      </w:r>
      <w:r w:rsidRPr="00ED35A9">
        <w:rPr>
          <w:rFonts w:eastAsia="Calibri" w:cs="Times New Roman"/>
          <w:sz w:val="24"/>
          <w:szCs w:val="24"/>
          <w:lang w:val="uk-UA"/>
        </w:rPr>
        <w:t>1188</w:t>
      </w:r>
      <w:r w:rsidR="00D4784D" w:rsidRPr="00ED35A9">
        <w:rPr>
          <w:rFonts w:eastAsia="Calibri" w:cs="Times New Roman"/>
          <w:sz w:val="24"/>
          <w:szCs w:val="24"/>
          <w:lang w:val="uk-UA"/>
        </w:rPr>
        <w:t>–11</w:t>
      </w:r>
      <w:r w:rsidRPr="00ED35A9">
        <w:rPr>
          <w:rFonts w:eastAsia="Calibri" w:cs="Times New Roman"/>
          <w:sz w:val="24"/>
          <w:szCs w:val="24"/>
          <w:lang w:val="uk-UA"/>
        </w:rPr>
        <w:t>94.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Trebucq</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Schwoebel</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Kashongwe</w:t>
      </w:r>
      <w:proofErr w:type="spellEnd"/>
      <w:r w:rsidRPr="00ED35A9">
        <w:rPr>
          <w:rFonts w:eastAsia="Calibri" w:cs="Times New Roman"/>
          <w:sz w:val="24"/>
          <w:szCs w:val="24"/>
          <w:lang w:val="uk-UA"/>
        </w:rPr>
        <w:t xml:space="preserve"> Z, </w:t>
      </w:r>
      <w:proofErr w:type="spellStart"/>
      <w:r w:rsidRPr="00ED35A9">
        <w:rPr>
          <w:rFonts w:eastAsia="Calibri" w:cs="Times New Roman"/>
          <w:sz w:val="24"/>
          <w:szCs w:val="24"/>
          <w:lang w:val="uk-UA"/>
        </w:rPr>
        <w:t>Bakayoko</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Kuaban</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Noeske</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countries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2018</w:t>
      </w:r>
      <w:r w:rsidR="00D4784D" w:rsidRPr="00ED35A9">
        <w:rPr>
          <w:rFonts w:eastAsia="Calibri" w:cs="Times New Roman"/>
          <w:sz w:val="24"/>
          <w:szCs w:val="24"/>
          <w:lang w:val="uk-UA"/>
        </w:rPr>
        <w:t xml:space="preserve">, </w:t>
      </w:r>
      <w:r w:rsidRPr="00ED35A9">
        <w:rPr>
          <w:rFonts w:eastAsia="Calibri" w:cs="Times New Roman"/>
          <w:sz w:val="24"/>
          <w:szCs w:val="24"/>
          <w:lang w:val="uk-UA"/>
        </w:rPr>
        <w:t>22(</w:t>
      </w:r>
      <w:r w:rsidR="00D4784D" w:rsidRPr="00ED35A9">
        <w:rPr>
          <w:rFonts w:eastAsia="Calibri" w:cs="Times New Roman"/>
          <w:sz w:val="24"/>
          <w:szCs w:val="24"/>
          <w:lang w:val="uk-UA"/>
        </w:rPr>
        <w:t>1</w:t>
      </w:r>
      <w:r w:rsidRPr="00ED35A9">
        <w:rPr>
          <w:rFonts w:eastAsia="Calibri" w:cs="Times New Roman"/>
          <w:sz w:val="24"/>
          <w:szCs w:val="24"/>
          <w:lang w:val="uk-UA"/>
        </w:rPr>
        <w:t>):</w:t>
      </w:r>
      <w:r w:rsidR="00D4784D" w:rsidRPr="00ED35A9">
        <w:rPr>
          <w:rFonts w:eastAsia="Calibri" w:cs="Times New Roman"/>
          <w:sz w:val="24"/>
          <w:szCs w:val="24"/>
          <w:lang w:val="uk-UA"/>
        </w:rPr>
        <w:t xml:space="preserve"> </w:t>
      </w:r>
      <w:r w:rsidRPr="00ED35A9">
        <w:rPr>
          <w:rFonts w:eastAsia="Calibri" w:cs="Times New Roman"/>
          <w:sz w:val="24"/>
          <w:szCs w:val="24"/>
          <w:lang w:val="uk-UA"/>
        </w:rPr>
        <w:t>17</w:t>
      </w:r>
      <w:r w:rsidR="00D4784D" w:rsidRPr="00ED35A9">
        <w:rPr>
          <w:rFonts w:eastAsia="Calibri" w:cs="Times New Roman"/>
          <w:sz w:val="24"/>
          <w:szCs w:val="24"/>
          <w:lang w:val="uk-UA"/>
        </w:rPr>
        <w:t>–</w:t>
      </w:r>
      <w:r w:rsidRPr="00ED35A9">
        <w:rPr>
          <w:rFonts w:eastAsia="Calibri" w:cs="Times New Roman"/>
          <w:sz w:val="24"/>
          <w:szCs w:val="24"/>
          <w:lang w:val="uk-UA"/>
        </w:rPr>
        <w:t>25.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position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shorter</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4784D"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 xml:space="preserve">2018 (WHO/CDS/TB/2018.2; </w:t>
      </w:r>
      <w:hyperlink r:id="rId41" w:history="1">
        <w:r w:rsidRPr="00ED35A9">
          <w:rPr>
            <w:rFonts w:eastAsia="Calibri" w:cs="Times New Roman"/>
            <w:sz w:val="24"/>
            <w:szCs w:val="24"/>
            <w:lang w:val="uk-UA"/>
          </w:rPr>
          <w:t>http://www.who.int/tb/</w:t>
        </w:r>
        <w:r w:rsidR="00D4784D" w:rsidRPr="00ED35A9">
          <w:rPr>
            <w:rFonts w:eastAsia="Calibri" w:cs="Times New Roman"/>
            <w:sz w:val="24"/>
            <w:szCs w:val="24"/>
            <w:lang w:val="uk-UA"/>
          </w:rPr>
          <w:br/>
        </w:r>
        <w:proofErr w:type="spellStart"/>
        <w:r w:rsidRPr="00ED35A9">
          <w:rPr>
            <w:rFonts w:eastAsia="Calibri" w:cs="Times New Roman"/>
            <w:sz w:val="24"/>
            <w:szCs w:val="24"/>
            <w:lang w:val="uk-UA"/>
          </w:rPr>
          <w:t>publications</w:t>
        </w:r>
        <w:proofErr w:type="spellEnd"/>
        <w:r w:rsidRPr="00ED35A9">
          <w:rPr>
            <w:rFonts w:eastAsia="Calibri" w:cs="Times New Roman"/>
            <w:sz w:val="24"/>
            <w:szCs w:val="24"/>
            <w:lang w:val="uk-UA"/>
          </w:rPr>
          <w:t>/2018/</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Kurbatova</w:t>
      </w:r>
      <w:proofErr w:type="spellEnd"/>
      <w:r w:rsidRPr="00ED35A9">
        <w:rPr>
          <w:rFonts w:eastAsia="Calibri" w:cs="Times New Roman"/>
          <w:sz w:val="24"/>
          <w:szCs w:val="24"/>
          <w:lang w:val="uk-UA"/>
        </w:rPr>
        <w:t xml:space="preserve"> EV</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Gammino</w:t>
      </w:r>
      <w:proofErr w:type="spellEnd"/>
      <w:r w:rsidRPr="00ED35A9">
        <w:rPr>
          <w:rFonts w:eastAsia="Calibri" w:cs="Times New Roman"/>
          <w:sz w:val="24"/>
          <w:szCs w:val="24"/>
          <w:lang w:val="uk-UA"/>
        </w:rPr>
        <w:t xml:space="preserve"> VM, </w:t>
      </w:r>
      <w:proofErr w:type="spellStart"/>
      <w:r w:rsidRPr="00ED35A9">
        <w:rPr>
          <w:rFonts w:eastAsia="Calibri" w:cs="Times New Roman"/>
          <w:sz w:val="24"/>
          <w:szCs w:val="24"/>
          <w:lang w:val="uk-UA"/>
        </w:rPr>
        <w:t>Bayona</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Becerra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Danilovitz</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Falzon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Frequency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type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microbiological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2011</w:t>
      </w:r>
      <w:r w:rsidR="00D4784D" w:rsidRPr="00ED35A9">
        <w:rPr>
          <w:rFonts w:eastAsia="Calibri" w:cs="Times New Roman"/>
          <w:sz w:val="24"/>
          <w:szCs w:val="24"/>
          <w:lang w:val="uk-UA"/>
        </w:rPr>
        <w:t xml:space="preserve">, </w:t>
      </w:r>
      <w:r w:rsidRPr="00ED35A9">
        <w:rPr>
          <w:rFonts w:eastAsia="Calibri" w:cs="Times New Roman"/>
          <w:sz w:val="24"/>
          <w:szCs w:val="24"/>
          <w:lang w:val="uk-UA"/>
        </w:rPr>
        <w:t>15(</w:t>
      </w:r>
      <w:r w:rsidR="00D4784D" w:rsidRPr="00ED35A9">
        <w:rPr>
          <w:rFonts w:eastAsia="Calibri" w:cs="Times New Roman"/>
          <w:sz w:val="24"/>
          <w:szCs w:val="24"/>
          <w:lang w:val="uk-UA"/>
        </w:rPr>
        <w:t>11</w:t>
      </w:r>
      <w:r w:rsidRPr="00ED35A9">
        <w:rPr>
          <w:rFonts w:eastAsia="Calibri" w:cs="Times New Roman"/>
          <w:sz w:val="24"/>
          <w:szCs w:val="24"/>
          <w:lang w:val="uk-UA"/>
        </w:rPr>
        <w:t>):</w:t>
      </w:r>
      <w:r w:rsidR="00D4784D" w:rsidRPr="00ED35A9">
        <w:rPr>
          <w:rFonts w:eastAsia="Calibri" w:cs="Times New Roman"/>
          <w:sz w:val="24"/>
          <w:szCs w:val="24"/>
          <w:lang w:val="uk-UA"/>
        </w:rPr>
        <w:t xml:space="preserve"> </w:t>
      </w:r>
      <w:r w:rsidRPr="00ED35A9">
        <w:rPr>
          <w:rFonts w:eastAsia="Calibri" w:cs="Times New Roman"/>
          <w:sz w:val="24"/>
          <w:szCs w:val="24"/>
          <w:lang w:val="uk-UA"/>
        </w:rPr>
        <w:t>1553</w:t>
      </w:r>
      <w:r w:rsidR="00D4784D" w:rsidRPr="00ED35A9">
        <w:rPr>
          <w:rFonts w:eastAsia="Calibri" w:cs="Times New Roman"/>
          <w:sz w:val="24"/>
          <w:szCs w:val="24"/>
          <w:lang w:val="uk-UA"/>
        </w:rPr>
        <w:t>–155</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Mitnick</w:t>
      </w:r>
      <w:proofErr w:type="spellEnd"/>
      <w:r w:rsidRPr="00ED35A9">
        <w:rPr>
          <w:rFonts w:eastAsia="Calibri" w:cs="Times New Roman"/>
          <w:sz w:val="24"/>
          <w:szCs w:val="24"/>
          <w:lang w:val="uk-UA"/>
        </w:rPr>
        <w:t xml:space="preserve"> CD, </w:t>
      </w:r>
      <w:proofErr w:type="spellStart"/>
      <w:r w:rsidRPr="00ED35A9">
        <w:rPr>
          <w:rFonts w:eastAsia="Calibri" w:cs="Times New Roman"/>
          <w:sz w:val="24"/>
          <w:szCs w:val="24"/>
          <w:lang w:val="uk-UA"/>
        </w:rPr>
        <w:t>White</w:t>
      </w:r>
      <w:proofErr w:type="spellEnd"/>
      <w:r w:rsidRPr="00ED35A9">
        <w:rPr>
          <w:rFonts w:eastAsia="Calibri" w:cs="Times New Roman"/>
          <w:sz w:val="24"/>
          <w:szCs w:val="24"/>
          <w:lang w:val="uk-UA"/>
        </w:rPr>
        <w:t xml:space="preserve"> RA, </w:t>
      </w:r>
      <w:proofErr w:type="spellStart"/>
      <w:r w:rsidRPr="00ED35A9">
        <w:rPr>
          <w:rFonts w:eastAsia="Calibri" w:cs="Times New Roman"/>
          <w:sz w:val="24"/>
          <w:szCs w:val="24"/>
          <w:lang w:val="uk-UA"/>
        </w:rPr>
        <w:t>Lu</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Rodriguez</w:t>
      </w:r>
      <w:proofErr w:type="spellEnd"/>
      <w:r w:rsidRPr="00ED35A9">
        <w:rPr>
          <w:rFonts w:eastAsia="Calibri" w:cs="Times New Roman"/>
          <w:sz w:val="24"/>
          <w:szCs w:val="24"/>
          <w:lang w:val="uk-UA"/>
        </w:rPr>
        <w:t xml:space="preserve"> CA, </w:t>
      </w:r>
      <w:proofErr w:type="spellStart"/>
      <w:r w:rsidRPr="00ED35A9">
        <w:rPr>
          <w:rFonts w:eastAsia="Calibri" w:cs="Times New Roman"/>
          <w:sz w:val="24"/>
          <w:szCs w:val="24"/>
          <w:lang w:val="uk-UA"/>
        </w:rPr>
        <w:t>Bayona</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Becerra</w:t>
      </w:r>
      <w:proofErr w:type="spellEnd"/>
      <w:r w:rsidRPr="00ED35A9">
        <w:rPr>
          <w:rFonts w:eastAsia="Calibri" w:cs="Times New Roman"/>
          <w:sz w:val="24"/>
          <w:szCs w:val="24"/>
          <w:lang w:val="uk-UA"/>
        </w:rPr>
        <w:t xml:space="preserve"> MC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failure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depends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microbiological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method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Eur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J</w:t>
      </w:r>
      <w:r w:rsidR="00D4784D" w:rsidRPr="00ED35A9">
        <w:rPr>
          <w:rFonts w:eastAsia="Calibri" w:cs="Times New Roman"/>
          <w:sz w:val="24"/>
          <w:szCs w:val="24"/>
          <w:lang w:val="uk-UA"/>
        </w:rPr>
        <w:t xml:space="preserve">, </w:t>
      </w:r>
      <w:r w:rsidRPr="00ED35A9">
        <w:rPr>
          <w:rFonts w:eastAsia="Calibri" w:cs="Times New Roman"/>
          <w:sz w:val="24"/>
          <w:szCs w:val="24"/>
          <w:lang w:val="uk-UA"/>
        </w:rPr>
        <w:t>2016</w:t>
      </w:r>
      <w:r w:rsidR="00D4784D" w:rsidRPr="00ED35A9">
        <w:rPr>
          <w:rFonts w:eastAsia="Calibri" w:cs="Times New Roman"/>
          <w:sz w:val="24"/>
          <w:szCs w:val="24"/>
          <w:lang w:val="uk-UA"/>
        </w:rPr>
        <w:t xml:space="preserve">, </w:t>
      </w:r>
      <w:r w:rsidRPr="00ED35A9">
        <w:rPr>
          <w:rFonts w:eastAsia="Calibri" w:cs="Times New Roman"/>
          <w:sz w:val="24"/>
          <w:szCs w:val="24"/>
          <w:lang w:val="uk-UA"/>
        </w:rPr>
        <w:t>48(4):</w:t>
      </w:r>
      <w:r w:rsidR="00D4784D" w:rsidRPr="00ED35A9">
        <w:rPr>
          <w:rFonts w:eastAsia="Calibri" w:cs="Times New Roman"/>
          <w:sz w:val="24"/>
          <w:szCs w:val="24"/>
          <w:lang w:val="uk-UA"/>
        </w:rPr>
        <w:t xml:space="preserve"> </w:t>
      </w:r>
      <w:r w:rsidRPr="00ED35A9">
        <w:rPr>
          <w:rFonts w:eastAsia="Calibri" w:cs="Times New Roman"/>
          <w:sz w:val="24"/>
          <w:szCs w:val="24"/>
          <w:lang w:val="uk-UA"/>
        </w:rPr>
        <w:t>1160</w:t>
      </w:r>
      <w:r w:rsidR="00D4784D" w:rsidRPr="00ED35A9">
        <w:rPr>
          <w:rFonts w:eastAsia="Calibri" w:cs="Times New Roman"/>
          <w:sz w:val="24"/>
          <w:szCs w:val="24"/>
          <w:lang w:val="uk-UA"/>
        </w:rPr>
        <w:t>–11</w:t>
      </w:r>
      <w:r w:rsidRPr="00ED35A9">
        <w:rPr>
          <w:rFonts w:eastAsia="Calibri" w:cs="Times New Roman"/>
          <w:sz w:val="24"/>
          <w:szCs w:val="24"/>
          <w:lang w:val="uk-UA"/>
        </w:rPr>
        <w:t>70.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laboratory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biosafety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D4784D"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 xml:space="preserve">2012 (WHO/HTM/TB/2012.11; </w:t>
      </w:r>
      <w:hyperlink r:id="rId42" w:history="1">
        <w:r w:rsidRPr="00ED35A9">
          <w:rPr>
            <w:rFonts w:eastAsia="Calibri" w:cs="Times New Roman"/>
            <w:sz w:val="24"/>
            <w:szCs w:val="24"/>
            <w:lang w:val="uk-UA"/>
          </w:rPr>
          <w:t>http://apps.who.int/iris/bitstream/10665/77949/l/</w:t>
        </w:r>
        <w:r w:rsidR="00D4784D" w:rsidRPr="00ED35A9">
          <w:rPr>
            <w:rFonts w:eastAsia="Calibri" w:cs="Times New Roman"/>
            <w:sz w:val="24"/>
            <w:szCs w:val="24"/>
            <w:lang w:val="uk-UA"/>
          </w:rPr>
          <w:br/>
        </w:r>
        <w:r w:rsidRPr="00ED35A9">
          <w:rPr>
            <w:rFonts w:eastAsia="Calibri" w:cs="Times New Roman"/>
            <w:sz w:val="24"/>
            <w:szCs w:val="24"/>
            <w:lang w:val="uk-UA"/>
          </w:rPr>
          <w:t>9789241504638_eng.pdf</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Friedrich</w:t>
      </w:r>
      <w:proofErr w:type="spellEnd"/>
      <w:r w:rsidRPr="00ED35A9">
        <w:rPr>
          <w:rFonts w:eastAsia="Calibri" w:cs="Times New Roman"/>
          <w:sz w:val="24"/>
          <w:szCs w:val="24"/>
          <w:lang w:val="uk-UA"/>
        </w:rPr>
        <w:t xml:space="preserve"> SO, </w:t>
      </w:r>
      <w:proofErr w:type="spellStart"/>
      <w:r w:rsidRPr="00ED35A9">
        <w:rPr>
          <w:rFonts w:eastAsia="Calibri" w:cs="Times New Roman"/>
          <w:sz w:val="24"/>
          <w:szCs w:val="24"/>
          <w:lang w:val="uk-UA"/>
        </w:rPr>
        <w:t>Rachow</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Saathoff</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Singh</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Mangu</w:t>
      </w:r>
      <w:proofErr w:type="spellEnd"/>
      <w:r w:rsidRPr="00ED35A9">
        <w:rPr>
          <w:rFonts w:eastAsia="Calibri" w:cs="Times New Roman"/>
          <w:sz w:val="24"/>
          <w:szCs w:val="24"/>
          <w:lang w:val="uk-UA"/>
        </w:rPr>
        <w:t xml:space="preserve"> CD, </w:t>
      </w:r>
      <w:proofErr w:type="spellStart"/>
      <w:r w:rsidRPr="00ED35A9">
        <w:rPr>
          <w:rFonts w:eastAsia="Calibri" w:cs="Times New Roman"/>
          <w:sz w:val="24"/>
          <w:szCs w:val="24"/>
          <w:lang w:val="uk-UA"/>
        </w:rPr>
        <w:t>Dawson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Assessment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sensitivity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specificity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Xpert</w:t>
      </w:r>
      <w:proofErr w:type="spellEnd"/>
      <w:r w:rsidRPr="00ED35A9">
        <w:rPr>
          <w:rFonts w:eastAsia="Calibri" w:cs="Times New Roman"/>
          <w:sz w:val="24"/>
          <w:szCs w:val="24"/>
          <w:lang w:val="uk-UA"/>
        </w:rPr>
        <w:t xml:space="preserve"> MTB/RIF </w:t>
      </w:r>
      <w:proofErr w:type="spellStart"/>
      <w:r w:rsidRPr="00ED35A9">
        <w:rPr>
          <w:rFonts w:eastAsia="Calibri" w:cs="Times New Roman"/>
          <w:sz w:val="24"/>
          <w:szCs w:val="24"/>
          <w:lang w:val="uk-UA"/>
        </w:rPr>
        <w:t>assay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early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sputum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biomarker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response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D4784D" w:rsidRPr="00ED35A9">
        <w:rPr>
          <w:rFonts w:eastAsia="Calibri" w:cs="Times New Roman"/>
          <w:sz w:val="24"/>
          <w:szCs w:val="24"/>
          <w:lang w:val="uk-UA"/>
        </w:rPr>
        <w:t xml:space="preserve">, </w:t>
      </w:r>
      <w:r w:rsidRPr="00ED35A9">
        <w:rPr>
          <w:rFonts w:eastAsia="Calibri" w:cs="Times New Roman"/>
          <w:sz w:val="24"/>
          <w:szCs w:val="24"/>
          <w:lang w:val="uk-UA"/>
        </w:rPr>
        <w:t>2013</w:t>
      </w:r>
      <w:r w:rsidR="00D4784D" w:rsidRPr="00ED35A9">
        <w:rPr>
          <w:rFonts w:eastAsia="Calibri" w:cs="Times New Roman"/>
          <w:sz w:val="24"/>
          <w:szCs w:val="24"/>
          <w:lang w:val="uk-UA"/>
        </w:rPr>
        <w:t>, 1</w:t>
      </w:r>
      <w:r w:rsidRPr="00ED35A9">
        <w:rPr>
          <w:rFonts w:eastAsia="Calibri" w:cs="Times New Roman"/>
          <w:sz w:val="24"/>
          <w:szCs w:val="24"/>
          <w:lang w:val="uk-UA"/>
        </w:rPr>
        <w:t>(6):</w:t>
      </w:r>
      <w:r w:rsidR="00D4784D" w:rsidRPr="00ED35A9">
        <w:rPr>
          <w:rFonts w:eastAsia="Calibri" w:cs="Times New Roman"/>
          <w:sz w:val="24"/>
          <w:szCs w:val="24"/>
          <w:lang w:val="uk-UA"/>
        </w:rPr>
        <w:t xml:space="preserve"> </w:t>
      </w:r>
      <w:r w:rsidRPr="00ED35A9">
        <w:rPr>
          <w:rFonts w:eastAsia="Calibri" w:cs="Times New Roman"/>
          <w:sz w:val="24"/>
          <w:szCs w:val="24"/>
          <w:lang w:val="uk-UA"/>
        </w:rPr>
        <w:t>462</w:t>
      </w:r>
      <w:r w:rsidR="00D4784D" w:rsidRPr="00ED35A9">
        <w:rPr>
          <w:rFonts w:eastAsia="Calibri" w:cs="Times New Roman"/>
          <w:sz w:val="24"/>
          <w:szCs w:val="24"/>
          <w:lang w:val="uk-UA"/>
        </w:rPr>
        <w:t>–4</w:t>
      </w:r>
      <w:r w:rsidRPr="00ED35A9">
        <w:rPr>
          <w:rFonts w:eastAsia="Calibri" w:cs="Times New Roman"/>
          <w:sz w:val="24"/>
          <w:szCs w:val="24"/>
          <w:lang w:val="uk-UA"/>
        </w:rPr>
        <w:t>70.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Jayakumar</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Savic</w:t>
      </w:r>
      <w:proofErr w:type="spellEnd"/>
      <w:r w:rsidRPr="00ED35A9">
        <w:rPr>
          <w:rFonts w:eastAsia="Calibri" w:cs="Times New Roman"/>
          <w:sz w:val="24"/>
          <w:szCs w:val="24"/>
          <w:lang w:val="uk-UA"/>
        </w:rPr>
        <w:t xml:space="preserve"> RM, </w:t>
      </w:r>
      <w:proofErr w:type="spellStart"/>
      <w:r w:rsidRPr="00ED35A9">
        <w:rPr>
          <w:rFonts w:eastAsia="Calibri" w:cs="Times New Roman"/>
          <w:sz w:val="24"/>
          <w:szCs w:val="24"/>
          <w:lang w:val="uk-UA"/>
        </w:rPr>
        <w:t>Everett</w:t>
      </w:r>
      <w:proofErr w:type="spellEnd"/>
      <w:r w:rsidRPr="00ED35A9">
        <w:rPr>
          <w:rFonts w:eastAsia="Calibri" w:cs="Times New Roman"/>
          <w:sz w:val="24"/>
          <w:szCs w:val="24"/>
          <w:lang w:val="uk-UA"/>
        </w:rPr>
        <w:t xml:space="preserve"> CK, </w:t>
      </w:r>
      <w:proofErr w:type="spellStart"/>
      <w:r w:rsidRPr="00ED35A9">
        <w:rPr>
          <w:rFonts w:eastAsia="Calibri" w:cs="Times New Roman"/>
          <w:sz w:val="24"/>
          <w:szCs w:val="24"/>
          <w:lang w:val="uk-UA"/>
        </w:rPr>
        <w:t>Benator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Alland</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Heilig</w:t>
      </w:r>
      <w:proofErr w:type="spellEnd"/>
      <w:r w:rsidRPr="00ED35A9">
        <w:rPr>
          <w:rFonts w:eastAsia="Calibri" w:cs="Times New Roman"/>
          <w:sz w:val="24"/>
          <w:szCs w:val="24"/>
          <w:lang w:val="uk-UA"/>
        </w:rPr>
        <w:t xml:space="preserve"> CM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Xpert</w:t>
      </w:r>
      <w:proofErr w:type="spellEnd"/>
      <w:r w:rsidRPr="00ED35A9">
        <w:rPr>
          <w:rFonts w:eastAsia="Calibri" w:cs="Times New Roman"/>
          <w:sz w:val="24"/>
          <w:szCs w:val="24"/>
          <w:lang w:val="uk-UA"/>
        </w:rPr>
        <w:t xml:space="preserve"> MTB/RIF </w:t>
      </w:r>
      <w:proofErr w:type="spellStart"/>
      <w:r w:rsidRPr="00ED35A9">
        <w:rPr>
          <w:rFonts w:eastAsia="Calibri" w:cs="Times New Roman"/>
          <w:sz w:val="24"/>
          <w:szCs w:val="24"/>
          <w:lang w:val="uk-UA"/>
        </w:rPr>
        <w:t>assay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shows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faster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clearance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Mycobacterium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DNA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levels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rifapentine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exposure</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Microbiol</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2016</w:t>
      </w:r>
      <w:r w:rsidR="00913908" w:rsidRPr="00ED35A9">
        <w:rPr>
          <w:rFonts w:eastAsia="Calibri" w:cs="Times New Roman"/>
          <w:sz w:val="24"/>
          <w:szCs w:val="24"/>
          <w:lang w:val="uk-UA"/>
        </w:rPr>
        <w:t xml:space="preserve">, </w:t>
      </w:r>
      <w:r w:rsidRPr="00ED35A9">
        <w:rPr>
          <w:rFonts w:eastAsia="Calibri" w:cs="Times New Roman"/>
          <w:sz w:val="24"/>
          <w:szCs w:val="24"/>
          <w:lang w:val="uk-UA"/>
        </w:rPr>
        <w:t>54(12):</w:t>
      </w:r>
      <w:r w:rsidR="00913908" w:rsidRPr="00ED35A9">
        <w:rPr>
          <w:rFonts w:eastAsia="Calibri" w:cs="Times New Roman"/>
          <w:sz w:val="24"/>
          <w:szCs w:val="24"/>
          <w:lang w:val="uk-UA"/>
        </w:rPr>
        <w:t xml:space="preserve"> </w:t>
      </w:r>
      <w:r w:rsidRPr="00ED35A9">
        <w:rPr>
          <w:rFonts w:eastAsia="Calibri" w:cs="Times New Roman"/>
          <w:sz w:val="24"/>
          <w:szCs w:val="24"/>
          <w:lang w:val="uk-UA"/>
        </w:rPr>
        <w:t>3028</w:t>
      </w:r>
      <w:r w:rsidR="00913908" w:rsidRPr="00ED35A9">
        <w:rPr>
          <w:rFonts w:eastAsia="Calibri" w:cs="Times New Roman"/>
          <w:sz w:val="24"/>
          <w:szCs w:val="24"/>
          <w:lang w:val="uk-UA"/>
        </w:rPr>
        <w:t>–30</w:t>
      </w:r>
      <w:r w:rsidRPr="00ED35A9">
        <w:rPr>
          <w:rFonts w:eastAsia="Calibri" w:cs="Times New Roman"/>
          <w:sz w:val="24"/>
          <w:szCs w:val="24"/>
          <w:lang w:val="uk-UA"/>
        </w:rPr>
        <w:t>33.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Burgos</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Gonzalez</w:t>
      </w:r>
      <w:proofErr w:type="spellEnd"/>
      <w:r w:rsidRPr="00ED35A9">
        <w:rPr>
          <w:rFonts w:eastAsia="Calibri" w:cs="Times New Roman"/>
          <w:sz w:val="24"/>
          <w:szCs w:val="24"/>
          <w:lang w:val="uk-UA"/>
        </w:rPr>
        <w:t xml:space="preserve"> LC, </w:t>
      </w:r>
      <w:proofErr w:type="spellStart"/>
      <w:r w:rsidRPr="00ED35A9">
        <w:rPr>
          <w:rFonts w:eastAsia="Calibri" w:cs="Times New Roman"/>
          <w:sz w:val="24"/>
          <w:szCs w:val="24"/>
          <w:lang w:val="uk-UA"/>
        </w:rPr>
        <w:t>Paz</w:t>
      </w:r>
      <w:proofErr w:type="spellEnd"/>
      <w:r w:rsidRPr="00ED35A9">
        <w:rPr>
          <w:rFonts w:eastAsia="Calibri" w:cs="Times New Roman"/>
          <w:sz w:val="24"/>
          <w:szCs w:val="24"/>
          <w:lang w:val="uk-UA"/>
        </w:rPr>
        <w:t xml:space="preserve"> EA, </w:t>
      </w:r>
      <w:proofErr w:type="spellStart"/>
      <w:r w:rsidRPr="00ED35A9">
        <w:rPr>
          <w:rFonts w:eastAsia="Calibri" w:cs="Times New Roman"/>
          <w:sz w:val="24"/>
          <w:szCs w:val="24"/>
          <w:lang w:val="uk-UA"/>
        </w:rPr>
        <w:t>Gournis</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Kawamura</w:t>
      </w:r>
      <w:proofErr w:type="spellEnd"/>
      <w:r w:rsidRPr="00ED35A9">
        <w:rPr>
          <w:rFonts w:eastAsia="Calibri" w:cs="Times New Roman"/>
          <w:sz w:val="24"/>
          <w:szCs w:val="24"/>
          <w:lang w:val="uk-UA"/>
        </w:rPr>
        <w:t xml:space="preserve"> LM, </w:t>
      </w:r>
      <w:proofErr w:type="spellStart"/>
      <w:r w:rsidRPr="00ED35A9">
        <w:rPr>
          <w:rFonts w:eastAsia="Calibri" w:cs="Times New Roman"/>
          <w:sz w:val="24"/>
          <w:szCs w:val="24"/>
          <w:lang w:val="uk-UA"/>
        </w:rPr>
        <w:t>Schecter</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Francisco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outpatient-based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approach</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2005</w:t>
      </w:r>
      <w:r w:rsidR="00913908" w:rsidRPr="00ED35A9">
        <w:rPr>
          <w:rFonts w:eastAsia="Calibri" w:cs="Times New Roman"/>
          <w:sz w:val="24"/>
          <w:szCs w:val="24"/>
          <w:lang w:val="uk-UA"/>
        </w:rPr>
        <w:t xml:space="preserve">, </w:t>
      </w:r>
      <w:r w:rsidRPr="00ED35A9">
        <w:rPr>
          <w:rFonts w:eastAsia="Calibri" w:cs="Times New Roman"/>
          <w:sz w:val="24"/>
          <w:szCs w:val="24"/>
          <w:lang w:val="uk-UA"/>
        </w:rPr>
        <w:t>40(7):</w:t>
      </w:r>
      <w:r w:rsidR="00913908" w:rsidRPr="00ED35A9">
        <w:rPr>
          <w:rFonts w:eastAsia="Calibri" w:cs="Times New Roman"/>
          <w:sz w:val="24"/>
          <w:szCs w:val="24"/>
          <w:lang w:val="uk-UA"/>
        </w:rPr>
        <w:t xml:space="preserve"> </w:t>
      </w:r>
      <w:r w:rsidRPr="00ED35A9">
        <w:rPr>
          <w:rFonts w:eastAsia="Calibri" w:cs="Times New Roman"/>
          <w:sz w:val="24"/>
          <w:szCs w:val="24"/>
          <w:lang w:val="uk-UA"/>
        </w:rPr>
        <w:t>968</w:t>
      </w:r>
      <w:r w:rsidR="00913908" w:rsidRPr="00ED35A9">
        <w:rPr>
          <w:rFonts w:eastAsia="Calibri" w:cs="Times New Roman"/>
          <w:sz w:val="24"/>
          <w:szCs w:val="24"/>
          <w:lang w:val="uk-UA"/>
        </w:rPr>
        <w:t>–9</w:t>
      </w:r>
      <w:r w:rsidRPr="00ED35A9">
        <w:rPr>
          <w:rFonts w:eastAsia="Calibri" w:cs="Times New Roman"/>
          <w:sz w:val="24"/>
          <w:szCs w:val="24"/>
          <w:lang w:val="uk-UA"/>
        </w:rPr>
        <w:t>75.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Dheda</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Shean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Zumla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Badri</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Streicher</w:t>
      </w:r>
      <w:proofErr w:type="spellEnd"/>
      <w:r w:rsidRPr="00ED35A9">
        <w:rPr>
          <w:rFonts w:eastAsia="Calibri" w:cs="Times New Roman"/>
          <w:sz w:val="24"/>
          <w:szCs w:val="24"/>
          <w:lang w:val="uk-UA"/>
        </w:rPr>
        <w:t xml:space="preserve"> EM, </w:t>
      </w:r>
      <w:proofErr w:type="spellStart"/>
      <w:r w:rsidRPr="00ED35A9">
        <w:rPr>
          <w:rFonts w:eastAsia="Calibri" w:cs="Times New Roman"/>
          <w:sz w:val="24"/>
          <w:szCs w:val="24"/>
          <w:lang w:val="uk-UA"/>
        </w:rPr>
        <w:t>Page-Shipp</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Early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status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extensively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retrospective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2010</w:t>
      </w:r>
      <w:r w:rsidR="00913908" w:rsidRPr="00ED35A9">
        <w:rPr>
          <w:rFonts w:eastAsia="Calibri" w:cs="Times New Roman"/>
          <w:sz w:val="24"/>
          <w:szCs w:val="24"/>
          <w:lang w:val="uk-UA"/>
        </w:rPr>
        <w:t xml:space="preserve">, </w:t>
      </w:r>
      <w:r w:rsidRPr="00ED35A9">
        <w:rPr>
          <w:rFonts w:eastAsia="Calibri" w:cs="Times New Roman"/>
          <w:sz w:val="24"/>
          <w:szCs w:val="24"/>
          <w:lang w:val="uk-UA"/>
        </w:rPr>
        <w:t>375(9728):</w:t>
      </w:r>
      <w:r w:rsidR="00913908" w:rsidRPr="00ED35A9">
        <w:rPr>
          <w:rFonts w:eastAsia="Calibri" w:cs="Times New Roman"/>
          <w:sz w:val="24"/>
          <w:szCs w:val="24"/>
          <w:lang w:val="uk-UA"/>
        </w:rPr>
        <w:t xml:space="preserve"> </w:t>
      </w:r>
      <w:r w:rsidRPr="00ED35A9">
        <w:rPr>
          <w:rFonts w:eastAsia="Calibri" w:cs="Times New Roman"/>
          <w:sz w:val="24"/>
          <w:szCs w:val="24"/>
          <w:lang w:val="uk-UA"/>
        </w:rPr>
        <w:t>1798</w:t>
      </w:r>
      <w:r w:rsidR="00913908" w:rsidRPr="00ED35A9">
        <w:rPr>
          <w:rFonts w:eastAsia="Calibri" w:cs="Times New Roman"/>
          <w:sz w:val="24"/>
          <w:szCs w:val="24"/>
          <w:lang w:val="uk-UA"/>
        </w:rPr>
        <w:t>–1</w:t>
      </w:r>
      <w:r w:rsidRPr="00ED35A9">
        <w:rPr>
          <w:rFonts w:eastAsia="Calibri" w:cs="Times New Roman"/>
          <w:sz w:val="24"/>
          <w:szCs w:val="24"/>
          <w:lang w:val="uk-UA"/>
        </w:rPr>
        <w:t>807.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Eker</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Ortmann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Migliori</w:t>
      </w:r>
      <w:proofErr w:type="spellEnd"/>
      <w:r w:rsidRPr="00ED35A9">
        <w:rPr>
          <w:rFonts w:eastAsia="Calibri" w:cs="Times New Roman"/>
          <w:sz w:val="24"/>
          <w:szCs w:val="24"/>
          <w:lang w:val="uk-UA"/>
        </w:rPr>
        <w:t xml:space="preserve"> GB, </w:t>
      </w:r>
      <w:proofErr w:type="spellStart"/>
      <w:r w:rsidRPr="00ED35A9">
        <w:rPr>
          <w:rFonts w:eastAsia="Calibri" w:cs="Times New Roman"/>
          <w:sz w:val="24"/>
          <w:szCs w:val="24"/>
          <w:lang w:val="uk-UA"/>
        </w:rPr>
        <w:t>Sotgiu</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Muetterlein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Centis</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w:t>
      </w:r>
      <w:r w:rsidR="00913908" w:rsidRPr="00ED35A9">
        <w:rPr>
          <w:rFonts w:eastAsia="Calibri" w:cs="Times New Roman"/>
          <w:sz w:val="24"/>
          <w:szCs w:val="24"/>
          <w:lang w:val="uk-UA"/>
        </w:rPr>
        <w:t>ultidrug</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and</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extensively</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drug-</w:t>
      </w:r>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Germany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Emerg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2008</w:t>
      </w:r>
      <w:r w:rsidR="00913908" w:rsidRPr="00ED35A9">
        <w:rPr>
          <w:rFonts w:eastAsia="Calibri" w:cs="Times New Roman"/>
          <w:sz w:val="24"/>
          <w:szCs w:val="24"/>
          <w:lang w:val="uk-UA"/>
        </w:rPr>
        <w:t xml:space="preserve">, </w:t>
      </w:r>
      <w:r w:rsidRPr="00ED35A9">
        <w:rPr>
          <w:rFonts w:eastAsia="Calibri" w:cs="Times New Roman"/>
          <w:sz w:val="24"/>
          <w:szCs w:val="24"/>
          <w:lang w:val="uk-UA"/>
        </w:rPr>
        <w:t>14(</w:t>
      </w:r>
      <w:r w:rsidR="00913908" w:rsidRPr="00ED35A9">
        <w:rPr>
          <w:rFonts w:eastAsia="Calibri" w:cs="Times New Roman"/>
          <w:sz w:val="24"/>
          <w:szCs w:val="24"/>
          <w:lang w:val="uk-UA"/>
        </w:rPr>
        <w:t>11</w:t>
      </w:r>
      <w:r w:rsidRPr="00ED35A9">
        <w:rPr>
          <w:rFonts w:eastAsia="Calibri" w:cs="Times New Roman"/>
          <w:sz w:val="24"/>
          <w:szCs w:val="24"/>
          <w:lang w:val="uk-UA"/>
        </w:rPr>
        <w:t>):</w:t>
      </w:r>
      <w:r w:rsidR="00913908" w:rsidRPr="00ED35A9">
        <w:rPr>
          <w:rFonts w:eastAsia="Calibri" w:cs="Times New Roman"/>
          <w:sz w:val="24"/>
          <w:szCs w:val="24"/>
          <w:lang w:val="uk-UA"/>
        </w:rPr>
        <w:t xml:space="preserve"> </w:t>
      </w:r>
      <w:r w:rsidRPr="00ED35A9">
        <w:rPr>
          <w:rFonts w:eastAsia="Calibri" w:cs="Times New Roman"/>
          <w:sz w:val="24"/>
          <w:szCs w:val="24"/>
          <w:lang w:val="uk-UA"/>
        </w:rPr>
        <w:t>1700</w:t>
      </w:r>
      <w:r w:rsidR="00913908" w:rsidRPr="00ED35A9">
        <w:rPr>
          <w:rFonts w:eastAsia="Calibri" w:cs="Times New Roman"/>
          <w:sz w:val="24"/>
          <w:szCs w:val="24"/>
          <w:lang w:val="uk-UA"/>
        </w:rPr>
        <w:t>–170</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Sahly</w:t>
      </w:r>
      <w:proofErr w:type="spellEnd"/>
      <w:r w:rsidRPr="00ED35A9">
        <w:rPr>
          <w:rFonts w:eastAsia="Calibri" w:cs="Times New Roman"/>
          <w:sz w:val="24"/>
          <w:szCs w:val="24"/>
          <w:lang w:val="uk-UA"/>
        </w:rPr>
        <w:t xml:space="preserve"> HM, </w:t>
      </w:r>
      <w:proofErr w:type="spellStart"/>
      <w:r w:rsidRPr="00ED35A9">
        <w:rPr>
          <w:rFonts w:eastAsia="Calibri" w:cs="Times New Roman"/>
          <w:sz w:val="24"/>
          <w:szCs w:val="24"/>
          <w:lang w:val="uk-UA"/>
        </w:rPr>
        <w:t>Teeter</w:t>
      </w:r>
      <w:proofErr w:type="spellEnd"/>
      <w:r w:rsidRPr="00ED35A9">
        <w:rPr>
          <w:rFonts w:eastAsia="Calibri" w:cs="Times New Roman"/>
          <w:sz w:val="24"/>
          <w:szCs w:val="24"/>
          <w:lang w:val="uk-UA"/>
        </w:rPr>
        <w:t xml:space="preserve"> LD, </w:t>
      </w:r>
      <w:proofErr w:type="spellStart"/>
      <w:r w:rsidRPr="00ED35A9">
        <w:rPr>
          <w:rFonts w:eastAsia="Calibri" w:cs="Times New Roman"/>
          <w:sz w:val="24"/>
          <w:szCs w:val="24"/>
          <w:lang w:val="uk-UA"/>
        </w:rPr>
        <w:t>Pawlak</w:t>
      </w:r>
      <w:proofErr w:type="spellEnd"/>
      <w:r w:rsidRPr="00ED35A9">
        <w:rPr>
          <w:rFonts w:eastAsia="Calibri" w:cs="Times New Roman"/>
          <w:sz w:val="24"/>
          <w:szCs w:val="24"/>
          <w:lang w:val="uk-UA"/>
        </w:rPr>
        <w:t xml:space="preserve"> RR, </w:t>
      </w:r>
      <w:proofErr w:type="spellStart"/>
      <w:r w:rsidRPr="00ED35A9">
        <w:rPr>
          <w:rFonts w:eastAsia="Calibri" w:cs="Times New Roman"/>
          <w:sz w:val="24"/>
          <w:szCs w:val="24"/>
          <w:lang w:val="uk-UA"/>
        </w:rPr>
        <w:t>Musser</w:t>
      </w:r>
      <w:proofErr w:type="spellEnd"/>
      <w:r w:rsidRPr="00ED35A9">
        <w:rPr>
          <w:rFonts w:eastAsia="Calibri" w:cs="Times New Roman"/>
          <w:sz w:val="24"/>
          <w:szCs w:val="24"/>
          <w:lang w:val="uk-UA"/>
        </w:rPr>
        <w:t xml:space="preserve"> JM, </w:t>
      </w:r>
      <w:proofErr w:type="spellStart"/>
      <w:r w:rsidRPr="00ED35A9">
        <w:rPr>
          <w:rFonts w:eastAsia="Calibri" w:cs="Times New Roman"/>
          <w:sz w:val="24"/>
          <w:szCs w:val="24"/>
          <w:lang w:val="uk-UA"/>
        </w:rPr>
        <w:t>Graviss</w:t>
      </w:r>
      <w:proofErr w:type="spellEnd"/>
      <w:r w:rsidRPr="00ED35A9">
        <w:rPr>
          <w:rFonts w:eastAsia="Calibri" w:cs="Times New Roman"/>
          <w:sz w:val="24"/>
          <w:szCs w:val="24"/>
          <w:lang w:val="uk-UA"/>
        </w:rPr>
        <w:t xml:space="preserve"> EA.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disease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target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populations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Houston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Texas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Infect</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2006</w:t>
      </w:r>
      <w:r w:rsidR="00913908" w:rsidRPr="00ED35A9">
        <w:rPr>
          <w:rFonts w:eastAsia="Calibri" w:cs="Times New Roman"/>
          <w:sz w:val="24"/>
          <w:szCs w:val="24"/>
          <w:lang w:val="uk-UA"/>
        </w:rPr>
        <w:t xml:space="preserve">, </w:t>
      </w:r>
      <w:r w:rsidRPr="00ED35A9">
        <w:rPr>
          <w:rFonts w:eastAsia="Calibri" w:cs="Times New Roman"/>
          <w:sz w:val="24"/>
          <w:szCs w:val="24"/>
          <w:lang w:val="uk-UA"/>
        </w:rPr>
        <w:t>53(1):</w:t>
      </w:r>
      <w:r w:rsidR="00913908" w:rsidRPr="00ED35A9">
        <w:rPr>
          <w:rFonts w:eastAsia="Calibri" w:cs="Times New Roman"/>
          <w:sz w:val="24"/>
          <w:szCs w:val="24"/>
          <w:lang w:val="uk-UA"/>
        </w:rPr>
        <w:t xml:space="preserve"> </w:t>
      </w:r>
      <w:r w:rsidRPr="00ED35A9">
        <w:rPr>
          <w:rFonts w:eastAsia="Calibri" w:cs="Times New Roman"/>
          <w:sz w:val="24"/>
          <w:szCs w:val="24"/>
          <w:lang w:val="uk-UA"/>
        </w:rPr>
        <w:t>5</w:t>
      </w:r>
      <w:r w:rsidR="00913908" w:rsidRPr="00ED35A9">
        <w:rPr>
          <w:rFonts w:eastAsia="Calibri" w:cs="Times New Roman"/>
          <w:sz w:val="24"/>
          <w:szCs w:val="24"/>
          <w:lang w:val="uk-UA"/>
        </w:rPr>
        <w:t>–</w:t>
      </w:r>
      <w:r w:rsidRPr="00ED35A9">
        <w:rPr>
          <w:rFonts w:eastAsia="Calibri" w:cs="Times New Roman"/>
          <w:sz w:val="24"/>
          <w:szCs w:val="24"/>
          <w:lang w:val="uk-UA"/>
        </w:rPr>
        <w:t>11.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Leimane</w:t>
      </w:r>
      <w:proofErr w:type="spellEnd"/>
      <w:r w:rsidRPr="00ED35A9">
        <w:rPr>
          <w:rFonts w:eastAsia="Calibri" w:cs="Times New Roman"/>
          <w:sz w:val="24"/>
          <w:szCs w:val="24"/>
          <w:lang w:val="uk-UA"/>
        </w:rPr>
        <w:t xml:space="preserve"> V</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Dravniece</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Riekstina</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Sture</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Kammerer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Chen</w:t>
      </w:r>
      <w:proofErr w:type="spellEnd"/>
      <w:r w:rsidRPr="00ED35A9">
        <w:rPr>
          <w:rFonts w:eastAsia="Calibri" w:cs="Times New Roman"/>
          <w:sz w:val="24"/>
          <w:szCs w:val="24"/>
          <w:lang w:val="uk-UA"/>
        </w:rPr>
        <w:t xml:space="preserve"> MP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Treatment</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outcome</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of</w:t>
      </w:r>
      <w:proofErr w:type="spellEnd"/>
      <w:r w:rsidR="00913908" w:rsidRPr="00ED35A9">
        <w:rPr>
          <w:rFonts w:eastAsia="Calibri" w:cs="Times New Roman"/>
          <w:sz w:val="24"/>
          <w:szCs w:val="24"/>
          <w:lang w:val="uk-UA"/>
        </w:rPr>
        <w:t xml:space="preserve"> </w:t>
      </w:r>
      <w:proofErr w:type="spellStart"/>
      <w:r w:rsidR="00913908" w:rsidRPr="00ED35A9">
        <w:rPr>
          <w:rFonts w:eastAsia="Calibri" w:cs="Times New Roman"/>
          <w:sz w:val="24"/>
          <w:szCs w:val="24"/>
          <w:lang w:val="uk-UA"/>
        </w:rPr>
        <w:t>multidrug</w:t>
      </w:r>
      <w:proofErr w:type="spellEnd"/>
      <w:r w:rsidR="00913908" w:rsidRPr="00ED35A9">
        <w:rPr>
          <w:rFonts w:eastAsia="Calibri" w:cs="Times New Roman"/>
          <w:sz w:val="24"/>
          <w:szCs w:val="24"/>
          <w:lang w:val="uk-UA"/>
        </w:rPr>
        <w:t>/</w:t>
      </w:r>
      <w:proofErr w:type="spellStart"/>
      <w:r w:rsidRPr="00ED35A9">
        <w:rPr>
          <w:rFonts w:eastAsia="Calibri" w:cs="Times New Roman"/>
          <w:sz w:val="24"/>
          <w:szCs w:val="24"/>
          <w:lang w:val="uk-UA"/>
        </w:rPr>
        <w:t>extensively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Latvia</w:t>
      </w:r>
      <w:proofErr w:type="spellEnd"/>
      <w:r w:rsidRPr="00ED35A9">
        <w:rPr>
          <w:rFonts w:eastAsia="Calibri" w:cs="Times New Roman"/>
          <w:sz w:val="24"/>
          <w:szCs w:val="24"/>
          <w:lang w:val="uk-UA"/>
        </w:rPr>
        <w:t>, 2000</w:t>
      </w:r>
      <w:r w:rsidR="00913908" w:rsidRPr="00ED35A9">
        <w:rPr>
          <w:rFonts w:eastAsia="Calibri" w:cs="Times New Roman"/>
          <w:sz w:val="24"/>
          <w:szCs w:val="24"/>
          <w:lang w:val="uk-UA"/>
        </w:rPr>
        <w:t>–</w:t>
      </w:r>
      <w:r w:rsidRPr="00ED35A9">
        <w:rPr>
          <w:rFonts w:eastAsia="Calibri" w:cs="Times New Roman"/>
          <w:sz w:val="24"/>
          <w:szCs w:val="24"/>
          <w:lang w:val="uk-UA"/>
        </w:rPr>
        <w:t xml:space="preserve">2004. </w:t>
      </w:r>
      <w:proofErr w:type="spellStart"/>
      <w:r w:rsidRPr="00ED35A9">
        <w:rPr>
          <w:rFonts w:eastAsia="Calibri" w:cs="Times New Roman"/>
          <w:i/>
          <w:sz w:val="24"/>
          <w:szCs w:val="24"/>
          <w:lang w:val="uk-UA"/>
        </w:rPr>
        <w:t>Eur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J</w:t>
      </w:r>
      <w:r w:rsidR="00913908" w:rsidRPr="00ED35A9">
        <w:rPr>
          <w:rFonts w:eastAsia="Calibri" w:cs="Times New Roman"/>
          <w:sz w:val="24"/>
          <w:szCs w:val="24"/>
          <w:lang w:val="uk-UA"/>
        </w:rPr>
        <w:t xml:space="preserve">, </w:t>
      </w:r>
      <w:r w:rsidRPr="00ED35A9">
        <w:rPr>
          <w:rFonts w:eastAsia="Calibri" w:cs="Times New Roman"/>
          <w:sz w:val="24"/>
          <w:szCs w:val="24"/>
          <w:lang w:val="uk-UA"/>
        </w:rPr>
        <w:t>2010</w:t>
      </w:r>
      <w:r w:rsidR="00913908" w:rsidRPr="00ED35A9">
        <w:rPr>
          <w:rFonts w:eastAsia="Calibri" w:cs="Times New Roman"/>
          <w:sz w:val="24"/>
          <w:szCs w:val="24"/>
          <w:lang w:val="uk-UA"/>
        </w:rPr>
        <w:t xml:space="preserve">, </w:t>
      </w:r>
      <w:r w:rsidRPr="00ED35A9">
        <w:rPr>
          <w:rFonts w:eastAsia="Calibri" w:cs="Times New Roman"/>
          <w:sz w:val="24"/>
          <w:szCs w:val="24"/>
          <w:lang w:val="uk-UA"/>
        </w:rPr>
        <w:t>36(3):</w:t>
      </w:r>
      <w:r w:rsidR="00913908" w:rsidRPr="00ED35A9">
        <w:rPr>
          <w:rFonts w:eastAsia="Calibri" w:cs="Times New Roman"/>
          <w:sz w:val="24"/>
          <w:szCs w:val="24"/>
          <w:lang w:val="uk-UA"/>
        </w:rPr>
        <w:t xml:space="preserve"> </w:t>
      </w:r>
      <w:r w:rsidRPr="00ED35A9">
        <w:rPr>
          <w:rFonts w:eastAsia="Calibri" w:cs="Times New Roman"/>
          <w:sz w:val="24"/>
          <w:szCs w:val="24"/>
          <w:lang w:val="uk-UA"/>
        </w:rPr>
        <w:t>584</w:t>
      </w:r>
      <w:r w:rsidR="00913908" w:rsidRPr="00ED35A9">
        <w:rPr>
          <w:rFonts w:eastAsia="Calibri" w:cs="Times New Roman"/>
          <w:sz w:val="24"/>
          <w:szCs w:val="24"/>
          <w:lang w:val="uk-UA"/>
        </w:rPr>
        <w:t>–</w:t>
      </w:r>
      <w:r w:rsidRPr="00ED35A9">
        <w:rPr>
          <w:rFonts w:eastAsia="Calibri" w:cs="Times New Roman"/>
          <w:sz w:val="24"/>
          <w:szCs w:val="24"/>
          <w:lang w:val="uk-UA"/>
        </w:rPr>
        <w:t>93.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Migliori</w:t>
      </w:r>
      <w:proofErr w:type="spellEnd"/>
      <w:r w:rsidRPr="00ED35A9">
        <w:rPr>
          <w:rFonts w:eastAsia="Calibri" w:cs="Times New Roman"/>
          <w:sz w:val="24"/>
          <w:szCs w:val="24"/>
          <w:lang w:val="uk-UA"/>
        </w:rPr>
        <w:t xml:space="preserve"> GB, </w:t>
      </w:r>
      <w:proofErr w:type="spellStart"/>
      <w:r w:rsidRPr="00ED35A9">
        <w:rPr>
          <w:rFonts w:eastAsia="Calibri" w:cs="Times New Roman"/>
          <w:sz w:val="24"/>
          <w:szCs w:val="24"/>
          <w:lang w:val="uk-UA"/>
        </w:rPr>
        <w:t>Besozzi</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Girardi</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Kliiman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Lange</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Toungoussova</w:t>
      </w:r>
      <w:proofErr w:type="spellEnd"/>
      <w:r w:rsidRPr="00ED35A9">
        <w:rPr>
          <w:rFonts w:eastAsia="Calibri" w:cs="Times New Roman"/>
          <w:sz w:val="24"/>
          <w:szCs w:val="24"/>
          <w:lang w:val="uk-UA"/>
        </w:rPr>
        <w:t xml:space="preserve"> OS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operational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value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extensively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definition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Eur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00913908" w:rsidRPr="00ED35A9">
        <w:rPr>
          <w:rFonts w:eastAsia="Calibri" w:cs="Times New Roman"/>
          <w:i/>
          <w:sz w:val="24"/>
          <w:szCs w:val="24"/>
          <w:lang w:val="uk-UA"/>
        </w:rPr>
        <w:t> </w:t>
      </w:r>
      <w:r w:rsidRPr="00ED35A9">
        <w:rPr>
          <w:rFonts w:eastAsia="Calibri" w:cs="Times New Roman"/>
          <w:i/>
          <w:sz w:val="24"/>
          <w:szCs w:val="24"/>
          <w:lang w:val="uk-UA"/>
        </w:rPr>
        <w:t>J</w:t>
      </w:r>
      <w:r w:rsidR="00913908" w:rsidRPr="00ED35A9">
        <w:rPr>
          <w:rFonts w:eastAsia="Calibri" w:cs="Times New Roman"/>
          <w:sz w:val="24"/>
          <w:szCs w:val="24"/>
          <w:lang w:val="uk-UA"/>
        </w:rPr>
        <w:t>,</w:t>
      </w:r>
      <w:r w:rsidRPr="00ED35A9">
        <w:rPr>
          <w:rFonts w:eastAsia="Calibri" w:cs="Times New Roman"/>
          <w:sz w:val="24"/>
          <w:szCs w:val="24"/>
          <w:lang w:val="uk-UA"/>
        </w:rPr>
        <w:t xml:space="preserve"> 2007</w:t>
      </w:r>
      <w:r w:rsidR="00913908" w:rsidRPr="00ED35A9">
        <w:rPr>
          <w:rFonts w:eastAsia="Calibri" w:cs="Times New Roman"/>
          <w:sz w:val="24"/>
          <w:szCs w:val="24"/>
          <w:lang w:val="uk-UA"/>
        </w:rPr>
        <w:t xml:space="preserve">, </w:t>
      </w:r>
      <w:r w:rsidRPr="00ED35A9">
        <w:rPr>
          <w:rFonts w:eastAsia="Calibri" w:cs="Times New Roman"/>
          <w:sz w:val="24"/>
          <w:szCs w:val="24"/>
          <w:lang w:val="uk-UA"/>
        </w:rPr>
        <w:t>30(4):</w:t>
      </w:r>
      <w:r w:rsidR="00913908" w:rsidRPr="00ED35A9">
        <w:rPr>
          <w:rFonts w:eastAsia="Calibri" w:cs="Times New Roman"/>
          <w:sz w:val="24"/>
          <w:szCs w:val="24"/>
          <w:lang w:val="uk-UA"/>
        </w:rPr>
        <w:t xml:space="preserve"> </w:t>
      </w:r>
      <w:r w:rsidRPr="00ED35A9">
        <w:rPr>
          <w:rFonts w:eastAsia="Calibri" w:cs="Times New Roman"/>
          <w:sz w:val="24"/>
          <w:szCs w:val="24"/>
          <w:lang w:val="uk-UA"/>
        </w:rPr>
        <w:t>623</w:t>
      </w:r>
      <w:r w:rsidR="00913908" w:rsidRPr="00ED35A9">
        <w:rPr>
          <w:rFonts w:eastAsia="Calibri" w:cs="Times New Roman"/>
          <w:sz w:val="24"/>
          <w:szCs w:val="24"/>
          <w:lang w:val="uk-UA"/>
        </w:rPr>
        <w:t>–62</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Palmero</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Ritacco</w:t>
      </w:r>
      <w:proofErr w:type="spellEnd"/>
      <w:r w:rsidRPr="00ED35A9">
        <w:rPr>
          <w:rFonts w:eastAsia="Calibri" w:cs="Times New Roman"/>
          <w:sz w:val="24"/>
          <w:szCs w:val="24"/>
          <w:lang w:val="uk-UA"/>
        </w:rPr>
        <w:t xml:space="preserve"> V</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Ambroggi</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Poggi</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Gtiemes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Gurtubay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Alberti</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AIDS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beginning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millennium</w:t>
      </w:r>
      <w:proofErr w:type="spellEnd"/>
      <w:r w:rsidR="00913908"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Medicina</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Mex</w:t>
      </w:r>
      <w:proofErr w:type="spellEnd"/>
      <w:r w:rsidRPr="00ED35A9">
        <w:rPr>
          <w:rFonts w:eastAsia="Calibri" w:cs="Times New Roman"/>
          <w:i/>
          <w:sz w:val="24"/>
          <w:szCs w:val="24"/>
          <w:lang w:val="uk-UA"/>
        </w:rPr>
        <w:t>)</w:t>
      </w:r>
      <w:r w:rsidR="00913908" w:rsidRPr="00ED35A9">
        <w:rPr>
          <w:rFonts w:eastAsia="Calibri" w:cs="Times New Roman"/>
          <w:sz w:val="24"/>
          <w:szCs w:val="24"/>
          <w:lang w:val="uk-UA"/>
        </w:rPr>
        <w:t xml:space="preserve">, </w:t>
      </w:r>
      <w:r w:rsidRPr="00ED35A9">
        <w:rPr>
          <w:rFonts w:eastAsia="Calibri" w:cs="Times New Roman"/>
          <w:sz w:val="24"/>
          <w:szCs w:val="24"/>
          <w:lang w:val="uk-UA"/>
        </w:rPr>
        <w:t>2006</w:t>
      </w:r>
      <w:r w:rsidR="00913908" w:rsidRPr="00ED35A9">
        <w:rPr>
          <w:rFonts w:eastAsia="Calibri" w:cs="Times New Roman"/>
          <w:sz w:val="24"/>
          <w:szCs w:val="24"/>
          <w:lang w:val="uk-UA"/>
        </w:rPr>
        <w:t xml:space="preserve">, </w:t>
      </w:r>
      <w:r w:rsidRPr="00ED35A9">
        <w:rPr>
          <w:rFonts w:eastAsia="Calibri" w:cs="Times New Roman"/>
          <w:sz w:val="24"/>
          <w:szCs w:val="24"/>
          <w:lang w:val="uk-UA"/>
        </w:rPr>
        <w:t>66(5):</w:t>
      </w:r>
      <w:r w:rsidR="00913908" w:rsidRPr="00ED35A9">
        <w:rPr>
          <w:rFonts w:eastAsia="Calibri" w:cs="Times New Roman"/>
          <w:sz w:val="24"/>
          <w:szCs w:val="24"/>
          <w:lang w:val="uk-UA"/>
        </w:rPr>
        <w:t xml:space="preserve"> </w:t>
      </w:r>
      <w:r w:rsidRPr="00ED35A9">
        <w:rPr>
          <w:rFonts w:eastAsia="Calibri" w:cs="Times New Roman"/>
          <w:sz w:val="24"/>
          <w:szCs w:val="24"/>
          <w:lang w:val="uk-UA"/>
        </w:rPr>
        <w:t>399</w:t>
      </w:r>
      <w:r w:rsidR="00913908" w:rsidRPr="00ED35A9">
        <w:rPr>
          <w:rFonts w:eastAsia="Calibri" w:cs="Times New Roman"/>
          <w:sz w:val="24"/>
          <w:szCs w:val="24"/>
          <w:lang w:val="uk-UA"/>
        </w:rPr>
        <w:t>–40</w:t>
      </w:r>
      <w:r w:rsidRPr="00ED35A9">
        <w:rPr>
          <w:rFonts w:eastAsia="Calibri" w:cs="Times New Roman"/>
          <w:sz w:val="24"/>
          <w:szCs w:val="24"/>
          <w:lang w:val="uk-UA"/>
        </w:rPr>
        <w:t>4</w:t>
      </w:r>
      <w:r w:rsidR="00913908"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Article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Spanish</w:t>
      </w:r>
      <w:proofErr w:type="spellEnd"/>
      <w:r w:rsidR="00913908" w:rsidRPr="00ED35A9">
        <w:rPr>
          <w:rFonts w:eastAsia="Calibri" w:cs="Times New Roman"/>
          <w:sz w:val="24"/>
          <w:szCs w:val="24"/>
          <w:lang w:val="uk-UA"/>
        </w:rPr>
        <w:t>).</w:t>
      </w:r>
      <w:r w:rsidRPr="00ED35A9">
        <w:rPr>
          <w:rFonts w:eastAsia="Calibri" w:cs="Times New Roman"/>
          <w:sz w:val="24"/>
          <w:szCs w:val="24"/>
          <w:lang w:val="uk-UA"/>
        </w:rPr>
        <w:t xml:space="preserve"> </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Shean</w:t>
      </w:r>
      <w:proofErr w:type="spellEnd"/>
      <w:r w:rsidRPr="00ED35A9">
        <w:rPr>
          <w:rFonts w:eastAsia="Calibri" w:cs="Times New Roman"/>
          <w:sz w:val="24"/>
          <w:szCs w:val="24"/>
          <w:lang w:val="uk-UA"/>
        </w:rPr>
        <w:t xml:space="preserve"> KP</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Willcox</w:t>
      </w:r>
      <w:proofErr w:type="spellEnd"/>
      <w:r w:rsidRPr="00ED35A9">
        <w:rPr>
          <w:rFonts w:eastAsia="Calibri" w:cs="Times New Roman"/>
          <w:sz w:val="24"/>
          <w:szCs w:val="24"/>
          <w:lang w:val="uk-UA"/>
        </w:rPr>
        <w:t xml:space="preserve"> PA, </w:t>
      </w:r>
      <w:proofErr w:type="spellStart"/>
      <w:r w:rsidRPr="00ED35A9">
        <w:rPr>
          <w:rFonts w:eastAsia="Calibri" w:cs="Times New Roman"/>
          <w:sz w:val="24"/>
          <w:szCs w:val="24"/>
          <w:lang w:val="uk-UA"/>
        </w:rPr>
        <w:t>Siwendu</w:t>
      </w:r>
      <w:proofErr w:type="spellEnd"/>
      <w:r w:rsidRPr="00ED35A9">
        <w:rPr>
          <w:rFonts w:eastAsia="Calibri" w:cs="Times New Roman"/>
          <w:sz w:val="24"/>
          <w:szCs w:val="24"/>
          <w:lang w:val="uk-UA"/>
        </w:rPr>
        <w:t xml:space="preserve"> SN, </w:t>
      </w:r>
      <w:proofErr w:type="spellStart"/>
      <w:r w:rsidRPr="00ED35A9">
        <w:rPr>
          <w:rFonts w:eastAsia="Calibri" w:cs="Times New Roman"/>
          <w:sz w:val="24"/>
          <w:szCs w:val="24"/>
          <w:lang w:val="uk-UA"/>
        </w:rPr>
        <w:t>Laserson</w:t>
      </w:r>
      <w:proofErr w:type="spellEnd"/>
      <w:r w:rsidRPr="00ED35A9">
        <w:rPr>
          <w:rFonts w:eastAsia="Calibri" w:cs="Times New Roman"/>
          <w:sz w:val="24"/>
          <w:szCs w:val="24"/>
          <w:lang w:val="uk-UA"/>
        </w:rPr>
        <w:t xml:space="preserve"> KF, </w:t>
      </w:r>
      <w:proofErr w:type="spellStart"/>
      <w:r w:rsidRPr="00ED35A9">
        <w:rPr>
          <w:rFonts w:eastAsia="Calibri" w:cs="Times New Roman"/>
          <w:sz w:val="24"/>
          <w:szCs w:val="24"/>
          <w:lang w:val="uk-UA"/>
        </w:rPr>
        <w:t>Gross</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Kammerer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follow-up</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West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Coast</w:t>
      </w:r>
      <w:proofErr w:type="spellEnd"/>
      <w:r w:rsidRPr="00ED35A9">
        <w:rPr>
          <w:rFonts w:eastAsia="Calibri" w:cs="Times New Roman"/>
          <w:sz w:val="24"/>
          <w:szCs w:val="24"/>
          <w:lang w:val="uk-UA"/>
        </w:rPr>
        <w:t>/</w:t>
      </w:r>
      <w:proofErr w:type="spellStart"/>
      <w:r w:rsidRPr="00ED35A9">
        <w:rPr>
          <w:rFonts w:eastAsia="Calibri" w:cs="Times New Roman"/>
          <w:sz w:val="24"/>
          <w:szCs w:val="24"/>
          <w:lang w:val="uk-UA"/>
        </w:rPr>
        <w:t>Winelands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1992</w:t>
      </w:r>
      <w:r w:rsidR="00913908" w:rsidRPr="00ED35A9">
        <w:rPr>
          <w:rFonts w:eastAsia="Calibri" w:cs="Times New Roman"/>
          <w:sz w:val="24"/>
          <w:szCs w:val="24"/>
          <w:lang w:val="uk-UA"/>
        </w:rPr>
        <w:t>–</w:t>
      </w:r>
      <w:r w:rsidRPr="00ED35A9">
        <w:rPr>
          <w:rFonts w:eastAsia="Calibri" w:cs="Times New Roman"/>
          <w:sz w:val="24"/>
          <w:szCs w:val="24"/>
          <w:lang w:val="uk-UA"/>
        </w:rPr>
        <w:t xml:space="preserve">2002.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2008</w:t>
      </w:r>
      <w:r w:rsidR="00913908" w:rsidRPr="00ED35A9">
        <w:rPr>
          <w:rFonts w:eastAsia="Calibri" w:cs="Times New Roman"/>
          <w:sz w:val="24"/>
          <w:szCs w:val="24"/>
          <w:lang w:val="uk-UA"/>
        </w:rPr>
        <w:t xml:space="preserve">, </w:t>
      </w:r>
      <w:r w:rsidRPr="00ED35A9">
        <w:rPr>
          <w:rFonts w:eastAsia="Calibri" w:cs="Times New Roman"/>
          <w:sz w:val="24"/>
          <w:szCs w:val="24"/>
          <w:lang w:val="uk-UA"/>
        </w:rPr>
        <w:t>12(10):</w:t>
      </w:r>
      <w:r w:rsidR="00913908" w:rsidRPr="00ED35A9">
        <w:rPr>
          <w:rFonts w:eastAsia="Calibri" w:cs="Times New Roman"/>
          <w:sz w:val="24"/>
          <w:szCs w:val="24"/>
          <w:lang w:val="uk-UA"/>
        </w:rPr>
        <w:t xml:space="preserve"> </w:t>
      </w:r>
      <w:r w:rsidRPr="00ED35A9">
        <w:rPr>
          <w:rFonts w:eastAsia="Calibri" w:cs="Times New Roman"/>
          <w:sz w:val="24"/>
          <w:szCs w:val="24"/>
          <w:lang w:val="uk-UA"/>
        </w:rPr>
        <w:t>1182</w:t>
      </w:r>
      <w:r w:rsidR="00913908" w:rsidRPr="00ED35A9">
        <w:rPr>
          <w:rFonts w:eastAsia="Calibri" w:cs="Times New Roman"/>
          <w:sz w:val="24"/>
          <w:szCs w:val="24"/>
          <w:lang w:val="uk-UA"/>
        </w:rPr>
        <w:t>–118</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Varma</w:t>
      </w:r>
      <w:proofErr w:type="spellEnd"/>
      <w:r w:rsidRPr="00ED35A9">
        <w:rPr>
          <w:rFonts w:eastAsia="Calibri" w:cs="Times New Roman"/>
          <w:sz w:val="24"/>
          <w:szCs w:val="24"/>
          <w:lang w:val="uk-UA"/>
        </w:rPr>
        <w:t xml:space="preserve"> JK, </w:t>
      </w:r>
      <w:proofErr w:type="spellStart"/>
      <w:r w:rsidRPr="00ED35A9">
        <w:rPr>
          <w:rFonts w:eastAsia="Calibri" w:cs="Times New Roman"/>
          <w:sz w:val="24"/>
          <w:szCs w:val="24"/>
          <w:lang w:val="uk-UA"/>
        </w:rPr>
        <w:t>Nateniyom</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Akksilp</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Mankatittham</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Sirinak</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Sattayawuthipong</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et</w:t>
      </w:r>
      <w:proofErr w:type="spellEnd"/>
      <w:r w:rsidR="00913908" w:rsidRPr="00ED35A9">
        <w:rPr>
          <w:rFonts w:eastAsia="Calibri" w:cs="Times New Roman"/>
          <w:sz w:val="24"/>
          <w:szCs w:val="24"/>
          <w:lang w:val="uk-UA"/>
        </w:rPr>
        <w:t>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factors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associated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survival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913908" w:rsidRPr="00ED35A9">
        <w:rPr>
          <w:rFonts w:eastAsia="Calibri" w:cs="Times New Roman"/>
          <w:sz w:val="24"/>
          <w:szCs w:val="24"/>
          <w:lang w:val="uk-UA"/>
        </w:rPr>
        <w:t xml:space="preserve">, </w:t>
      </w:r>
      <w:r w:rsidRPr="00ED35A9">
        <w:rPr>
          <w:rFonts w:eastAsia="Calibri" w:cs="Times New Roman"/>
          <w:sz w:val="24"/>
          <w:szCs w:val="24"/>
          <w:lang w:val="uk-UA"/>
        </w:rPr>
        <w:t>2009</w:t>
      </w:r>
      <w:r w:rsidR="00913908" w:rsidRPr="00ED35A9">
        <w:rPr>
          <w:rFonts w:eastAsia="Calibri" w:cs="Times New Roman"/>
          <w:sz w:val="24"/>
          <w:szCs w:val="24"/>
          <w:lang w:val="uk-UA"/>
        </w:rPr>
        <w:t xml:space="preserve">, </w:t>
      </w:r>
      <w:r w:rsidRPr="00ED35A9">
        <w:rPr>
          <w:rFonts w:eastAsia="Calibri" w:cs="Times New Roman"/>
          <w:sz w:val="24"/>
          <w:szCs w:val="24"/>
          <w:lang w:val="uk-UA"/>
        </w:rPr>
        <w:t>9(1):</w:t>
      </w:r>
      <w:r w:rsidR="00913908" w:rsidRPr="00ED35A9">
        <w:rPr>
          <w:rFonts w:eastAsia="Calibri" w:cs="Times New Roman"/>
          <w:sz w:val="24"/>
          <w:szCs w:val="24"/>
          <w:lang w:val="uk-UA"/>
        </w:rPr>
        <w:t xml:space="preserve"> </w:t>
      </w:r>
      <w:r w:rsidRPr="00ED35A9">
        <w:rPr>
          <w:rFonts w:eastAsia="Calibri" w:cs="Times New Roman"/>
          <w:sz w:val="24"/>
          <w:szCs w:val="24"/>
          <w:lang w:val="uk-UA"/>
        </w:rPr>
        <w:t>42.</w:t>
      </w:r>
    </w:p>
    <w:p w:rsidR="004B5B7F" w:rsidRPr="00ED35A9" w:rsidRDefault="004B5B7F" w:rsidP="00561CCA">
      <w:pPr>
        <w:pStyle w:val="a7"/>
        <w:numPr>
          <w:ilvl w:val="0"/>
          <w:numId w:val="3"/>
        </w:numPr>
        <w:spacing w:after="120"/>
        <w:ind w:left="567" w:hanging="567"/>
        <w:contextualSpacing w:val="0"/>
        <w:rPr>
          <w:rFonts w:eastAsia="Calibri" w:cs="Times New Roman"/>
          <w:spacing w:val="-3"/>
          <w:sz w:val="24"/>
          <w:szCs w:val="24"/>
          <w:lang w:val="uk-UA"/>
        </w:rPr>
      </w:pPr>
      <w:proofErr w:type="spellStart"/>
      <w:r w:rsidRPr="00ED35A9">
        <w:rPr>
          <w:rFonts w:eastAsia="Calibri" w:cs="Times New Roman"/>
          <w:spacing w:val="-3"/>
          <w:sz w:val="24"/>
          <w:szCs w:val="24"/>
          <w:lang w:val="uk-UA"/>
        </w:rPr>
        <w:t>Jamal</w:t>
      </w:r>
      <w:proofErr w:type="spellEnd"/>
      <w:r w:rsidRPr="00ED35A9">
        <w:rPr>
          <w:rFonts w:eastAsia="Calibri" w:cs="Times New Roman"/>
          <w:spacing w:val="-3"/>
          <w:sz w:val="24"/>
          <w:szCs w:val="24"/>
          <w:lang w:val="uk-UA"/>
        </w:rPr>
        <w:t xml:space="preserve"> LF, </w:t>
      </w:r>
      <w:proofErr w:type="spellStart"/>
      <w:r w:rsidRPr="00ED35A9">
        <w:rPr>
          <w:rFonts w:eastAsia="Calibri" w:cs="Times New Roman"/>
          <w:spacing w:val="-3"/>
          <w:sz w:val="24"/>
          <w:szCs w:val="24"/>
          <w:lang w:val="uk-UA"/>
        </w:rPr>
        <w:t>Guibu</w:t>
      </w:r>
      <w:proofErr w:type="spellEnd"/>
      <w:r w:rsidRPr="00ED35A9">
        <w:rPr>
          <w:rFonts w:eastAsia="Calibri" w:cs="Times New Roman"/>
          <w:spacing w:val="-3"/>
          <w:sz w:val="24"/>
          <w:szCs w:val="24"/>
          <w:lang w:val="uk-UA"/>
        </w:rPr>
        <w:t xml:space="preserve"> IA, </w:t>
      </w:r>
      <w:proofErr w:type="spellStart"/>
      <w:r w:rsidRPr="00ED35A9">
        <w:rPr>
          <w:rFonts w:eastAsia="Calibri" w:cs="Times New Roman"/>
          <w:spacing w:val="-3"/>
          <w:sz w:val="24"/>
          <w:szCs w:val="24"/>
          <w:lang w:val="uk-UA"/>
        </w:rPr>
        <w:t>Tancredi</w:t>
      </w:r>
      <w:proofErr w:type="spellEnd"/>
      <w:r w:rsidRPr="00ED35A9">
        <w:rPr>
          <w:rFonts w:eastAsia="Calibri" w:cs="Times New Roman"/>
          <w:spacing w:val="-3"/>
          <w:sz w:val="24"/>
          <w:szCs w:val="24"/>
          <w:lang w:val="uk-UA"/>
        </w:rPr>
        <w:t xml:space="preserve"> MV, </w:t>
      </w:r>
      <w:proofErr w:type="spellStart"/>
      <w:r w:rsidRPr="00ED35A9">
        <w:rPr>
          <w:rFonts w:eastAsia="Calibri" w:cs="Times New Roman"/>
          <w:spacing w:val="-3"/>
          <w:sz w:val="24"/>
          <w:szCs w:val="24"/>
          <w:lang w:val="uk-UA"/>
        </w:rPr>
        <w:t>Ramalho</w:t>
      </w:r>
      <w:proofErr w:type="spellEnd"/>
      <w:r w:rsidRPr="00ED35A9">
        <w:rPr>
          <w:rFonts w:eastAsia="Calibri" w:cs="Times New Roman"/>
          <w:spacing w:val="-3"/>
          <w:sz w:val="24"/>
          <w:szCs w:val="24"/>
          <w:lang w:val="uk-UA"/>
        </w:rPr>
        <w:t xml:space="preserve"> MO, </w:t>
      </w:r>
      <w:proofErr w:type="spellStart"/>
      <w:r w:rsidRPr="00ED35A9">
        <w:rPr>
          <w:rFonts w:eastAsia="Calibri" w:cs="Times New Roman"/>
          <w:spacing w:val="-3"/>
          <w:sz w:val="24"/>
          <w:szCs w:val="24"/>
          <w:lang w:val="uk-UA"/>
        </w:rPr>
        <w:t>Vasconcelos</w:t>
      </w:r>
      <w:proofErr w:type="spellEnd"/>
      <w:r w:rsidRPr="00ED35A9">
        <w:rPr>
          <w:rFonts w:eastAsia="Calibri" w:cs="Times New Roman"/>
          <w:spacing w:val="-3"/>
          <w:sz w:val="24"/>
          <w:szCs w:val="24"/>
          <w:lang w:val="uk-UA"/>
        </w:rPr>
        <w:t xml:space="preserve"> GM, </w:t>
      </w:r>
      <w:proofErr w:type="spellStart"/>
      <w:r w:rsidRPr="00ED35A9">
        <w:rPr>
          <w:rFonts w:eastAsia="Calibri" w:cs="Times New Roman"/>
          <w:spacing w:val="-3"/>
          <w:sz w:val="24"/>
          <w:szCs w:val="24"/>
          <w:lang w:val="uk-UA"/>
        </w:rPr>
        <w:t>Cota</w:t>
      </w:r>
      <w:proofErr w:type="spellEnd"/>
      <w:r w:rsidRPr="00ED35A9">
        <w:rPr>
          <w:rFonts w:eastAsia="Calibri" w:cs="Times New Roman"/>
          <w:spacing w:val="-3"/>
          <w:sz w:val="24"/>
          <w:szCs w:val="24"/>
          <w:lang w:val="uk-UA"/>
        </w:rPr>
        <w:t xml:space="preserve"> IN </w:t>
      </w:r>
      <w:proofErr w:type="spellStart"/>
      <w:r w:rsidRPr="00ED35A9">
        <w:rPr>
          <w:rFonts w:eastAsia="Calibri" w:cs="Times New Roman"/>
          <w:spacing w:val="-3"/>
          <w:sz w:val="24"/>
          <w:szCs w:val="24"/>
          <w:lang w:val="uk-UA"/>
        </w:rPr>
        <w:t>et</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al</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Reliability</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and</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usefulness</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of</w:t>
      </w:r>
      <w:proofErr w:type="spellEnd"/>
      <w:r w:rsidRPr="00ED35A9">
        <w:rPr>
          <w:rFonts w:eastAsia="Calibri" w:cs="Times New Roman"/>
          <w:spacing w:val="-3"/>
          <w:sz w:val="24"/>
          <w:szCs w:val="24"/>
          <w:lang w:val="uk-UA"/>
        </w:rPr>
        <w:t xml:space="preserve"> TB/HIV </w:t>
      </w:r>
      <w:proofErr w:type="spellStart"/>
      <w:r w:rsidRPr="00ED35A9">
        <w:rPr>
          <w:rFonts w:eastAsia="Calibri" w:cs="Times New Roman"/>
          <w:spacing w:val="-3"/>
          <w:sz w:val="24"/>
          <w:szCs w:val="24"/>
          <w:lang w:val="uk-UA"/>
        </w:rPr>
        <w:t>co-infection</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data</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proceeding</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from</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developing</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countries</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In</w:t>
      </w:r>
      <w:proofErr w:type="spellEnd"/>
      <w:r w:rsidRPr="00ED35A9">
        <w:rPr>
          <w:rFonts w:eastAsia="Calibri" w:cs="Times New Roman"/>
          <w:spacing w:val="-3"/>
          <w:sz w:val="24"/>
          <w:szCs w:val="24"/>
          <w:lang w:val="uk-UA"/>
        </w:rPr>
        <w:t xml:space="preserve">: XV </w:t>
      </w:r>
      <w:proofErr w:type="spellStart"/>
      <w:r w:rsidRPr="00ED35A9">
        <w:rPr>
          <w:rFonts w:eastAsia="Calibri" w:cs="Times New Roman"/>
          <w:spacing w:val="-3"/>
          <w:sz w:val="24"/>
          <w:szCs w:val="24"/>
          <w:lang w:val="uk-UA"/>
        </w:rPr>
        <w:t>International</w:t>
      </w:r>
      <w:proofErr w:type="spellEnd"/>
      <w:r w:rsidRPr="00ED35A9">
        <w:rPr>
          <w:rFonts w:eastAsia="Calibri" w:cs="Times New Roman"/>
          <w:spacing w:val="-3"/>
          <w:sz w:val="24"/>
          <w:szCs w:val="24"/>
          <w:lang w:val="uk-UA"/>
        </w:rPr>
        <w:t xml:space="preserve"> AIDS </w:t>
      </w:r>
      <w:proofErr w:type="spellStart"/>
      <w:r w:rsidRPr="00ED35A9">
        <w:rPr>
          <w:rFonts w:eastAsia="Calibri" w:cs="Times New Roman"/>
          <w:spacing w:val="-3"/>
          <w:sz w:val="24"/>
          <w:szCs w:val="24"/>
          <w:lang w:val="uk-UA"/>
        </w:rPr>
        <w:t>Conference</w:t>
      </w:r>
      <w:proofErr w:type="spellEnd"/>
      <w:r w:rsidR="00284B92" w:rsidRPr="00ED35A9">
        <w:rPr>
          <w:rFonts w:eastAsia="Calibri" w:cs="Times New Roman"/>
          <w:spacing w:val="-3"/>
          <w:sz w:val="24"/>
          <w:szCs w:val="24"/>
          <w:lang w:val="uk-UA"/>
        </w:rPr>
        <w:t xml:space="preserve">, </w:t>
      </w:r>
      <w:r w:rsidRPr="00ED35A9">
        <w:rPr>
          <w:rFonts w:eastAsia="Calibri" w:cs="Times New Roman"/>
          <w:spacing w:val="-3"/>
          <w:sz w:val="24"/>
          <w:szCs w:val="24"/>
          <w:lang w:val="uk-UA"/>
        </w:rPr>
        <w:t>11</w:t>
      </w:r>
      <w:r w:rsidR="00284B92" w:rsidRPr="00ED35A9">
        <w:rPr>
          <w:rFonts w:eastAsia="Calibri" w:cs="Times New Roman"/>
          <w:spacing w:val="-3"/>
          <w:sz w:val="24"/>
          <w:szCs w:val="24"/>
          <w:lang w:val="uk-UA"/>
        </w:rPr>
        <w:t>–</w:t>
      </w:r>
      <w:r w:rsidRPr="00ED35A9">
        <w:rPr>
          <w:rFonts w:eastAsia="Calibri" w:cs="Times New Roman"/>
          <w:spacing w:val="-3"/>
          <w:sz w:val="24"/>
          <w:szCs w:val="24"/>
          <w:lang w:val="uk-UA"/>
        </w:rPr>
        <w:t xml:space="preserve">16 </w:t>
      </w:r>
      <w:proofErr w:type="spellStart"/>
      <w:r w:rsidRPr="00ED35A9">
        <w:rPr>
          <w:rFonts w:eastAsia="Calibri" w:cs="Times New Roman"/>
          <w:spacing w:val="-3"/>
          <w:sz w:val="24"/>
          <w:szCs w:val="24"/>
          <w:lang w:val="uk-UA"/>
        </w:rPr>
        <w:t>July</w:t>
      </w:r>
      <w:proofErr w:type="spellEnd"/>
      <w:r w:rsidRPr="00ED35A9">
        <w:rPr>
          <w:rFonts w:eastAsia="Calibri" w:cs="Times New Roman"/>
          <w:spacing w:val="-3"/>
          <w:sz w:val="24"/>
          <w:szCs w:val="24"/>
          <w:lang w:val="uk-UA"/>
        </w:rPr>
        <w:t xml:space="preserve"> 2004 </w:t>
      </w:r>
      <w:r w:rsidR="00284B92" w:rsidRPr="00ED35A9">
        <w:rPr>
          <w:rFonts w:eastAsia="Calibri" w:cs="Times New Roman"/>
          <w:spacing w:val="-3"/>
          <w:sz w:val="24"/>
          <w:szCs w:val="24"/>
          <w:lang w:val="uk-UA"/>
        </w:rPr>
        <w:t>(</w:t>
      </w:r>
      <w:proofErr w:type="spellStart"/>
      <w:r w:rsidRPr="00ED35A9">
        <w:rPr>
          <w:rFonts w:eastAsia="Calibri" w:cs="Times New Roman"/>
          <w:spacing w:val="-3"/>
          <w:sz w:val="24"/>
          <w:szCs w:val="24"/>
          <w:lang w:val="uk-UA"/>
        </w:rPr>
        <w:t>Abstract</w:t>
      </w:r>
      <w:proofErr w:type="spellEnd"/>
      <w:r w:rsidRPr="00ED35A9">
        <w:rPr>
          <w:rFonts w:eastAsia="Calibri" w:cs="Times New Roman"/>
          <w:spacing w:val="-3"/>
          <w:sz w:val="24"/>
          <w:szCs w:val="24"/>
          <w:lang w:val="uk-UA"/>
        </w:rPr>
        <w:t xml:space="preserve"> </w:t>
      </w:r>
      <w:proofErr w:type="spellStart"/>
      <w:r w:rsidRPr="00ED35A9">
        <w:rPr>
          <w:rFonts w:eastAsia="Calibri" w:cs="Times New Roman"/>
          <w:spacing w:val="-3"/>
          <w:sz w:val="24"/>
          <w:szCs w:val="24"/>
          <w:lang w:val="uk-UA"/>
        </w:rPr>
        <w:t>no</w:t>
      </w:r>
      <w:proofErr w:type="spellEnd"/>
      <w:r w:rsidRPr="00ED35A9">
        <w:rPr>
          <w:rFonts w:eastAsia="Calibri" w:cs="Times New Roman"/>
          <w:spacing w:val="-3"/>
          <w:sz w:val="24"/>
          <w:szCs w:val="24"/>
          <w:lang w:val="uk-UA"/>
        </w:rPr>
        <w:t>. ThPeA6953</w:t>
      </w:r>
      <w:r w:rsidR="00284B92" w:rsidRPr="00ED35A9">
        <w:rPr>
          <w:rFonts w:eastAsia="Calibri" w:cs="Times New Roman"/>
          <w:spacing w:val="-3"/>
          <w:sz w:val="24"/>
          <w:szCs w:val="24"/>
          <w:lang w:val="uk-UA"/>
        </w:rPr>
        <w:t xml:space="preserve">) </w:t>
      </w:r>
      <w:r w:rsidRPr="00ED35A9">
        <w:rPr>
          <w:rFonts w:eastAsia="Calibri" w:cs="Times New Roman"/>
          <w:spacing w:val="-3"/>
          <w:sz w:val="24"/>
          <w:szCs w:val="24"/>
          <w:lang w:val="uk-UA"/>
        </w:rPr>
        <w:t>(</w:t>
      </w:r>
      <w:hyperlink r:id="rId43" w:history="1">
        <w:r w:rsidRPr="00ED35A9">
          <w:rPr>
            <w:rFonts w:eastAsia="Calibri" w:cs="Times New Roman"/>
            <w:spacing w:val="-3"/>
            <w:sz w:val="24"/>
            <w:szCs w:val="24"/>
            <w:lang w:val="uk-UA"/>
          </w:rPr>
          <w:t>https://gateway.nlm.nih.gov/result_am?query=Reliability%20</w:t>
        </w:r>
      </w:hyperlink>
      <w:r w:rsidRPr="00ED35A9">
        <w:rPr>
          <w:rFonts w:eastAsia="Calibri" w:cs="Times New Roman"/>
          <w:spacing w:val="-3"/>
          <w:sz w:val="24"/>
          <w:szCs w:val="24"/>
          <w:lang w:val="uk-UA"/>
        </w:rPr>
        <w:t>and%20usefulness%</w:t>
      </w:r>
      <w:r w:rsidR="00870E3A" w:rsidRPr="00ED35A9">
        <w:rPr>
          <w:rFonts w:eastAsia="Calibri" w:cs="Times New Roman"/>
          <w:spacing w:val="-3"/>
          <w:sz w:val="24"/>
          <w:szCs w:val="24"/>
          <w:lang w:val="uk-UA"/>
        </w:rPr>
        <w:br/>
      </w:r>
      <w:r w:rsidRPr="00ED35A9">
        <w:rPr>
          <w:rFonts w:eastAsia="Calibri" w:cs="Times New Roman"/>
          <w:spacing w:val="-3"/>
          <w:sz w:val="24"/>
          <w:szCs w:val="24"/>
          <w:lang w:val="uk-UA"/>
        </w:rPr>
        <w:t xml:space="preserve">20of%20TB/HIV%20co-infection%20data%20proceeding%20from%20developing%20 countries&amp;id=102280737&amp;itemnum=l&amp;amhighlight=Yes&amp;amsort=Relevance, </w:t>
      </w:r>
      <w:proofErr w:type="spellStart"/>
      <w:r w:rsidRPr="00ED35A9">
        <w:rPr>
          <w:rFonts w:eastAsia="Calibri" w:cs="Times New Roman"/>
          <w:spacing w:val="-3"/>
          <w:sz w:val="24"/>
          <w:szCs w:val="24"/>
          <w:lang w:val="uk-UA"/>
        </w:rPr>
        <w:t>accessed</w:t>
      </w:r>
      <w:proofErr w:type="spellEnd"/>
      <w:r w:rsidRPr="00ED35A9">
        <w:rPr>
          <w:rFonts w:eastAsia="Calibri" w:cs="Times New Roman"/>
          <w:spacing w:val="-3"/>
          <w:sz w:val="24"/>
          <w:szCs w:val="24"/>
          <w:lang w:val="uk-UA"/>
        </w:rPr>
        <w:t xml:space="preserve"> 1</w:t>
      </w:r>
      <w:r w:rsidR="00870E3A" w:rsidRPr="00ED35A9">
        <w:rPr>
          <w:rFonts w:eastAsia="Calibri" w:cs="Times New Roman"/>
          <w:spacing w:val="-3"/>
          <w:sz w:val="24"/>
          <w:szCs w:val="24"/>
          <w:lang w:val="uk-UA"/>
        </w:rPr>
        <w:t> </w:t>
      </w:r>
      <w:proofErr w:type="spellStart"/>
      <w:r w:rsidRPr="00ED35A9">
        <w:rPr>
          <w:rFonts w:eastAsia="Calibri" w:cs="Times New Roman"/>
          <w:spacing w:val="-3"/>
          <w:sz w:val="24"/>
          <w:szCs w:val="24"/>
          <w:lang w:val="uk-UA"/>
        </w:rPr>
        <w:t>March</w:t>
      </w:r>
      <w:proofErr w:type="spellEnd"/>
      <w:r w:rsidRPr="00ED35A9">
        <w:rPr>
          <w:rFonts w:eastAsia="Calibri" w:cs="Times New Roman"/>
          <w:spacing w:val="-3"/>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Antiretroviral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adolescents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recommendations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public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approach</w:t>
      </w:r>
      <w:proofErr w:type="spellEnd"/>
      <w:r w:rsidRPr="00ED35A9">
        <w:rPr>
          <w:rFonts w:eastAsia="Calibri" w:cs="Times New Roman"/>
          <w:sz w:val="24"/>
          <w:szCs w:val="24"/>
          <w:lang w:val="uk-UA"/>
        </w:rPr>
        <w:t xml:space="preserve">. 2010 </w:t>
      </w:r>
      <w:proofErr w:type="spellStart"/>
      <w:r w:rsidRPr="00ED35A9">
        <w:rPr>
          <w:rFonts w:eastAsia="Calibri" w:cs="Times New Roman"/>
          <w:sz w:val="24"/>
          <w:szCs w:val="24"/>
          <w:lang w:val="uk-UA"/>
        </w:rPr>
        <w:t>revision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870E3A"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2010 (</w:t>
      </w:r>
      <w:hyperlink r:id="rId44" w:history="1">
        <w:r w:rsidRPr="00ED35A9">
          <w:rPr>
            <w:rFonts w:eastAsia="Calibri" w:cs="Times New Roman"/>
            <w:sz w:val="24"/>
            <w:szCs w:val="24"/>
            <w:lang w:val="uk-UA"/>
          </w:rPr>
          <w:t>http://apps.who.int/iris/</w:t>
        </w:r>
      </w:hyperlink>
      <w:r w:rsidRPr="00ED35A9">
        <w:rPr>
          <w:rFonts w:eastAsia="Calibri" w:cs="Times New Roman"/>
          <w:sz w:val="24"/>
          <w:szCs w:val="24"/>
          <w:lang w:val="uk-UA"/>
        </w:rPr>
        <w:t xml:space="preserve">bitstream/10665/44379/l/9789241599764_eng.pdf,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Abdool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Karim</w:t>
      </w:r>
      <w:proofErr w:type="spellEnd"/>
      <w:r w:rsidRPr="00ED35A9">
        <w:rPr>
          <w:rFonts w:eastAsia="Calibri" w:cs="Times New Roman"/>
          <w:sz w:val="24"/>
          <w:szCs w:val="24"/>
          <w:lang w:val="uk-UA"/>
        </w:rPr>
        <w:t xml:space="preserve"> SS, </w:t>
      </w:r>
      <w:proofErr w:type="spellStart"/>
      <w:r w:rsidRPr="00ED35A9">
        <w:rPr>
          <w:rFonts w:eastAsia="Calibri" w:cs="Times New Roman"/>
          <w:sz w:val="24"/>
          <w:szCs w:val="24"/>
          <w:lang w:val="uk-UA"/>
        </w:rPr>
        <w:t>Naidoo</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Grobler</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Padayatchi</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Baxter</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Gray</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Timing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initiation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antiretroviral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N </w:t>
      </w:r>
      <w:proofErr w:type="spellStart"/>
      <w:r w:rsidRPr="00ED35A9">
        <w:rPr>
          <w:rFonts w:eastAsia="Calibri" w:cs="Times New Roman"/>
          <w:i/>
          <w:sz w:val="24"/>
          <w:szCs w:val="24"/>
          <w:lang w:val="uk-UA"/>
        </w:rPr>
        <w:t>Engl</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Med</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2010</w:t>
      </w:r>
      <w:r w:rsidR="00870E3A" w:rsidRPr="00ED35A9">
        <w:rPr>
          <w:rFonts w:eastAsia="Calibri" w:cs="Times New Roman"/>
          <w:sz w:val="24"/>
          <w:szCs w:val="24"/>
          <w:lang w:val="uk-UA"/>
        </w:rPr>
        <w:t xml:space="preserve">, </w:t>
      </w:r>
      <w:r w:rsidRPr="00ED35A9">
        <w:rPr>
          <w:rFonts w:eastAsia="Calibri" w:cs="Times New Roman"/>
          <w:sz w:val="24"/>
          <w:szCs w:val="24"/>
          <w:lang w:val="uk-UA"/>
        </w:rPr>
        <w:t>362</w:t>
      </w:r>
      <w:r w:rsidR="00870E3A" w:rsidRPr="00ED35A9">
        <w:rPr>
          <w:rFonts w:eastAsia="Calibri" w:cs="Times New Roman"/>
          <w:sz w:val="24"/>
          <w:szCs w:val="24"/>
          <w:lang w:val="uk-UA"/>
        </w:rPr>
        <w:t xml:space="preserve">: </w:t>
      </w:r>
      <w:r w:rsidRPr="00ED35A9">
        <w:rPr>
          <w:rFonts w:eastAsia="Calibri" w:cs="Times New Roman"/>
          <w:sz w:val="24"/>
          <w:szCs w:val="24"/>
          <w:lang w:val="uk-UA"/>
        </w:rPr>
        <w:t>697</w:t>
      </w:r>
      <w:r w:rsidR="00870E3A" w:rsidRPr="00ED35A9">
        <w:rPr>
          <w:rFonts w:eastAsia="Calibri" w:cs="Times New Roman"/>
          <w:sz w:val="24"/>
          <w:szCs w:val="24"/>
          <w:lang w:val="uk-UA"/>
        </w:rPr>
        <w:t>–</w:t>
      </w:r>
      <w:r w:rsidRPr="00ED35A9">
        <w:rPr>
          <w:rFonts w:eastAsia="Calibri" w:cs="Times New Roman"/>
          <w:sz w:val="24"/>
          <w:szCs w:val="24"/>
          <w:lang w:val="uk-UA"/>
        </w:rPr>
        <w:t>706.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Havlir</w:t>
      </w:r>
      <w:proofErr w:type="spellEnd"/>
      <w:r w:rsidRPr="00ED35A9">
        <w:rPr>
          <w:rFonts w:eastAsia="Calibri" w:cs="Times New Roman"/>
          <w:sz w:val="24"/>
          <w:szCs w:val="24"/>
          <w:lang w:val="uk-UA"/>
        </w:rPr>
        <w:t xml:space="preserve"> DV</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Kendall</w:t>
      </w:r>
      <w:proofErr w:type="spellEnd"/>
      <w:r w:rsidRPr="00ED35A9">
        <w:rPr>
          <w:rFonts w:eastAsia="Calibri" w:cs="Times New Roman"/>
          <w:sz w:val="24"/>
          <w:szCs w:val="24"/>
          <w:lang w:val="uk-UA"/>
        </w:rPr>
        <w:t xml:space="preserve"> MA, </w:t>
      </w:r>
      <w:proofErr w:type="spellStart"/>
      <w:r w:rsidRPr="00ED35A9">
        <w:rPr>
          <w:rFonts w:eastAsia="Calibri" w:cs="Times New Roman"/>
          <w:sz w:val="24"/>
          <w:szCs w:val="24"/>
          <w:lang w:val="uk-UA"/>
        </w:rPr>
        <w:t>Ive</w:t>
      </w:r>
      <w:proofErr w:type="spellEnd"/>
      <w:r w:rsidRPr="00ED35A9">
        <w:rPr>
          <w:rFonts w:eastAsia="Calibri" w:cs="Times New Roman"/>
          <w:sz w:val="24"/>
          <w:szCs w:val="24"/>
          <w:lang w:val="uk-UA"/>
        </w:rPr>
        <w:t xml:space="preserve"> P, </w:t>
      </w:r>
      <w:proofErr w:type="spellStart"/>
      <w:r w:rsidRPr="00ED35A9">
        <w:rPr>
          <w:rFonts w:eastAsia="Calibri" w:cs="Times New Roman"/>
          <w:sz w:val="24"/>
          <w:szCs w:val="24"/>
          <w:lang w:val="uk-UA"/>
        </w:rPr>
        <w:t>Kumwenda</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Swindells</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QasbaSS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AIDS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Group</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A5521. </w:t>
      </w:r>
      <w:proofErr w:type="spellStart"/>
      <w:r w:rsidRPr="00ED35A9">
        <w:rPr>
          <w:rFonts w:eastAsia="Calibri" w:cs="Times New Roman"/>
          <w:sz w:val="24"/>
          <w:szCs w:val="24"/>
          <w:lang w:val="uk-UA"/>
        </w:rPr>
        <w:t>Timing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antiretroviral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HIV-1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N </w:t>
      </w:r>
      <w:proofErr w:type="spellStart"/>
      <w:r w:rsidRPr="00ED35A9">
        <w:rPr>
          <w:rFonts w:eastAsia="Calibri" w:cs="Times New Roman"/>
          <w:i/>
          <w:sz w:val="24"/>
          <w:szCs w:val="24"/>
          <w:lang w:val="uk-UA"/>
        </w:rPr>
        <w:t>Engl</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Med</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2011</w:t>
      </w:r>
      <w:r w:rsidR="00870E3A" w:rsidRPr="00ED35A9">
        <w:rPr>
          <w:rFonts w:eastAsia="Calibri" w:cs="Times New Roman"/>
          <w:sz w:val="24"/>
          <w:szCs w:val="24"/>
          <w:lang w:val="uk-UA"/>
        </w:rPr>
        <w:t xml:space="preserve">, </w:t>
      </w:r>
      <w:r w:rsidRPr="00ED35A9">
        <w:rPr>
          <w:rFonts w:eastAsia="Calibri" w:cs="Times New Roman"/>
          <w:sz w:val="24"/>
          <w:szCs w:val="24"/>
          <w:lang w:val="uk-UA"/>
        </w:rPr>
        <w:t>365:</w:t>
      </w:r>
      <w:r w:rsidR="00870E3A" w:rsidRPr="00ED35A9">
        <w:rPr>
          <w:rFonts w:eastAsia="Calibri" w:cs="Times New Roman"/>
          <w:sz w:val="24"/>
          <w:szCs w:val="24"/>
          <w:lang w:val="uk-UA"/>
        </w:rPr>
        <w:t xml:space="preserve"> </w:t>
      </w:r>
      <w:r w:rsidRPr="00ED35A9">
        <w:rPr>
          <w:rFonts w:eastAsia="Calibri" w:cs="Times New Roman"/>
          <w:sz w:val="24"/>
          <w:szCs w:val="24"/>
          <w:lang w:val="uk-UA"/>
        </w:rPr>
        <w:t>1482</w:t>
      </w:r>
      <w:r w:rsidR="00870E3A" w:rsidRPr="00ED35A9">
        <w:rPr>
          <w:rFonts w:eastAsia="Calibri" w:cs="Times New Roman"/>
          <w:sz w:val="24"/>
          <w:szCs w:val="24"/>
          <w:lang w:val="uk-UA"/>
        </w:rPr>
        <w:t>–14</w:t>
      </w:r>
      <w:r w:rsidRPr="00ED35A9">
        <w:rPr>
          <w:rFonts w:eastAsia="Calibri" w:cs="Times New Roman"/>
          <w:sz w:val="24"/>
          <w:szCs w:val="24"/>
          <w:lang w:val="uk-UA"/>
        </w:rPr>
        <w:t>91.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Blanc</w:t>
      </w:r>
      <w:proofErr w:type="spellEnd"/>
      <w:r w:rsidRPr="00ED35A9">
        <w:rPr>
          <w:rFonts w:eastAsia="Calibri" w:cs="Times New Roman"/>
          <w:sz w:val="24"/>
          <w:szCs w:val="24"/>
          <w:lang w:val="uk-UA"/>
        </w:rPr>
        <w:t xml:space="preserve"> FX, </w:t>
      </w:r>
      <w:proofErr w:type="spellStart"/>
      <w:r w:rsidRPr="00ED35A9">
        <w:rPr>
          <w:rFonts w:eastAsia="Calibri" w:cs="Times New Roman"/>
          <w:sz w:val="24"/>
          <w:szCs w:val="24"/>
          <w:lang w:val="uk-UA"/>
        </w:rPr>
        <w:t>Sok</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Laureillard</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Borand</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Rekacewicz</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Nerrienet</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Significant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enhancement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survival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early</w:t>
      </w:r>
      <w:proofErr w:type="spellEnd"/>
      <w:r w:rsidRPr="00ED35A9">
        <w:rPr>
          <w:rFonts w:eastAsia="Calibri" w:cs="Times New Roman"/>
          <w:sz w:val="24"/>
          <w:szCs w:val="24"/>
          <w:lang w:val="uk-UA"/>
        </w:rPr>
        <w:t xml:space="preserve"> (2 </w:t>
      </w:r>
      <w:proofErr w:type="spellStart"/>
      <w:r w:rsidRPr="00ED35A9">
        <w:rPr>
          <w:rFonts w:eastAsia="Calibri" w:cs="Times New Roman"/>
          <w:sz w:val="24"/>
          <w:szCs w:val="24"/>
          <w:lang w:val="uk-UA"/>
        </w:rPr>
        <w:t>weeks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late</w:t>
      </w:r>
      <w:proofErr w:type="spellEnd"/>
      <w:r w:rsidRPr="00ED35A9">
        <w:rPr>
          <w:rFonts w:eastAsia="Calibri" w:cs="Times New Roman"/>
          <w:sz w:val="24"/>
          <w:szCs w:val="24"/>
          <w:lang w:val="uk-UA"/>
        </w:rPr>
        <w:t xml:space="preserve"> (8 </w:t>
      </w:r>
      <w:proofErr w:type="spellStart"/>
      <w:r w:rsidRPr="00ED35A9">
        <w:rPr>
          <w:rFonts w:eastAsia="Calibri" w:cs="Times New Roman"/>
          <w:sz w:val="24"/>
          <w:szCs w:val="24"/>
          <w:lang w:val="uk-UA"/>
        </w:rPr>
        <w:t>weeks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initiation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antiretroviral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(HAART)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severely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immunosuppressed</w:t>
      </w:r>
      <w:proofErr w:type="spellEnd"/>
      <w:r w:rsidRPr="00ED35A9">
        <w:rPr>
          <w:rFonts w:eastAsia="Calibri" w:cs="Times New Roman"/>
          <w:sz w:val="24"/>
          <w:szCs w:val="24"/>
          <w:lang w:val="uk-UA"/>
        </w:rPr>
        <w:t xml:space="preserve"> HIV-</w:t>
      </w:r>
      <w:proofErr w:type="spellStart"/>
      <w:r w:rsidRPr="00ED35A9">
        <w:rPr>
          <w:rFonts w:eastAsia="Calibri" w:cs="Times New Roman"/>
          <w:sz w:val="24"/>
          <w:szCs w:val="24"/>
          <w:lang w:val="uk-UA"/>
        </w:rPr>
        <w:t>infected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newly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diagnosed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18th </w:t>
      </w:r>
      <w:proofErr w:type="spellStart"/>
      <w:r w:rsidRPr="00ED35A9">
        <w:rPr>
          <w:rFonts w:eastAsia="Calibri" w:cs="Times New Roman"/>
          <w:sz w:val="24"/>
          <w:szCs w:val="24"/>
          <w:lang w:val="uk-UA"/>
        </w:rPr>
        <w:t>International</w:t>
      </w:r>
      <w:proofErr w:type="spellEnd"/>
      <w:r w:rsidRPr="00ED35A9">
        <w:rPr>
          <w:rFonts w:eastAsia="Calibri" w:cs="Times New Roman"/>
          <w:sz w:val="24"/>
          <w:szCs w:val="24"/>
          <w:lang w:val="uk-UA"/>
        </w:rPr>
        <w:t xml:space="preserve"> AIDS </w:t>
      </w:r>
      <w:proofErr w:type="spellStart"/>
      <w:r w:rsidRPr="00ED35A9">
        <w:rPr>
          <w:rFonts w:eastAsia="Calibri" w:cs="Times New Roman"/>
          <w:sz w:val="24"/>
          <w:szCs w:val="24"/>
          <w:lang w:val="uk-UA"/>
        </w:rPr>
        <w:t>Conference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Vienna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Austria</w:t>
      </w:r>
      <w:proofErr w:type="spellEnd"/>
      <w:r w:rsidRPr="00ED35A9">
        <w:rPr>
          <w:rFonts w:eastAsia="Calibri" w:cs="Times New Roman"/>
          <w:sz w:val="24"/>
          <w:szCs w:val="24"/>
          <w:lang w:val="uk-UA"/>
        </w:rPr>
        <w:t>, 18</w:t>
      </w:r>
      <w:r w:rsidR="00870E3A" w:rsidRPr="00ED35A9">
        <w:rPr>
          <w:rFonts w:eastAsia="Calibri" w:cs="Times New Roman"/>
          <w:sz w:val="24"/>
          <w:szCs w:val="24"/>
          <w:lang w:val="uk-UA"/>
        </w:rPr>
        <w:t>–</w:t>
      </w:r>
      <w:r w:rsidRPr="00ED35A9">
        <w:rPr>
          <w:rFonts w:eastAsia="Calibri" w:cs="Times New Roman"/>
          <w:sz w:val="24"/>
          <w:szCs w:val="24"/>
          <w:lang w:val="uk-UA"/>
        </w:rPr>
        <w:t xml:space="preserve">23 </w:t>
      </w:r>
      <w:proofErr w:type="spellStart"/>
      <w:r w:rsidRPr="00ED35A9">
        <w:rPr>
          <w:rFonts w:eastAsia="Calibri" w:cs="Times New Roman"/>
          <w:sz w:val="24"/>
          <w:szCs w:val="24"/>
          <w:lang w:val="uk-UA"/>
        </w:rPr>
        <w:t>July</w:t>
      </w:r>
      <w:proofErr w:type="spellEnd"/>
      <w:r w:rsidRPr="00ED35A9">
        <w:rPr>
          <w:rFonts w:eastAsia="Calibri" w:cs="Times New Roman"/>
          <w:sz w:val="24"/>
          <w:szCs w:val="24"/>
          <w:lang w:val="uk-UA"/>
        </w:rPr>
        <w:t xml:space="preserve"> 2010 (</w:t>
      </w:r>
      <w:hyperlink r:id="rId45" w:history="1">
        <w:r w:rsidRPr="00ED35A9">
          <w:rPr>
            <w:rFonts w:eastAsia="Calibri" w:cs="Times New Roman"/>
            <w:sz w:val="24"/>
            <w:szCs w:val="24"/>
            <w:lang w:val="uk-UA"/>
          </w:rPr>
          <w:t>www.natap.org/2010/IAS/IAS_9Lhtm</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Fox</w:t>
      </w:r>
      <w:proofErr w:type="spellEnd"/>
      <w:r w:rsidRPr="00ED35A9">
        <w:rPr>
          <w:rFonts w:eastAsia="Calibri" w:cs="Times New Roman"/>
          <w:sz w:val="24"/>
          <w:szCs w:val="24"/>
          <w:lang w:val="uk-UA"/>
        </w:rPr>
        <w:t xml:space="preserve"> GJ, </w:t>
      </w:r>
      <w:proofErr w:type="spellStart"/>
      <w:r w:rsidRPr="00ED35A9">
        <w:rPr>
          <w:rFonts w:eastAsia="Calibri" w:cs="Times New Roman"/>
          <w:sz w:val="24"/>
          <w:szCs w:val="24"/>
          <w:lang w:val="uk-UA"/>
        </w:rPr>
        <w:t>Mitnick</w:t>
      </w:r>
      <w:proofErr w:type="spellEnd"/>
      <w:r w:rsidRPr="00ED35A9">
        <w:rPr>
          <w:rFonts w:eastAsia="Calibri" w:cs="Times New Roman"/>
          <w:sz w:val="24"/>
          <w:szCs w:val="24"/>
          <w:lang w:val="uk-UA"/>
        </w:rPr>
        <w:t xml:space="preserve"> CD, </w:t>
      </w:r>
      <w:proofErr w:type="spellStart"/>
      <w:r w:rsidRPr="00ED35A9">
        <w:rPr>
          <w:rFonts w:eastAsia="Calibri" w:cs="Times New Roman"/>
          <w:sz w:val="24"/>
          <w:szCs w:val="24"/>
          <w:lang w:val="uk-UA"/>
        </w:rPr>
        <w:t>Benedetti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Chan</w:t>
      </w:r>
      <w:proofErr w:type="spellEnd"/>
      <w:r w:rsidRPr="00ED35A9">
        <w:rPr>
          <w:rFonts w:eastAsia="Calibri" w:cs="Times New Roman"/>
          <w:sz w:val="24"/>
          <w:szCs w:val="24"/>
          <w:lang w:val="uk-UA"/>
        </w:rPr>
        <w:t xml:space="preserve"> ED, </w:t>
      </w:r>
      <w:proofErr w:type="spellStart"/>
      <w:r w:rsidRPr="00ED35A9">
        <w:rPr>
          <w:rFonts w:eastAsia="Calibri" w:cs="Times New Roman"/>
          <w:sz w:val="24"/>
          <w:szCs w:val="24"/>
          <w:lang w:val="uk-UA"/>
        </w:rPr>
        <w:t>Becerra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Chiang</w:t>
      </w:r>
      <w:proofErr w:type="spellEnd"/>
      <w:r w:rsidRPr="00ED35A9">
        <w:rPr>
          <w:rFonts w:eastAsia="Calibri" w:cs="Times New Roman"/>
          <w:sz w:val="24"/>
          <w:szCs w:val="24"/>
          <w:lang w:val="uk-UA"/>
        </w:rPr>
        <w:t xml:space="preserve"> C-Y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Surgery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Adjunctive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individual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data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2016</w:t>
      </w:r>
      <w:r w:rsidR="00870E3A" w:rsidRPr="00ED35A9">
        <w:rPr>
          <w:rFonts w:eastAsia="Calibri" w:cs="Times New Roman"/>
          <w:sz w:val="24"/>
          <w:szCs w:val="24"/>
          <w:lang w:val="uk-UA"/>
        </w:rPr>
        <w:t xml:space="preserve">, </w:t>
      </w:r>
      <w:r w:rsidRPr="00ED35A9">
        <w:rPr>
          <w:rFonts w:eastAsia="Calibri" w:cs="Times New Roman"/>
          <w:sz w:val="24"/>
          <w:szCs w:val="24"/>
          <w:lang w:val="uk-UA"/>
        </w:rPr>
        <w:t>62(7):</w:t>
      </w:r>
      <w:r w:rsidR="00870E3A" w:rsidRPr="00ED35A9">
        <w:rPr>
          <w:rFonts w:eastAsia="Calibri" w:cs="Times New Roman"/>
          <w:sz w:val="24"/>
          <w:szCs w:val="24"/>
          <w:lang w:val="uk-UA"/>
        </w:rPr>
        <w:t xml:space="preserve"> </w:t>
      </w:r>
      <w:r w:rsidRPr="00ED35A9">
        <w:rPr>
          <w:rFonts w:eastAsia="Calibri" w:cs="Times New Roman"/>
          <w:sz w:val="24"/>
          <w:szCs w:val="24"/>
          <w:lang w:val="uk-UA"/>
        </w:rPr>
        <w:t>887</w:t>
      </w:r>
      <w:r w:rsidR="00870E3A" w:rsidRPr="00ED35A9">
        <w:rPr>
          <w:rFonts w:eastAsia="Calibri" w:cs="Times New Roman"/>
          <w:sz w:val="24"/>
          <w:szCs w:val="24"/>
          <w:lang w:val="uk-UA"/>
        </w:rPr>
        <w:t>–8</w:t>
      </w:r>
      <w:r w:rsidRPr="00ED35A9">
        <w:rPr>
          <w:rFonts w:eastAsia="Calibri" w:cs="Times New Roman"/>
          <w:sz w:val="24"/>
          <w:szCs w:val="24"/>
          <w:lang w:val="uk-UA"/>
        </w:rPr>
        <w:t>95.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Harris</w:t>
      </w:r>
      <w:proofErr w:type="spellEnd"/>
      <w:r w:rsidRPr="00ED35A9">
        <w:rPr>
          <w:rFonts w:eastAsia="Calibri" w:cs="Times New Roman"/>
          <w:sz w:val="24"/>
          <w:szCs w:val="24"/>
          <w:lang w:val="uk-UA"/>
        </w:rPr>
        <w:t xml:space="preserve"> RC,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MS, </w:t>
      </w:r>
      <w:proofErr w:type="spellStart"/>
      <w:r w:rsidRPr="00ED35A9">
        <w:rPr>
          <w:rFonts w:eastAsia="Calibri" w:cs="Times New Roman"/>
          <w:sz w:val="24"/>
          <w:szCs w:val="24"/>
          <w:lang w:val="uk-UA"/>
        </w:rPr>
        <w:t>Martin</w:t>
      </w:r>
      <w:proofErr w:type="spellEnd"/>
      <w:r w:rsidRPr="00ED35A9">
        <w:rPr>
          <w:rFonts w:eastAsia="Calibri" w:cs="Times New Roman"/>
          <w:sz w:val="24"/>
          <w:szCs w:val="24"/>
          <w:lang w:val="uk-UA"/>
        </w:rPr>
        <w:t xml:space="preserve"> LJ, </w:t>
      </w:r>
      <w:proofErr w:type="spellStart"/>
      <w:r w:rsidRPr="00ED35A9">
        <w:rPr>
          <w:rFonts w:eastAsia="Calibri" w:cs="Times New Roman"/>
          <w:sz w:val="24"/>
          <w:szCs w:val="24"/>
          <w:lang w:val="uk-UA"/>
        </w:rPr>
        <w:t>Allen</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Moore</w:t>
      </w:r>
      <w:proofErr w:type="spellEnd"/>
      <w:r w:rsidRPr="00ED35A9">
        <w:rPr>
          <w:rFonts w:eastAsia="Calibri" w:cs="Times New Roman"/>
          <w:sz w:val="24"/>
          <w:szCs w:val="24"/>
          <w:lang w:val="uk-UA"/>
        </w:rPr>
        <w:t xml:space="preserve"> DAJ, </w:t>
      </w:r>
      <w:proofErr w:type="spellStart"/>
      <w:r w:rsidRPr="00ED35A9">
        <w:rPr>
          <w:rFonts w:eastAsia="Calibri" w:cs="Times New Roman"/>
          <w:sz w:val="24"/>
          <w:szCs w:val="24"/>
          <w:lang w:val="uk-UA"/>
        </w:rPr>
        <w:t>Fielding</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surgery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systematic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2016</w:t>
      </w:r>
      <w:r w:rsidR="00870E3A" w:rsidRPr="00ED35A9">
        <w:rPr>
          <w:rFonts w:eastAsia="Calibri" w:cs="Times New Roman"/>
          <w:sz w:val="24"/>
          <w:szCs w:val="24"/>
          <w:lang w:val="uk-UA"/>
        </w:rPr>
        <w:t xml:space="preserve">, </w:t>
      </w:r>
      <w:r w:rsidRPr="00ED35A9">
        <w:rPr>
          <w:rFonts w:eastAsia="Calibri" w:cs="Times New Roman"/>
          <w:sz w:val="24"/>
          <w:szCs w:val="24"/>
          <w:lang w:val="uk-UA"/>
        </w:rPr>
        <w:t>16(1):</w:t>
      </w:r>
      <w:r w:rsidR="00870E3A" w:rsidRPr="00ED35A9">
        <w:rPr>
          <w:rFonts w:eastAsia="Calibri" w:cs="Times New Roman"/>
          <w:sz w:val="24"/>
          <w:szCs w:val="24"/>
          <w:lang w:val="uk-UA"/>
        </w:rPr>
        <w:t xml:space="preserve"> </w:t>
      </w:r>
      <w:r w:rsidRPr="00ED35A9">
        <w:rPr>
          <w:rFonts w:eastAsia="Calibri" w:cs="Times New Roman"/>
          <w:sz w:val="24"/>
          <w:szCs w:val="24"/>
          <w:lang w:val="uk-UA"/>
        </w:rPr>
        <w:t>262 (</w:t>
      </w:r>
      <w:hyperlink r:id="rId46" w:history="1">
        <w:r w:rsidRPr="00ED35A9">
          <w:rPr>
            <w:rFonts w:eastAsia="Calibri" w:cs="Times New Roman"/>
            <w:sz w:val="24"/>
            <w:szCs w:val="24"/>
            <w:lang w:val="uk-UA"/>
          </w:rPr>
          <w:t>http://bmcinfectdis.</w:t>
        </w:r>
        <w:r w:rsidR="00870E3A" w:rsidRPr="00ED35A9">
          <w:rPr>
            <w:rFonts w:eastAsia="Calibri" w:cs="Times New Roman"/>
            <w:sz w:val="24"/>
            <w:szCs w:val="24"/>
            <w:lang w:val="uk-UA"/>
          </w:rPr>
          <w:br/>
        </w:r>
        <w:r w:rsidRPr="00ED35A9">
          <w:rPr>
            <w:rFonts w:eastAsia="Calibri" w:cs="Times New Roman"/>
            <w:sz w:val="24"/>
            <w:szCs w:val="24"/>
            <w:lang w:val="uk-UA"/>
          </w:rPr>
          <w:t>biomedcentral.com/</w:t>
        </w:r>
        <w:proofErr w:type="spellStart"/>
        <w:r w:rsidRPr="00ED35A9">
          <w:rPr>
            <w:rFonts w:eastAsia="Calibri" w:cs="Times New Roman"/>
            <w:sz w:val="24"/>
            <w:szCs w:val="24"/>
            <w:lang w:val="uk-UA"/>
          </w:rPr>
          <w:t>articles</w:t>
        </w:r>
        <w:proofErr w:type="spellEnd"/>
        <w:r w:rsidRPr="00ED35A9">
          <w:rPr>
            <w:rFonts w:eastAsia="Calibri" w:cs="Times New Roman"/>
            <w:sz w:val="24"/>
            <w:szCs w:val="24"/>
            <w:lang w:val="uk-UA"/>
          </w:rPr>
          <w:t>/10.1186/sl2879-016-1585-0</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Bayer</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Wilkinson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history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idea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1995</w:t>
      </w:r>
      <w:r w:rsidR="00870E3A" w:rsidRPr="00ED35A9">
        <w:rPr>
          <w:rFonts w:eastAsia="Calibri" w:cs="Times New Roman"/>
          <w:sz w:val="24"/>
          <w:szCs w:val="24"/>
          <w:lang w:val="uk-UA"/>
        </w:rPr>
        <w:t xml:space="preserve">, </w:t>
      </w:r>
      <w:r w:rsidRPr="00ED35A9">
        <w:rPr>
          <w:rFonts w:eastAsia="Calibri" w:cs="Times New Roman"/>
          <w:sz w:val="24"/>
          <w:szCs w:val="24"/>
          <w:lang w:val="uk-UA"/>
        </w:rPr>
        <w:t>345(8964):</w:t>
      </w:r>
      <w:r w:rsidR="00870E3A" w:rsidRPr="00ED35A9">
        <w:rPr>
          <w:rFonts w:eastAsia="Calibri" w:cs="Times New Roman"/>
          <w:sz w:val="24"/>
          <w:szCs w:val="24"/>
          <w:lang w:val="uk-UA"/>
        </w:rPr>
        <w:t xml:space="preserve"> </w:t>
      </w:r>
      <w:r w:rsidRPr="00ED35A9">
        <w:rPr>
          <w:rFonts w:eastAsia="Calibri" w:cs="Times New Roman"/>
          <w:sz w:val="24"/>
          <w:szCs w:val="24"/>
          <w:lang w:val="uk-UA"/>
        </w:rPr>
        <w:t>1545</w:t>
      </w:r>
      <w:r w:rsidR="00870E3A" w:rsidRPr="00ED35A9">
        <w:rPr>
          <w:rFonts w:eastAsia="Calibri" w:cs="Times New Roman"/>
          <w:sz w:val="24"/>
          <w:szCs w:val="24"/>
          <w:lang w:val="uk-UA"/>
        </w:rPr>
        <w:t>–154</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Kamolratanakul</w:t>
      </w:r>
      <w:proofErr w:type="spellEnd"/>
      <w:r w:rsidRPr="00ED35A9">
        <w:rPr>
          <w:rFonts w:eastAsia="Calibri" w:cs="Times New Roman"/>
          <w:sz w:val="24"/>
          <w:szCs w:val="24"/>
          <w:lang w:val="uk-UA"/>
        </w:rPr>
        <w:t xml:space="preserve"> В</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Sawert</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Lertmaharit</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Kasetjaroen</w:t>
      </w:r>
      <w:proofErr w:type="spellEnd"/>
      <w:r w:rsidRPr="00ED35A9">
        <w:rPr>
          <w:rFonts w:eastAsia="Calibri" w:cs="Times New Roman"/>
          <w:sz w:val="24"/>
          <w:szCs w:val="24"/>
          <w:lang w:val="uk-UA"/>
        </w:rPr>
        <w:t xml:space="preserve"> Y, </w:t>
      </w:r>
      <w:proofErr w:type="spellStart"/>
      <w:r w:rsidRPr="00ED35A9">
        <w:rPr>
          <w:rFonts w:eastAsia="Calibri" w:cs="Times New Roman"/>
          <w:sz w:val="24"/>
          <w:szCs w:val="24"/>
          <w:lang w:val="uk-UA"/>
        </w:rPr>
        <w:t>Akksilp</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Tulaporn</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(DOT)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Trans</w:t>
      </w:r>
      <w:proofErr w:type="spellEnd"/>
      <w:r w:rsidRPr="00ED35A9">
        <w:rPr>
          <w:rFonts w:eastAsia="Calibri" w:cs="Times New Roman"/>
          <w:i/>
          <w:sz w:val="24"/>
          <w:szCs w:val="24"/>
          <w:lang w:val="uk-UA"/>
        </w:rPr>
        <w:t xml:space="preserve"> R </w:t>
      </w:r>
      <w:proofErr w:type="spellStart"/>
      <w:r w:rsidRPr="00ED35A9">
        <w:rPr>
          <w:rFonts w:eastAsia="Calibri" w:cs="Times New Roman"/>
          <w:i/>
          <w:sz w:val="24"/>
          <w:szCs w:val="24"/>
          <w:lang w:val="uk-UA"/>
        </w:rPr>
        <w:t>Soc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Hyg</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1999</w:t>
      </w:r>
      <w:r w:rsidR="00870E3A" w:rsidRPr="00ED35A9">
        <w:rPr>
          <w:rFonts w:eastAsia="Calibri" w:cs="Times New Roman"/>
          <w:sz w:val="24"/>
          <w:szCs w:val="24"/>
          <w:lang w:val="uk-UA"/>
        </w:rPr>
        <w:t xml:space="preserve">, </w:t>
      </w:r>
      <w:r w:rsidRPr="00ED35A9">
        <w:rPr>
          <w:rFonts w:eastAsia="Calibri" w:cs="Times New Roman"/>
          <w:sz w:val="24"/>
          <w:szCs w:val="24"/>
          <w:lang w:val="uk-UA"/>
        </w:rPr>
        <w:t>93(5):</w:t>
      </w:r>
      <w:r w:rsidR="00870E3A" w:rsidRPr="00ED35A9">
        <w:rPr>
          <w:rFonts w:eastAsia="Calibri" w:cs="Times New Roman"/>
          <w:sz w:val="24"/>
          <w:szCs w:val="24"/>
          <w:lang w:val="uk-UA"/>
        </w:rPr>
        <w:t xml:space="preserve"> </w:t>
      </w:r>
      <w:r w:rsidRPr="00ED35A9">
        <w:rPr>
          <w:rFonts w:eastAsia="Calibri" w:cs="Times New Roman"/>
          <w:sz w:val="24"/>
          <w:szCs w:val="24"/>
          <w:lang w:val="uk-UA"/>
        </w:rPr>
        <w:t>552</w:t>
      </w:r>
      <w:r w:rsidR="00870E3A" w:rsidRPr="00ED35A9">
        <w:rPr>
          <w:rFonts w:eastAsia="Calibri" w:cs="Times New Roman"/>
          <w:sz w:val="24"/>
          <w:szCs w:val="24"/>
          <w:lang w:val="uk-UA"/>
        </w:rPr>
        <w:t>–55</w:t>
      </w:r>
      <w:r w:rsidRPr="00ED35A9">
        <w:rPr>
          <w:rFonts w:eastAsia="Calibri" w:cs="Times New Roman"/>
          <w:sz w:val="24"/>
          <w:szCs w:val="24"/>
          <w:lang w:val="uk-UA"/>
        </w:rPr>
        <w:t>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MacIntyre</w:t>
      </w:r>
      <w:proofErr w:type="spellEnd"/>
      <w:r w:rsidRPr="00ED35A9">
        <w:rPr>
          <w:rFonts w:eastAsia="Calibri" w:cs="Times New Roman"/>
          <w:sz w:val="24"/>
          <w:szCs w:val="24"/>
          <w:lang w:val="uk-UA"/>
        </w:rPr>
        <w:t xml:space="preserve"> CR, </w:t>
      </w:r>
      <w:proofErr w:type="spellStart"/>
      <w:r w:rsidRPr="00ED35A9">
        <w:rPr>
          <w:rFonts w:eastAsia="Calibri" w:cs="Times New Roman"/>
          <w:sz w:val="24"/>
          <w:szCs w:val="24"/>
          <w:lang w:val="uk-UA"/>
        </w:rPr>
        <w:t>Goebel</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Brown</w:t>
      </w:r>
      <w:proofErr w:type="spellEnd"/>
      <w:r w:rsidRPr="00ED35A9">
        <w:rPr>
          <w:rFonts w:eastAsia="Calibri" w:cs="Times New Roman"/>
          <w:sz w:val="24"/>
          <w:szCs w:val="24"/>
          <w:lang w:val="uk-UA"/>
        </w:rPr>
        <w:t xml:space="preserve"> GV</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Skull</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Starr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Fullinfaw</w:t>
      </w:r>
      <w:proofErr w:type="spellEnd"/>
      <w:r w:rsidRPr="00ED35A9">
        <w:rPr>
          <w:rFonts w:eastAsia="Calibri" w:cs="Times New Roman"/>
          <w:sz w:val="24"/>
          <w:szCs w:val="24"/>
          <w:lang w:val="uk-UA"/>
        </w:rPr>
        <w:t xml:space="preserve"> RO.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family-based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w:t>
      </w:r>
      <w:r w:rsidR="00870E3A" w:rsidRPr="00ED35A9">
        <w:rPr>
          <w:rFonts w:eastAsia="Calibri" w:cs="Times New Roman"/>
          <w:sz w:val="24"/>
          <w:szCs w:val="24"/>
          <w:lang w:val="uk-UA"/>
        </w:rPr>
        <w:t>eatment</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in</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an</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urban</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developed-</w:t>
      </w:r>
      <w:r w:rsidRPr="00ED35A9">
        <w:rPr>
          <w:rFonts w:eastAsia="Calibri" w:cs="Times New Roman"/>
          <w:sz w:val="24"/>
          <w:szCs w:val="24"/>
          <w:lang w:val="uk-UA"/>
        </w:rPr>
        <w:t>country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2003</w:t>
      </w:r>
      <w:r w:rsidR="00870E3A" w:rsidRPr="00ED35A9">
        <w:rPr>
          <w:rFonts w:eastAsia="Calibri" w:cs="Times New Roman"/>
          <w:sz w:val="24"/>
          <w:szCs w:val="24"/>
          <w:lang w:val="uk-UA"/>
        </w:rPr>
        <w:t xml:space="preserve">, </w:t>
      </w:r>
      <w:r w:rsidRPr="00ED35A9">
        <w:rPr>
          <w:rFonts w:eastAsia="Calibri" w:cs="Times New Roman"/>
          <w:sz w:val="24"/>
          <w:szCs w:val="24"/>
          <w:lang w:val="uk-UA"/>
        </w:rPr>
        <w:t>7(9):</w:t>
      </w:r>
      <w:r w:rsidR="00870E3A" w:rsidRPr="00ED35A9">
        <w:rPr>
          <w:rFonts w:eastAsia="Calibri" w:cs="Times New Roman"/>
          <w:sz w:val="24"/>
          <w:szCs w:val="24"/>
          <w:lang w:val="uk-UA"/>
        </w:rPr>
        <w:t xml:space="preserve"> </w:t>
      </w:r>
      <w:r w:rsidRPr="00ED35A9">
        <w:rPr>
          <w:rFonts w:eastAsia="Calibri" w:cs="Times New Roman"/>
          <w:sz w:val="24"/>
          <w:szCs w:val="24"/>
          <w:lang w:val="uk-UA"/>
        </w:rPr>
        <w:t>848</w:t>
      </w:r>
      <w:r w:rsidR="00870E3A" w:rsidRPr="00ED35A9">
        <w:rPr>
          <w:rFonts w:eastAsia="Calibri" w:cs="Times New Roman"/>
          <w:sz w:val="24"/>
          <w:szCs w:val="24"/>
          <w:lang w:val="uk-UA"/>
        </w:rPr>
        <w:t>–8</w:t>
      </w:r>
      <w:r w:rsidRPr="00ED35A9">
        <w:rPr>
          <w:rFonts w:eastAsia="Calibri" w:cs="Times New Roman"/>
          <w:sz w:val="24"/>
          <w:szCs w:val="24"/>
          <w:lang w:val="uk-UA"/>
        </w:rPr>
        <w:t>54.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Research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Centre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short-course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sputum-positive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1997</w:t>
      </w:r>
      <w:r w:rsidR="00870E3A" w:rsidRPr="00ED35A9">
        <w:rPr>
          <w:rFonts w:eastAsia="Calibri" w:cs="Times New Roman"/>
          <w:sz w:val="24"/>
          <w:szCs w:val="24"/>
          <w:lang w:val="uk-UA"/>
        </w:rPr>
        <w:t xml:space="preserve">, </w:t>
      </w:r>
      <w:r w:rsidRPr="00ED35A9">
        <w:rPr>
          <w:rFonts w:eastAsia="Calibri" w:cs="Times New Roman"/>
          <w:sz w:val="24"/>
          <w:szCs w:val="24"/>
          <w:lang w:val="uk-UA"/>
        </w:rPr>
        <w:t>1(6):</w:t>
      </w:r>
      <w:r w:rsidR="00870E3A" w:rsidRPr="00ED35A9">
        <w:rPr>
          <w:rFonts w:eastAsia="Calibri" w:cs="Times New Roman"/>
          <w:sz w:val="24"/>
          <w:szCs w:val="24"/>
          <w:lang w:val="uk-UA"/>
        </w:rPr>
        <w:t xml:space="preserve"> </w:t>
      </w:r>
      <w:r w:rsidRPr="00ED35A9">
        <w:rPr>
          <w:rFonts w:eastAsia="Calibri" w:cs="Times New Roman"/>
          <w:sz w:val="24"/>
          <w:szCs w:val="24"/>
          <w:lang w:val="uk-UA"/>
        </w:rPr>
        <w:t>509</w:t>
      </w:r>
      <w:r w:rsidR="00870E3A" w:rsidRPr="00ED35A9">
        <w:rPr>
          <w:rFonts w:eastAsia="Calibri" w:cs="Times New Roman"/>
          <w:sz w:val="24"/>
          <w:szCs w:val="24"/>
          <w:lang w:val="uk-UA"/>
        </w:rPr>
        <w:t>–5</w:t>
      </w:r>
      <w:r w:rsidRPr="00ED35A9">
        <w:rPr>
          <w:rFonts w:eastAsia="Calibri" w:cs="Times New Roman"/>
          <w:sz w:val="24"/>
          <w:szCs w:val="24"/>
          <w:lang w:val="uk-UA"/>
        </w:rPr>
        <w:t>17.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WalleyJD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MA, </w:t>
      </w:r>
      <w:proofErr w:type="spellStart"/>
      <w:r w:rsidRPr="00ED35A9">
        <w:rPr>
          <w:rFonts w:eastAsia="Calibri" w:cs="Times New Roman"/>
          <w:sz w:val="24"/>
          <w:szCs w:val="24"/>
          <w:lang w:val="uk-UA"/>
        </w:rPr>
        <w:t>Newell</w:t>
      </w:r>
      <w:proofErr w:type="spellEnd"/>
      <w:r w:rsidRPr="00ED35A9">
        <w:rPr>
          <w:rFonts w:eastAsia="Calibri" w:cs="Times New Roman"/>
          <w:sz w:val="24"/>
          <w:szCs w:val="24"/>
          <w:lang w:val="uk-UA"/>
        </w:rPr>
        <w:t xml:space="preserve"> JN,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MH.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component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Pakistan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2001</w:t>
      </w:r>
      <w:r w:rsidR="00870E3A" w:rsidRPr="00ED35A9">
        <w:rPr>
          <w:rFonts w:eastAsia="Calibri" w:cs="Times New Roman"/>
          <w:sz w:val="24"/>
          <w:szCs w:val="24"/>
          <w:lang w:val="uk-UA"/>
        </w:rPr>
        <w:t xml:space="preserve">, </w:t>
      </w:r>
      <w:r w:rsidRPr="00ED35A9">
        <w:rPr>
          <w:rFonts w:eastAsia="Calibri" w:cs="Times New Roman"/>
          <w:sz w:val="24"/>
          <w:szCs w:val="24"/>
          <w:lang w:val="uk-UA"/>
        </w:rPr>
        <w:t>357(9257):</w:t>
      </w:r>
      <w:r w:rsidR="00870E3A" w:rsidRPr="00ED35A9">
        <w:rPr>
          <w:rFonts w:eastAsia="Calibri" w:cs="Times New Roman"/>
          <w:sz w:val="24"/>
          <w:szCs w:val="24"/>
          <w:lang w:val="uk-UA"/>
        </w:rPr>
        <w:t xml:space="preserve"> </w:t>
      </w:r>
      <w:r w:rsidRPr="00ED35A9">
        <w:rPr>
          <w:rFonts w:eastAsia="Calibri" w:cs="Times New Roman"/>
          <w:sz w:val="24"/>
          <w:szCs w:val="24"/>
          <w:lang w:val="uk-UA"/>
        </w:rPr>
        <w:t>664</w:t>
      </w:r>
      <w:r w:rsidR="00870E3A" w:rsidRPr="00ED35A9">
        <w:rPr>
          <w:rFonts w:eastAsia="Calibri" w:cs="Times New Roman"/>
          <w:sz w:val="24"/>
          <w:szCs w:val="24"/>
          <w:lang w:val="uk-UA"/>
        </w:rPr>
        <w:t>–66</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Zwarenstein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Schoeman</w:t>
      </w:r>
      <w:proofErr w:type="spellEnd"/>
      <w:r w:rsidRPr="00ED35A9">
        <w:rPr>
          <w:rFonts w:eastAsia="Calibri" w:cs="Times New Roman"/>
          <w:sz w:val="24"/>
          <w:szCs w:val="24"/>
          <w:lang w:val="uk-UA"/>
        </w:rPr>
        <w:t xml:space="preserve"> JH, </w:t>
      </w:r>
      <w:proofErr w:type="spellStart"/>
      <w:r w:rsidRPr="00ED35A9">
        <w:rPr>
          <w:rFonts w:eastAsia="Calibri" w:cs="Times New Roman"/>
          <w:sz w:val="24"/>
          <w:szCs w:val="24"/>
          <w:lang w:val="uk-UA"/>
        </w:rPr>
        <w:t>Vundule</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Lombard</w:t>
      </w:r>
      <w:proofErr w:type="spellEnd"/>
      <w:r w:rsidRPr="00ED35A9">
        <w:rPr>
          <w:rFonts w:eastAsia="Calibri" w:cs="Times New Roman"/>
          <w:sz w:val="24"/>
          <w:szCs w:val="24"/>
          <w:lang w:val="uk-UA"/>
        </w:rPr>
        <w:t xml:space="preserve"> CJ, </w:t>
      </w:r>
      <w:proofErr w:type="spellStart"/>
      <w:r w:rsidRPr="00ED35A9">
        <w:rPr>
          <w:rFonts w:eastAsia="Calibri" w:cs="Times New Roman"/>
          <w:sz w:val="24"/>
          <w:szCs w:val="24"/>
          <w:lang w:val="uk-UA"/>
        </w:rPr>
        <w:t>Tatley</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Rando</w:t>
      </w:r>
      <w:r w:rsidR="00870E3A" w:rsidRPr="00ED35A9">
        <w:rPr>
          <w:rFonts w:eastAsia="Calibri" w:cs="Times New Roman"/>
          <w:sz w:val="24"/>
          <w:szCs w:val="24"/>
          <w:lang w:val="uk-UA"/>
        </w:rPr>
        <w:t>mised</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controlled</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trial</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of</w:t>
      </w:r>
      <w:proofErr w:type="spellEnd"/>
      <w:r w:rsidR="00870E3A" w:rsidRPr="00ED35A9">
        <w:rPr>
          <w:rFonts w:eastAsia="Calibri" w:cs="Times New Roman"/>
          <w:sz w:val="24"/>
          <w:szCs w:val="24"/>
          <w:lang w:val="uk-UA"/>
        </w:rPr>
        <w:t xml:space="preserve"> </w:t>
      </w:r>
      <w:proofErr w:type="spellStart"/>
      <w:r w:rsidR="00870E3A" w:rsidRPr="00ED35A9">
        <w:rPr>
          <w:rFonts w:eastAsia="Calibri" w:cs="Times New Roman"/>
          <w:sz w:val="24"/>
          <w:szCs w:val="24"/>
          <w:lang w:val="uk-UA"/>
        </w:rPr>
        <w:t>self-</w:t>
      </w:r>
      <w:r w:rsidRPr="00ED35A9">
        <w:rPr>
          <w:rFonts w:eastAsia="Calibri" w:cs="Times New Roman"/>
          <w:sz w:val="24"/>
          <w:szCs w:val="24"/>
          <w:lang w:val="uk-UA"/>
        </w:rPr>
        <w:t>supervised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1998</w:t>
      </w:r>
      <w:r w:rsidR="00870E3A" w:rsidRPr="00ED35A9">
        <w:rPr>
          <w:rFonts w:eastAsia="Calibri" w:cs="Times New Roman"/>
          <w:sz w:val="24"/>
          <w:szCs w:val="24"/>
          <w:lang w:val="uk-UA"/>
        </w:rPr>
        <w:t xml:space="preserve">, </w:t>
      </w:r>
      <w:r w:rsidRPr="00ED35A9">
        <w:rPr>
          <w:rFonts w:eastAsia="Calibri" w:cs="Times New Roman"/>
          <w:sz w:val="24"/>
          <w:szCs w:val="24"/>
          <w:lang w:val="uk-UA"/>
        </w:rPr>
        <w:t>352(9137):</w:t>
      </w:r>
      <w:r w:rsidR="00870E3A" w:rsidRPr="00ED35A9">
        <w:rPr>
          <w:rFonts w:eastAsia="Calibri" w:cs="Times New Roman"/>
          <w:sz w:val="24"/>
          <w:szCs w:val="24"/>
          <w:lang w:val="uk-UA"/>
        </w:rPr>
        <w:t xml:space="preserve"> </w:t>
      </w:r>
      <w:r w:rsidRPr="00ED35A9">
        <w:rPr>
          <w:rFonts w:eastAsia="Calibri" w:cs="Times New Roman"/>
          <w:sz w:val="24"/>
          <w:szCs w:val="24"/>
          <w:lang w:val="uk-UA"/>
        </w:rPr>
        <w:t>1340</w:t>
      </w:r>
      <w:r w:rsidR="00870E3A" w:rsidRPr="00ED35A9">
        <w:rPr>
          <w:rFonts w:eastAsia="Calibri" w:cs="Times New Roman"/>
          <w:sz w:val="24"/>
          <w:szCs w:val="24"/>
          <w:lang w:val="uk-UA"/>
        </w:rPr>
        <w:t>–134</w:t>
      </w:r>
      <w:r w:rsidRPr="00ED35A9">
        <w:rPr>
          <w:rFonts w:eastAsia="Calibri" w:cs="Times New Roman"/>
          <w:sz w:val="24"/>
          <w:szCs w:val="24"/>
          <w:lang w:val="uk-UA"/>
        </w:rPr>
        <w:t>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Zwarenstein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Schoeman</w:t>
      </w:r>
      <w:proofErr w:type="spellEnd"/>
      <w:r w:rsidRPr="00ED35A9">
        <w:rPr>
          <w:rFonts w:eastAsia="Calibri" w:cs="Times New Roman"/>
          <w:sz w:val="24"/>
          <w:szCs w:val="24"/>
          <w:lang w:val="uk-UA"/>
        </w:rPr>
        <w:t xml:space="preserve"> JH, </w:t>
      </w:r>
      <w:proofErr w:type="spellStart"/>
      <w:r w:rsidRPr="00ED35A9">
        <w:rPr>
          <w:rFonts w:eastAsia="Calibri" w:cs="Times New Roman"/>
          <w:sz w:val="24"/>
          <w:szCs w:val="24"/>
          <w:lang w:val="uk-UA"/>
        </w:rPr>
        <w:t>Vundule</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Lombard</w:t>
      </w:r>
      <w:proofErr w:type="spellEnd"/>
      <w:r w:rsidRPr="00ED35A9">
        <w:rPr>
          <w:rFonts w:eastAsia="Calibri" w:cs="Times New Roman"/>
          <w:sz w:val="24"/>
          <w:szCs w:val="24"/>
          <w:lang w:val="uk-UA"/>
        </w:rPr>
        <w:t xml:space="preserve"> CJ, </w:t>
      </w:r>
      <w:proofErr w:type="spellStart"/>
      <w:r w:rsidRPr="00ED35A9">
        <w:rPr>
          <w:rFonts w:eastAsia="Calibri" w:cs="Times New Roman"/>
          <w:sz w:val="24"/>
          <w:szCs w:val="24"/>
          <w:lang w:val="uk-UA"/>
        </w:rPr>
        <w:t>Tatley</w:t>
      </w:r>
      <w:proofErr w:type="spellEnd"/>
      <w:r w:rsidRPr="00ED35A9">
        <w:rPr>
          <w:rFonts w:eastAsia="Calibri" w:cs="Times New Roman"/>
          <w:sz w:val="24"/>
          <w:szCs w:val="24"/>
          <w:lang w:val="uk-UA"/>
        </w:rPr>
        <w:t xml:space="preserve"> M.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2000</w:t>
      </w:r>
      <w:r w:rsidR="00870E3A" w:rsidRPr="00ED35A9">
        <w:rPr>
          <w:rFonts w:eastAsia="Calibri" w:cs="Times New Roman"/>
          <w:sz w:val="24"/>
          <w:szCs w:val="24"/>
          <w:lang w:val="uk-UA"/>
        </w:rPr>
        <w:t xml:space="preserve">, </w:t>
      </w:r>
      <w:r w:rsidRPr="00ED35A9">
        <w:rPr>
          <w:rFonts w:eastAsia="Calibri" w:cs="Times New Roman"/>
          <w:sz w:val="24"/>
          <w:szCs w:val="24"/>
          <w:lang w:val="uk-UA"/>
        </w:rPr>
        <w:t>4(6):</w:t>
      </w:r>
      <w:r w:rsidR="00870E3A" w:rsidRPr="00ED35A9">
        <w:rPr>
          <w:rFonts w:eastAsia="Calibri" w:cs="Times New Roman"/>
          <w:sz w:val="24"/>
          <w:szCs w:val="24"/>
          <w:lang w:val="uk-UA"/>
        </w:rPr>
        <w:t xml:space="preserve"> </w:t>
      </w:r>
      <w:r w:rsidRPr="00ED35A9">
        <w:rPr>
          <w:rFonts w:eastAsia="Calibri" w:cs="Times New Roman"/>
          <w:sz w:val="24"/>
          <w:szCs w:val="24"/>
          <w:lang w:val="uk-UA"/>
        </w:rPr>
        <w:t>550</w:t>
      </w:r>
      <w:r w:rsidR="00870E3A" w:rsidRPr="00ED35A9">
        <w:rPr>
          <w:rFonts w:eastAsia="Calibri" w:cs="Times New Roman"/>
          <w:sz w:val="24"/>
          <w:szCs w:val="24"/>
          <w:lang w:val="uk-UA"/>
        </w:rPr>
        <w:t>–55</w:t>
      </w:r>
      <w:r w:rsidRPr="00ED35A9">
        <w:rPr>
          <w:rFonts w:eastAsia="Calibri" w:cs="Times New Roman"/>
          <w:sz w:val="24"/>
          <w:szCs w:val="24"/>
          <w:lang w:val="uk-UA"/>
        </w:rPr>
        <w:t xml:space="preserve">4. </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Tandon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Gupta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Tandon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Gupta</w:t>
      </w:r>
      <w:proofErr w:type="spellEnd"/>
      <w:r w:rsidRPr="00ED35A9">
        <w:rPr>
          <w:rFonts w:eastAsia="Calibri" w:cs="Times New Roman"/>
          <w:sz w:val="24"/>
          <w:szCs w:val="24"/>
          <w:lang w:val="uk-UA"/>
        </w:rPr>
        <w:t xml:space="preserve"> KB. DOTS </w:t>
      </w:r>
      <w:proofErr w:type="spellStart"/>
      <w:r w:rsidRPr="00ED35A9">
        <w:rPr>
          <w:rFonts w:eastAsia="Calibri" w:cs="Times New Roman"/>
          <w:sz w:val="24"/>
          <w:szCs w:val="24"/>
          <w:lang w:val="uk-UA"/>
        </w:rPr>
        <w:t>versus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administered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(SAT)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at</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tertiary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Indian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Sci</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2002</w:t>
      </w:r>
      <w:r w:rsidR="00870E3A" w:rsidRPr="00ED35A9">
        <w:rPr>
          <w:rFonts w:eastAsia="Calibri" w:cs="Times New Roman"/>
          <w:sz w:val="24"/>
          <w:szCs w:val="24"/>
          <w:lang w:val="uk-UA"/>
        </w:rPr>
        <w:t xml:space="preserve">, </w:t>
      </w:r>
      <w:r w:rsidRPr="00ED35A9">
        <w:rPr>
          <w:rFonts w:eastAsia="Calibri" w:cs="Times New Roman"/>
          <w:sz w:val="24"/>
          <w:szCs w:val="24"/>
          <w:lang w:val="uk-UA"/>
        </w:rPr>
        <w:t>56(1):</w:t>
      </w:r>
      <w:r w:rsidR="00870E3A" w:rsidRPr="00ED35A9">
        <w:rPr>
          <w:rFonts w:eastAsia="Calibri" w:cs="Times New Roman"/>
          <w:sz w:val="24"/>
          <w:szCs w:val="24"/>
          <w:lang w:val="uk-UA"/>
        </w:rPr>
        <w:t xml:space="preserve"> </w:t>
      </w:r>
      <w:r w:rsidRPr="00ED35A9">
        <w:rPr>
          <w:rFonts w:eastAsia="Calibri" w:cs="Times New Roman"/>
          <w:sz w:val="24"/>
          <w:szCs w:val="24"/>
          <w:lang w:val="uk-UA"/>
        </w:rPr>
        <w:t>19</w:t>
      </w:r>
      <w:r w:rsidR="00870E3A" w:rsidRPr="00ED35A9">
        <w:rPr>
          <w:rFonts w:eastAsia="Calibri" w:cs="Times New Roman"/>
          <w:sz w:val="24"/>
          <w:szCs w:val="24"/>
          <w:lang w:val="uk-UA"/>
        </w:rPr>
        <w:t>–</w:t>
      </w:r>
      <w:r w:rsidRPr="00ED35A9">
        <w:rPr>
          <w:rFonts w:eastAsia="Calibri" w:cs="Times New Roman"/>
          <w:sz w:val="24"/>
          <w:szCs w:val="24"/>
          <w:lang w:val="uk-UA"/>
        </w:rPr>
        <w:t>21.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Akkslip</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Rasmithat</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Maher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Sawert</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family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members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Yasothorn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870E3A" w:rsidRPr="00ED35A9">
        <w:rPr>
          <w:rFonts w:eastAsia="Calibri" w:cs="Times New Roman"/>
          <w:sz w:val="24"/>
          <w:szCs w:val="24"/>
          <w:lang w:val="uk-UA"/>
        </w:rPr>
        <w:t xml:space="preserve">, </w:t>
      </w:r>
      <w:r w:rsidRPr="00ED35A9">
        <w:rPr>
          <w:rFonts w:eastAsia="Calibri" w:cs="Times New Roman"/>
          <w:sz w:val="24"/>
          <w:szCs w:val="24"/>
          <w:lang w:val="uk-UA"/>
        </w:rPr>
        <w:t>1999</w:t>
      </w:r>
      <w:r w:rsidR="00870E3A" w:rsidRPr="00ED35A9">
        <w:rPr>
          <w:rFonts w:eastAsia="Calibri" w:cs="Times New Roman"/>
          <w:sz w:val="24"/>
          <w:szCs w:val="24"/>
          <w:lang w:val="uk-UA"/>
        </w:rPr>
        <w:t xml:space="preserve">, </w:t>
      </w:r>
      <w:r w:rsidRPr="00ED35A9">
        <w:rPr>
          <w:rFonts w:eastAsia="Calibri" w:cs="Times New Roman"/>
          <w:sz w:val="24"/>
          <w:szCs w:val="24"/>
          <w:lang w:val="uk-UA"/>
        </w:rPr>
        <w:t>3(12):</w:t>
      </w:r>
      <w:r w:rsidR="00870E3A" w:rsidRPr="00ED35A9">
        <w:rPr>
          <w:rFonts w:eastAsia="Calibri" w:cs="Times New Roman"/>
          <w:sz w:val="24"/>
          <w:szCs w:val="24"/>
          <w:lang w:val="uk-UA"/>
        </w:rPr>
        <w:t xml:space="preserve"> </w:t>
      </w:r>
      <w:r w:rsidRPr="00ED35A9">
        <w:rPr>
          <w:rFonts w:eastAsia="Calibri" w:cs="Times New Roman"/>
          <w:sz w:val="24"/>
          <w:szCs w:val="24"/>
          <w:lang w:val="uk-UA"/>
        </w:rPr>
        <w:t>1061</w:t>
      </w:r>
      <w:r w:rsidR="00870E3A" w:rsidRPr="00ED35A9">
        <w:rPr>
          <w:rFonts w:eastAsia="Calibri" w:cs="Times New Roman"/>
          <w:sz w:val="24"/>
          <w:szCs w:val="24"/>
          <w:lang w:val="uk-UA"/>
        </w:rPr>
        <w:t>–106</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Balasubramanian</w:t>
      </w:r>
      <w:proofErr w:type="spellEnd"/>
      <w:r w:rsidRPr="00ED35A9">
        <w:rPr>
          <w:rFonts w:eastAsia="Calibri" w:cs="Times New Roman"/>
          <w:sz w:val="24"/>
          <w:szCs w:val="24"/>
          <w:lang w:val="uk-UA"/>
        </w:rPr>
        <w:t xml:space="preserve"> VN, </w:t>
      </w:r>
      <w:proofErr w:type="spellStart"/>
      <w:r w:rsidRPr="00ED35A9">
        <w:rPr>
          <w:rFonts w:eastAsia="Calibri" w:cs="Times New Roman"/>
          <w:sz w:val="24"/>
          <w:szCs w:val="24"/>
          <w:lang w:val="uk-UA"/>
        </w:rPr>
        <w:t>Oommen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Samuel</w:t>
      </w:r>
      <w:proofErr w:type="spellEnd"/>
      <w:r w:rsidRPr="00ED35A9">
        <w:rPr>
          <w:rFonts w:eastAsia="Calibri" w:cs="Times New Roman"/>
          <w:sz w:val="24"/>
          <w:szCs w:val="24"/>
          <w:lang w:val="uk-UA"/>
        </w:rPr>
        <w:t xml:space="preserve"> R. DOT </w:t>
      </w:r>
      <w:proofErr w:type="spellStart"/>
      <w:r w:rsidRPr="00ED35A9">
        <w:rPr>
          <w:rFonts w:eastAsia="Calibri" w:cs="Times New Roman"/>
          <w:sz w:val="24"/>
          <w:szCs w:val="24"/>
          <w:lang w:val="uk-UA"/>
        </w:rPr>
        <w:t>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Kerala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2000</w:t>
      </w:r>
      <w:r w:rsidR="00424572" w:rsidRPr="00ED35A9">
        <w:rPr>
          <w:rFonts w:eastAsia="Calibri" w:cs="Times New Roman"/>
          <w:sz w:val="24"/>
          <w:szCs w:val="24"/>
          <w:lang w:val="uk-UA"/>
        </w:rPr>
        <w:t xml:space="preserve">, </w:t>
      </w:r>
      <w:r w:rsidRPr="00ED35A9">
        <w:rPr>
          <w:rFonts w:eastAsia="Calibri" w:cs="Times New Roman"/>
          <w:sz w:val="24"/>
          <w:szCs w:val="24"/>
          <w:lang w:val="uk-UA"/>
        </w:rPr>
        <w:t>4(5):</w:t>
      </w:r>
      <w:r w:rsidR="00424572" w:rsidRPr="00ED35A9">
        <w:rPr>
          <w:rFonts w:eastAsia="Calibri" w:cs="Times New Roman"/>
          <w:sz w:val="24"/>
          <w:szCs w:val="24"/>
          <w:lang w:val="uk-UA"/>
        </w:rPr>
        <w:t xml:space="preserve"> </w:t>
      </w:r>
      <w:r w:rsidRPr="00ED35A9">
        <w:rPr>
          <w:rFonts w:eastAsia="Calibri" w:cs="Times New Roman"/>
          <w:sz w:val="24"/>
          <w:szCs w:val="24"/>
          <w:lang w:val="uk-UA"/>
        </w:rPr>
        <w:t>409</w:t>
      </w:r>
      <w:r w:rsidR="00424572" w:rsidRPr="00ED35A9">
        <w:rPr>
          <w:rFonts w:eastAsia="Calibri" w:cs="Times New Roman"/>
          <w:sz w:val="24"/>
          <w:szCs w:val="24"/>
          <w:lang w:val="uk-UA"/>
        </w:rPr>
        <w:t>–4</w:t>
      </w:r>
      <w:r w:rsidRPr="00ED35A9">
        <w:rPr>
          <w:rFonts w:eastAsia="Calibri" w:cs="Times New Roman"/>
          <w:sz w:val="24"/>
          <w:szCs w:val="24"/>
          <w:lang w:val="uk-UA"/>
        </w:rPr>
        <w:t>13.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Mathema</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Pande</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Jochem</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Houston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Smith</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Bam</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Nepal</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rapid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assessment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government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centers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different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types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2001</w:t>
      </w:r>
      <w:r w:rsidR="00424572" w:rsidRPr="00ED35A9">
        <w:rPr>
          <w:rFonts w:eastAsia="Calibri" w:cs="Times New Roman"/>
          <w:sz w:val="24"/>
          <w:szCs w:val="24"/>
          <w:lang w:val="uk-UA"/>
        </w:rPr>
        <w:t xml:space="preserve">, </w:t>
      </w:r>
      <w:r w:rsidRPr="00ED35A9">
        <w:rPr>
          <w:rFonts w:eastAsia="Calibri" w:cs="Times New Roman"/>
          <w:sz w:val="24"/>
          <w:szCs w:val="24"/>
          <w:lang w:val="uk-UA"/>
        </w:rPr>
        <w:t>5(10):</w:t>
      </w:r>
      <w:r w:rsidR="00424572" w:rsidRPr="00ED35A9">
        <w:rPr>
          <w:rFonts w:eastAsia="Calibri" w:cs="Times New Roman"/>
          <w:sz w:val="24"/>
          <w:szCs w:val="24"/>
          <w:lang w:val="uk-UA"/>
        </w:rPr>
        <w:t xml:space="preserve"> </w:t>
      </w:r>
      <w:r w:rsidRPr="00ED35A9">
        <w:rPr>
          <w:rFonts w:eastAsia="Calibri" w:cs="Times New Roman"/>
          <w:sz w:val="24"/>
          <w:szCs w:val="24"/>
          <w:lang w:val="uk-UA"/>
        </w:rPr>
        <w:t>912</w:t>
      </w:r>
      <w:r w:rsidR="00424572" w:rsidRPr="00ED35A9">
        <w:rPr>
          <w:rFonts w:eastAsia="Calibri" w:cs="Times New Roman"/>
          <w:sz w:val="24"/>
          <w:szCs w:val="24"/>
          <w:lang w:val="uk-UA"/>
        </w:rPr>
        <w:t>–91</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Ormerod</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Horsfield</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Green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Blackburn</w:t>
      </w:r>
      <w:proofErr w:type="spellEnd"/>
      <w:r w:rsidRPr="00ED35A9">
        <w:rPr>
          <w:rFonts w:eastAsia="Calibri" w:cs="Times New Roman"/>
          <w:sz w:val="24"/>
          <w:szCs w:val="24"/>
          <w:lang w:val="uk-UA"/>
        </w:rPr>
        <w:t xml:space="preserve"> 1988</w:t>
      </w:r>
      <w:r w:rsidR="00424572" w:rsidRPr="00ED35A9">
        <w:rPr>
          <w:rFonts w:eastAsia="Calibri" w:cs="Times New Roman"/>
          <w:sz w:val="24"/>
          <w:szCs w:val="24"/>
          <w:lang w:val="uk-UA"/>
        </w:rPr>
        <w:t>–</w:t>
      </w:r>
      <w:r w:rsidRPr="00ED35A9">
        <w:rPr>
          <w:rFonts w:eastAsia="Calibri" w:cs="Times New Roman"/>
          <w:sz w:val="24"/>
          <w:szCs w:val="24"/>
          <w:lang w:val="uk-UA"/>
        </w:rPr>
        <w:t xml:space="preserve">2000.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2002</w:t>
      </w:r>
      <w:r w:rsidR="00424572" w:rsidRPr="00ED35A9">
        <w:rPr>
          <w:rFonts w:eastAsia="Calibri" w:cs="Times New Roman"/>
          <w:sz w:val="24"/>
          <w:szCs w:val="24"/>
          <w:lang w:val="uk-UA"/>
        </w:rPr>
        <w:t xml:space="preserve">, </w:t>
      </w:r>
      <w:r w:rsidRPr="00ED35A9">
        <w:rPr>
          <w:rFonts w:eastAsia="Calibri" w:cs="Times New Roman"/>
          <w:sz w:val="24"/>
          <w:szCs w:val="24"/>
          <w:lang w:val="uk-UA"/>
        </w:rPr>
        <w:t>6(8):</w:t>
      </w:r>
      <w:r w:rsidR="00424572" w:rsidRPr="00ED35A9">
        <w:rPr>
          <w:rFonts w:eastAsia="Calibri" w:cs="Times New Roman"/>
          <w:sz w:val="24"/>
          <w:szCs w:val="24"/>
          <w:lang w:val="uk-UA"/>
        </w:rPr>
        <w:t xml:space="preserve"> </w:t>
      </w:r>
      <w:r w:rsidRPr="00ED35A9">
        <w:rPr>
          <w:rFonts w:eastAsia="Calibri" w:cs="Times New Roman"/>
          <w:sz w:val="24"/>
          <w:szCs w:val="24"/>
          <w:lang w:val="uk-UA"/>
        </w:rPr>
        <w:t>662</w:t>
      </w:r>
      <w:r w:rsidR="00424572" w:rsidRPr="00ED35A9">
        <w:rPr>
          <w:rFonts w:eastAsia="Calibri" w:cs="Times New Roman"/>
          <w:sz w:val="24"/>
          <w:szCs w:val="24"/>
          <w:lang w:val="uk-UA"/>
        </w:rPr>
        <w:t>–66</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Tsuchida</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Koyanagi</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Yokohama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Japan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2003</w:t>
      </w:r>
      <w:r w:rsidR="00424572" w:rsidRPr="00ED35A9">
        <w:rPr>
          <w:rFonts w:eastAsia="Calibri" w:cs="Times New Roman"/>
          <w:sz w:val="24"/>
          <w:szCs w:val="24"/>
          <w:lang w:val="uk-UA"/>
        </w:rPr>
        <w:t xml:space="preserve">, </w:t>
      </w:r>
      <w:r w:rsidRPr="00ED35A9">
        <w:rPr>
          <w:rFonts w:eastAsia="Calibri" w:cs="Times New Roman"/>
          <w:sz w:val="24"/>
          <w:szCs w:val="24"/>
          <w:lang w:val="uk-UA"/>
        </w:rPr>
        <w:t>7(8):</w:t>
      </w:r>
      <w:r w:rsidR="00424572" w:rsidRPr="00ED35A9">
        <w:rPr>
          <w:rFonts w:eastAsia="Calibri" w:cs="Times New Roman"/>
          <w:sz w:val="24"/>
          <w:szCs w:val="24"/>
          <w:lang w:val="uk-UA"/>
        </w:rPr>
        <w:t xml:space="preserve"> </w:t>
      </w:r>
      <w:r w:rsidRPr="00ED35A9">
        <w:rPr>
          <w:rFonts w:eastAsia="Calibri" w:cs="Times New Roman"/>
          <w:sz w:val="24"/>
          <w:szCs w:val="24"/>
          <w:lang w:val="uk-UA"/>
        </w:rPr>
        <w:t>730</w:t>
      </w:r>
      <w:r w:rsidR="00424572" w:rsidRPr="00ED35A9">
        <w:rPr>
          <w:rFonts w:eastAsia="Calibri" w:cs="Times New Roman"/>
          <w:sz w:val="24"/>
          <w:szCs w:val="24"/>
          <w:lang w:val="uk-UA"/>
        </w:rPr>
        <w:t>–73</w:t>
      </w:r>
      <w:r w:rsidRPr="00ED35A9">
        <w:rPr>
          <w:rFonts w:eastAsia="Calibri" w:cs="Times New Roman"/>
          <w:sz w:val="24"/>
          <w:szCs w:val="24"/>
          <w:lang w:val="uk-UA"/>
        </w:rPr>
        <w:t>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Nirupa</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Sudha</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Santha</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Ponnuraja</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Fathima</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Chandrasekaran</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providers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Programme</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Indian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2005</w:t>
      </w:r>
      <w:r w:rsidR="00424572" w:rsidRPr="00ED35A9">
        <w:rPr>
          <w:rFonts w:eastAsia="Calibri" w:cs="Times New Roman"/>
          <w:sz w:val="24"/>
          <w:szCs w:val="24"/>
          <w:lang w:val="uk-UA"/>
        </w:rPr>
        <w:t xml:space="preserve">, </w:t>
      </w:r>
      <w:r w:rsidRPr="00ED35A9">
        <w:rPr>
          <w:rFonts w:eastAsia="Calibri" w:cs="Times New Roman"/>
          <w:sz w:val="24"/>
          <w:szCs w:val="24"/>
          <w:lang w:val="uk-UA"/>
        </w:rPr>
        <w:t>52(2):</w:t>
      </w:r>
      <w:r w:rsidR="00424572" w:rsidRPr="00ED35A9">
        <w:rPr>
          <w:rFonts w:eastAsia="Calibri" w:cs="Times New Roman"/>
          <w:sz w:val="24"/>
          <w:szCs w:val="24"/>
          <w:lang w:val="uk-UA"/>
        </w:rPr>
        <w:t xml:space="preserve"> </w:t>
      </w:r>
      <w:r w:rsidRPr="00ED35A9">
        <w:rPr>
          <w:rFonts w:eastAsia="Calibri" w:cs="Times New Roman"/>
          <w:sz w:val="24"/>
          <w:szCs w:val="24"/>
          <w:lang w:val="uk-UA"/>
        </w:rPr>
        <w:t>73</w:t>
      </w:r>
      <w:r w:rsidR="00424572" w:rsidRPr="00ED35A9">
        <w:rPr>
          <w:rFonts w:eastAsia="Calibri" w:cs="Times New Roman"/>
          <w:sz w:val="24"/>
          <w:szCs w:val="24"/>
          <w:lang w:val="uk-UA"/>
        </w:rPr>
        <w:t>–7</w:t>
      </w:r>
      <w:r w:rsidRPr="00ED35A9">
        <w:rPr>
          <w:rFonts w:eastAsia="Calibri" w:cs="Times New Roman"/>
          <w:sz w:val="24"/>
          <w:szCs w:val="24"/>
          <w:lang w:val="uk-UA"/>
        </w:rPr>
        <w:t>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Daniel</w:t>
      </w:r>
      <w:proofErr w:type="spellEnd"/>
      <w:r w:rsidRPr="00ED35A9">
        <w:rPr>
          <w:rFonts w:eastAsia="Calibri" w:cs="Times New Roman"/>
          <w:sz w:val="24"/>
          <w:szCs w:val="24"/>
          <w:lang w:val="uk-UA"/>
        </w:rPr>
        <w:t xml:space="preserve"> </w:t>
      </w:r>
      <w:r w:rsidR="00424572" w:rsidRPr="00ED35A9">
        <w:rPr>
          <w:rFonts w:eastAsia="Calibri" w:cs="Times New Roman"/>
          <w:sz w:val="24"/>
          <w:szCs w:val="24"/>
          <w:lang w:val="uk-UA"/>
        </w:rPr>
        <w:t>OJ.</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post-directly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era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TB: a </w:t>
      </w:r>
      <w:proofErr w:type="spellStart"/>
      <w:r w:rsidRPr="00ED35A9">
        <w:rPr>
          <w:rFonts w:eastAsia="Calibri" w:cs="Times New Roman"/>
          <w:sz w:val="24"/>
          <w:szCs w:val="24"/>
          <w:lang w:val="uk-UA"/>
        </w:rPr>
        <w:t>teaching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experience</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Doct</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2006</w:t>
      </w:r>
      <w:r w:rsidR="00424572" w:rsidRPr="00ED35A9">
        <w:rPr>
          <w:rFonts w:eastAsia="Calibri" w:cs="Times New Roman"/>
          <w:sz w:val="24"/>
          <w:szCs w:val="24"/>
          <w:lang w:val="uk-UA"/>
        </w:rPr>
        <w:t xml:space="preserve">, </w:t>
      </w:r>
      <w:r w:rsidRPr="00ED35A9">
        <w:rPr>
          <w:rFonts w:eastAsia="Calibri" w:cs="Times New Roman"/>
          <w:sz w:val="24"/>
          <w:szCs w:val="24"/>
          <w:lang w:val="uk-UA"/>
        </w:rPr>
        <w:t>36(3):</w:t>
      </w:r>
      <w:r w:rsidR="00424572" w:rsidRPr="00ED35A9">
        <w:rPr>
          <w:rFonts w:eastAsia="Calibri" w:cs="Times New Roman"/>
          <w:sz w:val="24"/>
          <w:szCs w:val="24"/>
          <w:lang w:val="uk-UA"/>
        </w:rPr>
        <w:t xml:space="preserve"> </w:t>
      </w:r>
      <w:r w:rsidRPr="00ED35A9">
        <w:rPr>
          <w:rFonts w:eastAsia="Calibri" w:cs="Times New Roman"/>
          <w:sz w:val="24"/>
          <w:szCs w:val="24"/>
          <w:lang w:val="uk-UA"/>
        </w:rPr>
        <w:t>163</w:t>
      </w:r>
      <w:r w:rsidR="00424572" w:rsidRPr="00ED35A9">
        <w:rPr>
          <w:rFonts w:eastAsia="Calibri" w:cs="Times New Roman"/>
          <w:sz w:val="24"/>
          <w:szCs w:val="24"/>
          <w:lang w:val="uk-UA"/>
        </w:rPr>
        <w:t>–16</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Okanurak</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Kitayaporn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Wanarangsikul</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Koompong</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DOT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prospective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Bangkok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2007</w:t>
      </w:r>
      <w:r w:rsidR="00424572" w:rsidRPr="00ED35A9">
        <w:rPr>
          <w:rFonts w:eastAsia="Calibri" w:cs="Times New Roman"/>
          <w:sz w:val="24"/>
          <w:szCs w:val="24"/>
          <w:lang w:val="uk-UA"/>
        </w:rPr>
        <w:t>, 11</w:t>
      </w:r>
      <w:r w:rsidRPr="00ED35A9">
        <w:rPr>
          <w:rFonts w:eastAsia="Calibri" w:cs="Times New Roman"/>
          <w:sz w:val="24"/>
          <w:szCs w:val="24"/>
          <w:lang w:val="uk-UA"/>
        </w:rPr>
        <w:t>(7):</w:t>
      </w:r>
      <w:r w:rsidR="00424572" w:rsidRPr="00ED35A9">
        <w:rPr>
          <w:rFonts w:eastAsia="Calibri" w:cs="Times New Roman"/>
          <w:sz w:val="24"/>
          <w:szCs w:val="24"/>
          <w:lang w:val="uk-UA"/>
        </w:rPr>
        <w:t xml:space="preserve"> </w:t>
      </w:r>
      <w:r w:rsidRPr="00ED35A9">
        <w:rPr>
          <w:rFonts w:eastAsia="Calibri" w:cs="Times New Roman"/>
          <w:sz w:val="24"/>
          <w:szCs w:val="24"/>
          <w:lang w:val="uk-UA"/>
        </w:rPr>
        <w:t>762</w:t>
      </w:r>
      <w:r w:rsidR="00424572" w:rsidRPr="00ED35A9">
        <w:rPr>
          <w:rFonts w:eastAsia="Calibri" w:cs="Times New Roman"/>
          <w:sz w:val="24"/>
          <w:szCs w:val="24"/>
          <w:lang w:val="uk-UA"/>
        </w:rPr>
        <w:t>–76</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Abassi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Mansourian</w:t>
      </w:r>
      <w:proofErr w:type="spellEnd"/>
      <w:r w:rsidRPr="00ED35A9">
        <w:rPr>
          <w:rFonts w:eastAsia="Calibri" w:cs="Times New Roman"/>
          <w:sz w:val="24"/>
          <w:szCs w:val="24"/>
          <w:lang w:val="uk-UA"/>
        </w:rPr>
        <w:t xml:space="preserve"> AR. </w:t>
      </w: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respiratory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Gorgan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Islamic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Republic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Iran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East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Mediterr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J</w:t>
      </w:r>
      <w:r w:rsidR="00424572" w:rsidRPr="00ED35A9">
        <w:rPr>
          <w:rFonts w:eastAsia="Calibri" w:cs="Times New Roman"/>
          <w:sz w:val="24"/>
          <w:szCs w:val="24"/>
          <w:lang w:val="uk-UA"/>
        </w:rPr>
        <w:t xml:space="preserve">, </w:t>
      </w:r>
      <w:r w:rsidRPr="00ED35A9">
        <w:rPr>
          <w:rFonts w:eastAsia="Calibri" w:cs="Times New Roman"/>
          <w:sz w:val="24"/>
          <w:szCs w:val="24"/>
          <w:lang w:val="uk-UA"/>
        </w:rPr>
        <w:t>2007</w:t>
      </w:r>
      <w:r w:rsidR="00424572" w:rsidRPr="00ED35A9">
        <w:rPr>
          <w:rFonts w:eastAsia="Calibri" w:cs="Times New Roman"/>
          <w:sz w:val="24"/>
          <w:szCs w:val="24"/>
          <w:lang w:val="uk-UA"/>
        </w:rPr>
        <w:t xml:space="preserve">, </w:t>
      </w:r>
      <w:r w:rsidRPr="00ED35A9">
        <w:rPr>
          <w:rFonts w:eastAsia="Calibri" w:cs="Times New Roman"/>
          <w:sz w:val="24"/>
          <w:szCs w:val="24"/>
          <w:lang w:val="uk-UA"/>
        </w:rPr>
        <w:t>13(3):</w:t>
      </w:r>
      <w:r w:rsidR="00424572" w:rsidRPr="00ED35A9">
        <w:rPr>
          <w:rFonts w:eastAsia="Calibri" w:cs="Times New Roman"/>
          <w:sz w:val="24"/>
          <w:szCs w:val="24"/>
          <w:lang w:val="uk-UA"/>
        </w:rPr>
        <w:t xml:space="preserve"> </w:t>
      </w:r>
      <w:r w:rsidRPr="00ED35A9">
        <w:rPr>
          <w:rFonts w:eastAsia="Calibri" w:cs="Times New Roman"/>
          <w:sz w:val="24"/>
          <w:szCs w:val="24"/>
          <w:lang w:val="uk-UA"/>
        </w:rPr>
        <w:t>664</w:t>
      </w:r>
      <w:r w:rsidR="00424572" w:rsidRPr="00ED35A9">
        <w:rPr>
          <w:rFonts w:eastAsia="Calibri" w:cs="Times New Roman"/>
          <w:sz w:val="24"/>
          <w:szCs w:val="24"/>
          <w:lang w:val="uk-UA"/>
        </w:rPr>
        <w:t>–66</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Siemion-Szczesniak</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Kus</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culture-positive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Adv</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2009</w:t>
      </w:r>
      <w:r w:rsidR="00424572" w:rsidRPr="00ED35A9">
        <w:rPr>
          <w:rFonts w:eastAsia="Calibri" w:cs="Times New Roman"/>
          <w:sz w:val="24"/>
          <w:szCs w:val="24"/>
          <w:lang w:val="uk-UA"/>
        </w:rPr>
        <w:t xml:space="preserve">, </w:t>
      </w:r>
      <w:r w:rsidRPr="00ED35A9">
        <w:rPr>
          <w:rFonts w:eastAsia="Calibri" w:cs="Times New Roman"/>
          <w:sz w:val="24"/>
          <w:szCs w:val="24"/>
          <w:lang w:val="uk-UA"/>
        </w:rPr>
        <w:t>77(</w:t>
      </w:r>
      <w:r w:rsidR="00424572" w:rsidRPr="00ED35A9">
        <w:rPr>
          <w:rFonts w:eastAsia="Calibri" w:cs="Times New Roman"/>
          <w:sz w:val="24"/>
          <w:szCs w:val="24"/>
          <w:lang w:val="uk-UA"/>
        </w:rPr>
        <w:t>1</w:t>
      </w:r>
      <w:r w:rsidRPr="00ED35A9">
        <w:rPr>
          <w:rFonts w:eastAsia="Calibri" w:cs="Times New Roman"/>
          <w:sz w:val="24"/>
          <w:szCs w:val="24"/>
          <w:lang w:val="uk-UA"/>
        </w:rPr>
        <w:t>):</w:t>
      </w:r>
      <w:r w:rsidR="00424572" w:rsidRPr="00ED35A9">
        <w:rPr>
          <w:rFonts w:eastAsia="Calibri" w:cs="Times New Roman"/>
          <w:sz w:val="24"/>
          <w:szCs w:val="24"/>
          <w:lang w:val="uk-UA"/>
        </w:rPr>
        <w:t xml:space="preserve"> 11–</w:t>
      </w:r>
      <w:r w:rsidRPr="00ED35A9">
        <w:rPr>
          <w:rFonts w:eastAsia="Calibri" w:cs="Times New Roman"/>
          <w:sz w:val="24"/>
          <w:szCs w:val="24"/>
          <w:lang w:val="uk-UA"/>
        </w:rPr>
        <w:t>22.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Cayla</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Rodrigo</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Ruiz-Manzano</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Caminero</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Vidal</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Garda</w:t>
      </w:r>
      <w:proofErr w:type="spellEnd"/>
      <w:r w:rsidRPr="00ED35A9">
        <w:rPr>
          <w:rFonts w:eastAsia="Calibri" w:cs="Times New Roman"/>
          <w:sz w:val="24"/>
          <w:szCs w:val="24"/>
          <w:lang w:val="uk-UA"/>
        </w:rPr>
        <w:t xml:space="preserve"> JM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fatality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Spain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2009</w:t>
      </w:r>
      <w:r w:rsidR="00424572" w:rsidRPr="00ED35A9">
        <w:rPr>
          <w:rFonts w:eastAsia="Calibri" w:cs="Times New Roman"/>
          <w:sz w:val="24"/>
          <w:szCs w:val="24"/>
          <w:lang w:val="uk-UA"/>
        </w:rPr>
        <w:t xml:space="preserve">, </w:t>
      </w:r>
      <w:r w:rsidRPr="00ED35A9">
        <w:rPr>
          <w:rFonts w:eastAsia="Calibri" w:cs="Times New Roman"/>
          <w:sz w:val="24"/>
          <w:szCs w:val="24"/>
          <w:lang w:val="uk-UA"/>
        </w:rPr>
        <w:t>10(1):</w:t>
      </w:r>
      <w:r w:rsidR="00424572" w:rsidRPr="00ED35A9">
        <w:rPr>
          <w:rFonts w:eastAsia="Calibri" w:cs="Times New Roman"/>
          <w:sz w:val="24"/>
          <w:szCs w:val="24"/>
          <w:lang w:val="uk-UA"/>
        </w:rPr>
        <w:t xml:space="preserve"> </w:t>
      </w:r>
      <w:r w:rsidRPr="00ED35A9">
        <w:rPr>
          <w:rFonts w:eastAsia="Calibri" w:cs="Times New Roman"/>
          <w:sz w:val="24"/>
          <w:szCs w:val="24"/>
          <w:lang w:val="uk-UA"/>
        </w:rPr>
        <w:t>121.</w:t>
      </w:r>
    </w:p>
    <w:p w:rsidR="004B5B7F" w:rsidRPr="00ED35A9" w:rsidRDefault="004B5B7F" w:rsidP="00561CCA">
      <w:pPr>
        <w:pStyle w:val="a7"/>
        <w:numPr>
          <w:ilvl w:val="0"/>
          <w:numId w:val="3"/>
        </w:numPr>
        <w:spacing w:after="120"/>
        <w:ind w:left="567" w:hanging="567"/>
        <w:contextualSpacing w:val="0"/>
        <w:rPr>
          <w:rFonts w:eastAsia="Calibri" w:cs="Times New Roman"/>
          <w:spacing w:val="-2"/>
          <w:sz w:val="24"/>
          <w:szCs w:val="24"/>
          <w:lang w:val="uk-UA"/>
        </w:rPr>
      </w:pPr>
      <w:proofErr w:type="spellStart"/>
      <w:r w:rsidRPr="00ED35A9">
        <w:rPr>
          <w:rFonts w:eastAsia="Calibri" w:cs="Times New Roman"/>
          <w:spacing w:val="-2"/>
          <w:sz w:val="24"/>
          <w:szCs w:val="24"/>
          <w:lang w:val="uk-UA"/>
        </w:rPr>
        <w:t>Zvavamwe</w:t>
      </w:r>
      <w:proofErr w:type="spellEnd"/>
      <w:r w:rsidRPr="00ED35A9">
        <w:rPr>
          <w:rFonts w:eastAsia="Calibri" w:cs="Times New Roman"/>
          <w:spacing w:val="-2"/>
          <w:sz w:val="24"/>
          <w:szCs w:val="24"/>
          <w:lang w:val="uk-UA"/>
        </w:rPr>
        <w:t xml:space="preserve"> Z, </w:t>
      </w:r>
      <w:proofErr w:type="spellStart"/>
      <w:r w:rsidRPr="00ED35A9">
        <w:rPr>
          <w:rFonts w:eastAsia="Calibri" w:cs="Times New Roman"/>
          <w:spacing w:val="-2"/>
          <w:sz w:val="24"/>
          <w:szCs w:val="24"/>
          <w:lang w:val="uk-UA"/>
        </w:rPr>
        <w:t>Ehlers</w:t>
      </w:r>
      <w:proofErr w:type="spellEnd"/>
      <w:r w:rsidRPr="00ED35A9">
        <w:rPr>
          <w:rFonts w:eastAsia="Calibri" w:cs="Times New Roman"/>
          <w:spacing w:val="-2"/>
          <w:sz w:val="24"/>
          <w:szCs w:val="24"/>
          <w:lang w:val="uk-UA"/>
        </w:rPr>
        <w:t xml:space="preserve"> VJ. </w:t>
      </w:r>
      <w:proofErr w:type="spellStart"/>
      <w:r w:rsidRPr="00ED35A9">
        <w:rPr>
          <w:rFonts w:eastAsia="Calibri" w:cs="Times New Roman"/>
          <w:spacing w:val="-2"/>
          <w:sz w:val="24"/>
          <w:szCs w:val="24"/>
          <w:lang w:val="uk-UA"/>
        </w:rPr>
        <w:t>Experiences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a </w:t>
      </w:r>
      <w:proofErr w:type="spellStart"/>
      <w:r w:rsidRPr="00ED35A9">
        <w:rPr>
          <w:rFonts w:eastAsia="Calibri" w:cs="Times New Roman"/>
          <w:spacing w:val="-2"/>
          <w:sz w:val="24"/>
          <w:szCs w:val="24"/>
          <w:lang w:val="uk-UA"/>
        </w:rPr>
        <w:t>community-based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tuberculosis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treatment</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programme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in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Namibia</w:t>
      </w:r>
      <w:proofErr w:type="spellEnd"/>
      <w:r w:rsidRPr="00ED35A9">
        <w:rPr>
          <w:rFonts w:eastAsia="Calibri" w:cs="Times New Roman"/>
          <w:spacing w:val="-2"/>
          <w:sz w:val="24"/>
          <w:szCs w:val="24"/>
          <w:lang w:val="uk-UA"/>
        </w:rPr>
        <w:t xml:space="preserve">: a </w:t>
      </w:r>
      <w:proofErr w:type="spellStart"/>
      <w:r w:rsidRPr="00ED35A9">
        <w:rPr>
          <w:rFonts w:eastAsia="Calibri" w:cs="Times New Roman"/>
          <w:spacing w:val="-2"/>
          <w:sz w:val="24"/>
          <w:szCs w:val="24"/>
          <w:lang w:val="uk-UA"/>
        </w:rPr>
        <w:t>comparative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cohort</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study</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i/>
          <w:spacing w:val="-2"/>
          <w:sz w:val="24"/>
          <w:szCs w:val="24"/>
          <w:lang w:val="uk-UA"/>
        </w:rPr>
        <w:t>Int</w:t>
      </w:r>
      <w:proofErr w:type="spellEnd"/>
      <w:r w:rsidRPr="00ED35A9">
        <w:rPr>
          <w:rFonts w:eastAsia="Calibri" w:cs="Times New Roman"/>
          <w:i/>
          <w:spacing w:val="-2"/>
          <w:sz w:val="24"/>
          <w:szCs w:val="24"/>
          <w:lang w:val="uk-UA"/>
        </w:rPr>
        <w:t xml:space="preserve"> J </w:t>
      </w:r>
      <w:proofErr w:type="spellStart"/>
      <w:r w:rsidRPr="00ED35A9">
        <w:rPr>
          <w:rFonts w:eastAsia="Calibri" w:cs="Times New Roman"/>
          <w:i/>
          <w:spacing w:val="-2"/>
          <w:sz w:val="24"/>
          <w:szCs w:val="24"/>
          <w:lang w:val="uk-UA"/>
        </w:rPr>
        <w:t>Nurs</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Stud</w:t>
      </w:r>
      <w:proofErr w:type="spellEnd"/>
      <w:r w:rsidR="00424572"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2009</w:t>
      </w:r>
      <w:r w:rsidR="00424572"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46(3):</w:t>
      </w:r>
      <w:r w:rsidR="00424572"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302</w:t>
      </w:r>
      <w:r w:rsidR="00424572" w:rsidRPr="00ED35A9">
        <w:rPr>
          <w:rFonts w:eastAsia="Calibri" w:cs="Times New Roman"/>
          <w:spacing w:val="-2"/>
          <w:sz w:val="24"/>
          <w:szCs w:val="24"/>
          <w:lang w:val="uk-UA"/>
        </w:rPr>
        <w:t>–30</w:t>
      </w:r>
      <w:r w:rsidRPr="00ED35A9">
        <w:rPr>
          <w:rFonts w:eastAsia="Calibri" w:cs="Times New Roman"/>
          <w:spacing w:val="-2"/>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Xu</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Lu</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Zhou</w:t>
      </w:r>
      <w:proofErr w:type="spellEnd"/>
      <w:r w:rsidRPr="00ED35A9">
        <w:rPr>
          <w:rFonts w:eastAsia="Calibri" w:cs="Times New Roman"/>
          <w:sz w:val="24"/>
          <w:szCs w:val="24"/>
          <w:lang w:val="uk-UA"/>
        </w:rPr>
        <w:t xml:space="preserve"> Y, </w:t>
      </w:r>
      <w:proofErr w:type="spellStart"/>
      <w:r w:rsidRPr="00ED35A9">
        <w:rPr>
          <w:rFonts w:eastAsia="Calibri" w:cs="Times New Roman"/>
          <w:sz w:val="24"/>
          <w:szCs w:val="24"/>
          <w:lang w:val="uk-UA"/>
        </w:rPr>
        <w:t>Zhu</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Shen</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Wang</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qualitative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quantitative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Serv</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2009</w:t>
      </w:r>
      <w:r w:rsidR="00424572" w:rsidRPr="00ED35A9">
        <w:rPr>
          <w:rFonts w:eastAsia="Calibri" w:cs="Times New Roman"/>
          <w:sz w:val="24"/>
          <w:szCs w:val="24"/>
          <w:lang w:val="uk-UA"/>
        </w:rPr>
        <w:t xml:space="preserve">, </w:t>
      </w:r>
      <w:r w:rsidRPr="00ED35A9">
        <w:rPr>
          <w:rFonts w:eastAsia="Calibri" w:cs="Times New Roman"/>
          <w:sz w:val="24"/>
          <w:szCs w:val="24"/>
          <w:lang w:val="uk-UA"/>
        </w:rPr>
        <w:t>9(</w:t>
      </w:r>
      <w:r w:rsidR="00424572" w:rsidRPr="00ED35A9">
        <w:rPr>
          <w:rFonts w:eastAsia="Calibri" w:cs="Times New Roman"/>
          <w:sz w:val="24"/>
          <w:szCs w:val="24"/>
          <w:lang w:val="uk-UA"/>
        </w:rPr>
        <w:t>1</w:t>
      </w:r>
      <w:r w:rsidRPr="00ED35A9">
        <w:rPr>
          <w:rFonts w:eastAsia="Calibri" w:cs="Times New Roman"/>
          <w:sz w:val="24"/>
          <w:szCs w:val="24"/>
          <w:lang w:val="uk-UA"/>
        </w:rPr>
        <w:t>):</w:t>
      </w:r>
      <w:r w:rsidR="00424572" w:rsidRPr="00ED35A9">
        <w:rPr>
          <w:rFonts w:eastAsia="Calibri" w:cs="Times New Roman"/>
          <w:sz w:val="24"/>
          <w:szCs w:val="24"/>
          <w:lang w:val="uk-UA"/>
        </w:rPr>
        <w:t xml:space="preserve"> </w:t>
      </w:r>
      <w:r w:rsidRPr="00ED35A9">
        <w:rPr>
          <w:rFonts w:eastAsia="Calibri" w:cs="Times New Roman"/>
          <w:sz w:val="24"/>
          <w:szCs w:val="24"/>
          <w:lang w:val="uk-UA"/>
        </w:rPr>
        <w:t>169.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Abuaku</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Tan</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Li</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Chen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Huang</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death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Hunan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China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Scand</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2010</w:t>
      </w:r>
      <w:r w:rsidR="00424572" w:rsidRPr="00ED35A9">
        <w:rPr>
          <w:rFonts w:eastAsia="Calibri" w:cs="Times New Roman"/>
          <w:sz w:val="24"/>
          <w:szCs w:val="24"/>
          <w:lang w:val="uk-UA"/>
        </w:rPr>
        <w:t xml:space="preserve">, </w:t>
      </w:r>
      <w:r w:rsidRPr="00ED35A9">
        <w:rPr>
          <w:rFonts w:eastAsia="Calibri" w:cs="Times New Roman"/>
          <w:sz w:val="24"/>
          <w:szCs w:val="24"/>
          <w:lang w:val="uk-UA"/>
        </w:rPr>
        <w:t>42(4):</w:t>
      </w:r>
      <w:r w:rsidR="00424572" w:rsidRPr="00ED35A9">
        <w:rPr>
          <w:rFonts w:eastAsia="Calibri" w:cs="Times New Roman"/>
          <w:sz w:val="24"/>
          <w:szCs w:val="24"/>
          <w:lang w:val="uk-UA"/>
        </w:rPr>
        <w:t xml:space="preserve"> </w:t>
      </w:r>
      <w:r w:rsidRPr="00ED35A9">
        <w:rPr>
          <w:rFonts w:eastAsia="Calibri" w:cs="Times New Roman"/>
          <w:sz w:val="24"/>
          <w:szCs w:val="24"/>
          <w:lang w:val="uk-UA"/>
        </w:rPr>
        <w:t>281</w:t>
      </w:r>
      <w:r w:rsidR="00424572" w:rsidRPr="00ED35A9">
        <w:rPr>
          <w:rFonts w:eastAsia="Calibri" w:cs="Times New Roman"/>
          <w:sz w:val="24"/>
          <w:szCs w:val="24"/>
          <w:lang w:val="uk-UA"/>
        </w:rPr>
        <w:t>–28</w:t>
      </w:r>
      <w:r w:rsidRPr="00ED35A9">
        <w:rPr>
          <w:rFonts w:eastAsia="Calibri" w:cs="Times New Roman"/>
          <w:sz w:val="24"/>
          <w:szCs w:val="24"/>
          <w:lang w:val="uk-UA"/>
        </w:rPr>
        <w:t>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Ershova</w:t>
      </w:r>
      <w:proofErr w:type="spellEnd"/>
      <w:r w:rsidRPr="00ED35A9">
        <w:rPr>
          <w:rFonts w:eastAsia="Calibri" w:cs="Times New Roman"/>
          <w:sz w:val="24"/>
          <w:szCs w:val="24"/>
          <w:lang w:val="uk-UA"/>
        </w:rPr>
        <w:t xml:space="preserve"> JV, </w:t>
      </w:r>
      <w:proofErr w:type="spellStart"/>
      <w:r w:rsidRPr="00ED35A9">
        <w:rPr>
          <w:rFonts w:eastAsia="Calibri" w:cs="Times New Roman"/>
          <w:sz w:val="24"/>
          <w:szCs w:val="24"/>
          <w:lang w:val="uk-UA"/>
        </w:rPr>
        <w:t>Podewils</w:t>
      </w:r>
      <w:proofErr w:type="spellEnd"/>
      <w:r w:rsidRPr="00ED35A9">
        <w:rPr>
          <w:rFonts w:eastAsia="Calibri" w:cs="Times New Roman"/>
          <w:sz w:val="24"/>
          <w:szCs w:val="24"/>
          <w:lang w:val="uk-UA"/>
        </w:rPr>
        <w:t xml:space="preserve"> LJ, </w:t>
      </w:r>
      <w:proofErr w:type="spellStart"/>
      <w:r w:rsidRPr="00ED35A9">
        <w:rPr>
          <w:rFonts w:eastAsia="Calibri" w:cs="Times New Roman"/>
          <w:sz w:val="24"/>
          <w:szCs w:val="24"/>
          <w:lang w:val="uk-UA"/>
        </w:rPr>
        <w:t>Bronner</w:t>
      </w:r>
      <w:proofErr w:type="spellEnd"/>
      <w:r w:rsidRPr="00ED35A9">
        <w:rPr>
          <w:rFonts w:eastAsia="Calibri" w:cs="Times New Roman"/>
          <w:sz w:val="24"/>
          <w:szCs w:val="24"/>
          <w:lang w:val="uk-UA"/>
        </w:rPr>
        <w:t xml:space="preserve"> LE, </w:t>
      </w:r>
      <w:proofErr w:type="spellStart"/>
      <w:r w:rsidRPr="00ED35A9">
        <w:rPr>
          <w:rFonts w:eastAsia="Calibri" w:cs="Times New Roman"/>
          <w:sz w:val="24"/>
          <w:szCs w:val="24"/>
          <w:lang w:val="uk-UA"/>
        </w:rPr>
        <w:t>Stockwell</w:t>
      </w:r>
      <w:proofErr w:type="spellEnd"/>
      <w:r w:rsidRPr="00ED35A9">
        <w:rPr>
          <w:rFonts w:eastAsia="Calibri" w:cs="Times New Roman"/>
          <w:sz w:val="24"/>
          <w:szCs w:val="24"/>
          <w:lang w:val="uk-UA"/>
        </w:rPr>
        <w:t xml:space="preserve"> HG, </w:t>
      </w:r>
      <w:proofErr w:type="spellStart"/>
      <w:r w:rsidRPr="00ED35A9">
        <w:rPr>
          <w:rFonts w:eastAsia="Calibri" w:cs="Times New Roman"/>
          <w:sz w:val="24"/>
          <w:szCs w:val="24"/>
          <w:lang w:val="uk-UA"/>
        </w:rPr>
        <w:t>Dlamini</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Mametja</w:t>
      </w:r>
      <w:proofErr w:type="spellEnd"/>
      <w:r w:rsidRPr="00ED35A9">
        <w:rPr>
          <w:rFonts w:eastAsia="Calibri" w:cs="Times New Roman"/>
          <w:sz w:val="24"/>
          <w:szCs w:val="24"/>
          <w:lang w:val="uk-UA"/>
        </w:rPr>
        <w:t xml:space="preserve"> LD.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guidelines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three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provinces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S </w:t>
      </w:r>
      <w:proofErr w:type="spellStart"/>
      <w:r w:rsidRPr="00ED35A9">
        <w:rPr>
          <w:rFonts w:eastAsia="Calibri" w:cs="Times New Roman"/>
          <w:i/>
          <w:sz w:val="24"/>
          <w:szCs w:val="24"/>
          <w:lang w:val="uk-UA"/>
        </w:rPr>
        <w:t>Afr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J</w:t>
      </w:r>
      <w:r w:rsidR="00424572" w:rsidRPr="00ED35A9">
        <w:rPr>
          <w:rFonts w:eastAsia="Calibri" w:cs="Times New Roman"/>
          <w:sz w:val="24"/>
          <w:szCs w:val="24"/>
          <w:lang w:val="uk-UA"/>
        </w:rPr>
        <w:t xml:space="preserve">, </w:t>
      </w:r>
      <w:r w:rsidRPr="00ED35A9">
        <w:rPr>
          <w:rFonts w:eastAsia="Calibri" w:cs="Times New Roman"/>
          <w:sz w:val="24"/>
          <w:szCs w:val="24"/>
          <w:lang w:val="uk-UA"/>
        </w:rPr>
        <w:t>2014</w:t>
      </w:r>
      <w:r w:rsidR="00424572" w:rsidRPr="00ED35A9">
        <w:rPr>
          <w:rFonts w:eastAsia="Calibri" w:cs="Times New Roman"/>
          <w:sz w:val="24"/>
          <w:szCs w:val="24"/>
          <w:lang w:val="uk-UA"/>
        </w:rPr>
        <w:t xml:space="preserve">, </w:t>
      </w:r>
      <w:r w:rsidRPr="00ED35A9">
        <w:rPr>
          <w:rFonts w:eastAsia="Calibri" w:cs="Times New Roman"/>
          <w:sz w:val="24"/>
          <w:szCs w:val="24"/>
          <w:lang w:val="uk-UA"/>
        </w:rPr>
        <w:t>104(5):</w:t>
      </w:r>
      <w:r w:rsidR="00424572" w:rsidRPr="00ED35A9">
        <w:rPr>
          <w:rFonts w:eastAsia="Calibri" w:cs="Times New Roman"/>
          <w:sz w:val="24"/>
          <w:szCs w:val="24"/>
          <w:lang w:val="uk-UA"/>
        </w:rPr>
        <w:t xml:space="preserve"> </w:t>
      </w:r>
      <w:r w:rsidRPr="00ED35A9">
        <w:rPr>
          <w:rFonts w:eastAsia="Calibri" w:cs="Times New Roman"/>
          <w:sz w:val="24"/>
          <w:szCs w:val="24"/>
          <w:lang w:val="uk-UA"/>
        </w:rPr>
        <w:t>362</w:t>
      </w:r>
      <w:r w:rsidR="00424572" w:rsidRPr="00ED35A9">
        <w:rPr>
          <w:rFonts w:eastAsia="Calibri" w:cs="Times New Roman"/>
          <w:sz w:val="24"/>
          <w:szCs w:val="24"/>
          <w:lang w:val="uk-UA"/>
        </w:rPr>
        <w:t>–36</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Weis</w:t>
      </w:r>
      <w:proofErr w:type="spellEnd"/>
      <w:r w:rsidRPr="00ED35A9">
        <w:rPr>
          <w:rFonts w:eastAsia="Calibri" w:cs="Times New Roman"/>
          <w:sz w:val="24"/>
          <w:szCs w:val="24"/>
          <w:lang w:val="uk-UA"/>
        </w:rPr>
        <w:t xml:space="preserve"> SE, </w:t>
      </w:r>
      <w:proofErr w:type="spellStart"/>
      <w:r w:rsidRPr="00ED35A9">
        <w:rPr>
          <w:rFonts w:eastAsia="Calibri" w:cs="Times New Roman"/>
          <w:sz w:val="24"/>
          <w:szCs w:val="24"/>
          <w:lang w:val="uk-UA"/>
        </w:rPr>
        <w:t>Slocum</w:t>
      </w:r>
      <w:proofErr w:type="spellEnd"/>
      <w:r w:rsidRPr="00ED35A9">
        <w:rPr>
          <w:rFonts w:eastAsia="Calibri" w:cs="Times New Roman"/>
          <w:sz w:val="24"/>
          <w:szCs w:val="24"/>
          <w:lang w:val="uk-UA"/>
        </w:rPr>
        <w:t xml:space="preserve"> PC, </w:t>
      </w:r>
      <w:proofErr w:type="spellStart"/>
      <w:r w:rsidRPr="00ED35A9">
        <w:rPr>
          <w:rFonts w:eastAsia="Calibri" w:cs="Times New Roman"/>
          <w:sz w:val="24"/>
          <w:szCs w:val="24"/>
          <w:lang w:val="uk-UA"/>
        </w:rPr>
        <w:t>Blais</w:t>
      </w:r>
      <w:proofErr w:type="spellEnd"/>
      <w:r w:rsidRPr="00ED35A9">
        <w:rPr>
          <w:rFonts w:eastAsia="Calibri" w:cs="Times New Roman"/>
          <w:sz w:val="24"/>
          <w:szCs w:val="24"/>
          <w:lang w:val="uk-UA"/>
        </w:rPr>
        <w:t xml:space="preserve"> FX, </w:t>
      </w:r>
      <w:proofErr w:type="spellStart"/>
      <w:r w:rsidRPr="00ED35A9">
        <w:rPr>
          <w:rFonts w:eastAsia="Calibri" w:cs="Times New Roman"/>
          <w:sz w:val="24"/>
          <w:szCs w:val="24"/>
          <w:lang w:val="uk-UA"/>
        </w:rPr>
        <w:t>King</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Nunn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Matney</w:t>
      </w:r>
      <w:proofErr w:type="spellEnd"/>
      <w:r w:rsidRPr="00ED35A9">
        <w:rPr>
          <w:rFonts w:eastAsia="Calibri" w:cs="Times New Roman"/>
          <w:sz w:val="24"/>
          <w:szCs w:val="24"/>
          <w:lang w:val="uk-UA"/>
        </w:rPr>
        <w:t xml:space="preserve"> GB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relapse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N </w:t>
      </w:r>
      <w:proofErr w:type="spellStart"/>
      <w:r w:rsidRPr="00ED35A9">
        <w:rPr>
          <w:rFonts w:eastAsia="Calibri" w:cs="Times New Roman"/>
          <w:i/>
          <w:sz w:val="24"/>
          <w:szCs w:val="24"/>
          <w:lang w:val="uk-UA"/>
        </w:rPr>
        <w:t>Engl</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Med</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1994</w:t>
      </w:r>
      <w:r w:rsidR="00424572" w:rsidRPr="00ED35A9">
        <w:rPr>
          <w:rFonts w:eastAsia="Calibri" w:cs="Times New Roman"/>
          <w:sz w:val="24"/>
          <w:szCs w:val="24"/>
          <w:lang w:val="uk-UA"/>
        </w:rPr>
        <w:t xml:space="preserve">, </w:t>
      </w:r>
      <w:r w:rsidRPr="00ED35A9">
        <w:rPr>
          <w:rFonts w:eastAsia="Calibri" w:cs="Times New Roman"/>
          <w:sz w:val="24"/>
          <w:szCs w:val="24"/>
          <w:lang w:val="uk-UA"/>
        </w:rPr>
        <w:t>330(17):</w:t>
      </w:r>
      <w:r w:rsidR="00424572" w:rsidRPr="00ED35A9">
        <w:rPr>
          <w:rFonts w:eastAsia="Calibri" w:cs="Times New Roman"/>
          <w:sz w:val="24"/>
          <w:szCs w:val="24"/>
          <w:lang w:val="uk-UA"/>
        </w:rPr>
        <w:t xml:space="preserve"> </w:t>
      </w:r>
      <w:r w:rsidRPr="00ED35A9">
        <w:rPr>
          <w:rFonts w:eastAsia="Calibri" w:cs="Times New Roman"/>
          <w:sz w:val="24"/>
          <w:szCs w:val="24"/>
          <w:lang w:val="uk-UA"/>
        </w:rPr>
        <w:t>1179</w:t>
      </w:r>
      <w:r w:rsidR="00424572" w:rsidRPr="00ED35A9">
        <w:rPr>
          <w:rFonts w:eastAsia="Calibri" w:cs="Times New Roman"/>
          <w:sz w:val="24"/>
          <w:szCs w:val="24"/>
          <w:lang w:val="uk-UA"/>
        </w:rPr>
        <w:t>–11</w:t>
      </w:r>
      <w:r w:rsidRPr="00ED35A9">
        <w:rPr>
          <w:rFonts w:eastAsia="Calibri" w:cs="Times New Roman"/>
          <w:sz w:val="24"/>
          <w:szCs w:val="24"/>
          <w:lang w:val="uk-UA"/>
        </w:rPr>
        <w:t>84.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Bashar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Alcabes</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Rom</w:t>
      </w:r>
      <w:proofErr w:type="spellEnd"/>
      <w:r w:rsidRPr="00ED35A9">
        <w:rPr>
          <w:rFonts w:eastAsia="Calibri" w:cs="Times New Roman"/>
          <w:sz w:val="24"/>
          <w:szCs w:val="24"/>
          <w:lang w:val="uk-UA"/>
        </w:rPr>
        <w:t xml:space="preserve"> WN, </w:t>
      </w:r>
      <w:proofErr w:type="spellStart"/>
      <w:r w:rsidRPr="00ED35A9">
        <w:rPr>
          <w:rFonts w:eastAsia="Calibri" w:cs="Times New Roman"/>
          <w:sz w:val="24"/>
          <w:szCs w:val="24"/>
          <w:lang w:val="uk-UA"/>
        </w:rPr>
        <w:t>Condos</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Increased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incidence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diabetic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Bellevue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Chest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Service</w:t>
      </w:r>
      <w:proofErr w:type="spellEnd"/>
      <w:r w:rsidRPr="00ED35A9">
        <w:rPr>
          <w:rFonts w:eastAsia="Calibri" w:cs="Times New Roman"/>
          <w:sz w:val="24"/>
          <w:szCs w:val="24"/>
          <w:lang w:val="uk-UA"/>
        </w:rPr>
        <w:t xml:space="preserve">, 1987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1997. </w:t>
      </w:r>
      <w:proofErr w:type="spellStart"/>
      <w:r w:rsidRPr="00ED35A9">
        <w:rPr>
          <w:rFonts w:eastAsia="Calibri" w:cs="Times New Roman"/>
          <w:i/>
          <w:sz w:val="24"/>
          <w:szCs w:val="24"/>
          <w:lang w:val="uk-UA"/>
        </w:rPr>
        <w:t>Chest</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2001</w:t>
      </w:r>
      <w:r w:rsidR="00424572" w:rsidRPr="00ED35A9">
        <w:rPr>
          <w:rFonts w:eastAsia="Calibri" w:cs="Times New Roman"/>
          <w:sz w:val="24"/>
          <w:szCs w:val="24"/>
          <w:lang w:val="uk-UA"/>
        </w:rPr>
        <w:t xml:space="preserve">, </w:t>
      </w:r>
      <w:r w:rsidRPr="00ED35A9">
        <w:rPr>
          <w:rFonts w:eastAsia="Calibri" w:cs="Times New Roman"/>
          <w:sz w:val="24"/>
          <w:szCs w:val="24"/>
          <w:lang w:val="uk-UA"/>
        </w:rPr>
        <w:t>120(5):</w:t>
      </w:r>
      <w:r w:rsidR="00424572" w:rsidRPr="00ED35A9">
        <w:rPr>
          <w:rFonts w:eastAsia="Calibri" w:cs="Times New Roman"/>
          <w:sz w:val="24"/>
          <w:szCs w:val="24"/>
          <w:lang w:val="uk-UA"/>
        </w:rPr>
        <w:t xml:space="preserve"> </w:t>
      </w:r>
      <w:r w:rsidRPr="00ED35A9">
        <w:rPr>
          <w:rFonts w:eastAsia="Calibri" w:cs="Times New Roman"/>
          <w:sz w:val="24"/>
          <w:szCs w:val="24"/>
          <w:lang w:val="uk-UA"/>
        </w:rPr>
        <w:t>1514</w:t>
      </w:r>
      <w:r w:rsidR="00424572" w:rsidRPr="00ED35A9">
        <w:rPr>
          <w:rFonts w:eastAsia="Calibri" w:cs="Times New Roman"/>
          <w:sz w:val="24"/>
          <w:szCs w:val="24"/>
          <w:lang w:val="uk-UA"/>
        </w:rPr>
        <w:t>–151</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Olle-Goig</w:t>
      </w:r>
      <w:proofErr w:type="spellEnd"/>
      <w:r w:rsidRPr="00ED35A9">
        <w:rPr>
          <w:rFonts w:eastAsia="Calibri" w:cs="Times New Roman"/>
          <w:sz w:val="24"/>
          <w:szCs w:val="24"/>
          <w:lang w:val="uk-UA"/>
        </w:rPr>
        <w:t xml:space="preserve"> JE, </w:t>
      </w:r>
      <w:proofErr w:type="spellStart"/>
      <w:r w:rsidRPr="00ED35A9">
        <w:rPr>
          <w:rFonts w:eastAsia="Calibri" w:cs="Times New Roman"/>
          <w:sz w:val="24"/>
          <w:szCs w:val="24"/>
          <w:lang w:val="uk-UA"/>
        </w:rPr>
        <w:t>Alvarez</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area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Haiti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non-observed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experience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Hopital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Albert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Schweitzer</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2001</w:t>
      </w:r>
      <w:r w:rsidR="00424572" w:rsidRPr="00ED35A9">
        <w:rPr>
          <w:rFonts w:eastAsia="Calibri" w:cs="Times New Roman"/>
          <w:sz w:val="24"/>
          <w:szCs w:val="24"/>
          <w:lang w:val="uk-UA"/>
        </w:rPr>
        <w:t xml:space="preserve">, </w:t>
      </w:r>
      <w:r w:rsidRPr="00ED35A9">
        <w:rPr>
          <w:rFonts w:eastAsia="Calibri" w:cs="Times New Roman"/>
          <w:sz w:val="24"/>
          <w:szCs w:val="24"/>
          <w:lang w:val="uk-UA"/>
        </w:rPr>
        <w:t>5(2):</w:t>
      </w:r>
      <w:r w:rsidR="00424572" w:rsidRPr="00ED35A9">
        <w:rPr>
          <w:rFonts w:eastAsia="Calibri" w:cs="Times New Roman"/>
          <w:sz w:val="24"/>
          <w:szCs w:val="24"/>
          <w:lang w:val="uk-UA"/>
        </w:rPr>
        <w:t xml:space="preserve"> </w:t>
      </w:r>
      <w:r w:rsidRPr="00ED35A9">
        <w:rPr>
          <w:rFonts w:eastAsia="Calibri" w:cs="Times New Roman"/>
          <w:sz w:val="24"/>
          <w:szCs w:val="24"/>
          <w:lang w:val="uk-UA"/>
        </w:rPr>
        <w:t>137</w:t>
      </w:r>
      <w:r w:rsidR="00424572" w:rsidRPr="00ED35A9">
        <w:rPr>
          <w:rFonts w:eastAsia="Calibri" w:cs="Times New Roman"/>
          <w:sz w:val="24"/>
          <w:szCs w:val="24"/>
          <w:lang w:val="uk-UA"/>
        </w:rPr>
        <w:t>–14</w:t>
      </w:r>
      <w:r w:rsidRPr="00ED35A9">
        <w:rPr>
          <w:rFonts w:eastAsia="Calibri" w:cs="Times New Roman"/>
          <w:sz w:val="24"/>
          <w:szCs w:val="24"/>
          <w:lang w:val="uk-UA"/>
        </w:rPr>
        <w:t>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Pungrassami</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Johnsen</w:t>
      </w:r>
      <w:proofErr w:type="spellEnd"/>
      <w:r w:rsidRPr="00ED35A9">
        <w:rPr>
          <w:rFonts w:eastAsia="Calibri" w:cs="Times New Roman"/>
          <w:sz w:val="24"/>
          <w:szCs w:val="24"/>
          <w:lang w:val="uk-UA"/>
        </w:rPr>
        <w:t xml:space="preserve"> SR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Chongsuvivatwong</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Olsen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Has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2002</w:t>
      </w:r>
      <w:r w:rsidR="00424572" w:rsidRPr="00ED35A9">
        <w:rPr>
          <w:rFonts w:eastAsia="Calibri" w:cs="Times New Roman"/>
          <w:sz w:val="24"/>
          <w:szCs w:val="24"/>
          <w:lang w:val="uk-UA"/>
        </w:rPr>
        <w:t xml:space="preserve">, </w:t>
      </w:r>
      <w:r w:rsidRPr="00ED35A9">
        <w:rPr>
          <w:rFonts w:eastAsia="Calibri" w:cs="Times New Roman"/>
          <w:sz w:val="24"/>
          <w:szCs w:val="24"/>
          <w:lang w:val="uk-UA"/>
        </w:rPr>
        <w:t>7(3):</w:t>
      </w:r>
      <w:r w:rsidR="00424572" w:rsidRPr="00ED35A9">
        <w:rPr>
          <w:rFonts w:eastAsia="Calibri" w:cs="Times New Roman"/>
          <w:sz w:val="24"/>
          <w:szCs w:val="24"/>
          <w:lang w:val="uk-UA"/>
        </w:rPr>
        <w:t xml:space="preserve"> </w:t>
      </w:r>
      <w:r w:rsidRPr="00ED35A9">
        <w:rPr>
          <w:rFonts w:eastAsia="Calibri" w:cs="Times New Roman"/>
          <w:sz w:val="24"/>
          <w:szCs w:val="24"/>
          <w:lang w:val="uk-UA"/>
        </w:rPr>
        <w:t>271</w:t>
      </w:r>
      <w:r w:rsidR="00424572" w:rsidRPr="00ED35A9">
        <w:rPr>
          <w:rFonts w:eastAsia="Calibri" w:cs="Times New Roman"/>
          <w:sz w:val="24"/>
          <w:szCs w:val="24"/>
          <w:lang w:val="uk-UA"/>
        </w:rPr>
        <w:t>–27</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Jasmer</w:t>
      </w:r>
      <w:proofErr w:type="spellEnd"/>
      <w:r w:rsidRPr="00ED35A9">
        <w:rPr>
          <w:rFonts w:eastAsia="Calibri" w:cs="Times New Roman"/>
          <w:sz w:val="24"/>
          <w:szCs w:val="24"/>
          <w:lang w:val="uk-UA"/>
        </w:rPr>
        <w:t xml:space="preserve"> RM, </w:t>
      </w:r>
      <w:proofErr w:type="spellStart"/>
      <w:r w:rsidRPr="00ED35A9">
        <w:rPr>
          <w:rFonts w:eastAsia="Calibri" w:cs="Times New Roman"/>
          <w:sz w:val="24"/>
          <w:szCs w:val="24"/>
          <w:lang w:val="uk-UA"/>
        </w:rPr>
        <w:t>Seaman</w:t>
      </w:r>
      <w:proofErr w:type="spellEnd"/>
      <w:r w:rsidRPr="00ED35A9">
        <w:rPr>
          <w:rFonts w:eastAsia="Calibri" w:cs="Times New Roman"/>
          <w:sz w:val="24"/>
          <w:szCs w:val="24"/>
          <w:lang w:val="uk-UA"/>
        </w:rPr>
        <w:t xml:space="preserve"> CB, </w:t>
      </w:r>
      <w:proofErr w:type="spellStart"/>
      <w:r w:rsidRPr="00ED35A9">
        <w:rPr>
          <w:rFonts w:eastAsia="Calibri" w:cs="Times New Roman"/>
          <w:sz w:val="24"/>
          <w:szCs w:val="24"/>
          <w:lang w:val="uk-UA"/>
        </w:rPr>
        <w:t>Gonzalez</w:t>
      </w:r>
      <w:proofErr w:type="spellEnd"/>
      <w:r w:rsidRPr="00ED35A9">
        <w:rPr>
          <w:rFonts w:eastAsia="Calibri" w:cs="Times New Roman"/>
          <w:sz w:val="24"/>
          <w:szCs w:val="24"/>
          <w:lang w:val="uk-UA"/>
        </w:rPr>
        <w:t xml:space="preserve"> LC, </w:t>
      </w:r>
      <w:proofErr w:type="spellStart"/>
      <w:r w:rsidRPr="00ED35A9">
        <w:rPr>
          <w:rFonts w:eastAsia="Calibri" w:cs="Times New Roman"/>
          <w:sz w:val="24"/>
          <w:szCs w:val="24"/>
          <w:lang w:val="uk-UA"/>
        </w:rPr>
        <w:t>Kawamura</w:t>
      </w:r>
      <w:proofErr w:type="spellEnd"/>
      <w:r w:rsidRPr="00ED35A9">
        <w:rPr>
          <w:rFonts w:eastAsia="Calibri" w:cs="Times New Roman"/>
          <w:sz w:val="24"/>
          <w:szCs w:val="24"/>
          <w:lang w:val="uk-UA"/>
        </w:rPr>
        <w:t xml:space="preserve"> LM, </w:t>
      </w:r>
      <w:proofErr w:type="spellStart"/>
      <w:r w:rsidRPr="00ED35A9">
        <w:rPr>
          <w:rFonts w:eastAsia="Calibri" w:cs="Times New Roman"/>
          <w:sz w:val="24"/>
          <w:szCs w:val="24"/>
          <w:lang w:val="uk-UA"/>
        </w:rPr>
        <w:t>Osmond</w:t>
      </w:r>
      <w:proofErr w:type="spellEnd"/>
      <w:r w:rsidRPr="00ED35A9">
        <w:rPr>
          <w:rFonts w:eastAsia="Calibri" w:cs="Times New Roman"/>
          <w:sz w:val="24"/>
          <w:szCs w:val="24"/>
          <w:lang w:val="uk-UA"/>
        </w:rPr>
        <w:t xml:space="preserve"> DH, </w:t>
      </w:r>
      <w:proofErr w:type="spellStart"/>
      <w:r w:rsidRPr="00ED35A9">
        <w:rPr>
          <w:rFonts w:eastAsia="Calibri" w:cs="Times New Roman"/>
          <w:sz w:val="24"/>
          <w:szCs w:val="24"/>
          <w:lang w:val="uk-UA"/>
        </w:rPr>
        <w:t>Daley</w:t>
      </w:r>
      <w:proofErr w:type="spellEnd"/>
      <w:r w:rsidRPr="00ED35A9">
        <w:rPr>
          <w:rFonts w:eastAsia="Calibri" w:cs="Times New Roman"/>
          <w:sz w:val="24"/>
          <w:szCs w:val="24"/>
          <w:lang w:val="uk-UA"/>
        </w:rPr>
        <w:t xml:space="preserve"> CL.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self-administered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Crit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Care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2004</w:t>
      </w:r>
      <w:r w:rsidR="00424572" w:rsidRPr="00ED35A9">
        <w:rPr>
          <w:rFonts w:eastAsia="Calibri" w:cs="Times New Roman"/>
          <w:sz w:val="24"/>
          <w:szCs w:val="24"/>
          <w:lang w:val="uk-UA"/>
        </w:rPr>
        <w:t xml:space="preserve">, </w:t>
      </w:r>
      <w:r w:rsidRPr="00ED35A9">
        <w:rPr>
          <w:rFonts w:eastAsia="Calibri" w:cs="Times New Roman"/>
          <w:sz w:val="24"/>
          <w:szCs w:val="24"/>
          <w:lang w:val="uk-UA"/>
        </w:rPr>
        <w:t>170(5):</w:t>
      </w:r>
      <w:r w:rsidR="00424572" w:rsidRPr="00ED35A9">
        <w:rPr>
          <w:rFonts w:eastAsia="Calibri" w:cs="Times New Roman"/>
          <w:sz w:val="24"/>
          <w:szCs w:val="24"/>
          <w:lang w:val="uk-UA"/>
        </w:rPr>
        <w:t xml:space="preserve"> </w:t>
      </w:r>
      <w:r w:rsidRPr="00ED35A9">
        <w:rPr>
          <w:rFonts w:eastAsia="Calibri" w:cs="Times New Roman"/>
          <w:sz w:val="24"/>
          <w:szCs w:val="24"/>
          <w:lang w:val="uk-UA"/>
        </w:rPr>
        <w:t>561</w:t>
      </w:r>
      <w:r w:rsidR="00424572" w:rsidRPr="00ED35A9">
        <w:rPr>
          <w:rFonts w:eastAsia="Calibri" w:cs="Times New Roman"/>
          <w:sz w:val="24"/>
          <w:szCs w:val="24"/>
          <w:lang w:val="uk-UA"/>
        </w:rPr>
        <w:t>–56</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Cavalcante</w:t>
      </w:r>
      <w:proofErr w:type="spellEnd"/>
      <w:r w:rsidRPr="00ED35A9">
        <w:rPr>
          <w:rFonts w:eastAsia="Calibri" w:cs="Times New Roman"/>
          <w:sz w:val="24"/>
          <w:szCs w:val="24"/>
          <w:lang w:val="uk-UA"/>
        </w:rPr>
        <w:t xml:space="preserve"> SC, </w:t>
      </w:r>
      <w:proofErr w:type="spellStart"/>
      <w:r w:rsidRPr="00ED35A9">
        <w:rPr>
          <w:rFonts w:eastAsia="Calibri" w:cs="Times New Roman"/>
          <w:sz w:val="24"/>
          <w:szCs w:val="24"/>
          <w:lang w:val="uk-UA"/>
        </w:rPr>
        <w:t>Soares</w:t>
      </w:r>
      <w:proofErr w:type="spellEnd"/>
      <w:r w:rsidRPr="00ED35A9">
        <w:rPr>
          <w:rFonts w:eastAsia="Calibri" w:cs="Times New Roman"/>
          <w:sz w:val="24"/>
          <w:szCs w:val="24"/>
          <w:lang w:val="uk-UA"/>
        </w:rPr>
        <w:t xml:space="preserve"> ECC, </w:t>
      </w:r>
      <w:proofErr w:type="spellStart"/>
      <w:r w:rsidRPr="00ED35A9">
        <w:rPr>
          <w:rFonts w:eastAsia="Calibri" w:cs="Times New Roman"/>
          <w:sz w:val="24"/>
          <w:szCs w:val="24"/>
          <w:lang w:val="uk-UA"/>
        </w:rPr>
        <w:t>Pacheco</w:t>
      </w:r>
      <w:proofErr w:type="spellEnd"/>
      <w:r w:rsidRPr="00ED35A9">
        <w:rPr>
          <w:rFonts w:eastAsia="Calibri" w:cs="Times New Roman"/>
          <w:sz w:val="24"/>
          <w:szCs w:val="24"/>
          <w:lang w:val="uk-UA"/>
        </w:rPr>
        <w:t xml:space="preserve"> AGF, </w:t>
      </w:r>
      <w:proofErr w:type="spellStart"/>
      <w:r w:rsidRPr="00ED35A9">
        <w:rPr>
          <w:rFonts w:eastAsia="Calibri" w:cs="Times New Roman"/>
          <w:sz w:val="24"/>
          <w:szCs w:val="24"/>
          <w:lang w:val="uk-UA"/>
        </w:rPr>
        <w:t>Chaisson</w:t>
      </w:r>
      <w:proofErr w:type="spellEnd"/>
      <w:r w:rsidRPr="00ED35A9">
        <w:rPr>
          <w:rFonts w:eastAsia="Calibri" w:cs="Times New Roman"/>
          <w:sz w:val="24"/>
          <w:szCs w:val="24"/>
          <w:lang w:val="uk-UA"/>
        </w:rPr>
        <w:t xml:space="preserve"> RE, </w:t>
      </w:r>
      <w:proofErr w:type="spellStart"/>
      <w:r w:rsidRPr="00ED35A9">
        <w:rPr>
          <w:rFonts w:eastAsia="Calibri" w:cs="Times New Roman"/>
          <w:sz w:val="24"/>
          <w:szCs w:val="24"/>
          <w:lang w:val="uk-UA"/>
        </w:rPr>
        <w:t>Durovni</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Team</w:t>
      </w:r>
      <w:proofErr w:type="spellEnd"/>
      <w:r w:rsidRPr="00ED35A9">
        <w:rPr>
          <w:rFonts w:eastAsia="Calibri" w:cs="Times New Roman"/>
          <w:sz w:val="24"/>
          <w:szCs w:val="24"/>
          <w:lang w:val="uk-UA"/>
        </w:rPr>
        <w:t xml:space="preserve"> DE.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DOT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Brazilian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favela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comparison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clinic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model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2007</w:t>
      </w:r>
      <w:r w:rsidR="00424572" w:rsidRPr="00ED35A9">
        <w:rPr>
          <w:rFonts w:eastAsia="Calibri" w:cs="Times New Roman"/>
          <w:sz w:val="24"/>
          <w:szCs w:val="24"/>
          <w:lang w:val="uk-UA"/>
        </w:rPr>
        <w:t>, 11</w:t>
      </w:r>
      <w:r w:rsidRPr="00ED35A9">
        <w:rPr>
          <w:rFonts w:eastAsia="Calibri" w:cs="Times New Roman"/>
          <w:sz w:val="24"/>
          <w:szCs w:val="24"/>
          <w:lang w:val="uk-UA"/>
        </w:rPr>
        <w:t>(5):</w:t>
      </w:r>
      <w:r w:rsidR="00424572" w:rsidRPr="00ED35A9">
        <w:rPr>
          <w:rFonts w:eastAsia="Calibri" w:cs="Times New Roman"/>
          <w:sz w:val="24"/>
          <w:szCs w:val="24"/>
          <w:lang w:val="uk-UA"/>
        </w:rPr>
        <w:t xml:space="preserve"> </w:t>
      </w:r>
      <w:r w:rsidRPr="00ED35A9">
        <w:rPr>
          <w:rFonts w:eastAsia="Calibri" w:cs="Times New Roman"/>
          <w:sz w:val="24"/>
          <w:szCs w:val="24"/>
          <w:lang w:val="uk-UA"/>
        </w:rPr>
        <w:t>544</w:t>
      </w:r>
      <w:r w:rsidR="00424572" w:rsidRPr="00ED35A9">
        <w:rPr>
          <w:rFonts w:eastAsia="Calibri" w:cs="Times New Roman"/>
          <w:sz w:val="24"/>
          <w:szCs w:val="24"/>
          <w:lang w:val="uk-UA"/>
        </w:rPr>
        <w:t>–54</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Radilla-Chavez</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Laniado-Laborln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Results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Ensenada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Mexico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all</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programs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created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equally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2007</w:t>
      </w:r>
      <w:r w:rsidR="00424572" w:rsidRPr="00ED35A9">
        <w:rPr>
          <w:rFonts w:eastAsia="Calibri" w:cs="Times New Roman"/>
          <w:sz w:val="24"/>
          <w:szCs w:val="24"/>
          <w:lang w:val="uk-UA"/>
        </w:rPr>
        <w:t>, 11</w:t>
      </w:r>
      <w:r w:rsidRPr="00ED35A9">
        <w:rPr>
          <w:rFonts w:eastAsia="Calibri" w:cs="Times New Roman"/>
          <w:sz w:val="24"/>
          <w:szCs w:val="24"/>
          <w:lang w:val="uk-UA"/>
        </w:rPr>
        <w:t>(3):</w:t>
      </w:r>
      <w:r w:rsidR="00424572" w:rsidRPr="00ED35A9">
        <w:rPr>
          <w:rFonts w:eastAsia="Calibri" w:cs="Times New Roman"/>
          <w:sz w:val="24"/>
          <w:szCs w:val="24"/>
          <w:lang w:val="uk-UA"/>
        </w:rPr>
        <w:t xml:space="preserve"> </w:t>
      </w:r>
      <w:r w:rsidRPr="00ED35A9">
        <w:rPr>
          <w:rFonts w:eastAsia="Calibri" w:cs="Times New Roman"/>
          <w:sz w:val="24"/>
          <w:szCs w:val="24"/>
          <w:lang w:val="uk-UA"/>
        </w:rPr>
        <w:t>289</w:t>
      </w:r>
      <w:r w:rsidR="00424572" w:rsidRPr="00ED35A9">
        <w:rPr>
          <w:rFonts w:eastAsia="Calibri" w:cs="Times New Roman"/>
          <w:sz w:val="24"/>
          <w:szCs w:val="24"/>
          <w:lang w:val="uk-UA"/>
        </w:rPr>
        <w:t>–2</w:t>
      </w:r>
      <w:r w:rsidRPr="00ED35A9">
        <w:rPr>
          <w:rFonts w:eastAsia="Calibri" w:cs="Times New Roman"/>
          <w:sz w:val="24"/>
          <w:szCs w:val="24"/>
          <w:lang w:val="uk-UA"/>
        </w:rPr>
        <w:t>92.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Anuwatnonthakate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Limsomboon</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Nateniyom</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Wattanaamornkiat</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Komsakorn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Moolphate</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2008</w:t>
      </w:r>
      <w:r w:rsidR="00424572" w:rsidRPr="00ED35A9">
        <w:rPr>
          <w:rFonts w:eastAsia="Calibri" w:cs="Times New Roman"/>
          <w:sz w:val="24"/>
          <w:szCs w:val="24"/>
          <w:lang w:val="uk-UA"/>
        </w:rPr>
        <w:t xml:space="preserve">, </w:t>
      </w:r>
      <w:r w:rsidRPr="00ED35A9">
        <w:rPr>
          <w:rFonts w:eastAsia="Calibri" w:cs="Times New Roman"/>
          <w:sz w:val="24"/>
          <w:szCs w:val="24"/>
          <w:lang w:val="uk-UA"/>
        </w:rPr>
        <w:t>3(8):</w:t>
      </w:r>
      <w:r w:rsidR="00424572" w:rsidRPr="00ED35A9">
        <w:rPr>
          <w:rFonts w:eastAsia="Calibri" w:cs="Times New Roman"/>
          <w:sz w:val="24"/>
          <w:szCs w:val="24"/>
          <w:lang w:val="uk-UA"/>
        </w:rPr>
        <w:t xml:space="preserve"> </w:t>
      </w:r>
      <w:r w:rsidRPr="00ED35A9">
        <w:rPr>
          <w:rFonts w:eastAsia="Calibri" w:cs="Times New Roman"/>
          <w:sz w:val="24"/>
          <w:szCs w:val="24"/>
          <w:lang w:val="uk-UA"/>
        </w:rPr>
        <w:t>e3089.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Kapella</w:t>
      </w:r>
      <w:proofErr w:type="spellEnd"/>
      <w:r w:rsidRPr="00ED35A9">
        <w:rPr>
          <w:rFonts w:eastAsia="Calibri" w:cs="Times New Roman"/>
          <w:sz w:val="24"/>
          <w:szCs w:val="24"/>
          <w:lang w:val="uk-UA"/>
        </w:rPr>
        <w:t xml:space="preserve"> BK, </w:t>
      </w:r>
      <w:proofErr w:type="spellStart"/>
      <w:r w:rsidRPr="00ED35A9">
        <w:rPr>
          <w:rFonts w:eastAsia="Calibri" w:cs="Times New Roman"/>
          <w:sz w:val="24"/>
          <w:szCs w:val="24"/>
          <w:lang w:val="uk-UA"/>
        </w:rPr>
        <w:t>Anuwatnonthakate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Komsakorn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Moolphate</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Charusuntonsri</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Limsomboon</w:t>
      </w:r>
      <w:proofErr w:type="spellEnd"/>
      <w:r w:rsidRPr="00ED35A9">
        <w:rPr>
          <w:rFonts w:eastAsia="Calibri" w:cs="Times New Roman"/>
          <w:sz w:val="24"/>
          <w:szCs w:val="24"/>
          <w:lang w:val="uk-UA"/>
        </w:rPr>
        <w:t xml:space="preserve"> P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associated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reduced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foreign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2009</w:t>
      </w:r>
      <w:r w:rsidR="00424572" w:rsidRPr="00ED35A9">
        <w:rPr>
          <w:rFonts w:eastAsia="Calibri" w:cs="Times New Roman"/>
          <w:sz w:val="24"/>
          <w:szCs w:val="24"/>
          <w:lang w:val="uk-UA"/>
        </w:rPr>
        <w:t xml:space="preserve">, </w:t>
      </w:r>
      <w:r w:rsidRPr="00ED35A9">
        <w:rPr>
          <w:rFonts w:eastAsia="Calibri" w:cs="Times New Roman"/>
          <w:sz w:val="24"/>
          <w:szCs w:val="24"/>
          <w:lang w:val="uk-UA"/>
        </w:rPr>
        <w:t>13(2):</w:t>
      </w:r>
      <w:r w:rsidR="00424572" w:rsidRPr="00ED35A9">
        <w:rPr>
          <w:rFonts w:eastAsia="Calibri" w:cs="Times New Roman"/>
          <w:sz w:val="24"/>
          <w:szCs w:val="24"/>
          <w:lang w:val="uk-UA"/>
        </w:rPr>
        <w:t xml:space="preserve"> </w:t>
      </w:r>
      <w:r w:rsidRPr="00ED35A9">
        <w:rPr>
          <w:rFonts w:eastAsia="Calibri" w:cs="Times New Roman"/>
          <w:sz w:val="24"/>
          <w:szCs w:val="24"/>
          <w:lang w:val="uk-UA"/>
        </w:rPr>
        <w:t>232</w:t>
      </w:r>
      <w:r w:rsidR="00424572" w:rsidRPr="00ED35A9">
        <w:rPr>
          <w:rFonts w:eastAsia="Calibri" w:cs="Times New Roman"/>
          <w:sz w:val="24"/>
          <w:szCs w:val="24"/>
          <w:lang w:val="uk-UA"/>
        </w:rPr>
        <w:t>–23</w:t>
      </w:r>
      <w:r w:rsidRPr="00ED35A9">
        <w:rPr>
          <w:rFonts w:eastAsia="Calibri" w:cs="Times New Roman"/>
          <w:sz w:val="24"/>
          <w:szCs w:val="24"/>
          <w:lang w:val="uk-UA"/>
        </w:rPr>
        <w:t>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Vieira</w:t>
      </w:r>
      <w:proofErr w:type="spellEnd"/>
      <w:r w:rsidRPr="00ED35A9">
        <w:rPr>
          <w:rFonts w:eastAsia="Calibri" w:cs="Times New Roman"/>
          <w:sz w:val="24"/>
          <w:szCs w:val="24"/>
          <w:lang w:val="uk-UA"/>
        </w:rPr>
        <w:t xml:space="preserve"> AA, </w:t>
      </w:r>
      <w:proofErr w:type="spellStart"/>
      <w:r w:rsidRPr="00ED35A9">
        <w:rPr>
          <w:rFonts w:eastAsia="Calibri" w:cs="Times New Roman"/>
          <w:sz w:val="24"/>
          <w:szCs w:val="24"/>
          <w:lang w:val="uk-UA"/>
        </w:rPr>
        <w:t>Ribeiro</w:t>
      </w:r>
      <w:proofErr w:type="spellEnd"/>
      <w:r w:rsidRPr="00ED35A9">
        <w:rPr>
          <w:rFonts w:eastAsia="Calibri" w:cs="Times New Roman"/>
          <w:sz w:val="24"/>
          <w:szCs w:val="24"/>
          <w:lang w:val="uk-UA"/>
        </w:rPr>
        <w:t xml:space="preserve"> SA. </w:t>
      </w:r>
      <w:proofErr w:type="spellStart"/>
      <w:r w:rsidRPr="00ED35A9">
        <w:rPr>
          <w:rFonts w:eastAsia="Calibri" w:cs="Times New Roman"/>
          <w:sz w:val="24"/>
          <w:szCs w:val="24"/>
          <w:lang w:val="uk-UA"/>
        </w:rPr>
        <w:t>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after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implementation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short-course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Carapicufba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Brazil</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Bras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Pneumol</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2011</w:t>
      </w:r>
      <w:r w:rsidR="00424572" w:rsidRPr="00ED35A9">
        <w:rPr>
          <w:rFonts w:eastAsia="Calibri" w:cs="Times New Roman"/>
          <w:sz w:val="24"/>
          <w:szCs w:val="24"/>
          <w:lang w:val="uk-UA"/>
        </w:rPr>
        <w:t xml:space="preserve">, </w:t>
      </w:r>
      <w:r w:rsidRPr="00ED35A9">
        <w:rPr>
          <w:rFonts w:eastAsia="Calibri" w:cs="Times New Roman"/>
          <w:sz w:val="24"/>
          <w:szCs w:val="24"/>
          <w:lang w:val="uk-UA"/>
        </w:rPr>
        <w:t>37(2):</w:t>
      </w:r>
      <w:r w:rsidR="00424572" w:rsidRPr="00ED35A9">
        <w:rPr>
          <w:rFonts w:eastAsia="Calibri" w:cs="Times New Roman"/>
          <w:sz w:val="24"/>
          <w:szCs w:val="24"/>
          <w:lang w:val="uk-UA"/>
        </w:rPr>
        <w:t xml:space="preserve"> </w:t>
      </w:r>
      <w:r w:rsidRPr="00ED35A9">
        <w:rPr>
          <w:rFonts w:eastAsia="Calibri" w:cs="Times New Roman"/>
          <w:sz w:val="24"/>
          <w:szCs w:val="24"/>
          <w:lang w:val="uk-UA"/>
        </w:rPr>
        <w:t>223</w:t>
      </w:r>
      <w:r w:rsidR="00424572" w:rsidRPr="00ED35A9">
        <w:rPr>
          <w:rFonts w:eastAsia="Calibri" w:cs="Times New Roman"/>
          <w:sz w:val="24"/>
          <w:szCs w:val="24"/>
          <w:lang w:val="uk-UA"/>
        </w:rPr>
        <w:t>–2</w:t>
      </w:r>
      <w:r w:rsidRPr="00ED35A9">
        <w:rPr>
          <w:rFonts w:eastAsia="Calibri" w:cs="Times New Roman"/>
          <w:sz w:val="24"/>
          <w:szCs w:val="24"/>
          <w:lang w:val="uk-UA"/>
        </w:rPr>
        <w:t>31.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Ong’ang’o</w:t>
      </w:r>
      <w:proofErr w:type="spellEnd"/>
      <w:r w:rsidRPr="00ED35A9">
        <w:rPr>
          <w:rFonts w:eastAsia="Calibri" w:cs="Times New Roman"/>
          <w:sz w:val="24"/>
          <w:szCs w:val="24"/>
          <w:lang w:val="uk-UA"/>
        </w:rPr>
        <w:t xml:space="preserve"> JR, </w:t>
      </w:r>
      <w:proofErr w:type="spellStart"/>
      <w:r w:rsidRPr="00ED35A9">
        <w:rPr>
          <w:rFonts w:eastAsia="Calibri" w:cs="Times New Roman"/>
          <w:sz w:val="24"/>
          <w:szCs w:val="24"/>
          <w:lang w:val="uk-UA"/>
        </w:rPr>
        <w:t>Mwachari</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Kipruto</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Karanja</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utilising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comparison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selected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Kenya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2014</w:t>
      </w:r>
      <w:r w:rsidR="00424572" w:rsidRPr="00ED35A9">
        <w:rPr>
          <w:rFonts w:eastAsia="Calibri" w:cs="Times New Roman"/>
          <w:sz w:val="24"/>
          <w:szCs w:val="24"/>
          <w:lang w:val="uk-UA"/>
        </w:rPr>
        <w:t xml:space="preserve">, </w:t>
      </w:r>
      <w:r w:rsidRPr="00ED35A9">
        <w:rPr>
          <w:rFonts w:eastAsia="Calibri" w:cs="Times New Roman"/>
          <w:sz w:val="24"/>
          <w:szCs w:val="24"/>
          <w:lang w:val="uk-UA"/>
        </w:rPr>
        <w:t>9(2):</w:t>
      </w:r>
      <w:r w:rsidR="00424572" w:rsidRPr="00ED35A9">
        <w:rPr>
          <w:rFonts w:eastAsia="Calibri" w:cs="Times New Roman"/>
          <w:sz w:val="24"/>
          <w:szCs w:val="24"/>
          <w:lang w:val="uk-UA"/>
        </w:rPr>
        <w:t xml:space="preserve"> </w:t>
      </w:r>
      <w:r w:rsidRPr="00ED35A9">
        <w:rPr>
          <w:rFonts w:eastAsia="Calibri" w:cs="Times New Roman"/>
          <w:sz w:val="24"/>
          <w:szCs w:val="24"/>
          <w:lang w:val="uk-UA"/>
        </w:rPr>
        <w:t>e88937.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Das</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Isaakidis</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Armstrong</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Gundipudi</w:t>
      </w:r>
      <w:proofErr w:type="spellEnd"/>
      <w:r w:rsidRPr="00ED35A9">
        <w:rPr>
          <w:rFonts w:eastAsia="Calibri" w:cs="Times New Roman"/>
          <w:sz w:val="24"/>
          <w:szCs w:val="24"/>
          <w:lang w:val="uk-UA"/>
        </w:rPr>
        <w:t xml:space="preserve"> NR, </w:t>
      </w:r>
      <w:proofErr w:type="spellStart"/>
      <w:r w:rsidRPr="00ED35A9">
        <w:rPr>
          <w:rFonts w:eastAsia="Calibri" w:cs="Times New Roman"/>
          <w:sz w:val="24"/>
          <w:szCs w:val="24"/>
          <w:lang w:val="uk-UA"/>
        </w:rPr>
        <w:t>Babu</w:t>
      </w:r>
      <w:proofErr w:type="spellEnd"/>
      <w:r w:rsidRPr="00ED35A9">
        <w:rPr>
          <w:rFonts w:eastAsia="Calibri" w:cs="Times New Roman"/>
          <w:sz w:val="24"/>
          <w:szCs w:val="24"/>
          <w:lang w:val="uk-UA"/>
        </w:rPr>
        <w:t xml:space="preserve"> RB, </w:t>
      </w:r>
      <w:proofErr w:type="spellStart"/>
      <w:r w:rsidRPr="00ED35A9">
        <w:rPr>
          <w:rFonts w:eastAsia="Calibri" w:cs="Times New Roman"/>
          <w:sz w:val="24"/>
          <w:szCs w:val="24"/>
          <w:lang w:val="uk-UA"/>
        </w:rPr>
        <w:t>Qureshi</w:t>
      </w:r>
      <w:proofErr w:type="spellEnd"/>
      <w:r w:rsidRPr="00ED35A9">
        <w:rPr>
          <w:rFonts w:eastAsia="Calibri" w:cs="Times New Roman"/>
          <w:sz w:val="24"/>
          <w:szCs w:val="24"/>
          <w:lang w:val="uk-UA"/>
        </w:rPr>
        <w:t xml:space="preserve"> IA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administered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chronic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low-intensity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conflict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424572" w:rsidRPr="00ED35A9">
        <w:rPr>
          <w:rFonts w:eastAsia="Calibri" w:cs="Times New Roman"/>
          <w:sz w:val="24"/>
          <w:szCs w:val="24"/>
          <w:lang w:val="uk-UA"/>
        </w:rPr>
        <w:t xml:space="preserve">, </w:t>
      </w:r>
      <w:r w:rsidRPr="00ED35A9">
        <w:rPr>
          <w:rFonts w:eastAsia="Calibri" w:cs="Times New Roman"/>
          <w:sz w:val="24"/>
          <w:szCs w:val="24"/>
          <w:lang w:val="uk-UA"/>
        </w:rPr>
        <w:t>2014</w:t>
      </w:r>
      <w:r w:rsidR="00424572" w:rsidRPr="00ED35A9">
        <w:rPr>
          <w:rFonts w:eastAsia="Calibri" w:cs="Times New Roman"/>
          <w:sz w:val="24"/>
          <w:szCs w:val="24"/>
          <w:lang w:val="uk-UA"/>
        </w:rPr>
        <w:t xml:space="preserve">, </w:t>
      </w:r>
      <w:r w:rsidRPr="00ED35A9">
        <w:rPr>
          <w:rFonts w:eastAsia="Calibri" w:cs="Times New Roman"/>
          <w:sz w:val="24"/>
          <w:szCs w:val="24"/>
          <w:lang w:val="uk-UA"/>
        </w:rPr>
        <w:t>9(3):</w:t>
      </w:r>
      <w:r w:rsidR="00424572" w:rsidRPr="00ED35A9">
        <w:rPr>
          <w:rFonts w:eastAsia="Calibri" w:cs="Times New Roman"/>
          <w:sz w:val="24"/>
          <w:szCs w:val="24"/>
          <w:lang w:val="uk-UA"/>
        </w:rPr>
        <w:t xml:space="preserve"> </w:t>
      </w:r>
      <w:r w:rsidRPr="00ED35A9">
        <w:rPr>
          <w:rFonts w:eastAsia="Calibri" w:cs="Times New Roman"/>
          <w:sz w:val="24"/>
          <w:szCs w:val="24"/>
          <w:lang w:val="uk-UA"/>
        </w:rPr>
        <w:t>e92131.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Alwood</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Keruly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Moore-Rice</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Stanton</w:t>
      </w:r>
      <w:proofErr w:type="spellEnd"/>
      <w:r w:rsidRPr="00ED35A9">
        <w:rPr>
          <w:rFonts w:eastAsia="Calibri" w:cs="Times New Roman"/>
          <w:sz w:val="24"/>
          <w:szCs w:val="24"/>
          <w:lang w:val="uk-UA"/>
        </w:rPr>
        <w:t xml:space="preserve"> DL, </w:t>
      </w:r>
      <w:proofErr w:type="spellStart"/>
      <w:r w:rsidRPr="00ED35A9">
        <w:rPr>
          <w:rFonts w:eastAsia="Calibri" w:cs="Times New Roman"/>
          <w:sz w:val="24"/>
          <w:szCs w:val="24"/>
          <w:lang w:val="uk-UA"/>
        </w:rPr>
        <w:t>Chaulk</w:t>
      </w:r>
      <w:proofErr w:type="spellEnd"/>
      <w:r w:rsidRPr="00ED35A9">
        <w:rPr>
          <w:rFonts w:eastAsia="Calibri" w:cs="Times New Roman"/>
          <w:sz w:val="24"/>
          <w:szCs w:val="24"/>
          <w:lang w:val="uk-UA"/>
        </w:rPr>
        <w:t xml:space="preserve"> CR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Chaisson</w:t>
      </w:r>
      <w:proofErr w:type="spellEnd"/>
      <w:r w:rsidRPr="00ED35A9">
        <w:rPr>
          <w:rFonts w:eastAsia="Calibri" w:cs="Times New Roman"/>
          <w:sz w:val="24"/>
          <w:szCs w:val="24"/>
          <w:lang w:val="uk-UA"/>
        </w:rPr>
        <w:t xml:space="preserve"> RE.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intermittent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HIV-</w:t>
      </w:r>
      <w:proofErr w:type="spellStart"/>
      <w:r w:rsidRPr="00ED35A9">
        <w:rPr>
          <w:rFonts w:eastAsia="Calibri" w:cs="Times New Roman"/>
          <w:sz w:val="24"/>
          <w:szCs w:val="24"/>
          <w:lang w:val="uk-UA"/>
        </w:rPr>
        <w:t>infected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AIDS</w:t>
      </w:r>
      <w:r w:rsidR="00B10339" w:rsidRPr="00ED35A9">
        <w:rPr>
          <w:rFonts w:eastAsia="Calibri" w:cs="Times New Roman"/>
          <w:sz w:val="24"/>
          <w:szCs w:val="24"/>
          <w:lang w:val="uk-UA"/>
        </w:rPr>
        <w:t xml:space="preserve">, </w:t>
      </w:r>
      <w:r w:rsidRPr="00ED35A9">
        <w:rPr>
          <w:rFonts w:eastAsia="Calibri" w:cs="Times New Roman"/>
          <w:sz w:val="24"/>
          <w:szCs w:val="24"/>
          <w:lang w:val="uk-UA"/>
        </w:rPr>
        <w:t>1994</w:t>
      </w:r>
      <w:r w:rsidR="00B10339" w:rsidRPr="00ED35A9">
        <w:rPr>
          <w:rFonts w:eastAsia="Calibri" w:cs="Times New Roman"/>
          <w:sz w:val="24"/>
          <w:szCs w:val="24"/>
          <w:lang w:val="uk-UA"/>
        </w:rPr>
        <w:t xml:space="preserve">, </w:t>
      </w:r>
      <w:r w:rsidRPr="00ED35A9">
        <w:rPr>
          <w:rFonts w:eastAsia="Calibri" w:cs="Times New Roman"/>
          <w:sz w:val="24"/>
          <w:szCs w:val="24"/>
          <w:lang w:val="uk-UA"/>
        </w:rPr>
        <w:t>8(8):</w:t>
      </w:r>
      <w:r w:rsidR="00B10339" w:rsidRPr="00ED35A9">
        <w:rPr>
          <w:rFonts w:eastAsia="Calibri" w:cs="Times New Roman"/>
          <w:sz w:val="24"/>
          <w:szCs w:val="24"/>
          <w:lang w:val="uk-UA"/>
        </w:rPr>
        <w:t xml:space="preserve"> </w:t>
      </w:r>
      <w:r w:rsidRPr="00ED35A9">
        <w:rPr>
          <w:rFonts w:eastAsia="Calibri" w:cs="Times New Roman"/>
          <w:sz w:val="24"/>
          <w:szCs w:val="24"/>
          <w:lang w:val="uk-UA"/>
        </w:rPr>
        <w:t>1103</w:t>
      </w:r>
      <w:r w:rsidR="00B10339" w:rsidRPr="00ED35A9">
        <w:rPr>
          <w:rFonts w:eastAsia="Calibri" w:cs="Times New Roman"/>
          <w:sz w:val="24"/>
          <w:szCs w:val="24"/>
          <w:lang w:val="uk-UA"/>
        </w:rPr>
        <w:t>–110</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Alvarez-Uria</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Midde</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Pakam</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Naik</w:t>
      </w:r>
      <w:proofErr w:type="spellEnd"/>
      <w:r w:rsidRPr="00ED35A9">
        <w:rPr>
          <w:rFonts w:eastAsia="Calibri" w:cs="Times New Roman"/>
          <w:sz w:val="24"/>
          <w:szCs w:val="24"/>
          <w:lang w:val="uk-UA"/>
        </w:rPr>
        <w:t xml:space="preserve"> PK. </w:t>
      </w:r>
      <w:proofErr w:type="spellStart"/>
      <w:r w:rsidRPr="00ED35A9">
        <w:rPr>
          <w:rFonts w:eastAsia="Calibri" w:cs="Times New Roman"/>
          <w:sz w:val="24"/>
          <w:szCs w:val="24"/>
          <w:lang w:val="uk-UA"/>
        </w:rPr>
        <w:t>Directly-observed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intermittent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versus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unsupervised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daily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intensive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HIV </w:t>
      </w:r>
      <w:proofErr w:type="spellStart"/>
      <w:r w:rsidRPr="00ED35A9">
        <w:rPr>
          <w:rFonts w:eastAsia="Calibri" w:cs="Times New Roman"/>
          <w:sz w:val="24"/>
          <w:szCs w:val="24"/>
          <w:lang w:val="uk-UA"/>
        </w:rPr>
        <w:t>infected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00B10339" w:rsidRPr="00ED35A9">
        <w:rPr>
          <w:rFonts w:eastAsia="Calibri" w:cs="Times New Roman"/>
          <w:i/>
          <w:sz w:val="24"/>
          <w:szCs w:val="24"/>
          <w:lang w:val="uk-UA"/>
        </w:rPr>
        <w:t>Biomed</w:t>
      </w:r>
      <w:proofErr w:type="spellEnd"/>
      <w:r w:rsidR="00B10339"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2014</w:t>
      </w:r>
      <w:r w:rsidR="00B10339" w:rsidRPr="00ED35A9">
        <w:rPr>
          <w:rFonts w:eastAsia="Calibri" w:cs="Times New Roman"/>
          <w:sz w:val="24"/>
          <w:szCs w:val="24"/>
          <w:lang w:val="uk-UA"/>
        </w:rPr>
        <w:t xml:space="preserve">, </w:t>
      </w:r>
      <w:r w:rsidRPr="00ED35A9">
        <w:rPr>
          <w:rFonts w:eastAsia="Calibri" w:cs="Times New Roman"/>
          <w:sz w:val="24"/>
          <w:szCs w:val="24"/>
          <w:lang w:val="uk-UA"/>
        </w:rPr>
        <w:t>2014</w:t>
      </w:r>
      <w:r w:rsidR="00B10339" w:rsidRPr="00ED35A9">
        <w:rPr>
          <w:rFonts w:eastAsia="Calibri" w:cs="Times New Roman"/>
          <w:sz w:val="24"/>
          <w:szCs w:val="24"/>
          <w:lang w:val="uk-UA"/>
        </w:rPr>
        <w:t>:</w:t>
      </w:r>
      <w:r w:rsidRPr="00ED35A9">
        <w:rPr>
          <w:rFonts w:eastAsia="Calibri" w:cs="Times New Roman"/>
          <w:sz w:val="24"/>
          <w:szCs w:val="24"/>
          <w:lang w:val="uk-UA"/>
        </w:rPr>
        <w:t xml:space="preserve"> 937817.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Juan</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Lloret</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Perez</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Lopez</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Navarro</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Ramon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self-administered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Spain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2006</w:t>
      </w:r>
      <w:r w:rsidR="00B10339" w:rsidRPr="00ED35A9">
        <w:rPr>
          <w:rFonts w:eastAsia="Calibri" w:cs="Times New Roman"/>
          <w:sz w:val="24"/>
          <w:szCs w:val="24"/>
          <w:lang w:val="uk-UA"/>
        </w:rPr>
        <w:t xml:space="preserve">, </w:t>
      </w:r>
      <w:r w:rsidRPr="00ED35A9">
        <w:rPr>
          <w:rFonts w:eastAsia="Calibri" w:cs="Times New Roman"/>
          <w:sz w:val="24"/>
          <w:szCs w:val="24"/>
          <w:lang w:val="uk-UA"/>
        </w:rPr>
        <w:t>10(2):</w:t>
      </w:r>
      <w:r w:rsidR="00B10339" w:rsidRPr="00ED35A9">
        <w:rPr>
          <w:rFonts w:eastAsia="Calibri" w:cs="Times New Roman"/>
          <w:sz w:val="24"/>
          <w:szCs w:val="24"/>
          <w:lang w:val="uk-UA"/>
        </w:rPr>
        <w:t xml:space="preserve"> </w:t>
      </w:r>
      <w:r w:rsidRPr="00ED35A9">
        <w:rPr>
          <w:rFonts w:eastAsia="Calibri" w:cs="Times New Roman"/>
          <w:sz w:val="24"/>
          <w:szCs w:val="24"/>
          <w:lang w:val="uk-UA"/>
        </w:rPr>
        <w:t>215</w:t>
      </w:r>
      <w:r w:rsidR="00B10339" w:rsidRPr="00ED35A9">
        <w:rPr>
          <w:rFonts w:eastAsia="Calibri" w:cs="Times New Roman"/>
          <w:sz w:val="24"/>
          <w:szCs w:val="24"/>
          <w:lang w:val="uk-UA"/>
        </w:rPr>
        <w:t>–2</w:t>
      </w:r>
      <w:r w:rsidRPr="00ED35A9">
        <w:rPr>
          <w:rFonts w:eastAsia="Calibri" w:cs="Times New Roman"/>
          <w:sz w:val="24"/>
          <w:szCs w:val="24"/>
          <w:lang w:val="uk-UA"/>
        </w:rPr>
        <w:t>21.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Cayla</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Caminero</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Rey</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Lara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Valles</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Galdos-TangQis</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Current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completion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fatality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Spain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2004</w:t>
      </w:r>
      <w:r w:rsidR="00B10339" w:rsidRPr="00ED35A9">
        <w:rPr>
          <w:rFonts w:eastAsia="Calibri" w:cs="Times New Roman"/>
          <w:sz w:val="24"/>
          <w:szCs w:val="24"/>
          <w:lang w:val="uk-UA"/>
        </w:rPr>
        <w:t xml:space="preserve">, </w:t>
      </w:r>
      <w:r w:rsidRPr="00ED35A9">
        <w:rPr>
          <w:rFonts w:eastAsia="Calibri" w:cs="Times New Roman"/>
          <w:sz w:val="24"/>
          <w:szCs w:val="24"/>
          <w:lang w:val="uk-UA"/>
        </w:rPr>
        <w:t>8(4):</w:t>
      </w:r>
      <w:r w:rsidR="00B10339" w:rsidRPr="00ED35A9">
        <w:rPr>
          <w:rFonts w:eastAsia="Calibri" w:cs="Times New Roman"/>
          <w:sz w:val="24"/>
          <w:szCs w:val="24"/>
          <w:lang w:val="uk-UA"/>
        </w:rPr>
        <w:t xml:space="preserve"> </w:t>
      </w:r>
      <w:r w:rsidRPr="00ED35A9">
        <w:rPr>
          <w:rFonts w:eastAsia="Calibri" w:cs="Times New Roman"/>
          <w:sz w:val="24"/>
          <w:szCs w:val="24"/>
          <w:lang w:val="uk-UA"/>
        </w:rPr>
        <w:t>458</w:t>
      </w:r>
      <w:r w:rsidR="00B10339" w:rsidRPr="00ED35A9">
        <w:rPr>
          <w:rFonts w:eastAsia="Calibri" w:cs="Times New Roman"/>
          <w:sz w:val="24"/>
          <w:szCs w:val="24"/>
          <w:lang w:val="uk-UA"/>
        </w:rPr>
        <w:t>–4</w:t>
      </w:r>
      <w:r w:rsidRPr="00ED35A9">
        <w:rPr>
          <w:rFonts w:eastAsia="Calibri" w:cs="Times New Roman"/>
          <w:sz w:val="24"/>
          <w:szCs w:val="24"/>
          <w:lang w:val="uk-UA"/>
        </w:rPr>
        <w:t>64.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Colvin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Gumede</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Grimwade</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Maher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Wilkinson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Contribution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traditional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Hlabisa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2003</w:t>
      </w:r>
      <w:r w:rsidR="00B10339" w:rsidRPr="00ED35A9">
        <w:rPr>
          <w:rFonts w:eastAsia="Calibri" w:cs="Times New Roman"/>
          <w:sz w:val="24"/>
          <w:szCs w:val="24"/>
          <w:lang w:val="uk-UA"/>
        </w:rPr>
        <w:t xml:space="preserve">, </w:t>
      </w:r>
      <w:r w:rsidRPr="00ED35A9">
        <w:rPr>
          <w:rFonts w:eastAsia="Calibri" w:cs="Times New Roman"/>
          <w:sz w:val="24"/>
          <w:szCs w:val="24"/>
          <w:lang w:val="uk-UA"/>
        </w:rPr>
        <w:t>7(9):</w:t>
      </w:r>
      <w:r w:rsidR="00B10339" w:rsidRPr="00ED35A9">
        <w:rPr>
          <w:rFonts w:eastAsia="Calibri" w:cs="Times New Roman"/>
          <w:sz w:val="24"/>
          <w:szCs w:val="24"/>
          <w:lang w:val="uk-UA"/>
        </w:rPr>
        <w:t xml:space="preserve"> </w:t>
      </w:r>
      <w:r w:rsidRPr="00ED35A9">
        <w:rPr>
          <w:rFonts w:eastAsia="Calibri" w:cs="Times New Roman"/>
          <w:sz w:val="24"/>
          <w:szCs w:val="24"/>
          <w:lang w:val="uk-UA"/>
        </w:rPr>
        <w:t>S86</w:t>
      </w:r>
      <w:r w:rsidR="00B10339" w:rsidRPr="00ED35A9">
        <w:rPr>
          <w:rFonts w:eastAsia="Calibri" w:cs="Times New Roman"/>
          <w:sz w:val="24"/>
          <w:szCs w:val="24"/>
          <w:lang w:val="uk-UA"/>
        </w:rPr>
        <w:t>–S</w:t>
      </w:r>
      <w:r w:rsidRPr="00ED35A9">
        <w:rPr>
          <w:rFonts w:eastAsia="Calibri" w:cs="Times New Roman"/>
          <w:sz w:val="24"/>
          <w:szCs w:val="24"/>
          <w:lang w:val="uk-UA"/>
        </w:rPr>
        <w:t>91.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Singh</w:t>
      </w:r>
      <w:proofErr w:type="spellEnd"/>
      <w:r w:rsidRPr="00ED35A9">
        <w:rPr>
          <w:rFonts w:eastAsia="Calibri" w:cs="Times New Roman"/>
          <w:sz w:val="24"/>
          <w:szCs w:val="24"/>
          <w:lang w:val="uk-UA"/>
        </w:rPr>
        <w:t xml:space="preserve"> AA, </w:t>
      </w:r>
      <w:proofErr w:type="spellStart"/>
      <w:r w:rsidRPr="00ED35A9">
        <w:rPr>
          <w:rFonts w:eastAsia="Calibri" w:cs="Times New Roman"/>
          <w:sz w:val="24"/>
          <w:szCs w:val="24"/>
          <w:lang w:val="uk-UA"/>
        </w:rPr>
        <w:t>Parasher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Shekhavat</w:t>
      </w:r>
      <w:proofErr w:type="spellEnd"/>
      <w:r w:rsidRPr="00ED35A9">
        <w:rPr>
          <w:rFonts w:eastAsia="Calibri" w:cs="Times New Roman"/>
          <w:sz w:val="24"/>
          <w:szCs w:val="24"/>
          <w:lang w:val="uk-UA"/>
        </w:rPr>
        <w:t xml:space="preserve"> GS, </w:t>
      </w:r>
      <w:proofErr w:type="spellStart"/>
      <w:r w:rsidRPr="00ED35A9">
        <w:rPr>
          <w:rFonts w:eastAsia="Calibri" w:cs="Times New Roman"/>
          <w:sz w:val="24"/>
          <w:szCs w:val="24"/>
          <w:lang w:val="uk-UA"/>
        </w:rPr>
        <w:t>Sahu</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Wares</w:t>
      </w:r>
      <w:proofErr w:type="spellEnd"/>
      <w:r w:rsidRPr="00ED35A9">
        <w:rPr>
          <w:rFonts w:eastAsia="Calibri" w:cs="Times New Roman"/>
          <w:sz w:val="24"/>
          <w:szCs w:val="24"/>
          <w:lang w:val="uk-UA"/>
        </w:rPr>
        <w:t xml:space="preserve"> DF, </w:t>
      </w:r>
      <w:proofErr w:type="spellStart"/>
      <w:r w:rsidRPr="00ED35A9">
        <w:rPr>
          <w:rFonts w:eastAsia="Calibri" w:cs="Times New Roman"/>
          <w:sz w:val="24"/>
          <w:szCs w:val="24"/>
          <w:lang w:val="uk-UA"/>
        </w:rPr>
        <w:t>Granich</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volunteers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field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Haryana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North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2004</w:t>
      </w:r>
      <w:r w:rsidR="00B10339" w:rsidRPr="00ED35A9">
        <w:rPr>
          <w:rFonts w:eastAsia="Calibri" w:cs="Times New Roman"/>
          <w:sz w:val="24"/>
          <w:szCs w:val="24"/>
          <w:lang w:val="uk-UA"/>
        </w:rPr>
        <w:t xml:space="preserve">, </w:t>
      </w:r>
      <w:r w:rsidRPr="00ED35A9">
        <w:rPr>
          <w:rFonts w:eastAsia="Calibri" w:cs="Times New Roman"/>
          <w:sz w:val="24"/>
          <w:szCs w:val="24"/>
          <w:lang w:val="uk-UA"/>
        </w:rPr>
        <w:t>8(6):</w:t>
      </w:r>
      <w:r w:rsidR="00B10339" w:rsidRPr="00ED35A9">
        <w:rPr>
          <w:rFonts w:eastAsia="Calibri" w:cs="Times New Roman"/>
          <w:sz w:val="24"/>
          <w:szCs w:val="24"/>
          <w:lang w:val="uk-UA"/>
        </w:rPr>
        <w:t xml:space="preserve"> </w:t>
      </w:r>
      <w:r w:rsidRPr="00ED35A9">
        <w:rPr>
          <w:rFonts w:eastAsia="Calibri" w:cs="Times New Roman"/>
          <w:sz w:val="24"/>
          <w:szCs w:val="24"/>
          <w:lang w:val="uk-UA"/>
        </w:rPr>
        <w:t>800</w:t>
      </w:r>
      <w:r w:rsidR="00B10339" w:rsidRPr="00ED35A9">
        <w:rPr>
          <w:rFonts w:eastAsia="Calibri" w:cs="Times New Roman"/>
          <w:sz w:val="24"/>
          <w:szCs w:val="24"/>
          <w:lang w:val="uk-UA"/>
        </w:rPr>
        <w:t>–80</w:t>
      </w:r>
      <w:r w:rsidRPr="00ED35A9">
        <w:rPr>
          <w:rFonts w:eastAsia="Calibri" w:cs="Times New Roman"/>
          <w:sz w:val="24"/>
          <w:szCs w:val="24"/>
          <w:lang w:val="uk-UA"/>
        </w:rPr>
        <w:t>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Kingkaew</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Sangtong</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Amnuaiphon</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Jongpaibulpatana</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Anuwatnonthakate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family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members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Vachira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Phuket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w:t>
      </w:r>
      <w:proofErr w:type="spellEnd"/>
      <w:r w:rsidRPr="00ED35A9">
        <w:rPr>
          <w:rFonts w:eastAsia="Calibri" w:cs="Times New Roman"/>
          <w:sz w:val="24"/>
          <w:szCs w:val="24"/>
          <w:lang w:val="uk-UA"/>
        </w:rPr>
        <w:t>, 2005</w:t>
      </w:r>
      <w:r w:rsidR="00B10339" w:rsidRPr="00ED35A9">
        <w:rPr>
          <w:rFonts w:eastAsia="Calibri" w:cs="Times New Roman"/>
          <w:sz w:val="24"/>
          <w:szCs w:val="24"/>
          <w:lang w:val="uk-UA"/>
        </w:rPr>
        <w:t>–</w:t>
      </w:r>
      <w:r w:rsidRPr="00ED35A9">
        <w:rPr>
          <w:rFonts w:eastAsia="Calibri" w:cs="Times New Roman"/>
          <w:sz w:val="24"/>
          <w:szCs w:val="24"/>
          <w:lang w:val="uk-UA"/>
        </w:rPr>
        <w:t xml:space="preserve">2006.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Syst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2008</w:t>
      </w:r>
      <w:r w:rsidR="00B10339" w:rsidRPr="00ED35A9">
        <w:rPr>
          <w:rFonts w:eastAsia="Calibri" w:cs="Times New Roman"/>
          <w:sz w:val="24"/>
          <w:szCs w:val="24"/>
          <w:lang w:val="uk-UA"/>
        </w:rPr>
        <w:t xml:space="preserve">, </w:t>
      </w:r>
      <w:r w:rsidRPr="00ED35A9">
        <w:rPr>
          <w:rFonts w:eastAsia="Calibri" w:cs="Times New Roman"/>
          <w:sz w:val="24"/>
          <w:szCs w:val="24"/>
          <w:lang w:val="uk-UA"/>
        </w:rPr>
        <w:t>2(2):</w:t>
      </w:r>
      <w:r w:rsidR="00B10339" w:rsidRPr="00ED35A9">
        <w:rPr>
          <w:rFonts w:eastAsia="Calibri" w:cs="Times New Roman"/>
          <w:sz w:val="24"/>
          <w:szCs w:val="24"/>
          <w:lang w:val="uk-UA"/>
        </w:rPr>
        <w:t xml:space="preserve"> </w:t>
      </w:r>
      <w:r w:rsidRPr="00ED35A9">
        <w:rPr>
          <w:rFonts w:eastAsia="Calibri" w:cs="Times New Roman"/>
          <w:sz w:val="24"/>
          <w:szCs w:val="24"/>
          <w:lang w:val="uk-UA"/>
        </w:rPr>
        <w:t>1127</w:t>
      </w:r>
      <w:r w:rsidR="00B10339" w:rsidRPr="00ED35A9">
        <w:rPr>
          <w:rFonts w:eastAsia="Calibri" w:cs="Times New Roman"/>
          <w:sz w:val="24"/>
          <w:szCs w:val="24"/>
          <w:lang w:val="uk-UA"/>
        </w:rPr>
        <w:t>–11</w:t>
      </w:r>
      <w:r w:rsidRPr="00ED35A9">
        <w:rPr>
          <w:rFonts w:eastAsia="Calibri" w:cs="Times New Roman"/>
          <w:sz w:val="24"/>
          <w:szCs w:val="24"/>
          <w:lang w:val="uk-UA"/>
        </w:rPr>
        <w:t>34.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Tripathy</w:t>
      </w:r>
      <w:proofErr w:type="spellEnd"/>
      <w:r w:rsidRPr="00ED35A9">
        <w:rPr>
          <w:rFonts w:eastAsia="Calibri" w:cs="Times New Roman"/>
          <w:sz w:val="24"/>
          <w:szCs w:val="24"/>
          <w:lang w:val="uk-UA"/>
        </w:rPr>
        <w:t xml:space="preserve"> SK, </w:t>
      </w:r>
      <w:proofErr w:type="spellStart"/>
      <w:r w:rsidRPr="00ED35A9">
        <w:rPr>
          <w:rFonts w:eastAsia="Calibri" w:cs="Times New Roman"/>
          <w:sz w:val="24"/>
          <w:szCs w:val="24"/>
          <w:lang w:val="uk-UA"/>
        </w:rPr>
        <w:t>Kumar</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Sagili</w:t>
      </w:r>
      <w:proofErr w:type="spellEnd"/>
      <w:r w:rsidRPr="00ED35A9">
        <w:rPr>
          <w:rFonts w:eastAsia="Calibri" w:cs="Times New Roman"/>
          <w:sz w:val="24"/>
          <w:szCs w:val="24"/>
          <w:lang w:val="uk-UA"/>
        </w:rPr>
        <w:t xml:space="preserve"> KD, </w:t>
      </w:r>
      <w:proofErr w:type="spellStart"/>
      <w:r w:rsidRPr="00ED35A9">
        <w:rPr>
          <w:rFonts w:eastAsia="Calibri" w:cs="Times New Roman"/>
          <w:sz w:val="24"/>
          <w:szCs w:val="24"/>
          <w:lang w:val="uk-UA"/>
        </w:rPr>
        <w:t>Enarson</w:t>
      </w:r>
      <w:proofErr w:type="spellEnd"/>
      <w:r w:rsidRPr="00ED35A9">
        <w:rPr>
          <w:rFonts w:eastAsia="Calibri" w:cs="Times New Roman"/>
          <w:sz w:val="24"/>
          <w:szCs w:val="24"/>
          <w:lang w:val="uk-UA"/>
        </w:rPr>
        <w:t xml:space="preserve"> DA.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Bangalore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India</w:t>
      </w:r>
      <w:proofErr w:type="spellEnd"/>
      <w:r w:rsidRPr="00ED35A9">
        <w:rPr>
          <w:rFonts w:eastAsia="Calibri" w:cs="Times New Roman"/>
          <w:sz w:val="24"/>
          <w:szCs w:val="24"/>
          <w:lang w:val="uk-UA"/>
        </w:rPr>
        <w:t>, 2010</w:t>
      </w:r>
      <w:r w:rsidR="00B10339" w:rsidRPr="00ED35A9">
        <w:rPr>
          <w:rFonts w:eastAsia="Calibri" w:cs="Times New Roman"/>
          <w:sz w:val="24"/>
          <w:szCs w:val="24"/>
          <w:lang w:val="uk-UA"/>
        </w:rPr>
        <w:t>–</w:t>
      </w:r>
      <w:r w:rsidRPr="00ED35A9">
        <w:rPr>
          <w:rFonts w:eastAsia="Calibri" w:cs="Times New Roman"/>
          <w:sz w:val="24"/>
          <w:szCs w:val="24"/>
          <w:lang w:val="uk-UA"/>
        </w:rPr>
        <w:t xml:space="preserve">2011. </w:t>
      </w:r>
      <w:proofErr w:type="spellStart"/>
      <w:r w:rsidRPr="00ED35A9">
        <w:rPr>
          <w:rFonts w:eastAsia="Calibri" w:cs="Times New Roman"/>
          <w:i/>
          <w:sz w:val="24"/>
          <w:szCs w:val="24"/>
          <w:lang w:val="uk-UA"/>
        </w:rPr>
        <w:t>Public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Action</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3(3):</w:t>
      </w:r>
      <w:r w:rsidR="00B10339" w:rsidRPr="00ED35A9">
        <w:rPr>
          <w:rFonts w:eastAsia="Calibri" w:cs="Times New Roman"/>
          <w:sz w:val="24"/>
          <w:szCs w:val="24"/>
          <w:lang w:val="uk-UA"/>
        </w:rPr>
        <w:t xml:space="preserve"> </w:t>
      </w:r>
      <w:r w:rsidRPr="00ED35A9">
        <w:rPr>
          <w:rFonts w:eastAsia="Calibri" w:cs="Times New Roman"/>
          <w:sz w:val="24"/>
          <w:szCs w:val="24"/>
          <w:lang w:val="uk-UA"/>
        </w:rPr>
        <w:t>230</w:t>
      </w:r>
      <w:r w:rsidR="00B10339" w:rsidRPr="00ED35A9">
        <w:rPr>
          <w:rFonts w:eastAsia="Calibri" w:cs="Times New Roman"/>
          <w:sz w:val="24"/>
          <w:szCs w:val="24"/>
          <w:lang w:val="uk-UA"/>
        </w:rPr>
        <w:t>–23</w:t>
      </w:r>
      <w:r w:rsidRPr="00ED35A9">
        <w:rPr>
          <w:rFonts w:eastAsia="Calibri" w:cs="Times New Roman"/>
          <w:sz w:val="24"/>
          <w:szCs w:val="24"/>
          <w:lang w:val="uk-UA"/>
        </w:rPr>
        <w:t>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Wilkinson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Davies</w:t>
      </w:r>
      <w:proofErr w:type="spellEnd"/>
      <w:r w:rsidRPr="00ED35A9">
        <w:rPr>
          <w:rFonts w:eastAsia="Calibri" w:cs="Times New Roman"/>
          <w:sz w:val="24"/>
          <w:szCs w:val="24"/>
          <w:lang w:val="uk-UA"/>
        </w:rPr>
        <w:t xml:space="preserve"> GR. </w:t>
      </w:r>
      <w:proofErr w:type="spellStart"/>
      <w:r w:rsidRPr="00ED35A9">
        <w:rPr>
          <w:rFonts w:eastAsia="Calibri" w:cs="Times New Roman"/>
          <w:sz w:val="24"/>
          <w:szCs w:val="24"/>
          <w:lang w:val="uk-UA"/>
        </w:rPr>
        <w:t>Coping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increasing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burden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supervisors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essential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component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DOT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1997</w:t>
      </w:r>
      <w:r w:rsidR="00B10339" w:rsidRPr="00ED35A9">
        <w:rPr>
          <w:rFonts w:eastAsia="Calibri" w:cs="Times New Roman"/>
          <w:sz w:val="24"/>
          <w:szCs w:val="24"/>
          <w:lang w:val="uk-UA"/>
        </w:rPr>
        <w:t xml:space="preserve">, </w:t>
      </w:r>
      <w:r w:rsidRPr="00ED35A9">
        <w:rPr>
          <w:rFonts w:eastAsia="Calibri" w:cs="Times New Roman"/>
          <w:sz w:val="24"/>
          <w:szCs w:val="24"/>
          <w:lang w:val="uk-UA"/>
        </w:rPr>
        <w:t>2(7):</w:t>
      </w:r>
      <w:r w:rsidR="00B10339" w:rsidRPr="00ED35A9">
        <w:rPr>
          <w:rFonts w:eastAsia="Calibri" w:cs="Times New Roman"/>
          <w:sz w:val="24"/>
          <w:szCs w:val="24"/>
          <w:lang w:val="uk-UA"/>
        </w:rPr>
        <w:t xml:space="preserve"> </w:t>
      </w:r>
      <w:r w:rsidRPr="00ED35A9">
        <w:rPr>
          <w:rFonts w:eastAsia="Calibri" w:cs="Times New Roman"/>
          <w:sz w:val="24"/>
          <w:szCs w:val="24"/>
          <w:lang w:val="uk-UA"/>
        </w:rPr>
        <w:t>700</w:t>
      </w:r>
      <w:r w:rsidR="00B10339" w:rsidRPr="00ED35A9">
        <w:rPr>
          <w:rFonts w:eastAsia="Calibri" w:cs="Times New Roman"/>
          <w:sz w:val="24"/>
          <w:szCs w:val="24"/>
          <w:lang w:val="uk-UA"/>
        </w:rPr>
        <w:t>–70</w:t>
      </w:r>
      <w:r w:rsidRPr="00ED35A9">
        <w:rPr>
          <w:rFonts w:eastAsia="Calibri" w:cs="Times New Roman"/>
          <w:sz w:val="24"/>
          <w:szCs w:val="24"/>
          <w:lang w:val="uk-UA"/>
        </w:rPr>
        <w:t>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Lwilla</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Schellenberg</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Masanja</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Acosta</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Galindo</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Aponte</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et</w:t>
      </w:r>
      <w:proofErr w:type="spellEnd"/>
      <w:r w:rsidR="00B10339"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institutional-based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short-course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Kilombero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district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Tanzania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2003</w:t>
      </w:r>
      <w:r w:rsidR="00B10339" w:rsidRPr="00ED35A9">
        <w:rPr>
          <w:rFonts w:eastAsia="Calibri" w:cs="Times New Roman"/>
          <w:sz w:val="24"/>
          <w:szCs w:val="24"/>
          <w:lang w:val="uk-UA"/>
        </w:rPr>
        <w:t xml:space="preserve">, </w:t>
      </w:r>
      <w:r w:rsidRPr="00ED35A9">
        <w:rPr>
          <w:rFonts w:eastAsia="Calibri" w:cs="Times New Roman"/>
          <w:sz w:val="24"/>
          <w:szCs w:val="24"/>
          <w:lang w:val="uk-UA"/>
        </w:rPr>
        <w:t>8(3):</w:t>
      </w:r>
      <w:r w:rsidR="00B10339" w:rsidRPr="00ED35A9">
        <w:rPr>
          <w:rFonts w:eastAsia="Calibri" w:cs="Times New Roman"/>
          <w:sz w:val="24"/>
          <w:szCs w:val="24"/>
          <w:lang w:val="uk-UA"/>
        </w:rPr>
        <w:t xml:space="preserve"> </w:t>
      </w:r>
      <w:r w:rsidRPr="00ED35A9">
        <w:rPr>
          <w:rFonts w:eastAsia="Calibri" w:cs="Times New Roman"/>
          <w:sz w:val="24"/>
          <w:szCs w:val="24"/>
          <w:lang w:val="uk-UA"/>
        </w:rPr>
        <w:t>204</w:t>
      </w:r>
      <w:r w:rsidR="00B10339" w:rsidRPr="00ED35A9">
        <w:rPr>
          <w:rFonts w:eastAsia="Calibri" w:cs="Times New Roman"/>
          <w:sz w:val="24"/>
          <w:szCs w:val="24"/>
          <w:lang w:val="uk-UA"/>
        </w:rPr>
        <w:t>–2</w:t>
      </w:r>
      <w:r w:rsidRPr="00ED35A9">
        <w:rPr>
          <w:rFonts w:eastAsia="Calibri" w:cs="Times New Roman"/>
          <w:sz w:val="24"/>
          <w:szCs w:val="24"/>
          <w:lang w:val="uk-UA"/>
        </w:rPr>
        <w:t>10.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Wandwalo</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Kapalata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Egwaga</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Morkve</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Tanzania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2004</w:t>
      </w:r>
      <w:r w:rsidR="00B10339" w:rsidRPr="00ED35A9">
        <w:rPr>
          <w:rFonts w:eastAsia="Calibri" w:cs="Times New Roman"/>
          <w:sz w:val="24"/>
          <w:szCs w:val="24"/>
          <w:lang w:val="uk-UA"/>
        </w:rPr>
        <w:t xml:space="preserve">, </w:t>
      </w:r>
      <w:r w:rsidRPr="00ED35A9">
        <w:rPr>
          <w:rFonts w:eastAsia="Calibri" w:cs="Times New Roman"/>
          <w:sz w:val="24"/>
          <w:szCs w:val="24"/>
          <w:lang w:val="uk-UA"/>
        </w:rPr>
        <w:t>8(10):</w:t>
      </w:r>
      <w:r w:rsidR="00B10339" w:rsidRPr="00ED35A9">
        <w:rPr>
          <w:rFonts w:eastAsia="Calibri" w:cs="Times New Roman"/>
          <w:sz w:val="24"/>
          <w:szCs w:val="24"/>
          <w:lang w:val="uk-UA"/>
        </w:rPr>
        <w:t xml:space="preserve"> </w:t>
      </w:r>
      <w:r w:rsidRPr="00ED35A9">
        <w:rPr>
          <w:rFonts w:eastAsia="Calibri" w:cs="Times New Roman"/>
          <w:sz w:val="24"/>
          <w:szCs w:val="24"/>
          <w:lang w:val="uk-UA"/>
        </w:rPr>
        <w:t>1248</w:t>
      </w:r>
      <w:r w:rsidR="00B10339" w:rsidRPr="00ED35A9">
        <w:rPr>
          <w:rFonts w:eastAsia="Calibri" w:cs="Times New Roman"/>
          <w:sz w:val="24"/>
          <w:szCs w:val="24"/>
          <w:lang w:val="uk-UA"/>
        </w:rPr>
        <w:t>–12</w:t>
      </w:r>
      <w:r w:rsidRPr="00ED35A9">
        <w:rPr>
          <w:rFonts w:eastAsia="Calibri" w:cs="Times New Roman"/>
          <w:sz w:val="24"/>
          <w:szCs w:val="24"/>
          <w:lang w:val="uk-UA"/>
        </w:rPr>
        <w:t>54.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Wright</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Walley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Philip</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Pushpananthan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Dlamini</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Newell</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versus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family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members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2004</w:t>
      </w:r>
      <w:r w:rsidR="00B10339" w:rsidRPr="00ED35A9">
        <w:rPr>
          <w:rFonts w:eastAsia="Calibri" w:cs="Times New Roman"/>
          <w:sz w:val="24"/>
          <w:szCs w:val="24"/>
          <w:lang w:val="uk-UA"/>
        </w:rPr>
        <w:t xml:space="preserve">, </w:t>
      </w:r>
      <w:r w:rsidRPr="00ED35A9">
        <w:rPr>
          <w:rFonts w:eastAsia="Calibri" w:cs="Times New Roman"/>
          <w:sz w:val="24"/>
          <w:szCs w:val="24"/>
          <w:lang w:val="uk-UA"/>
        </w:rPr>
        <w:t>9(5):</w:t>
      </w:r>
      <w:r w:rsidR="00B10339" w:rsidRPr="00ED35A9">
        <w:rPr>
          <w:rFonts w:eastAsia="Calibri" w:cs="Times New Roman"/>
          <w:sz w:val="24"/>
          <w:szCs w:val="24"/>
          <w:lang w:val="uk-UA"/>
        </w:rPr>
        <w:t xml:space="preserve"> </w:t>
      </w:r>
      <w:r w:rsidRPr="00ED35A9">
        <w:rPr>
          <w:rFonts w:eastAsia="Calibri" w:cs="Times New Roman"/>
          <w:sz w:val="24"/>
          <w:szCs w:val="24"/>
          <w:lang w:val="uk-UA"/>
        </w:rPr>
        <w:t>559</w:t>
      </w:r>
      <w:r w:rsidR="00B10339" w:rsidRPr="00ED35A9">
        <w:rPr>
          <w:rFonts w:eastAsia="Calibri" w:cs="Times New Roman"/>
          <w:sz w:val="24"/>
          <w:szCs w:val="24"/>
          <w:lang w:val="uk-UA"/>
        </w:rPr>
        <w:t>–5</w:t>
      </w:r>
      <w:r w:rsidRPr="00ED35A9">
        <w:rPr>
          <w:rFonts w:eastAsia="Calibri" w:cs="Times New Roman"/>
          <w:sz w:val="24"/>
          <w:szCs w:val="24"/>
          <w:lang w:val="uk-UA"/>
        </w:rPr>
        <w:t>65.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Newell</w:t>
      </w:r>
      <w:proofErr w:type="spellEnd"/>
      <w:r w:rsidRPr="00ED35A9">
        <w:rPr>
          <w:rFonts w:eastAsia="Calibri" w:cs="Times New Roman"/>
          <w:sz w:val="24"/>
          <w:szCs w:val="24"/>
          <w:lang w:val="uk-UA"/>
        </w:rPr>
        <w:t xml:space="preserve"> JN, </w:t>
      </w:r>
      <w:proofErr w:type="spellStart"/>
      <w:r w:rsidRPr="00ED35A9">
        <w:rPr>
          <w:rFonts w:eastAsia="Calibri" w:cs="Times New Roman"/>
          <w:sz w:val="24"/>
          <w:szCs w:val="24"/>
          <w:lang w:val="uk-UA"/>
        </w:rPr>
        <w:t>Baral</w:t>
      </w:r>
      <w:proofErr w:type="spellEnd"/>
      <w:r w:rsidRPr="00ED35A9">
        <w:rPr>
          <w:rFonts w:eastAsia="Calibri" w:cs="Times New Roman"/>
          <w:sz w:val="24"/>
          <w:szCs w:val="24"/>
          <w:lang w:val="uk-UA"/>
        </w:rPr>
        <w:t xml:space="preserve"> SC, </w:t>
      </w:r>
      <w:proofErr w:type="spellStart"/>
      <w:r w:rsidRPr="00ED35A9">
        <w:rPr>
          <w:rFonts w:eastAsia="Calibri" w:cs="Times New Roman"/>
          <w:sz w:val="24"/>
          <w:szCs w:val="24"/>
          <w:lang w:val="uk-UA"/>
        </w:rPr>
        <w:t>Pande</w:t>
      </w:r>
      <w:proofErr w:type="spellEnd"/>
      <w:r w:rsidRPr="00ED35A9">
        <w:rPr>
          <w:rFonts w:eastAsia="Calibri" w:cs="Times New Roman"/>
          <w:sz w:val="24"/>
          <w:szCs w:val="24"/>
          <w:lang w:val="uk-UA"/>
        </w:rPr>
        <w:t xml:space="preserve"> SB, </w:t>
      </w:r>
      <w:proofErr w:type="spellStart"/>
      <w:r w:rsidRPr="00ED35A9">
        <w:rPr>
          <w:rFonts w:eastAsia="Calibri" w:cs="Times New Roman"/>
          <w:sz w:val="24"/>
          <w:szCs w:val="24"/>
          <w:lang w:val="uk-UA"/>
        </w:rPr>
        <w:t>Bam</w:t>
      </w:r>
      <w:proofErr w:type="spellEnd"/>
      <w:r w:rsidRPr="00ED35A9">
        <w:rPr>
          <w:rFonts w:eastAsia="Calibri" w:cs="Times New Roman"/>
          <w:sz w:val="24"/>
          <w:szCs w:val="24"/>
          <w:lang w:val="uk-UA"/>
        </w:rPr>
        <w:t xml:space="preserve"> DS, </w:t>
      </w:r>
      <w:proofErr w:type="spellStart"/>
      <w:r w:rsidRPr="00ED35A9">
        <w:rPr>
          <w:rFonts w:eastAsia="Calibri" w:cs="Times New Roman"/>
          <w:sz w:val="24"/>
          <w:szCs w:val="24"/>
          <w:lang w:val="uk-UA"/>
        </w:rPr>
        <w:t>Malla</w:t>
      </w:r>
      <w:proofErr w:type="spellEnd"/>
      <w:r w:rsidRPr="00ED35A9">
        <w:rPr>
          <w:rFonts w:eastAsia="Calibri" w:cs="Times New Roman"/>
          <w:sz w:val="24"/>
          <w:szCs w:val="24"/>
          <w:lang w:val="uk-UA"/>
        </w:rPr>
        <w:t xml:space="preserve"> P</w:t>
      </w:r>
      <w:r w:rsidR="00B1033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Family-member</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Nepal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cluster-randomised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2006</w:t>
      </w:r>
      <w:r w:rsidR="00B10339" w:rsidRPr="00ED35A9">
        <w:rPr>
          <w:rFonts w:eastAsia="Calibri" w:cs="Times New Roman"/>
          <w:sz w:val="24"/>
          <w:szCs w:val="24"/>
          <w:lang w:val="uk-UA"/>
        </w:rPr>
        <w:t xml:space="preserve">, </w:t>
      </w:r>
      <w:r w:rsidRPr="00ED35A9">
        <w:rPr>
          <w:rFonts w:eastAsia="Calibri" w:cs="Times New Roman"/>
          <w:sz w:val="24"/>
          <w:szCs w:val="24"/>
          <w:lang w:val="uk-UA"/>
        </w:rPr>
        <w:t>367(9514):</w:t>
      </w:r>
      <w:r w:rsidR="00B10339" w:rsidRPr="00ED35A9">
        <w:rPr>
          <w:rFonts w:eastAsia="Calibri" w:cs="Times New Roman"/>
          <w:sz w:val="24"/>
          <w:szCs w:val="24"/>
          <w:lang w:val="uk-UA"/>
        </w:rPr>
        <w:t xml:space="preserve"> </w:t>
      </w:r>
      <w:r w:rsidRPr="00ED35A9">
        <w:rPr>
          <w:rFonts w:eastAsia="Calibri" w:cs="Times New Roman"/>
          <w:sz w:val="24"/>
          <w:szCs w:val="24"/>
          <w:lang w:val="uk-UA"/>
        </w:rPr>
        <w:t>903</w:t>
      </w:r>
      <w:r w:rsidR="00B10339" w:rsidRPr="00ED35A9">
        <w:rPr>
          <w:rFonts w:eastAsia="Calibri" w:cs="Times New Roman"/>
          <w:sz w:val="24"/>
          <w:szCs w:val="24"/>
          <w:lang w:val="uk-UA"/>
        </w:rPr>
        <w:t>–90</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Farmer</w:t>
      </w:r>
      <w:proofErr w:type="spellEnd"/>
      <w:r w:rsidRPr="00ED35A9">
        <w:rPr>
          <w:rFonts w:eastAsia="Calibri" w:cs="Times New Roman"/>
          <w:sz w:val="24"/>
          <w:szCs w:val="24"/>
          <w:lang w:val="uk-UA"/>
        </w:rPr>
        <w:t xml:space="preserve"> P</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Robin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Ramilus</w:t>
      </w:r>
      <w:proofErr w:type="spellEnd"/>
      <w:r w:rsidRPr="00ED35A9">
        <w:rPr>
          <w:rFonts w:eastAsia="Calibri" w:cs="Times New Roman"/>
          <w:sz w:val="24"/>
          <w:szCs w:val="24"/>
          <w:lang w:val="uk-UA"/>
        </w:rPr>
        <w:t xml:space="preserve"> SL, </w:t>
      </w:r>
      <w:proofErr w:type="spellStart"/>
      <w:r w:rsidRPr="00ED35A9">
        <w:rPr>
          <w:rFonts w:eastAsia="Calibri" w:cs="Times New Roman"/>
          <w:sz w:val="24"/>
          <w:szCs w:val="24"/>
          <w:lang w:val="uk-UA"/>
        </w:rPr>
        <w:t>Kim</w:t>
      </w:r>
      <w:proofErr w:type="spellEnd"/>
      <w:r w:rsidRPr="00ED35A9">
        <w:rPr>
          <w:rFonts w:eastAsia="Calibri" w:cs="Times New Roman"/>
          <w:sz w:val="24"/>
          <w:szCs w:val="24"/>
          <w:lang w:val="uk-UA"/>
        </w:rPr>
        <w:t xml:space="preserve"> JY.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poverty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r w:rsidR="00B10339" w:rsidRPr="00ED35A9">
        <w:rPr>
          <w:rFonts w:eastAsia="Calibri" w:cs="Times New Roman"/>
          <w:sz w:val="24"/>
          <w:szCs w:val="24"/>
          <w:lang w:val="uk-UA"/>
        </w:rPr>
        <w:t>«</w:t>
      </w:r>
      <w:proofErr w:type="spellStart"/>
      <w:r w:rsidRPr="00ED35A9">
        <w:rPr>
          <w:rFonts w:eastAsia="Calibri" w:cs="Times New Roman"/>
          <w:sz w:val="24"/>
          <w:szCs w:val="24"/>
          <w:lang w:val="uk-UA"/>
        </w:rPr>
        <w:t>compliance</w:t>
      </w:r>
      <w:proofErr w:type="spellEnd"/>
      <w:r w:rsidR="00B1033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lessons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Haiti</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Semin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Infect</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1991</w:t>
      </w:r>
      <w:r w:rsidR="00B10339" w:rsidRPr="00ED35A9">
        <w:rPr>
          <w:rFonts w:eastAsia="Calibri" w:cs="Times New Roman"/>
          <w:sz w:val="24"/>
          <w:szCs w:val="24"/>
          <w:lang w:val="uk-UA"/>
        </w:rPr>
        <w:t xml:space="preserve">, </w:t>
      </w:r>
      <w:r w:rsidRPr="00ED35A9">
        <w:rPr>
          <w:rFonts w:eastAsia="Calibri" w:cs="Times New Roman"/>
          <w:sz w:val="24"/>
          <w:szCs w:val="24"/>
          <w:lang w:val="uk-UA"/>
        </w:rPr>
        <w:t>6(4):</w:t>
      </w:r>
      <w:r w:rsidR="00B10339" w:rsidRPr="00ED35A9">
        <w:rPr>
          <w:rFonts w:eastAsia="Calibri" w:cs="Times New Roman"/>
          <w:sz w:val="24"/>
          <w:szCs w:val="24"/>
          <w:lang w:val="uk-UA"/>
        </w:rPr>
        <w:t xml:space="preserve"> </w:t>
      </w:r>
      <w:r w:rsidRPr="00ED35A9">
        <w:rPr>
          <w:rFonts w:eastAsia="Calibri" w:cs="Times New Roman"/>
          <w:sz w:val="24"/>
          <w:szCs w:val="24"/>
          <w:lang w:val="uk-UA"/>
        </w:rPr>
        <w:t>254</w:t>
      </w:r>
      <w:r w:rsidR="00B10339" w:rsidRPr="00ED35A9">
        <w:rPr>
          <w:rFonts w:eastAsia="Calibri" w:cs="Times New Roman"/>
          <w:sz w:val="24"/>
          <w:szCs w:val="24"/>
          <w:lang w:val="uk-UA"/>
        </w:rPr>
        <w:t>–2</w:t>
      </w:r>
      <w:r w:rsidRPr="00ED35A9">
        <w:rPr>
          <w:rFonts w:eastAsia="Calibri" w:cs="Times New Roman"/>
          <w:sz w:val="24"/>
          <w:szCs w:val="24"/>
          <w:lang w:val="uk-UA"/>
        </w:rPr>
        <w:t>60.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Jasmer</w:t>
      </w:r>
      <w:proofErr w:type="spellEnd"/>
      <w:r w:rsidRPr="00ED35A9">
        <w:rPr>
          <w:rFonts w:eastAsia="Calibri" w:cs="Times New Roman"/>
          <w:sz w:val="24"/>
          <w:szCs w:val="24"/>
          <w:lang w:val="uk-UA"/>
        </w:rPr>
        <w:t xml:space="preserve"> RM, </w:t>
      </w:r>
      <w:proofErr w:type="spellStart"/>
      <w:r w:rsidRPr="00ED35A9">
        <w:rPr>
          <w:rFonts w:eastAsia="Calibri" w:cs="Times New Roman"/>
          <w:sz w:val="24"/>
          <w:szCs w:val="24"/>
          <w:lang w:val="uk-UA"/>
        </w:rPr>
        <w:t>Bozeman</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Schwartzman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Cave</w:t>
      </w:r>
      <w:proofErr w:type="spellEnd"/>
      <w:r w:rsidRPr="00ED35A9">
        <w:rPr>
          <w:rFonts w:eastAsia="Calibri" w:cs="Times New Roman"/>
          <w:sz w:val="24"/>
          <w:szCs w:val="24"/>
          <w:lang w:val="uk-UA"/>
        </w:rPr>
        <w:t xml:space="preserve"> MD, </w:t>
      </w:r>
      <w:proofErr w:type="spellStart"/>
      <w:r w:rsidRPr="00ED35A9">
        <w:rPr>
          <w:rFonts w:eastAsia="Calibri" w:cs="Times New Roman"/>
          <w:sz w:val="24"/>
          <w:szCs w:val="24"/>
          <w:lang w:val="uk-UA"/>
        </w:rPr>
        <w:t>Saukkonen</w:t>
      </w:r>
      <w:proofErr w:type="spellEnd"/>
      <w:r w:rsidRPr="00ED35A9">
        <w:rPr>
          <w:rFonts w:eastAsia="Calibri" w:cs="Times New Roman"/>
          <w:sz w:val="24"/>
          <w:szCs w:val="24"/>
          <w:lang w:val="uk-UA"/>
        </w:rPr>
        <w:t xml:space="preserve"> JJ, </w:t>
      </w:r>
      <w:proofErr w:type="spellStart"/>
      <w:r w:rsidRPr="00ED35A9">
        <w:rPr>
          <w:rFonts w:eastAsia="Calibri" w:cs="Times New Roman"/>
          <w:sz w:val="24"/>
          <w:szCs w:val="24"/>
          <w:lang w:val="uk-UA"/>
        </w:rPr>
        <w:t>Metchock</w:t>
      </w:r>
      <w:proofErr w:type="spellEnd"/>
      <w:r w:rsidRPr="00ED35A9">
        <w:rPr>
          <w:rFonts w:eastAsia="Calibri" w:cs="Times New Roman"/>
          <w:sz w:val="24"/>
          <w:szCs w:val="24"/>
          <w:lang w:val="uk-UA"/>
        </w:rPr>
        <w:t xml:space="preserve"> В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Recurrent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United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Canada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relapse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reinfection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Crit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Care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2004</w:t>
      </w:r>
      <w:r w:rsidR="00B10339" w:rsidRPr="00ED35A9">
        <w:rPr>
          <w:rFonts w:eastAsia="Calibri" w:cs="Times New Roman"/>
          <w:sz w:val="24"/>
          <w:szCs w:val="24"/>
          <w:lang w:val="uk-UA"/>
        </w:rPr>
        <w:t xml:space="preserve">, </w:t>
      </w:r>
      <w:r w:rsidRPr="00ED35A9">
        <w:rPr>
          <w:rFonts w:eastAsia="Calibri" w:cs="Times New Roman"/>
          <w:sz w:val="24"/>
          <w:szCs w:val="24"/>
          <w:lang w:val="uk-UA"/>
        </w:rPr>
        <w:t>170(12):</w:t>
      </w:r>
      <w:r w:rsidR="00B10339" w:rsidRPr="00ED35A9">
        <w:rPr>
          <w:rFonts w:eastAsia="Calibri" w:cs="Times New Roman"/>
          <w:sz w:val="24"/>
          <w:szCs w:val="24"/>
          <w:lang w:val="uk-UA"/>
        </w:rPr>
        <w:t xml:space="preserve"> </w:t>
      </w:r>
      <w:r w:rsidRPr="00ED35A9">
        <w:rPr>
          <w:rFonts w:eastAsia="Calibri" w:cs="Times New Roman"/>
          <w:sz w:val="24"/>
          <w:szCs w:val="24"/>
          <w:lang w:val="uk-UA"/>
        </w:rPr>
        <w:t>1360</w:t>
      </w:r>
      <w:r w:rsidR="00B10339" w:rsidRPr="00ED35A9">
        <w:rPr>
          <w:rFonts w:eastAsia="Calibri" w:cs="Times New Roman"/>
          <w:sz w:val="24"/>
          <w:szCs w:val="24"/>
          <w:lang w:val="uk-UA"/>
        </w:rPr>
        <w:t>–136</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Soares</w:t>
      </w:r>
      <w:proofErr w:type="spellEnd"/>
      <w:r w:rsidRPr="00ED35A9">
        <w:rPr>
          <w:rFonts w:eastAsia="Calibri" w:cs="Times New Roman"/>
          <w:sz w:val="24"/>
          <w:szCs w:val="24"/>
          <w:lang w:val="uk-UA"/>
        </w:rPr>
        <w:t xml:space="preserve"> EC, </w:t>
      </w:r>
      <w:proofErr w:type="spellStart"/>
      <w:r w:rsidRPr="00ED35A9">
        <w:rPr>
          <w:rFonts w:eastAsia="Calibri" w:cs="Times New Roman"/>
          <w:sz w:val="24"/>
          <w:szCs w:val="24"/>
          <w:lang w:val="uk-UA"/>
        </w:rPr>
        <w:t>Vollmer</w:t>
      </w:r>
      <w:proofErr w:type="spellEnd"/>
      <w:r w:rsidRPr="00ED35A9">
        <w:rPr>
          <w:rFonts w:eastAsia="Calibri" w:cs="Times New Roman"/>
          <w:sz w:val="24"/>
          <w:szCs w:val="24"/>
          <w:lang w:val="uk-UA"/>
        </w:rPr>
        <w:t xml:space="preserve"> WM, </w:t>
      </w:r>
      <w:proofErr w:type="spellStart"/>
      <w:r w:rsidRPr="00ED35A9">
        <w:rPr>
          <w:rFonts w:eastAsia="Calibri" w:cs="Times New Roman"/>
          <w:sz w:val="24"/>
          <w:szCs w:val="24"/>
          <w:lang w:val="uk-UA"/>
        </w:rPr>
        <w:t>Cavalcante</w:t>
      </w:r>
      <w:proofErr w:type="spellEnd"/>
      <w:r w:rsidRPr="00ED35A9">
        <w:rPr>
          <w:rFonts w:eastAsia="Calibri" w:cs="Times New Roman"/>
          <w:sz w:val="24"/>
          <w:szCs w:val="24"/>
          <w:lang w:val="uk-UA"/>
        </w:rPr>
        <w:t xml:space="preserve"> SC, </w:t>
      </w:r>
      <w:proofErr w:type="spellStart"/>
      <w:r w:rsidRPr="00ED35A9">
        <w:rPr>
          <w:rFonts w:eastAsia="Calibri" w:cs="Times New Roman"/>
          <w:sz w:val="24"/>
          <w:szCs w:val="24"/>
          <w:lang w:val="uk-UA"/>
        </w:rPr>
        <w:t>Pacheco</w:t>
      </w:r>
      <w:proofErr w:type="spellEnd"/>
      <w:r w:rsidRPr="00ED35A9">
        <w:rPr>
          <w:rFonts w:eastAsia="Calibri" w:cs="Times New Roman"/>
          <w:sz w:val="24"/>
          <w:szCs w:val="24"/>
          <w:lang w:val="uk-UA"/>
        </w:rPr>
        <w:t xml:space="preserve"> AG, </w:t>
      </w:r>
      <w:proofErr w:type="spellStart"/>
      <w:r w:rsidRPr="00ED35A9">
        <w:rPr>
          <w:rFonts w:eastAsia="Calibri" w:cs="Times New Roman"/>
          <w:sz w:val="24"/>
          <w:szCs w:val="24"/>
          <w:lang w:val="uk-UA"/>
        </w:rPr>
        <w:t>Saraceni</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Silva</w:t>
      </w:r>
      <w:proofErr w:type="spellEnd"/>
      <w:r w:rsidRPr="00ED35A9">
        <w:rPr>
          <w:rFonts w:eastAsia="Calibri" w:cs="Times New Roman"/>
          <w:sz w:val="24"/>
          <w:szCs w:val="24"/>
          <w:lang w:val="uk-UA"/>
        </w:rPr>
        <w:t xml:space="preserve"> JS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socially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vulnerable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area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beyond</w:t>
      </w:r>
      <w:proofErr w:type="spellEnd"/>
      <w:r w:rsidRPr="00ED35A9">
        <w:rPr>
          <w:rFonts w:eastAsia="Calibri" w:cs="Times New Roman"/>
          <w:sz w:val="24"/>
          <w:szCs w:val="24"/>
          <w:lang w:val="uk-UA"/>
        </w:rPr>
        <w:t xml:space="preserve"> DOT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Brazilian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favela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17(12):</w:t>
      </w:r>
      <w:r w:rsidR="00B10339" w:rsidRPr="00ED35A9">
        <w:rPr>
          <w:rFonts w:eastAsia="Calibri" w:cs="Times New Roman"/>
          <w:sz w:val="24"/>
          <w:szCs w:val="24"/>
          <w:lang w:val="uk-UA"/>
        </w:rPr>
        <w:t xml:space="preserve"> </w:t>
      </w:r>
      <w:r w:rsidRPr="00ED35A9">
        <w:rPr>
          <w:rFonts w:eastAsia="Calibri" w:cs="Times New Roman"/>
          <w:sz w:val="24"/>
          <w:szCs w:val="24"/>
          <w:lang w:val="uk-UA"/>
        </w:rPr>
        <w:t>1581</w:t>
      </w:r>
      <w:r w:rsidR="00B10339" w:rsidRPr="00ED35A9">
        <w:rPr>
          <w:rFonts w:eastAsia="Calibri" w:cs="Times New Roman"/>
          <w:sz w:val="24"/>
          <w:szCs w:val="24"/>
          <w:lang w:val="uk-UA"/>
        </w:rPr>
        <w:t>–158</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Yassin</w:t>
      </w:r>
      <w:proofErr w:type="spellEnd"/>
      <w:r w:rsidRPr="00ED35A9">
        <w:rPr>
          <w:rFonts w:eastAsia="Calibri" w:cs="Times New Roman"/>
          <w:sz w:val="24"/>
          <w:szCs w:val="24"/>
          <w:lang w:val="uk-UA"/>
        </w:rPr>
        <w:t xml:space="preserve"> MA, </w:t>
      </w:r>
      <w:proofErr w:type="spellStart"/>
      <w:r w:rsidRPr="00ED35A9">
        <w:rPr>
          <w:rFonts w:eastAsia="Calibri" w:cs="Times New Roman"/>
          <w:sz w:val="24"/>
          <w:szCs w:val="24"/>
          <w:lang w:val="uk-UA"/>
        </w:rPr>
        <w:t>Datiko</w:t>
      </w:r>
      <w:proofErr w:type="spellEnd"/>
      <w:r w:rsidRPr="00ED35A9">
        <w:rPr>
          <w:rFonts w:eastAsia="Calibri" w:cs="Times New Roman"/>
          <w:sz w:val="24"/>
          <w:szCs w:val="24"/>
          <w:lang w:val="uk-UA"/>
        </w:rPr>
        <w:t xml:space="preserve"> DG, </w:t>
      </w:r>
      <w:proofErr w:type="spellStart"/>
      <w:r w:rsidRPr="00ED35A9">
        <w:rPr>
          <w:rFonts w:eastAsia="Calibri" w:cs="Times New Roman"/>
          <w:sz w:val="24"/>
          <w:szCs w:val="24"/>
          <w:lang w:val="uk-UA"/>
        </w:rPr>
        <w:t>Tulloch</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Markos</w:t>
      </w:r>
      <w:proofErr w:type="spellEnd"/>
      <w:r w:rsidRPr="00ED35A9">
        <w:rPr>
          <w:rFonts w:eastAsia="Calibri" w:cs="Times New Roman"/>
          <w:sz w:val="24"/>
          <w:szCs w:val="24"/>
          <w:lang w:val="uk-UA"/>
        </w:rPr>
        <w:t xml:space="preserve"> R</w:t>
      </w:r>
      <w:r w:rsidR="0075179F"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Aschalew</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Shargie</w:t>
      </w:r>
      <w:proofErr w:type="spellEnd"/>
      <w:r w:rsidRPr="00ED35A9">
        <w:rPr>
          <w:rFonts w:eastAsia="Calibri" w:cs="Times New Roman"/>
          <w:sz w:val="24"/>
          <w:szCs w:val="24"/>
          <w:lang w:val="uk-UA"/>
        </w:rPr>
        <w:t xml:space="preserve"> EB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Innovative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approaches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doubled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notification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Ethiopia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8(5):</w:t>
      </w:r>
      <w:r w:rsidR="00B10339" w:rsidRPr="00ED35A9">
        <w:rPr>
          <w:rFonts w:eastAsia="Calibri" w:cs="Times New Roman"/>
          <w:sz w:val="24"/>
          <w:szCs w:val="24"/>
          <w:lang w:val="uk-UA"/>
        </w:rPr>
        <w:t xml:space="preserve"> </w:t>
      </w:r>
      <w:r w:rsidRPr="00ED35A9">
        <w:rPr>
          <w:rFonts w:eastAsia="Calibri" w:cs="Times New Roman"/>
          <w:sz w:val="24"/>
          <w:szCs w:val="24"/>
          <w:lang w:val="uk-UA"/>
        </w:rPr>
        <w:t>e63174.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Chan</w:t>
      </w:r>
      <w:proofErr w:type="spellEnd"/>
      <w:r w:rsidRPr="00ED35A9">
        <w:rPr>
          <w:rFonts w:eastAsia="Calibri" w:cs="Times New Roman"/>
          <w:sz w:val="24"/>
          <w:szCs w:val="24"/>
          <w:lang w:val="uk-UA"/>
        </w:rPr>
        <w:t xml:space="preserve"> P-C, </w:t>
      </w:r>
      <w:proofErr w:type="spellStart"/>
      <w:r w:rsidRPr="00ED35A9">
        <w:rPr>
          <w:rFonts w:eastAsia="Calibri" w:cs="Times New Roman"/>
          <w:sz w:val="24"/>
          <w:szCs w:val="24"/>
          <w:lang w:val="uk-UA"/>
        </w:rPr>
        <w:t>Huang</w:t>
      </w:r>
      <w:proofErr w:type="spellEnd"/>
      <w:r w:rsidRPr="00ED35A9">
        <w:rPr>
          <w:rFonts w:eastAsia="Calibri" w:cs="Times New Roman"/>
          <w:sz w:val="24"/>
          <w:szCs w:val="24"/>
          <w:lang w:val="uk-UA"/>
        </w:rPr>
        <w:t xml:space="preserve"> S-H, </w:t>
      </w:r>
      <w:proofErr w:type="spellStart"/>
      <w:r w:rsidRPr="00ED35A9">
        <w:rPr>
          <w:rFonts w:eastAsia="Calibri" w:cs="Times New Roman"/>
          <w:sz w:val="24"/>
          <w:szCs w:val="24"/>
          <w:lang w:val="uk-UA"/>
        </w:rPr>
        <w:t>Yu</w:t>
      </w:r>
      <w:proofErr w:type="spellEnd"/>
      <w:r w:rsidRPr="00ED35A9">
        <w:rPr>
          <w:rFonts w:eastAsia="Calibri" w:cs="Times New Roman"/>
          <w:sz w:val="24"/>
          <w:szCs w:val="24"/>
          <w:lang w:val="uk-UA"/>
        </w:rPr>
        <w:t xml:space="preserve"> M-C, </w:t>
      </w:r>
      <w:proofErr w:type="spellStart"/>
      <w:r w:rsidRPr="00ED35A9">
        <w:rPr>
          <w:rFonts w:eastAsia="Calibri" w:cs="Times New Roman"/>
          <w:sz w:val="24"/>
          <w:szCs w:val="24"/>
          <w:lang w:val="uk-UA"/>
        </w:rPr>
        <w:t>Lee</w:t>
      </w:r>
      <w:proofErr w:type="spellEnd"/>
      <w:r w:rsidRPr="00ED35A9">
        <w:rPr>
          <w:rFonts w:eastAsia="Calibri" w:cs="Times New Roman"/>
          <w:sz w:val="24"/>
          <w:szCs w:val="24"/>
          <w:lang w:val="uk-UA"/>
        </w:rPr>
        <w:t xml:space="preserve"> S-W, </w:t>
      </w:r>
      <w:proofErr w:type="spellStart"/>
      <w:r w:rsidRPr="00ED35A9">
        <w:rPr>
          <w:rFonts w:eastAsia="Calibri" w:cs="Times New Roman"/>
          <w:sz w:val="24"/>
          <w:szCs w:val="24"/>
          <w:lang w:val="uk-UA"/>
        </w:rPr>
        <w:t>Huang</w:t>
      </w:r>
      <w:proofErr w:type="spellEnd"/>
      <w:r w:rsidRPr="00ED35A9">
        <w:rPr>
          <w:rFonts w:eastAsia="Calibri" w:cs="Times New Roman"/>
          <w:sz w:val="24"/>
          <w:szCs w:val="24"/>
          <w:lang w:val="uk-UA"/>
        </w:rPr>
        <w:t xml:space="preserve"> Y-W, </w:t>
      </w:r>
      <w:proofErr w:type="spellStart"/>
      <w:r w:rsidRPr="00ED35A9">
        <w:rPr>
          <w:rFonts w:eastAsia="Calibri" w:cs="Times New Roman"/>
          <w:sz w:val="24"/>
          <w:szCs w:val="24"/>
          <w:lang w:val="uk-UA"/>
        </w:rPr>
        <w:t>Chien</w:t>
      </w:r>
      <w:proofErr w:type="spellEnd"/>
      <w:r w:rsidRPr="00ED35A9">
        <w:rPr>
          <w:rFonts w:eastAsia="Calibri" w:cs="Times New Roman"/>
          <w:sz w:val="24"/>
          <w:szCs w:val="24"/>
          <w:lang w:val="uk-UA"/>
        </w:rPr>
        <w:t xml:space="preserve"> S-T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w:t>
      </w:r>
      <w:r w:rsidR="00B10339" w:rsidRPr="00ED35A9">
        <w:rPr>
          <w:rFonts w:eastAsia="Calibri" w:cs="Times New Roman"/>
          <w:sz w:val="24"/>
          <w:szCs w:val="24"/>
          <w:lang w:val="uk-UA"/>
        </w:rPr>
        <w:t xml:space="preserve"> </w:t>
      </w:r>
      <w:proofErr w:type="spellStart"/>
      <w:r w:rsidR="00B10339" w:rsidRPr="00ED35A9">
        <w:rPr>
          <w:rFonts w:eastAsia="Calibri" w:cs="Times New Roman"/>
          <w:sz w:val="24"/>
          <w:szCs w:val="24"/>
          <w:lang w:val="uk-UA"/>
        </w:rPr>
        <w:t>Effectiveness</w:t>
      </w:r>
      <w:proofErr w:type="spellEnd"/>
      <w:r w:rsidR="00B10339" w:rsidRPr="00ED35A9">
        <w:rPr>
          <w:rFonts w:eastAsia="Calibri" w:cs="Times New Roman"/>
          <w:sz w:val="24"/>
          <w:szCs w:val="24"/>
          <w:lang w:val="uk-UA"/>
        </w:rPr>
        <w:t xml:space="preserve"> </w:t>
      </w:r>
      <w:proofErr w:type="spellStart"/>
      <w:r w:rsidR="00B10339" w:rsidRPr="00ED35A9">
        <w:rPr>
          <w:rFonts w:eastAsia="Calibri" w:cs="Times New Roman"/>
          <w:sz w:val="24"/>
          <w:szCs w:val="24"/>
          <w:lang w:val="uk-UA"/>
        </w:rPr>
        <w:t>of</w:t>
      </w:r>
      <w:proofErr w:type="spellEnd"/>
      <w:r w:rsidR="00B10339" w:rsidRPr="00ED35A9">
        <w:rPr>
          <w:rFonts w:eastAsia="Calibri" w:cs="Times New Roman"/>
          <w:sz w:val="24"/>
          <w:szCs w:val="24"/>
          <w:lang w:val="uk-UA"/>
        </w:rPr>
        <w:t xml:space="preserve"> a </w:t>
      </w:r>
      <w:proofErr w:type="spellStart"/>
      <w:r w:rsidR="00B10339" w:rsidRPr="00ED35A9">
        <w:rPr>
          <w:rFonts w:eastAsia="Calibri" w:cs="Times New Roman"/>
          <w:sz w:val="24"/>
          <w:szCs w:val="24"/>
          <w:lang w:val="uk-UA"/>
        </w:rPr>
        <w:t>government-</w:t>
      </w:r>
      <w:r w:rsidRPr="00ED35A9">
        <w:rPr>
          <w:rFonts w:eastAsia="Calibri" w:cs="Times New Roman"/>
          <w:sz w:val="24"/>
          <w:szCs w:val="24"/>
          <w:lang w:val="uk-UA"/>
        </w:rPr>
        <w:t>organized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hospital-initiated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r w:rsidR="00B10339" w:rsidRPr="00ED35A9">
        <w:rPr>
          <w:rFonts w:eastAsia="Calibri" w:cs="Times New Roman"/>
          <w:sz w:val="24"/>
          <w:szCs w:val="24"/>
          <w:lang w:val="uk-UA"/>
        </w:rPr>
        <w:t>–</w:t>
      </w:r>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retrospective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8(2):</w:t>
      </w:r>
      <w:r w:rsidR="00B10339" w:rsidRPr="00ED35A9">
        <w:rPr>
          <w:rFonts w:eastAsia="Calibri" w:cs="Times New Roman"/>
          <w:sz w:val="24"/>
          <w:szCs w:val="24"/>
          <w:lang w:val="uk-UA"/>
        </w:rPr>
        <w:t xml:space="preserve"> </w:t>
      </w:r>
      <w:r w:rsidRPr="00ED35A9">
        <w:rPr>
          <w:rFonts w:eastAsia="Calibri" w:cs="Times New Roman"/>
          <w:sz w:val="24"/>
          <w:szCs w:val="24"/>
          <w:lang w:val="uk-UA"/>
        </w:rPr>
        <w:t>e57719.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Garden</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Samarina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Stavchanskaya</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Alsterlund</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Ovregaard</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Taganova</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incentives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homeless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Russia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Scand</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Caring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Sci</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27(</w:t>
      </w:r>
      <w:r w:rsidR="00B10339" w:rsidRPr="00ED35A9">
        <w:rPr>
          <w:rFonts w:eastAsia="Calibri" w:cs="Times New Roman"/>
          <w:sz w:val="24"/>
          <w:szCs w:val="24"/>
          <w:lang w:val="uk-UA"/>
        </w:rPr>
        <w:t>1</w:t>
      </w:r>
      <w:r w:rsidRPr="00ED35A9">
        <w:rPr>
          <w:rFonts w:eastAsia="Calibri" w:cs="Times New Roman"/>
          <w:sz w:val="24"/>
          <w:szCs w:val="24"/>
          <w:lang w:val="uk-UA"/>
        </w:rPr>
        <w:t>):</w:t>
      </w:r>
      <w:r w:rsidR="00B10339" w:rsidRPr="00ED35A9">
        <w:rPr>
          <w:rFonts w:eastAsia="Calibri" w:cs="Times New Roman"/>
          <w:sz w:val="24"/>
          <w:szCs w:val="24"/>
          <w:lang w:val="uk-UA"/>
        </w:rPr>
        <w:t xml:space="preserve"> </w:t>
      </w:r>
      <w:r w:rsidRPr="00ED35A9">
        <w:rPr>
          <w:rFonts w:eastAsia="Calibri" w:cs="Times New Roman"/>
          <w:sz w:val="24"/>
          <w:szCs w:val="24"/>
          <w:lang w:val="uk-UA"/>
        </w:rPr>
        <w:t>117</w:t>
      </w:r>
      <w:r w:rsidR="00B10339" w:rsidRPr="00ED35A9">
        <w:rPr>
          <w:rFonts w:eastAsia="Calibri" w:cs="Times New Roman"/>
          <w:sz w:val="24"/>
          <w:szCs w:val="24"/>
          <w:lang w:val="uk-UA"/>
        </w:rPr>
        <w:t>–1</w:t>
      </w:r>
      <w:r w:rsidRPr="00ED35A9">
        <w:rPr>
          <w:rFonts w:eastAsia="Calibri" w:cs="Times New Roman"/>
          <w:sz w:val="24"/>
          <w:szCs w:val="24"/>
          <w:lang w:val="uk-UA"/>
        </w:rPr>
        <w:t>22.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Davidson</w:t>
      </w:r>
      <w:proofErr w:type="spellEnd"/>
      <w:r w:rsidRPr="00ED35A9">
        <w:rPr>
          <w:rFonts w:eastAsia="Calibri" w:cs="Times New Roman"/>
          <w:sz w:val="24"/>
          <w:szCs w:val="24"/>
          <w:lang w:val="uk-UA"/>
        </w:rPr>
        <w:t xml:space="preserve"> BL. A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comparison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self-administered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United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States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Chest</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1998</w:t>
      </w:r>
      <w:r w:rsidR="00B10339" w:rsidRPr="00ED35A9">
        <w:rPr>
          <w:rFonts w:eastAsia="Calibri" w:cs="Times New Roman"/>
          <w:sz w:val="24"/>
          <w:szCs w:val="24"/>
          <w:lang w:val="uk-UA"/>
        </w:rPr>
        <w:t xml:space="preserve">, </w:t>
      </w:r>
      <w:r w:rsidRPr="00ED35A9">
        <w:rPr>
          <w:rFonts w:eastAsia="Calibri" w:cs="Times New Roman"/>
          <w:sz w:val="24"/>
          <w:szCs w:val="24"/>
          <w:lang w:val="uk-UA"/>
        </w:rPr>
        <w:t>114(5):</w:t>
      </w:r>
      <w:r w:rsidR="00B10339" w:rsidRPr="00ED35A9">
        <w:rPr>
          <w:rFonts w:eastAsia="Calibri" w:cs="Times New Roman"/>
          <w:sz w:val="24"/>
          <w:szCs w:val="24"/>
          <w:lang w:val="uk-UA"/>
        </w:rPr>
        <w:t xml:space="preserve"> </w:t>
      </w:r>
      <w:r w:rsidRPr="00ED35A9">
        <w:rPr>
          <w:rFonts w:eastAsia="Calibri" w:cs="Times New Roman"/>
          <w:sz w:val="24"/>
          <w:szCs w:val="24"/>
          <w:lang w:val="uk-UA"/>
        </w:rPr>
        <w:t>1239</w:t>
      </w:r>
      <w:r w:rsidR="00B10339" w:rsidRPr="00ED35A9">
        <w:rPr>
          <w:rFonts w:eastAsia="Calibri" w:cs="Times New Roman"/>
          <w:sz w:val="24"/>
          <w:szCs w:val="24"/>
          <w:lang w:val="uk-UA"/>
        </w:rPr>
        <w:t>–1243</w:t>
      </w:r>
      <w:r w:rsidRPr="00ED35A9">
        <w:rPr>
          <w:rFonts w:eastAsia="Calibri" w:cs="Times New Roman"/>
          <w:sz w:val="24"/>
          <w:szCs w:val="24"/>
          <w:lang w:val="uk-UA"/>
        </w:rPr>
        <w:t>.</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Puchalski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Ritchie</w:t>
      </w:r>
      <w:proofErr w:type="spellEnd"/>
      <w:r w:rsidRPr="00ED35A9">
        <w:rPr>
          <w:rFonts w:eastAsia="Calibri" w:cs="Times New Roman"/>
          <w:sz w:val="24"/>
          <w:szCs w:val="24"/>
          <w:lang w:val="uk-UA"/>
        </w:rPr>
        <w:t xml:space="preserve"> LM, </w:t>
      </w:r>
      <w:proofErr w:type="spellStart"/>
      <w:r w:rsidRPr="00ED35A9">
        <w:rPr>
          <w:rFonts w:eastAsia="Calibri" w:cs="Times New Roman"/>
          <w:sz w:val="24"/>
          <w:szCs w:val="24"/>
          <w:lang w:val="uk-UA"/>
        </w:rPr>
        <w:t>Schull</w:t>
      </w:r>
      <w:proofErr w:type="spellEnd"/>
      <w:r w:rsidRPr="00ED35A9">
        <w:rPr>
          <w:rFonts w:eastAsia="Calibri" w:cs="Times New Roman"/>
          <w:sz w:val="24"/>
          <w:szCs w:val="24"/>
          <w:lang w:val="uk-UA"/>
        </w:rPr>
        <w:t xml:space="preserve"> MJ, </w:t>
      </w:r>
      <w:proofErr w:type="spellStart"/>
      <w:r w:rsidRPr="00ED35A9">
        <w:rPr>
          <w:rFonts w:eastAsia="Calibri" w:cs="Times New Roman"/>
          <w:sz w:val="24"/>
          <w:szCs w:val="24"/>
          <w:lang w:val="uk-UA"/>
        </w:rPr>
        <w:t>Martiniuk</w:t>
      </w:r>
      <w:proofErr w:type="spellEnd"/>
      <w:r w:rsidRPr="00ED35A9">
        <w:rPr>
          <w:rFonts w:eastAsia="Calibri" w:cs="Times New Roman"/>
          <w:sz w:val="24"/>
          <w:szCs w:val="24"/>
          <w:lang w:val="uk-UA"/>
        </w:rPr>
        <w:t xml:space="preserve"> AL, </w:t>
      </w:r>
      <w:proofErr w:type="spellStart"/>
      <w:r w:rsidRPr="00ED35A9">
        <w:rPr>
          <w:rFonts w:eastAsia="Calibri" w:cs="Times New Roman"/>
          <w:sz w:val="24"/>
          <w:szCs w:val="24"/>
          <w:lang w:val="uk-UA"/>
        </w:rPr>
        <w:t>Barnsley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Arenovich</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Lettow</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knowledge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translation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Malawi</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pragmatic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cluster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Implement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Sci</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2015</w:t>
      </w:r>
      <w:r w:rsidR="00B10339" w:rsidRPr="00ED35A9">
        <w:rPr>
          <w:rFonts w:eastAsia="Calibri" w:cs="Times New Roman"/>
          <w:sz w:val="24"/>
          <w:szCs w:val="24"/>
          <w:lang w:val="uk-UA"/>
        </w:rPr>
        <w:t xml:space="preserve">, </w:t>
      </w:r>
      <w:r w:rsidRPr="00ED35A9">
        <w:rPr>
          <w:rFonts w:eastAsia="Calibri" w:cs="Times New Roman"/>
          <w:sz w:val="24"/>
          <w:szCs w:val="24"/>
          <w:lang w:val="uk-UA"/>
        </w:rPr>
        <w:t>10(1):</w:t>
      </w:r>
      <w:r w:rsidR="00B10339" w:rsidRPr="00ED35A9">
        <w:rPr>
          <w:rFonts w:eastAsia="Calibri" w:cs="Times New Roman"/>
          <w:sz w:val="24"/>
          <w:szCs w:val="24"/>
          <w:lang w:val="uk-UA"/>
        </w:rPr>
        <w:t xml:space="preserve"> </w:t>
      </w:r>
      <w:r w:rsidRPr="00ED35A9">
        <w:rPr>
          <w:rFonts w:eastAsia="Calibri" w:cs="Times New Roman"/>
          <w:sz w:val="24"/>
          <w:szCs w:val="24"/>
          <w:lang w:val="uk-UA"/>
        </w:rPr>
        <w:t>38.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Datiko</w:t>
      </w:r>
      <w:proofErr w:type="spellEnd"/>
      <w:r w:rsidRPr="00ED35A9">
        <w:rPr>
          <w:rFonts w:eastAsia="Calibri" w:cs="Times New Roman"/>
          <w:sz w:val="24"/>
          <w:szCs w:val="24"/>
          <w:lang w:val="uk-UA"/>
        </w:rPr>
        <w:t xml:space="preserve"> DG, </w:t>
      </w:r>
      <w:proofErr w:type="spellStart"/>
      <w:r w:rsidRPr="00ED35A9">
        <w:rPr>
          <w:rFonts w:eastAsia="Calibri" w:cs="Times New Roman"/>
          <w:sz w:val="24"/>
          <w:szCs w:val="24"/>
          <w:lang w:val="uk-UA"/>
        </w:rPr>
        <w:t>Lindtjorn</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extension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detection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success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Ethiopia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2009</w:t>
      </w:r>
      <w:r w:rsidR="00B10339" w:rsidRPr="00ED35A9">
        <w:rPr>
          <w:rFonts w:eastAsia="Calibri" w:cs="Times New Roman"/>
          <w:sz w:val="24"/>
          <w:szCs w:val="24"/>
          <w:lang w:val="uk-UA"/>
        </w:rPr>
        <w:t xml:space="preserve">, </w:t>
      </w:r>
      <w:r w:rsidRPr="00ED35A9">
        <w:rPr>
          <w:rFonts w:eastAsia="Calibri" w:cs="Times New Roman"/>
          <w:sz w:val="24"/>
          <w:szCs w:val="24"/>
          <w:lang w:val="uk-UA"/>
        </w:rPr>
        <w:t>4(5):</w:t>
      </w:r>
      <w:r w:rsidR="00B10339" w:rsidRPr="00ED35A9">
        <w:rPr>
          <w:rFonts w:eastAsia="Calibri" w:cs="Times New Roman"/>
          <w:sz w:val="24"/>
          <w:szCs w:val="24"/>
          <w:lang w:val="uk-UA"/>
        </w:rPr>
        <w:t xml:space="preserve"> </w:t>
      </w:r>
      <w:r w:rsidRPr="00ED35A9">
        <w:rPr>
          <w:rFonts w:eastAsia="Calibri" w:cs="Times New Roman"/>
          <w:sz w:val="24"/>
          <w:szCs w:val="24"/>
          <w:lang w:val="uk-UA"/>
        </w:rPr>
        <w:t>e5443.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Clark</w:t>
      </w:r>
      <w:proofErr w:type="spellEnd"/>
      <w:r w:rsidRPr="00ED35A9">
        <w:rPr>
          <w:rFonts w:eastAsia="Calibri" w:cs="Times New Roman"/>
          <w:sz w:val="24"/>
          <w:szCs w:val="24"/>
          <w:lang w:val="uk-UA"/>
        </w:rPr>
        <w:t xml:space="preserve"> PM, </w:t>
      </w:r>
      <w:proofErr w:type="spellStart"/>
      <w:r w:rsidRPr="00ED35A9">
        <w:rPr>
          <w:rFonts w:eastAsia="Calibri" w:cs="Times New Roman"/>
          <w:sz w:val="24"/>
          <w:szCs w:val="24"/>
          <w:lang w:val="uk-UA"/>
        </w:rPr>
        <w:t>Karagoz</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Apikoglu-Rabus</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Izzettin</w:t>
      </w:r>
      <w:proofErr w:type="spellEnd"/>
      <w:r w:rsidRPr="00ED35A9">
        <w:rPr>
          <w:rFonts w:eastAsia="Calibri" w:cs="Times New Roman"/>
          <w:sz w:val="24"/>
          <w:szCs w:val="24"/>
          <w:lang w:val="uk-UA"/>
        </w:rPr>
        <w:t xml:space="preserve"> FV</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pharmacist-led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education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Syst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Pharm</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2007</w:t>
      </w:r>
      <w:r w:rsidR="00B10339" w:rsidRPr="00ED35A9">
        <w:rPr>
          <w:rFonts w:eastAsia="Calibri" w:cs="Times New Roman"/>
          <w:sz w:val="24"/>
          <w:szCs w:val="24"/>
          <w:lang w:val="uk-UA"/>
        </w:rPr>
        <w:t xml:space="preserve">, </w:t>
      </w:r>
      <w:r w:rsidRPr="00ED35A9">
        <w:rPr>
          <w:rFonts w:eastAsia="Calibri" w:cs="Times New Roman"/>
          <w:sz w:val="24"/>
          <w:szCs w:val="24"/>
          <w:lang w:val="uk-UA"/>
        </w:rPr>
        <w:t>64(5):</w:t>
      </w:r>
      <w:r w:rsidR="00B10339" w:rsidRPr="00ED35A9">
        <w:rPr>
          <w:rFonts w:eastAsia="Calibri" w:cs="Times New Roman"/>
          <w:sz w:val="24"/>
          <w:szCs w:val="24"/>
          <w:lang w:val="uk-UA"/>
        </w:rPr>
        <w:t xml:space="preserve"> </w:t>
      </w:r>
      <w:r w:rsidRPr="00ED35A9">
        <w:rPr>
          <w:rFonts w:eastAsia="Calibri" w:cs="Times New Roman"/>
          <w:sz w:val="24"/>
          <w:szCs w:val="24"/>
          <w:lang w:val="uk-UA"/>
        </w:rPr>
        <w:t>497</w:t>
      </w:r>
      <w:r w:rsidR="00B10339" w:rsidRPr="00ED35A9">
        <w:rPr>
          <w:rFonts w:eastAsia="Calibri" w:cs="Times New Roman"/>
          <w:sz w:val="24"/>
          <w:szCs w:val="24"/>
          <w:lang w:val="uk-UA"/>
        </w:rPr>
        <w:t>–</w:t>
      </w:r>
      <w:r w:rsidRPr="00ED35A9">
        <w:rPr>
          <w:rFonts w:eastAsia="Calibri" w:cs="Times New Roman"/>
          <w:sz w:val="24"/>
          <w:szCs w:val="24"/>
          <w:lang w:val="uk-UA"/>
        </w:rPr>
        <w:t>505.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Janmeja</w:t>
      </w:r>
      <w:proofErr w:type="spellEnd"/>
      <w:r w:rsidRPr="00ED35A9">
        <w:rPr>
          <w:rFonts w:eastAsia="Calibri" w:cs="Times New Roman"/>
          <w:sz w:val="24"/>
          <w:szCs w:val="24"/>
          <w:lang w:val="uk-UA"/>
        </w:rPr>
        <w:t xml:space="preserve"> AK, </w:t>
      </w:r>
      <w:proofErr w:type="spellStart"/>
      <w:r w:rsidRPr="00ED35A9">
        <w:rPr>
          <w:rFonts w:eastAsia="Calibri" w:cs="Times New Roman"/>
          <w:sz w:val="24"/>
          <w:szCs w:val="24"/>
          <w:lang w:val="uk-UA"/>
        </w:rPr>
        <w:t>Das</w:t>
      </w:r>
      <w:proofErr w:type="spellEnd"/>
      <w:r w:rsidRPr="00ED35A9">
        <w:rPr>
          <w:rFonts w:eastAsia="Calibri" w:cs="Times New Roman"/>
          <w:sz w:val="24"/>
          <w:szCs w:val="24"/>
          <w:lang w:val="uk-UA"/>
        </w:rPr>
        <w:t xml:space="preserve"> SK, </w:t>
      </w:r>
      <w:proofErr w:type="spellStart"/>
      <w:r w:rsidRPr="00ED35A9">
        <w:rPr>
          <w:rFonts w:eastAsia="Calibri" w:cs="Times New Roman"/>
          <w:sz w:val="24"/>
          <w:szCs w:val="24"/>
          <w:lang w:val="uk-UA"/>
        </w:rPr>
        <w:t>Bhargava</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Chavan</w:t>
      </w:r>
      <w:proofErr w:type="spellEnd"/>
      <w:r w:rsidRPr="00ED35A9">
        <w:rPr>
          <w:rFonts w:eastAsia="Calibri" w:cs="Times New Roman"/>
          <w:sz w:val="24"/>
          <w:szCs w:val="24"/>
          <w:lang w:val="uk-UA"/>
        </w:rPr>
        <w:t xml:space="preserve"> BS. </w:t>
      </w:r>
      <w:proofErr w:type="spellStart"/>
      <w:r w:rsidRPr="00ED35A9">
        <w:rPr>
          <w:rFonts w:eastAsia="Calibri" w:cs="Times New Roman"/>
          <w:sz w:val="24"/>
          <w:szCs w:val="24"/>
          <w:lang w:val="uk-UA"/>
        </w:rPr>
        <w:t>Psychotherapy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Respiration</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2005</w:t>
      </w:r>
      <w:r w:rsidR="00B10339" w:rsidRPr="00ED35A9">
        <w:rPr>
          <w:rFonts w:eastAsia="Calibri" w:cs="Times New Roman"/>
          <w:sz w:val="24"/>
          <w:szCs w:val="24"/>
          <w:lang w:val="uk-UA"/>
        </w:rPr>
        <w:t xml:space="preserve">, </w:t>
      </w:r>
      <w:r w:rsidRPr="00ED35A9">
        <w:rPr>
          <w:rFonts w:eastAsia="Calibri" w:cs="Times New Roman"/>
          <w:sz w:val="24"/>
          <w:szCs w:val="24"/>
          <w:lang w:val="uk-UA"/>
        </w:rPr>
        <w:t>72(4):</w:t>
      </w:r>
      <w:r w:rsidR="00B10339" w:rsidRPr="00ED35A9">
        <w:rPr>
          <w:rFonts w:eastAsia="Calibri" w:cs="Times New Roman"/>
          <w:sz w:val="24"/>
          <w:szCs w:val="24"/>
          <w:lang w:val="uk-UA"/>
        </w:rPr>
        <w:t xml:space="preserve"> </w:t>
      </w:r>
      <w:r w:rsidRPr="00ED35A9">
        <w:rPr>
          <w:rFonts w:eastAsia="Calibri" w:cs="Times New Roman"/>
          <w:sz w:val="24"/>
          <w:szCs w:val="24"/>
          <w:lang w:val="uk-UA"/>
        </w:rPr>
        <w:t>375</w:t>
      </w:r>
      <w:r w:rsidR="00B10339" w:rsidRPr="00ED35A9">
        <w:rPr>
          <w:rFonts w:eastAsia="Calibri" w:cs="Times New Roman"/>
          <w:sz w:val="24"/>
          <w:szCs w:val="24"/>
          <w:lang w:val="uk-UA"/>
        </w:rPr>
        <w:t>–3</w:t>
      </w:r>
      <w:r w:rsidRPr="00ED35A9">
        <w:rPr>
          <w:rFonts w:eastAsia="Calibri" w:cs="Times New Roman"/>
          <w:sz w:val="24"/>
          <w:szCs w:val="24"/>
          <w:lang w:val="uk-UA"/>
        </w:rPr>
        <w:t>80.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Liefooghe</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Suetens</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Meulemans</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Moran</w:t>
      </w:r>
      <w:proofErr w:type="spellEnd"/>
      <w:r w:rsidRPr="00ED35A9">
        <w:rPr>
          <w:rFonts w:eastAsia="Calibri" w:cs="Times New Roman"/>
          <w:sz w:val="24"/>
          <w:szCs w:val="24"/>
          <w:lang w:val="uk-UA"/>
        </w:rPr>
        <w:t xml:space="preserve"> M-B, </w:t>
      </w:r>
      <w:proofErr w:type="spellStart"/>
      <w:r w:rsidRPr="00ED35A9">
        <w:rPr>
          <w:rFonts w:eastAsia="Calibri" w:cs="Times New Roman"/>
          <w:sz w:val="24"/>
          <w:szCs w:val="24"/>
          <w:lang w:val="uk-UA"/>
        </w:rPr>
        <w:t>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Muynck</w:t>
      </w:r>
      <w:proofErr w:type="spellEnd"/>
      <w:r w:rsidRPr="00ED35A9">
        <w:rPr>
          <w:rFonts w:eastAsia="Calibri" w:cs="Times New Roman"/>
          <w:sz w:val="24"/>
          <w:szCs w:val="24"/>
          <w:lang w:val="uk-UA"/>
        </w:rPr>
        <w:t xml:space="preserve"> A.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counselling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Sialkot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Pakistan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1999</w:t>
      </w:r>
      <w:r w:rsidR="00B10339" w:rsidRPr="00ED35A9">
        <w:rPr>
          <w:rFonts w:eastAsia="Calibri" w:cs="Times New Roman"/>
          <w:sz w:val="24"/>
          <w:szCs w:val="24"/>
          <w:lang w:val="uk-UA"/>
        </w:rPr>
        <w:t xml:space="preserve">, </w:t>
      </w:r>
      <w:r w:rsidRPr="00ED35A9">
        <w:rPr>
          <w:rFonts w:eastAsia="Calibri" w:cs="Times New Roman"/>
          <w:sz w:val="24"/>
          <w:szCs w:val="24"/>
          <w:lang w:val="uk-UA"/>
        </w:rPr>
        <w:t>3(12):</w:t>
      </w:r>
      <w:r w:rsidR="00B10339" w:rsidRPr="00ED35A9">
        <w:rPr>
          <w:rFonts w:eastAsia="Calibri" w:cs="Times New Roman"/>
          <w:sz w:val="24"/>
          <w:szCs w:val="24"/>
          <w:lang w:val="uk-UA"/>
        </w:rPr>
        <w:t xml:space="preserve"> </w:t>
      </w:r>
      <w:r w:rsidRPr="00ED35A9">
        <w:rPr>
          <w:rFonts w:eastAsia="Calibri" w:cs="Times New Roman"/>
          <w:sz w:val="24"/>
          <w:szCs w:val="24"/>
          <w:lang w:val="uk-UA"/>
        </w:rPr>
        <w:t>1073</w:t>
      </w:r>
      <w:r w:rsidR="00B10339" w:rsidRPr="00ED35A9">
        <w:rPr>
          <w:rFonts w:eastAsia="Calibri" w:cs="Times New Roman"/>
          <w:sz w:val="24"/>
          <w:szCs w:val="24"/>
          <w:lang w:val="uk-UA"/>
        </w:rPr>
        <w:t>–10</w:t>
      </w:r>
      <w:r w:rsidRPr="00ED35A9">
        <w:rPr>
          <w:rFonts w:eastAsia="Calibri" w:cs="Times New Roman"/>
          <w:sz w:val="24"/>
          <w:szCs w:val="24"/>
          <w:lang w:val="uk-UA"/>
        </w:rPr>
        <w:t>80.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Baral</w:t>
      </w:r>
      <w:proofErr w:type="spellEnd"/>
      <w:r w:rsidRPr="00ED35A9">
        <w:rPr>
          <w:rFonts w:eastAsia="Calibri" w:cs="Times New Roman"/>
          <w:sz w:val="24"/>
          <w:szCs w:val="24"/>
          <w:lang w:val="uk-UA"/>
        </w:rPr>
        <w:t xml:space="preserve"> SC, </w:t>
      </w:r>
      <w:proofErr w:type="spellStart"/>
      <w:r w:rsidRPr="00ED35A9">
        <w:rPr>
          <w:rFonts w:eastAsia="Calibri" w:cs="Times New Roman"/>
          <w:sz w:val="24"/>
          <w:szCs w:val="24"/>
          <w:lang w:val="uk-UA"/>
        </w:rPr>
        <w:t>Aryal</w:t>
      </w:r>
      <w:proofErr w:type="spellEnd"/>
      <w:r w:rsidRPr="00ED35A9">
        <w:rPr>
          <w:rFonts w:eastAsia="Calibri" w:cs="Times New Roman"/>
          <w:sz w:val="24"/>
          <w:szCs w:val="24"/>
          <w:lang w:val="uk-UA"/>
        </w:rPr>
        <w:t xml:space="preserve"> Y, </w:t>
      </w:r>
      <w:proofErr w:type="spellStart"/>
      <w:r w:rsidRPr="00ED35A9">
        <w:rPr>
          <w:rFonts w:eastAsia="Calibri" w:cs="Times New Roman"/>
          <w:sz w:val="24"/>
          <w:szCs w:val="24"/>
          <w:lang w:val="uk-UA"/>
        </w:rPr>
        <w:t>Bhattrai</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King</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Newell</w:t>
      </w:r>
      <w:proofErr w:type="spellEnd"/>
      <w:r w:rsidRPr="00ED35A9">
        <w:rPr>
          <w:rFonts w:eastAsia="Calibri" w:cs="Times New Roman"/>
          <w:sz w:val="24"/>
          <w:szCs w:val="24"/>
          <w:lang w:val="uk-UA"/>
        </w:rPr>
        <w:t xml:space="preserve"> JN.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importance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providing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counselling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financial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receiving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mixed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method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qualitative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pilot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studies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Public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2014</w:t>
      </w:r>
      <w:r w:rsidR="00B10339" w:rsidRPr="00ED35A9">
        <w:rPr>
          <w:rFonts w:eastAsia="Calibri" w:cs="Times New Roman"/>
          <w:sz w:val="24"/>
          <w:szCs w:val="24"/>
          <w:lang w:val="uk-UA"/>
        </w:rPr>
        <w:t xml:space="preserve">, </w:t>
      </w:r>
      <w:r w:rsidRPr="00ED35A9">
        <w:rPr>
          <w:rFonts w:eastAsia="Calibri" w:cs="Times New Roman"/>
          <w:sz w:val="24"/>
          <w:szCs w:val="24"/>
          <w:lang w:val="uk-UA"/>
        </w:rPr>
        <w:t>14(1):</w:t>
      </w:r>
      <w:r w:rsidR="00B10339" w:rsidRPr="00ED35A9">
        <w:rPr>
          <w:rFonts w:eastAsia="Calibri" w:cs="Times New Roman"/>
          <w:sz w:val="24"/>
          <w:szCs w:val="24"/>
          <w:lang w:val="uk-UA"/>
        </w:rPr>
        <w:t xml:space="preserve"> </w:t>
      </w:r>
      <w:r w:rsidRPr="00ED35A9">
        <w:rPr>
          <w:rFonts w:eastAsia="Calibri" w:cs="Times New Roman"/>
          <w:sz w:val="24"/>
          <w:szCs w:val="24"/>
          <w:lang w:val="uk-UA"/>
        </w:rPr>
        <w:t>46.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Martins</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Morris</w:t>
      </w:r>
      <w:proofErr w:type="spellEnd"/>
      <w:r w:rsidRPr="00ED35A9">
        <w:rPr>
          <w:rFonts w:eastAsia="Calibri" w:cs="Times New Roman"/>
          <w:sz w:val="24"/>
          <w:szCs w:val="24"/>
          <w:lang w:val="uk-UA"/>
        </w:rPr>
        <w:t xml:space="preserve"> 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Kelly</w:t>
      </w:r>
      <w:proofErr w:type="spellEnd"/>
      <w:r w:rsidRPr="00ED35A9">
        <w:rPr>
          <w:rFonts w:eastAsia="Calibri" w:cs="Times New Roman"/>
          <w:sz w:val="24"/>
          <w:szCs w:val="24"/>
          <w:lang w:val="uk-UA"/>
        </w:rPr>
        <w:t xml:space="preserve"> PM. </w:t>
      </w:r>
      <w:proofErr w:type="spellStart"/>
      <w:r w:rsidRPr="00ED35A9">
        <w:rPr>
          <w:rFonts w:eastAsia="Calibri" w:cs="Times New Roman"/>
          <w:sz w:val="24"/>
          <w:szCs w:val="24"/>
          <w:lang w:val="uk-UA"/>
        </w:rPr>
        <w:t>Food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incentives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completion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Dili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Timor-Leste</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BMJ</w:t>
      </w:r>
      <w:r w:rsidR="00B10339" w:rsidRPr="00ED35A9">
        <w:rPr>
          <w:rFonts w:eastAsia="Calibri" w:cs="Times New Roman"/>
          <w:sz w:val="24"/>
          <w:szCs w:val="24"/>
          <w:lang w:val="uk-UA"/>
        </w:rPr>
        <w:t xml:space="preserve">, </w:t>
      </w:r>
      <w:r w:rsidRPr="00ED35A9">
        <w:rPr>
          <w:rFonts w:eastAsia="Calibri" w:cs="Times New Roman"/>
          <w:sz w:val="24"/>
          <w:szCs w:val="24"/>
          <w:lang w:val="uk-UA"/>
        </w:rPr>
        <w:t>2009</w:t>
      </w:r>
      <w:r w:rsidR="00B10339" w:rsidRPr="00ED35A9">
        <w:rPr>
          <w:rFonts w:eastAsia="Calibri" w:cs="Times New Roman"/>
          <w:sz w:val="24"/>
          <w:szCs w:val="24"/>
          <w:lang w:val="uk-UA"/>
        </w:rPr>
        <w:t xml:space="preserve">, </w:t>
      </w:r>
      <w:r w:rsidRPr="00ED35A9">
        <w:rPr>
          <w:rFonts w:eastAsia="Calibri" w:cs="Times New Roman"/>
          <w:sz w:val="24"/>
          <w:szCs w:val="24"/>
          <w:lang w:val="uk-UA"/>
        </w:rPr>
        <w:t>339:</w:t>
      </w:r>
      <w:r w:rsidR="00B10339" w:rsidRPr="00ED35A9">
        <w:rPr>
          <w:rFonts w:eastAsia="Calibri" w:cs="Times New Roman"/>
          <w:sz w:val="24"/>
          <w:szCs w:val="24"/>
          <w:lang w:val="uk-UA"/>
        </w:rPr>
        <w:t xml:space="preserve"> </w:t>
      </w:r>
      <w:r w:rsidRPr="00ED35A9">
        <w:rPr>
          <w:rFonts w:eastAsia="Calibri" w:cs="Times New Roman"/>
          <w:sz w:val="24"/>
          <w:szCs w:val="24"/>
          <w:lang w:val="uk-UA"/>
        </w:rPr>
        <w:t>b4248.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Lutge</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Lewin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Volmink</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Friedman</w:t>
      </w:r>
      <w:proofErr w:type="spellEnd"/>
      <w:r w:rsidRPr="00ED35A9">
        <w:rPr>
          <w:rFonts w:eastAsia="Calibri" w:cs="Times New Roman"/>
          <w:sz w:val="24"/>
          <w:szCs w:val="24"/>
          <w:lang w:val="uk-UA"/>
        </w:rPr>
        <w:t xml:space="preserve"> I, </w:t>
      </w:r>
      <w:proofErr w:type="spellStart"/>
      <w:r w:rsidRPr="00ED35A9">
        <w:rPr>
          <w:rFonts w:eastAsia="Calibri" w:cs="Times New Roman"/>
          <w:sz w:val="24"/>
          <w:szCs w:val="24"/>
          <w:lang w:val="uk-UA"/>
        </w:rPr>
        <w:t>Lombard</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Economic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pragmatic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cluster-randomized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Trials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2013</w:t>
      </w:r>
      <w:r w:rsidR="00B10339" w:rsidRPr="00ED35A9">
        <w:rPr>
          <w:rFonts w:eastAsia="Calibri" w:cs="Times New Roman"/>
          <w:sz w:val="24"/>
          <w:szCs w:val="24"/>
          <w:lang w:val="uk-UA"/>
        </w:rPr>
        <w:t xml:space="preserve">, </w:t>
      </w:r>
      <w:r w:rsidRPr="00ED35A9">
        <w:rPr>
          <w:rFonts w:eastAsia="Calibri" w:cs="Times New Roman"/>
          <w:sz w:val="24"/>
          <w:szCs w:val="24"/>
          <w:lang w:val="uk-UA"/>
        </w:rPr>
        <w:t>14(1):</w:t>
      </w:r>
      <w:r w:rsidR="00B10339" w:rsidRPr="00ED35A9">
        <w:rPr>
          <w:rFonts w:eastAsia="Calibri" w:cs="Times New Roman"/>
          <w:sz w:val="24"/>
          <w:szCs w:val="24"/>
          <w:lang w:val="uk-UA"/>
        </w:rPr>
        <w:t xml:space="preserve"> </w:t>
      </w:r>
      <w:r w:rsidRPr="00ED35A9">
        <w:rPr>
          <w:rFonts w:eastAsia="Calibri" w:cs="Times New Roman"/>
          <w:sz w:val="24"/>
          <w:szCs w:val="24"/>
          <w:lang w:val="uk-UA"/>
        </w:rPr>
        <w:t>154.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Jahnavi</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Sudha</w:t>
      </w:r>
      <w:proofErr w:type="spellEnd"/>
      <w:r w:rsidRPr="00ED35A9">
        <w:rPr>
          <w:rFonts w:eastAsia="Calibri" w:cs="Times New Roman"/>
          <w:sz w:val="24"/>
          <w:szCs w:val="24"/>
          <w:lang w:val="uk-UA"/>
        </w:rPr>
        <w:t xml:space="preserve"> CH.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supplements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newly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diagnosed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wasting</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Singapore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J</w:t>
      </w:r>
      <w:r w:rsidR="00B10339" w:rsidRPr="00ED35A9">
        <w:rPr>
          <w:rFonts w:eastAsia="Calibri" w:cs="Times New Roman"/>
          <w:sz w:val="24"/>
          <w:szCs w:val="24"/>
          <w:lang w:val="uk-UA"/>
        </w:rPr>
        <w:t xml:space="preserve">, </w:t>
      </w:r>
      <w:r w:rsidRPr="00ED35A9">
        <w:rPr>
          <w:rFonts w:eastAsia="Calibri" w:cs="Times New Roman"/>
          <w:sz w:val="24"/>
          <w:szCs w:val="24"/>
          <w:lang w:val="uk-UA"/>
        </w:rPr>
        <w:t>2010</w:t>
      </w:r>
      <w:r w:rsidR="00B10339" w:rsidRPr="00ED35A9">
        <w:rPr>
          <w:rFonts w:eastAsia="Calibri" w:cs="Times New Roman"/>
          <w:sz w:val="24"/>
          <w:szCs w:val="24"/>
          <w:lang w:val="uk-UA"/>
        </w:rPr>
        <w:t xml:space="preserve">, </w:t>
      </w:r>
      <w:r w:rsidRPr="00ED35A9">
        <w:rPr>
          <w:rFonts w:eastAsia="Calibri" w:cs="Times New Roman"/>
          <w:sz w:val="24"/>
          <w:szCs w:val="24"/>
          <w:lang w:val="uk-UA"/>
        </w:rPr>
        <w:t>51(12):</w:t>
      </w:r>
      <w:r w:rsidR="00B10339" w:rsidRPr="00ED35A9">
        <w:rPr>
          <w:rFonts w:eastAsia="Calibri" w:cs="Times New Roman"/>
          <w:sz w:val="24"/>
          <w:szCs w:val="24"/>
          <w:lang w:val="uk-UA"/>
        </w:rPr>
        <w:t xml:space="preserve"> </w:t>
      </w:r>
      <w:r w:rsidRPr="00ED35A9">
        <w:rPr>
          <w:rFonts w:eastAsia="Calibri" w:cs="Times New Roman"/>
          <w:sz w:val="24"/>
          <w:szCs w:val="24"/>
          <w:lang w:val="uk-UA"/>
        </w:rPr>
        <w:t>957.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Sinclair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Abba</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Grobler</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Sudarsanam</w:t>
      </w:r>
      <w:proofErr w:type="spellEnd"/>
      <w:r w:rsidRPr="00ED35A9">
        <w:rPr>
          <w:rFonts w:eastAsia="Calibri" w:cs="Times New Roman"/>
          <w:sz w:val="24"/>
          <w:szCs w:val="24"/>
          <w:lang w:val="uk-UA"/>
        </w:rPr>
        <w:t xml:space="preserve"> TD. </w:t>
      </w:r>
      <w:proofErr w:type="spellStart"/>
      <w:r w:rsidRPr="00ED35A9">
        <w:rPr>
          <w:rFonts w:eastAsia="Calibri" w:cs="Times New Roman"/>
          <w:sz w:val="24"/>
          <w:szCs w:val="24"/>
          <w:lang w:val="uk-UA"/>
        </w:rPr>
        <w:t>Nutritional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supplements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people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being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Cochrane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Database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Syst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Rev</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2011</w:t>
      </w:r>
      <w:r w:rsidR="00B10339" w:rsidRPr="00ED35A9">
        <w:rPr>
          <w:rFonts w:eastAsia="Calibri" w:cs="Times New Roman"/>
          <w:sz w:val="24"/>
          <w:szCs w:val="24"/>
          <w:lang w:val="uk-UA"/>
        </w:rPr>
        <w:t xml:space="preserve">, </w:t>
      </w:r>
      <w:r w:rsidRPr="00ED35A9">
        <w:rPr>
          <w:rFonts w:eastAsia="Calibri" w:cs="Times New Roman"/>
          <w:sz w:val="24"/>
          <w:szCs w:val="24"/>
          <w:lang w:val="uk-UA"/>
        </w:rPr>
        <w:t>(11):</w:t>
      </w:r>
      <w:r w:rsidR="00B10339" w:rsidRPr="00ED35A9">
        <w:rPr>
          <w:rFonts w:eastAsia="Calibri" w:cs="Times New Roman"/>
          <w:sz w:val="24"/>
          <w:szCs w:val="24"/>
          <w:lang w:val="uk-UA"/>
        </w:rPr>
        <w:t xml:space="preserve"> </w:t>
      </w:r>
      <w:r w:rsidRPr="00ED35A9">
        <w:rPr>
          <w:rFonts w:eastAsia="Calibri" w:cs="Times New Roman"/>
          <w:sz w:val="24"/>
          <w:szCs w:val="24"/>
          <w:lang w:val="uk-UA"/>
        </w:rPr>
        <w:t>CD006086.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Alvarez</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Gordillo</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del</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Alvarez</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Gordillo</w:t>
      </w:r>
      <w:proofErr w:type="spellEnd"/>
      <w:r w:rsidRPr="00ED35A9">
        <w:rPr>
          <w:rFonts w:eastAsia="Calibri" w:cs="Times New Roman"/>
          <w:sz w:val="24"/>
          <w:szCs w:val="24"/>
          <w:lang w:val="uk-UA"/>
        </w:rPr>
        <w:t xml:space="preserve"> JF, </w:t>
      </w:r>
      <w:proofErr w:type="spellStart"/>
      <w:r w:rsidRPr="00ED35A9">
        <w:rPr>
          <w:rFonts w:eastAsia="Calibri" w:cs="Times New Roman"/>
          <w:sz w:val="24"/>
          <w:szCs w:val="24"/>
          <w:lang w:val="uk-UA"/>
        </w:rPr>
        <w:t>Dorantes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Jimenez</w:t>
      </w:r>
      <w:proofErr w:type="spellEnd"/>
      <w:r w:rsidRPr="00ED35A9">
        <w:rPr>
          <w:rFonts w:eastAsia="Calibri" w:cs="Times New Roman"/>
          <w:sz w:val="24"/>
          <w:szCs w:val="24"/>
          <w:lang w:val="uk-UA"/>
        </w:rPr>
        <w:t xml:space="preserve"> JE. </w:t>
      </w:r>
      <w:proofErr w:type="spellStart"/>
      <w:r w:rsidRPr="00ED35A9">
        <w:rPr>
          <w:rFonts w:eastAsia="Calibri" w:cs="Times New Roman"/>
          <w:sz w:val="24"/>
          <w:szCs w:val="24"/>
          <w:lang w:val="uk-UA"/>
        </w:rPr>
        <w:t>Estrategia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educativa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para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incrementar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cumplimiento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Chiapas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Mexico</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Rev</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Panam</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Salud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Publica</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2003</w:t>
      </w:r>
      <w:r w:rsidR="00B10339" w:rsidRPr="00ED35A9">
        <w:rPr>
          <w:rFonts w:eastAsia="Calibri" w:cs="Times New Roman"/>
          <w:sz w:val="24"/>
          <w:szCs w:val="24"/>
          <w:lang w:val="uk-UA"/>
        </w:rPr>
        <w:t xml:space="preserve">, </w:t>
      </w:r>
      <w:r w:rsidRPr="00ED35A9">
        <w:rPr>
          <w:rFonts w:eastAsia="Calibri" w:cs="Times New Roman"/>
          <w:sz w:val="24"/>
          <w:szCs w:val="24"/>
          <w:lang w:val="uk-UA"/>
        </w:rPr>
        <w:t>14(6)</w:t>
      </w:r>
      <w:r w:rsidR="00B10339" w:rsidRPr="00ED35A9">
        <w:rPr>
          <w:rFonts w:eastAsia="Calibri" w:cs="Times New Roman"/>
          <w:sz w:val="24"/>
          <w:szCs w:val="24"/>
          <w:lang w:val="uk-UA"/>
        </w:rPr>
        <w:t xml:space="preserve">: </w:t>
      </w:r>
      <w:r w:rsidRPr="00ED35A9">
        <w:rPr>
          <w:rFonts w:eastAsia="Calibri" w:cs="Times New Roman"/>
          <w:sz w:val="24"/>
          <w:szCs w:val="24"/>
          <w:lang w:val="uk-UA"/>
        </w:rPr>
        <w:t>402</w:t>
      </w:r>
      <w:r w:rsidR="00B10339" w:rsidRPr="00ED35A9">
        <w:rPr>
          <w:rFonts w:eastAsia="Calibri" w:cs="Times New Roman"/>
          <w:sz w:val="24"/>
          <w:szCs w:val="24"/>
          <w:lang w:val="uk-UA"/>
        </w:rPr>
        <w:t>–40</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Demissie</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Getahun</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Lindtjorn</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through</w:t>
      </w:r>
      <w:proofErr w:type="spellEnd"/>
      <w:r w:rsidRPr="00ED35A9">
        <w:rPr>
          <w:rFonts w:eastAsia="Calibri" w:cs="Times New Roman"/>
          <w:sz w:val="24"/>
          <w:szCs w:val="24"/>
          <w:lang w:val="uk-UA"/>
        </w:rPr>
        <w:t xml:space="preserve"> </w:t>
      </w:r>
      <w:r w:rsidR="00B10339" w:rsidRPr="00ED35A9">
        <w:rPr>
          <w:rFonts w:eastAsia="Calibri" w:cs="Times New Roman"/>
          <w:sz w:val="24"/>
          <w:szCs w:val="24"/>
          <w:lang w:val="uk-UA"/>
        </w:rPr>
        <w:t>«</w:t>
      </w:r>
      <w:r w:rsidRPr="00ED35A9">
        <w:rPr>
          <w:rFonts w:eastAsia="Calibri" w:cs="Times New Roman"/>
          <w:sz w:val="24"/>
          <w:szCs w:val="24"/>
          <w:lang w:val="uk-UA"/>
        </w:rPr>
        <w:t xml:space="preserve">TB </w:t>
      </w:r>
      <w:proofErr w:type="spellStart"/>
      <w:r w:rsidRPr="00ED35A9">
        <w:rPr>
          <w:rFonts w:eastAsia="Calibri" w:cs="Times New Roman"/>
          <w:sz w:val="24"/>
          <w:szCs w:val="24"/>
          <w:lang w:val="uk-UA"/>
        </w:rPr>
        <w:t>clubs</w:t>
      </w:r>
      <w:proofErr w:type="spellEnd"/>
      <w:r w:rsidR="00B10339"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North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Ethiopia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Soc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Sci</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2003</w:t>
      </w:r>
      <w:r w:rsidR="00B10339" w:rsidRPr="00ED35A9">
        <w:rPr>
          <w:rFonts w:eastAsia="Calibri" w:cs="Times New Roman"/>
          <w:sz w:val="24"/>
          <w:szCs w:val="24"/>
          <w:lang w:val="uk-UA"/>
        </w:rPr>
        <w:t xml:space="preserve">, </w:t>
      </w:r>
      <w:r w:rsidRPr="00ED35A9">
        <w:rPr>
          <w:rFonts w:eastAsia="Calibri" w:cs="Times New Roman"/>
          <w:sz w:val="24"/>
          <w:szCs w:val="24"/>
          <w:lang w:val="uk-UA"/>
        </w:rPr>
        <w:t>56(10):</w:t>
      </w:r>
      <w:r w:rsidR="00B10339" w:rsidRPr="00ED35A9">
        <w:rPr>
          <w:rFonts w:eastAsia="Calibri" w:cs="Times New Roman"/>
          <w:sz w:val="24"/>
          <w:szCs w:val="24"/>
          <w:lang w:val="uk-UA"/>
        </w:rPr>
        <w:t xml:space="preserve"> </w:t>
      </w:r>
      <w:r w:rsidRPr="00ED35A9">
        <w:rPr>
          <w:rFonts w:eastAsia="Calibri" w:cs="Times New Roman"/>
          <w:sz w:val="24"/>
          <w:szCs w:val="24"/>
          <w:lang w:val="uk-UA"/>
        </w:rPr>
        <w:t>2009</w:t>
      </w:r>
      <w:r w:rsidR="00B10339" w:rsidRPr="00ED35A9">
        <w:rPr>
          <w:rFonts w:eastAsia="Calibri" w:cs="Times New Roman"/>
          <w:sz w:val="24"/>
          <w:szCs w:val="24"/>
          <w:lang w:val="uk-UA"/>
        </w:rPr>
        <w:t>–20</w:t>
      </w:r>
      <w:r w:rsidRPr="00ED35A9">
        <w:rPr>
          <w:rFonts w:eastAsia="Calibri" w:cs="Times New Roman"/>
          <w:sz w:val="24"/>
          <w:szCs w:val="24"/>
          <w:lang w:val="uk-UA"/>
        </w:rPr>
        <w:t>18.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Dick</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Lombard</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Shared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vision</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w:t>
      </w:r>
      <w:r w:rsidR="00B10339" w:rsidRPr="00ED35A9">
        <w:rPr>
          <w:rFonts w:eastAsia="Calibri" w:cs="Times New Roman"/>
          <w:sz w:val="24"/>
          <w:szCs w:val="24"/>
          <w:lang w:val="uk-UA"/>
        </w:rPr>
        <w:t xml:space="preserve"> </w:t>
      </w:r>
      <w:r w:rsidRPr="00ED35A9">
        <w:rPr>
          <w:rFonts w:eastAsia="Calibri" w:cs="Times New Roman"/>
          <w:sz w:val="24"/>
          <w:szCs w:val="24"/>
          <w:lang w:val="uk-UA"/>
        </w:rPr>
        <w:t xml:space="preserve">a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education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project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designed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enhance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r w:rsidR="00B10339" w:rsidRPr="00ED35A9">
        <w:rPr>
          <w:rFonts w:eastAsia="Calibri" w:cs="Times New Roman"/>
          <w:sz w:val="24"/>
          <w:szCs w:val="24"/>
          <w:lang w:val="uk-UA"/>
        </w:rPr>
        <w:t>(</w:t>
      </w:r>
      <w:proofErr w:type="spellStart"/>
      <w:r w:rsidRPr="00ED35A9">
        <w:rPr>
          <w:rFonts w:eastAsia="Calibri" w:cs="Times New Roman"/>
          <w:sz w:val="24"/>
          <w:szCs w:val="24"/>
          <w:lang w:val="uk-UA"/>
        </w:rPr>
        <w:t>planning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practice</w:t>
      </w:r>
      <w:proofErr w:type="spellEnd"/>
      <w:r w:rsidR="00B1033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B10339" w:rsidRPr="00ED35A9">
        <w:rPr>
          <w:rFonts w:eastAsia="Calibri" w:cs="Times New Roman"/>
          <w:sz w:val="24"/>
          <w:szCs w:val="24"/>
          <w:lang w:val="uk-UA"/>
        </w:rPr>
        <w:t xml:space="preserve">, </w:t>
      </w:r>
      <w:r w:rsidRPr="00ED35A9">
        <w:rPr>
          <w:rFonts w:eastAsia="Calibri" w:cs="Times New Roman"/>
          <w:sz w:val="24"/>
          <w:szCs w:val="24"/>
          <w:lang w:val="uk-UA"/>
        </w:rPr>
        <w:t>1997</w:t>
      </w:r>
      <w:r w:rsidR="00B10339" w:rsidRPr="00ED35A9">
        <w:rPr>
          <w:rFonts w:eastAsia="Calibri" w:cs="Times New Roman"/>
          <w:sz w:val="24"/>
          <w:szCs w:val="24"/>
          <w:lang w:val="uk-UA"/>
        </w:rPr>
        <w:t xml:space="preserve">, </w:t>
      </w:r>
      <w:r w:rsidRPr="00ED35A9">
        <w:rPr>
          <w:rFonts w:eastAsia="Calibri" w:cs="Times New Roman"/>
          <w:sz w:val="24"/>
          <w:szCs w:val="24"/>
          <w:lang w:val="uk-UA"/>
        </w:rPr>
        <w:t>1(2)</w:t>
      </w:r>
      <w:r w:rsidR="00B10339" w:rsidRPr="00ED35A9">
        <w:rPr>
          <w:rFonts w:eastAsia="Calibri" w:cs="Times New Roman"/>
          <w:sz w:val="24"/>
          <w:szCs w:val="24"/>
          <w:lang w:val="uk-UA"/>
        </w:rPr>
        <w:t xml:space="preserve">: </w:t>
      </w:r>
      <w:r w:rsidRPr="00ED35A9">
        <w:rPr>
          <w:rFonts w:eastAsia="Calibri" w:cs="Times New Roman"/>
          <w:sz w:val="24"/>
          <w:szCs w:val="24"/>
          <w:lang w:val="uk-UA"/>
        </w:rPr>
        <w:t>181</w:t>
      </w:r>
      <w:r w:rsidR="00B10339" w:rsidRPr="00ED35A9">
        <w:rPr>
          <w:rFonts w:eastAsia="Calibri" w:cs="Times New Roman"/>
          <w:sz w:val="24"/>
          <w:szCs w:val="24"/>
          <w:lang w:val="uk-UA"/>
        </w:rPr>
        <w:t>–18</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Banerjee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Harries</w:t>
      </w:r>
      <w:proofErr w:type="spellEnd"/>
      <w:r w:rsidRPr="00ED35A9">
        <w:rPr>
          <w:rFonts w:eastAsia="Calibri" w:cs="Times New Roman"/>
          <w:sz w:val="24"/>
          <w:szCs w:val="24"/>
          <w:lang w:val="uk-UA"/>
        </w:rPr>
        <w:t xml:space="preserve"> AD, </w:t>
      </w:r>
      <w:proofErr w:type="spellStart"/>
      <w:r w:rsidRPr="00ED35A9">
        <w:rPr>
          <w:rFonts w:eastAsia="Calibri" w:cs="Times New Roman"/>
          <w:sz w:val="24"/>
          <w:szCs w:val="24"/>
          <w:lang w:val="uk-UA"/>
        </w:rPr>
        <w:t>Mphasa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Nyirenda</w:t>
      </w:r>
      <w:proofErr w:type="spellEnd"/>
      <w:r w:rsidRPr="00ED35A9">
        <w:rPr>
          <w:rFonts w:eastAsia="Calibri" w:cs="Times New Roman"/>
          <w:sz w:val="24"/>
          <w:szCs w:val="24"/>
          <w:lang w:val="uk-UA"/>
        </w:rPr>
        <w:t xml:space="preserve"> ТЕ, </w:t>
      </w:r>
      <w:proofErr w:type="spellStart"/>
      <w:r w:rsidRPr="00ED35A9">
        <w:rPr>
          <w:rFonts w:eastAsia="Calibri" w:cs="Times New Roman"/>
          <w:sz w:val="24"/>
          <w:szCs w:val="24"/>
          <w:lang w:val="uk-UA"/>
        </w:rPr>
        <w:t>Veen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Ringdal</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unified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cases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guardian-based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0673E8" w:rsidRPr="00ED35A9">
        <w:rPr>
          <w:rFonts w:eastAsia="Calibri" w:cs="Times New Roman"/>
          <w:sz w:val="24"/>
          <w:szCs w:val="24"/>
          <w:lang w:val="uk-UA"/>
        </w:rPr>
        <w:t xml:space="preserve">, </w:t>
      </w:r>
      <w:r w:rsidRPr="00ED35A9">
        <w:rPr>
          <w:rFonts w:eastAsia="Calibri" w:cs="Times New Roman"/>
          <w:sz w:val="24"/>
          <w:szCs w:val="24"/>
          <w:lang w:val="uk-UA"/>
        </w:rPr>
        <w:t>2000</w:t>
      </w:r>
      <w:r w:rsidR="000673E8" w:rsidRPr="00ED35A9">
        <w:rPr>
          <w:rFonts w:eastAsia="Calibri" w:cs="Times New Roman"/>
          <w:sz w:val="24"/>
          <w:szCs w:val="24"/>
          <w:lang w:val="uk-UA"/>
        </w:rPr>
        <w:t xml:space="preserve">, </w:t>
      </w:r>
      <w:r w:rsidRPr="00ED35A9">
        <w:rPr>
          <w:rFonts w:eastAsia="Calibri" w:cs="Times New Roman"/>
          <w:sz w:val="24"/>
          <w:szCs w:val="24"/>
          <w:lang w:val="uk-UA"/>
        </w:rPr>
        <w:t>4(4):</w:t>
      </w:r>
      <w:r w:rsidR="000673E8" w:rsidRPr="00ED35A9">
        <w:rPr>
          <w:rFonts w:eastAsia="Calibri" w:cs="Times New Roman"/>
          <w:sz w:val="24"/>
          <w:szCs w:val="24"/>
          <w:lang w:val="uk-UA"/>
        </w:rPr>
        <w:t xml:space="preserve"> </w:t>
      </w:r>
      <w:r w:rsidRPr="00ED35A9">
        <w:rPr>
          <w:rFonts w:eastAsia="Calibri" w:cs="Times New Roman"/>
          <w:sz w:val="24"/>
          <w:szCs w:val="24"/>
          <w:lang w:val="uk-UA"/>
        </w:rPr>
        <w:t>333</w:t>
      </w:r>
      <w:r w:rsidR="000673E8" w:rsidRPr="00ED35A9">
        <w:rPr>
          <w:rFonts w:eastAsia="Calibri" w:cs="Times New Roman"/>
          <w:sz w:val="24"/>
          <w:szCs w:val="24"/>
          <w:lang w:val="uk-UA"/>
        </w:rPr>
        <w:t>–33</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Becx-Bleumink</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Wibowo</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Apriani</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Vrakking</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notification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success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through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participation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central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Sulawesi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Republic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Indonesia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0673E8" w:rsidRPr="00ED35A9">
        <w:rPr>
          <w:rFonts w:eastAsia="Calibri" w:cs="Times New Roman"/>
          <w:sz w:val="24"/>
          <w:szCs w:val="24"/>
          <w:lang w:val="uk-UA"/>
        </w:rPr>
        <w:t xml:space="preserve">, </w:t>
      </w:r>
      <w:r w:rsidRPr="00ED35A9">
        <w:rPr>
          <w:rFonts w:eastAsia="Calibri" w:cs="Times New Roman"/>
          <w:sz w:val="24"/>
          <w:szCs w:val="24"/>
          <w:lang w:val="uk-UA"/>
        </w:rPr>
        <w:t>2001</w:t>
      </w:r>
      <w:r w:rsidR="000673E8" w:rsidRPr="00ED35A9">
        <w:rPr>
          <w:rFonts w:eastAsia="Calibri" w:cs="Times New Roman"/>
          <w:sz w:val="24"/>
          <w:szCs w:val="24"/>
          <w:lang w:val="uk-UA"/>
        </w:rPr>
        <w:t xml:space="preserve">, </w:t>
      </w:r>
      <w:r w:rsidRPr="00ED35A9">
        <w:rPr>
          <w:rFonts w:eastAsia="Calibri" w:cs="Times New Roman"/>
          <w:sz w:val="24"/>
          <w:szCs w:val="24"/>
          <w:lang w:val="uk-UA"/>
        </w:rPr>
        <w:t>5(10):</w:t>
      </w:r>
      <w:r w:rsidR="000673E8" w:rsidRPr="00ED35A9">
        <w:rPr>
          <w:rFonts w:eastAsia="Calibri" w:cs="Times New Roman"/>
          <w:sz w:val="24"/>
          <w:szCs w:val="24"/>
          <w:lang w:val="uk-UA"/>
        </w:rPr>
        <w:t xml:space="preserve"> </w:t>
      </w:r>
      <w:r w:rsidRPr="00ED35A9">
        <w:rPr>
          <w:rFonts w:eastAsia="Calibri" w:cs="Times New Roman"/>
          <w:sz w:val="24"/>
          <w:szCs w:val="24"/>
          <w:lang w:val="uk-UA"/>
        </w:rPr>
        <w:t>920</w:t>
      </w:r>
      <w:r w:rsidR="000673E8" w:rsidRPr="00ED35A9">
        <w:rPr>
          <w:rFonts w:eastAsia="Calibri" w:cs="Times New Roman"/>
          <w:sz w:val="24"/>
          <w:szCs w:val="24"/>
          <w:lang w:val="uk-UA"/>
        </w:rPr>
        <w:t>–92</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Dobler</w:t>
      </w:r>
      <w:proofErr w:type="spellEnd"/>
      <w:r w:rsidRPr="00ED35A9">
        <w:rPr>
          <w:rFonts w:eastAsia="Calibri" w:cs="Times New Roman"/>
          <w:sz w:val="24"/>
          <w:szCs w:val="24"/>
          <w:lang w:val="uk-UA"/>
        </w:rPr>
        <w:t xml:space="preserve"> CC, </w:t>
      </w:r>
      <w:proofErr w:type="spellStart"/>
      <w:r w:rsidRPr="00ED35A9">
        <w:rPr>
          <w:rFonts w:eastAsia="Calibri" w:cs="Times New Roman"/>
          <w:sz w:val="24"/>
          <w:szCs w:val="24"/>
          <w:lang w:val="uk-UA"/>
        </w:rPr>
        <w:t>Korver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Batbayar</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Oyuntsetseg</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Tsolmon</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Wright</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Success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Mongolia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0673E8" w:rsidRPr="00ED35A9">
        <w:rPr>
          <w:rFonts w:eastAsia="Calibri" w:cs="Times New Roman"/>
          <w:sz w:val="24"/>
          <w:szCs w:val="24"/>
          <w:lang w:val="uk-UA"/>
        </w:rPr>
        <w:t xml:space="preserve">, </w:t>
      </w:r>
      <w:r w:rsidRPr="00ED35A9">
        <w:rPr>
          <w:rFonts w:eastAsia="Calibri" w:cs="Times New Roman"/>
          <w:sz w:val="24"/>
          <w:szCs w:val="24"/>
          <w:lang w:val="uk-UA"/>
        </w:rPr>
        <w:t>2015</w:t>
      </w:r>
      <w:r w:rsidR="000673E8" w:rsidRPr="00ED35A9">
        <w:rPr>
          <w:rFonts w:eastAsia="Calibri" w:cs="Times New Roman"/>
          <w:sz w:val="24"/>
          <w:szCs w:val="24"/>
          <w:lang w:val="uk-UA"/>
        </w:rPr>
        <w:t xml:space="preserve">, </w:t>
      </w:r>
      <w:r w:rsidRPr="00ED35A9">
        <w:rPr>
          <w:rFonts w:eastAsia="Calibri" w:cs="Times New Roman"/>
          <w:sz w:val="24"/>
          <w:szCs w:val="24"/>
          <w:lang w:val="uk-UA"/>
        </w:rPr>
        <w:t>19(6):</w:t>
      </w:r>
      <w:r w:rsidR="000673E8" w:rsidRPr="00ED35A9">
        <w:rPr>
          <w:rFonts w:eastAsia="Calibri" w:cs="Times New Roman"/>
          <w:sz w:val="24"/>
          <w:szCs w:val="24"/>
          <w:lang w:val="uk-UA"/>
        </w:rPr>
        <w:t xml:space="preserve"> </w:t>
      </w:r>
      <w:r w:rsidRPr="00ED35A9">
        <w:rPr>
          <w:rFonts w:eastAsia="Calibri" w:cs="Times New Roman"/>
          <w:sz w:val="24"/>
          <w:szCs w:val="24"/>
          <w:lang w:val="uk-UA"/>
        </w:rPr>
        <w:t>657</w:t>
      </w:r>
      <w:r w:rsidR="000673E8" w:rsidRPr="00ED35A9">
        <w:rPr>
          <w:rFonts w:eastAsia="Calibri" w:cs="Times New Roman"/>
          <w:sz w:val="24"/>
          <w:szCs w:val="24"/>
          <w:lang w:val="uk-UA"/>
        </w:rPr>
        <w:t>–6</w:t>
      </w:r>
      <w:r w:rsidRPr="00ED35A9">
        <w:rPr>
          <w:rFonts w:eastAsia="Calibri" w:cs="Times New Roman"/>
          <w:sz w:val="24"/>
          <w:szCs w:val="24"/>
          <w:lang w:val="uk-UA"/>
        </w:rPr>
        <w:t>62.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Dudley</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Azevedo</w:t>
      </w:r>
      <w:proofErr w:type="spellEnd"/>
      <w:r w:rsidRPr="00ED35A9">
        <w:rPr>
          <w:rFonts w:eastAsia="Calibri" w:cs="Times New Roman"/>
          <w:sz w:val="24"/>
          <w:szCs w:val="24"/>
          <w:lang w:val="uk-UA"/>
        </w:rPr>
        <w:t xml:space="preserve"> </w:t>
      </w:r>
      <w:r w:rsidR="007038AC" w:rsidRPr="00ED35A9">
        <w:rPr>
          <w:rFonts w:eastAsia="Calibri" w:cs="Times New Roman"/>
          <w:sz w:val="24"/>
          <w:szCs w:val="24"/>
          <w:lang w:val="uk-UA"/>
        </w:rPr>
        <w:t>V,</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Grant</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Schoeman</w:t>
      </w:r>
      <w:proofErr w:type="spellEnd"/>
      <w:r w:rsidRPr="00ED35A9">
        <w:rPr>
          <w:rFonts w:eastAsia="Calibri" w:cs="Times New Roman"/>
          <w:sz w:val="24"/>
          <w:szCs w:val="24"/>
          <w:lang w:val="uk-UA"/>
        </w:rPr>
        <w:t xml:space="preserve"> JH, </w:t>
      </w:r>
      <w:proofErr w:type="spellStart"/>
      <w:r w:rsidRPr="00ED35A9">
        <w:rPr>
          <w:rFonts w:eastAsia="Calibri" w:cs="Times New Roman"/>
          <w:sz w:val="24"/>
          <w:szCs w:val="24"/>
          <w:lang w:val="uk-UA"/>
        </w:rPr>
        <w:t>Dikweni</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Maher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contribution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Cape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0673E8" w:rsidRPr="00ED35A9">
        <w:rPr>
          <w:rFonts w:eastAsia="Calibri" w:cs="Times New Roman"/>
          <w:sz w:val="24"/>
          <w:szCs w:val="24"/>
          <w:lang w:val="uk-UA"/>
        </w:rPr>
        <w:t xml:space="preserve">, </w:t>
      </w:r>
      <w:r w:rsidRPr="00ED35A9">
        <w:rPr>
          <w:rFonts w:eastAsia="Calibri" w:cs="Times New Roman"/>
          <w:sz w:val="24"/>
          <w:szCs w:val="24"/>
          <w:lang w:val="uk-UA"/>
        </w:rPr>
        <w:t>2003</w:t>
      </w:r>
      <w:r w:rsidR="000673E8" w:rsidRPr="00ED35A9">
        <w:rPr>
          <w:rFonts w:eastAsia="Calibri" w:cs="Times New Roman"/>
          <w:sz w:val="24"/>
          <w:szCs w:val="24"/>
          <w:lang w:val="uk-UA"/>
        </w:rPr>
        <w:t xml:space="preserve">, </w:t>
      </w:r>
      <w:r w:rsidRPr="00ED35A9">
        <w:rPr>
          <w:rFonts w:eastAsia="Calibri" w:cs="Times New Roman"/>
          <w:sz w:val="24"/>
          <w:szCs w:val="24"/>
          <w:lang w:val="uk-UA"/>
        </w:rPr>
        <w:t>7(9):</w:t>
      </w:r>
      <w:r w:rsidR="000673E8" w:rsidRPr="00ED35A9">
        <w:rPr>
          <w:rFonts w:eastAsia="Calibri" w:cs="Times New Roman"/>
          <w:sz w:val="24"/>
          <w:szCs w:val="24"/>
          <w:lang w:val="uk-UA"/>
        </w:rPr>
        <w:t xml:space="preserve"> </w:t>
      </w:r>
      <w:r w:rsidRPr="00ED35A9">
        <w:rPr>
          <w:rFonts w:eastAsia="Calibri" w:cs="Times New Roman"/>
          <w:sz w:val="24"/>
          <w:szCs w:val="24"/>
          <w:lang w:val="uk-UA"/>
        </w:rPr>
        <w:t>S48</w:t>
      </w:r>
      <w:r w:rsidR="000673E8" w:rsidRPr="00ED35A9">
        <w:rPr>
          <w:rFonts w:eastAsia="Calibri" w:cs="Times New Roman"/>
          <w:sz w:val="24"/>
          <w:szCs w:val="24"/>
          <w:lang w:val="uk-UA"/>
        </w:rPr>
        <w:t>–S</w:t>
      </w:r>
      <w:r w:rsidRPr="00ED35A9">
        <w:rPr>
          <w:rFonts w:eastAsia="Calibri" w:cs="Times New Roman"/>
          <w:sz w:val="24"/>
          <w:szCs w:val="24"/>
          <w:lang w:val="uk-UA"/>
        </w:rPr>
        <w:t>55.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Maciel</w:t>
      </w:r>
      <w:proofErr w:type="spellEnd"/>
      <w:r w:rsidRPr="00ED35A9">
        <w:rPr>
          <w:rFonts w:eastAsia="Calibri" w:cs="Times New Roman"/>
          <w:sz w:val="24"/>
          <w:szCs w:val="24"/>
          <w:lang w:val="uk-UA"/>
        </w:rPr>
        <w:t xml:space="preserve"> ELN, </w:t>
      </w:r>
      <w:proofErr w:type="spellStart"/>
      <w:r w:rsidRPr="00ED35A9">
        <w:rPr>
          <w:rFonts w:eastAsia="Calibri" w:cs="Times New Roman"/>
          <w:sz w:val="24"/>
          <w:szCs w:val="24"/>
          <w:lang w:val="uk-UA"/>
        </w:rPr>
        <w:t>Guidoni</w:t>
      </w:r>
      <w:proofErr w:type="spellEnd"/>
      <w:r w:rsidRPr="00ED35A9">
        <w:rPr>
          <w:rFonts w:eastAsia="Calibri" w:cs="Times New Roman"/>
          <w:sz w:val="24"/>
          <w:szCs w:val="24"/>
          <w:lang w:val="uk-UA"/>
        </w:rPr>
        <w:t xml:space="preserve"> LM, </w:t>
      </w:r>
      <w:proofErr w:type="spellStart"/>
      <w:r w:rsidRPr="00ED35A9">
        <w:rPr>
          <w:rFonts w:eastAsia="Calibri" w:cs="Times New Roman"/>
          <w:sz w:val="24"/>
          <w:szCs w:val="24"/>
          <w:lang w:val="uk-UA"/>
        </w:rPr>
        <w:t>Brioshi</w:t>
      </w:r>
      <w:proofErr w:type="spellEnd"/>
      <w:r w:rsidRPr="00ED35A9">
        <w:rPr>
          <w:rFonts w:eastAsia="Calibri" w:cs="Times New Roman"/>
          <w:sz w:val="24"/>
          <w:szCs w:val="24"/>
          <w:lang w:val="uk-UA"/>
        </w:rPr>
        <w:t xml:space="preserve"> AR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007038AC" w:rsidRPr="00ED35A9">
        <w:rPr>
          <w:rFonts w:eastAsia="Calibri" w:cs="Times New Roman"/>
          <w:sz w:val="24"/>
          <w:szCs w:val="24"/>
          <w:lang w:val="uk-UA"/>
        </w:rPr>
        <w:t>do</w:t>
      </w:r>
      <w:proofErr w:type="spellEnd"/>
      <w:r w:rsidR="007038AC"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Prado</w:t>
      </w:r>
      <w:proofErr w:type="spellEnd"/>
      <w:r w:rsidRPr="00ED35A9">
        <w:rPr>
          <w:rFonts w:eastAsia="Calibri" w:cs="Times New Roman"/>
          <w:sz w:val="24"/>
          <w:szCs w:val="24"/>
          <w:lang w:val="uk-UA"/>
        </w:rPr>
        <w:t xml:space="preserve"> TN, </w:t>
      </w:r>
      <w:proofErr w:type="spellStart"/>
      <w:r w:rsidRPr="00ED35A9">
        <w:rPr>
          <w:rFonts w:eastAsia="Calibri" w:cs="Times New Roman"/>
          <w:sz w:val="24"/>
          <w:szCs w:val="24"/>
          <w:lang w:val="uk-UA"/>
        </w:rPr>
        <w:t>Fregona</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Hadad</w:t>
      </w:r>
      <w:proofErr w:type="spellEnd"/>
      <w:r w:rsidRPr="00ED35A9">
        <w:rPr>
          <w:rFonts w:eastAsia="Calibri" w:cs="Times New Roman"/>
          <w:sz w:val="24"/>
          <w:szCs w:val="24"/>
          <w:lang w:val="uk-UA"/>
        </w:rPr>
        <w:t xml:space="preserve"> DJ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Household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members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supervisors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Rev</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Saude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Publica</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2010</w:t>
      </w:r>
      <w:r w:rsidR="00334BFD" w:rsidRPr="00ED35A9">
        <w:rPr>
          <w:rFonts w:eastAsia="Calibri" w:cs="Times New Roman"/>
          <w:sz w:val="24"/>
          <w:szCs w:val="24"/>
          <w:lang w:val="uk-UA"/>
        </w:rPr>
        <w:t xml:space="preserve">, </w:t>
      </w:r>
      <w:r w:rsidRPr="00ED35A9">
        <w:rPr>
          <w:rFonts w:eastAsia="Calibri" w:cs="Times New Roman"/>
          <w:sz w:val="24"/>
          <w:szCs w:val="24"/>
          <w:lang w:val="uk-UA"/>
        </w:rPr>
        <w:t>44(2):</w:t>
      </w:r>
      <w:r w:rsidR="00334BFD" w:rsidRPr="00ED35A9">
        <w:rPr>
          <w:rFonts w:eastAsia="Calibri" w:cs="Times New Roman"/>
          <w:sz w:val="24"/>
          <w:szCs w:val="24"/>
          <w:lang w:val="uk-UA"/>
        </w:rPr>
        <w:t xml:space="preserve"> </w:t>
      </w:r>
      <w:r w:rsidRPr="00ED35A9">
        <w:rPr>
          <w:rFonts w:eastAsia="Calibri" w:cs="Times New Roman"/>
          <w:sz w:val="24"/>
          <w:szCs w:val="24"/>
          <w:lang w:val="uk-UA"/>
        </w:rPr>
        <w:t>339</w:t>
      </w:r>
      <w:r w:rsidR="00334BFD" w:rsidRPr="00ED35A9">
        <w:rPr>
          <w:rFonts w:eastAsia="Calibri" w:cs="Times New Roman"/>
          <w:sz w:val="24"/>
          <w:szCs w:val="24"/>
          <w:lang w:val="uk-UA"/>
        </w:rPr>
        <w:t>–3</w:t>
      </w:r>
      <w:r w:rsidRPr="00ED35A9">
        <w:rPr>
          <w:rFonts w:eastAsia="Calibri" w:cs="Times New Roman"/>
          <w:sz w:val="24"/>
          <w:szCs w:val="24"/>
          <w:lang w:val="uk-UA"/>
        </w:rPr>
        <w:t>43.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Miti</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Mfungwe</w:t>
      </w:r>
      <w:proofErr w:type="spellEnd"/>
      <w:r w:rsidRPr="00ED35A9">
        <w:rPr>
          <w:rFonts w:eastAsia="Calibri" w:cs="Times New Roman"/>
          <w:sz w:val="24"/>
          <w:szCs w:val="24"/>
          <w:lang w:val="uk-UA"/>
        </w:rPr>
        <w:t xml:space="preserve"> </w:t>
      </w:r>
      <w:r w:rsidR="00334BFD" w:rsidRPr="00ED35A9">
        <w:rPr>
          <w:rFonts w:eastAsia="Calibri" w:cs="Times New Roman"/>
          <w:sz w:val="24"/>
          <w:szCs w:val="24"/>
          <w:lang w:val="uk-UA"/>
        </w:rPr>
        <w:t>V,</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Reijer</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Maher</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Integration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persons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living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HIV/AIDS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Ndola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Zambia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2003</w:t>
      </w:r>
      <w:r w:rsidR="00334BFD" w:rsidRPr="00ED35A9">
        <w:rPr>
          <w:rFonts w:eastAsia="Calibri" w:cs="Times New Roman"/>
          <w:sz w:val="24"/>
          <w:szCs w:val="24"/>
          <w:lang w:val="uk-UA"/>
        </w:rPr>
        <w:t xml:space="preserve">, </w:t>
      </w:r>
      <w:r w:rsidRPr="00ED35A9">
        <w:rPr>
          <w:rFonts w:eastAsia="Calibri" w:cs="Times New Roman"/>
          <w:sz w:val="24"/>
          <w:szCs w:val="24"/>
          <w:lang w:val="uk-UA"/>
        </w:rPr>
        <w:t>7(9):</w:t>
      </w:r>
      <w:r w:rsidR="00334BFD" w:rsidRPr="00ED35A9">
        <w:rPr>
          <w:rFonts w:eastAsia="Calibri" w:cs="Times New Roman"/>
          <w:sz w:val="24"/>
          <w:szCs w:val="24"/>
          <w:lang w:val="uk-UA"/>
        </w:rPr>
        <w:t xml:space="preserve"> </w:t>
      </w:r>
      <w:r w:rsidRPr="00ED35A9">
        <w:rPr>
          <w:rFonts w:eastAsia="Calibri" w:cs="Times New Roman"/>
          <w:sz w:val="24"/>
          <w:szCs w:val="24"/>
          <w:lang w:val="uk-UA"/>
        </w:rPr>
        <w:t>S92</w:t>
      </w:r>
      <w:r w:rsidR="00334BFD" w:rsidRPr="00ED35A9">
        <w:rPr>
          <w:rFonts w:eastAsia="Calibri" w:cs="Times New Roman"/>
          <w:sz w:val="24"/>
          <w:szCs w:val="24"/>
          <w:lang w:val="uk-UA"/>
        </w:rPr>
        <w:t>–S9</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Moalosi</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Floyd</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Phatshwane</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Moeti</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Binkin</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Kenyon</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home-based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versus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chronically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ill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Francistown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Botswana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2003,</w:t>
      </w:r>
      <w:r w:rsidR="00334BFD" w:rsidRPr="00ED35A9">
        <w:rPr>
          <w:rFonts w:eastAsia="Calibri" w:cs="Times New Roman"/>
          <w:sz w:val="24"/>
          <w:szCs w:val="24"/>
          <w:lang w:val="uk-UA"/>
        </w:rPr>
        <w:t xml:space="preserve"> </w:t>
      </w:r>
      <w:r w:rsidRPr="00ED35A9">
        <w:rPr>
          <w:rFonts w:eastAsia="Calibri" w:cs="Times New Roman"/>
          <w:sz w:val="24"/>
          <w:szCs w:val="24"/>
          <w:lang w:val="uk-UA"/>
        </w:rPr>
        <w:t>7(9)</w:t>
      </w:r>
      <w:r w:rsidR="00334BFD" w:rsidRPr="00ED35A9">
        <w:rPr>
          <w:rFonts w:eastAsia="Calibri" w:cs="Times New Roman"/>
          <w:sz w:val="24"/>
          <w:szCs w:val="24"/>
          <w:lang w:val="uk-UA"/>
        </w:rPr>
        <w:t xml:space="preserve">: </w:t>
      </w:r>
      <w:r w:rsidRPr="00ED35A9">
        <w:rPr>
          <w:rFonts w:eastAsia="Calibri" w:cs="Times New Roman"/>
          <w:sz w:val="24"/>
          <w:szCs w:val="24"/>
          <w:lang w:val="uk-UA"/>
        </w:rPr>
        <w:t>180</w:t>
      </w:r>
      <w:r w:rsidR="00334BFD" w:rsidRPr="00ED35A9">
        <w:rPr>
          <w:rFonts w:eastAsia="Calibri" w:cs="Times New Roman"/>
          <w:sz w:val="24"/>
          <w:szCs w:val="24"/>
          <w:lang w:val="uk-UA"/>
        </w:rPr>
        <w:t>–18</w:t>
      </w:r>
      <w:r w:rsidRPr="00ED35A9">
        <w:rPr>
          <w:rFonts w:eastAsia="Calibri" w:cs="Times New Roman"/>
          <w:sz w:val="24"/>
          <w:szCs w:val="24"/>
          <w:lang w:val="uk-UA"/>
        </w:rPr>
        <w:t>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Niazi</w:t>
      </w:r>
      <w:proofErr w:type="spellEnd"/>
      <w:r w:rsidRPr="00ED35A9">
        <w:rPr>
          <w:rFonts w:eastAsia="Calibri" w:cs="Times New Roman"/>
          <w:sz w:val="24"/>
          <w:szCs w:val="24"/>
          <w:lang w:val="uk-UA"/>
        </w:rPr>
        <w:t xml:space="preserve"> AD, </w:t>
      </w:r>
      <w:proofErr w:type="spellStart"/>
      <w:r w:rsidRPr="00ED35A9">
        <w:rPr>
          <w:rFonts w:eastAsia="Calibri" w:cs="Times New Roman"/>
          <w:sz w:val="24"/>
          <w:szCs w:val="24"/>
          <w:lang w:val="uk-UA"/>
        </w:rPr>
        <w:t>Al-Delaimi</w:t>
      </w:r>
      <w:proofErr w:type="spellEnd"/>
      <w:r w:rsidRPr="00ED35A9">
        <w:rPr>
          <w:rFonts w:eastAsia="Calibri" w:cs="Times New Roman"/>
          <w:sz w:val="24"/>
          <w:szCs w:val="24"/>
          <w:lang w:val="uk-UA"/>
        </w:rPr>
        <w:t xml:space="preserve"> AM.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participation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Iraq</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East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Mediterrranean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J</w:t>
      </w:r>
      <w:r w:rsidR="00334BFD" w:rsidRPr="00ED35A9">
        <w:rPr>
          <w:rFonts w:eastAsia="Calibri" w:cs="Times New Roman"/>
          <w:sz w:val="24"/>
          <w:szCs w:val="24"/>
          <w:lang w:val="uk-UA"/>
        </w:rPr>
        <w:t xml:space="preserve">, </w:t>
      </w:r>
      <w:r w:rsidRPr="00ED35A9">
        <w:rPr>
          <w:rFonts w:eastAsia="Calibri" w:cs="Times New Roman"/>
          <w:sz w:val="24"/>
          <w:szCs w:val="24"/>
          <w:lang w:val="uk-UA"/>
        </w:rPr>
        <w:t>2003</w:t>
      </w:r>
      <w:r w:rsidR="00334BFD" w:rsidRPr="00ED35A9">
        <w:rPr>
          <w:rFonts w:eastAsia="Calibri" w:cs="Times New Roman"/>
          <w:sz w:val="24"/>
          <w:szCs w:val="24"/>
          <w:lang w:val="uk-UA"/>
        </w:rPr>
        <w:t xml:space="preserve">, </w:t>
      </w:r>
      <w:r w:rsidRPr="00ED35A9">
        <w:rPr>
          <w:rFonts w:eastAsia="Calibri" w:cs="Times New Roman"/>
          <w:sz w:val="24"/>
          <w:szCs w:val="24"/>
          <w:lang w:val="uk-UA"/>
        </w:rPr>
        <w:t>9(4):</w:t>
      </w:r>
      <w:r w:rsidR="00334BFD" w:rsidRPr="00ED35A9">
        <w:rPr>
          <w:rFonts w:eastAsia="Calibri" w:cs="Times New Roman"/>
          <w:sz w:val="24"/>
          <w:szCs w:val="24"/>
          <w:lang w:val="uk-UA"/>
        </w:rPr>
        <w:t xml:space="preserve"> </w:t>
      </w:r>
      <w:r w:rsidRPr="00ED35A9">
        <w:rPr>
          <w:rFonts w:eastAsia="Calibri" w:cs="Times New Roman"/>
          <w:sz w:val="24"/>
          <w:szCs w:val="24"/>
          <w:lang w:val="uk-UA"/>
        </w:rPr>
        <w:t>709</w:t>
      </w:r>
      <w:r w:rsidR="00334BFD" w:rsidRPr="00ED35A9">
        <w:rPr>
          <w:rFonts w:eastAsia="Calibri" w:cs="Times New Roman"/>
          <w:sz w:val="24"/>
          <w:szCs w:val="24"/>
          <w:lang w:val="uk-UA"/>
        </w:rPr>
        <w:t>–7</w:t>
      </w:r>
      <w:r w:rsidRPr="00ED35A9">
        <w:rPr>
          <w:rFonts w:eastAsia="Calibri" w:cs="Times New Roman"/>
          <w:sz w:val="24"/>
          <w:szCs w:val="24"/>
          <w:lang w:val="uk-UA"/>
        </w:rPr>
        <w:t>17.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Wares</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Akhtar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Singh</w:t>
      </w:r>
      <w:proofErr w:type="spellEnd"/>
      <w:r w:rsidRPr="00ED35A9">
        <w:rPr>
          <w:rFonts w:eastAsia="Calibri" w:cs="Times New Roman"/>
          <w:sz w:val="24"/>
          <w:szCs w:val="24"/>
          <w:lang w:val="uk-UA"/>
        </w:rPr>
        <w:t xml:space="preserve"> S. DOT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limited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facilities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hill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district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eastern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Nepal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2001</w:t>
      </w:r>
      <w:r w:rsidR="00334BFD" w:rsidRPr="00ED35A9">
        <w:rPr>
          <w:rFonts w:eastAsia="Calibri" w:cs="Times New Roman"/>
          <w:sz w:val="24"/>
          <w:szCs w:val="24"/>
          <w:lang w:val="uk-UA"/>
        </w:rPr>
        <w:t xml:space="preserve">, </w:t>
      </w:r>
      <w:r w:rsidRPr="00ED35A9">
        <w:rPr>
          <w:rFonts w:eastAsia="Calibri" w:cs="Times New Roman"/>
          <w:sz w:val="24"/>
          <w:szCs w:val="24"/>
          <w:lang w:val="uk-UA"/>
        </w:rPr>
        <w:t>5(8):</w:t>
      </w:r>
      <w:r w:rsidR="00334BFD" w:rsidRPr="00ED35A9">
        <w:rPr>
          <w:rFonts w:eastAsia="Calibri" w:cs="Times New Roman"/>
          <w:sz w:val="24"/>
          <w:szCs w:val="24"/>
          <w:lang w:val="uk-UA"/>
        </w:rPr>
        <w:t xml:space="preserve"> </w:t>
      </w:r>
      <w:r w:rsidRPr="00ED35A9">
        <w:rPr>
          <w:rFonts w:eastAsia="Calibri" w:cs="Times New Roman"/>
          <w:sz w:val="24"/>
          <w:szCs w:val="24"/>
          <w:lang w:val="uk-UA"/>
        </w:rPr>
        <w:t>732</w:t>
      </w:r>
      <w:r w:rsidR="00334BFD" w:rsidRPr="00ED35A9">
        <w:rPr>
          <w:rFonts w:eastAsia="Calibri" w:cs="Times New Roman"/>
          <w:sz w:val="24"/>
          <w:szCs w:val="24"/>
          <w:lang w:val="uk-UA"/>
        </w:rPr>
        <w:t>–7</w:t>
      </w:r>
      <w:r w:rsidRPr="00ED35A9">
        <w:rPr>
          <w:rFonts w:eastAsia="Calibri" w:cs="Times New Roman"/>
          <w:sz w:val="24"/>
          <w:szCs w:val="24"/>
          <w:lang w:val="uk-UA"/>
        </w:rPr>
        <w:t>40.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Arora</w:t>
      </w:r>
      <w:proofErr w:type="spellEnd"/>
      <w:r w:rsidRPr="00ED35A9">
        <w:rPr>
          <w:rFonts w:eastAsia="Calibri" w:cs="Times New Roman"/>
          <w:sz w:val="24"/>
          <w:szCs w:val="24"/>
          <w:lang w:val="uk-UA"/>
        </w:rPr>
        <w:t xml:space="preserve"> VK, </w:t>
      </w:r>
      <w:proofErr w:type="spellStart"/>
      <w:r w:rsidRPr="00ED35A9">
        <w:rPr>
          <w:rFonts w:eastAsia="Calibri" w:cs="Times New Roman"/>
          <w:sz w:val="24"/>
          <w:szCs w:val="24"/>
          <w:lang w:val="uk-UA"/>
        </w:rPr>
        <w:t>Singla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Gupta</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domiciliary</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execution</w:t>
      </w:r>
      <w:proofErr w:type="spellEnd"/>
      <w:r w:rsidRPr="00ED35A9">
        <w:rPr>
          <w:rFonts w:eastAsia="Calibri" w:cs="Times New Roman"/>
          <w:sz w:val="24"/>
          <w:szCs w:val="24"/>
          <w:lang w:val="uk-UA"/>
        </w:rPr>
        <w:t xml:space="preserve"> </w:t>
      </w:r>
      <w:r w:rsidR="00334BFD" w:rsidRPr="00ED35A9">
        <w:rPr>
          <w:rFonts w:eastAsia="Calibri" w:cs="Times New Roman"/>
          <w:sz w:val="24"/>
          <w:szCs w:val="24"/>
          <w:lang w:val="uk-UA"/>
        </w:rPr>
        <w:t>–</w:t>
      </w:r>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from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Delhi</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Indian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2003</w:t>
      </w:r>
      <w:r w:rsidR="00334BFD" w:rsidRPr="00ED35A9">
        <w:rPr>
          <w:rFonts w:eastAsia="Calibri" w:cs="Times New Roman"/>
          <w:sz w:val="24"/>
          <w:szCs w:val="24"/>
          <w:lang w:val="uk-UA"/>
        </w:rPr>
        <w:t xml:space="preserve">, </w:t>
      </w:r>
      <w:r w:rsidRPr="00ED35A9">
        <w:rPr>
          <w:rFonts w:eastAsia="Calibri" w:cs="Times New Roman"/>
          <w:sz w:val="24"/>
          <w:szCs w:val="24"/>
          <w:lang w:val="uk-UA"/>
        </w:rPr>
        <w:t>50:</w:t>
      </w:r>
      <w:r w:rsidR="00334BFD" w:rsidRPr="00ED35A9">
        <w:rPr>
          <w:rFonts w:eastAsia="Calibri" w:cs="Times New Roman"/>
          <w:sz w:val="24"/>
          <w:szCs w:val="24"/>
          <w:lang w:val="uk-UA"/>
        </w:rPr>
        <w:t xml:space="preserve"> </w:t>
      </w:r>
      <w:r w:rsidRPr="00ED35A9">
        <w:rPr>
          <w:rFonts w:eastAsia="Calibri" w:cs="Times New Roman"/>
          <w:sz w:val="24"/>
          <w:szCs w:val="24"/>
          <w:lang w:val="uk-UA"/>
        </w:rPr>
        <w:t>143</w:t>
      </w:r>
      <w:r w:rsidR="00334BFD" w:rsidRPr="00ED35A9">
        <w:rPr>
          <w:rFonts w:eastAsia="Calibri" w:cs="Times New Roman"/>
          <w:sz w:val="24"/>
          <w:szCs w:val="24"/>
          <w:lang w:val="uk-UA"/>
        </w:rPr>
        <w:t>–1</w:t>
      </w:r>
      <w:r w:rsidRPr="00ED35A9">
        <w:rPr>
          <w:rFonts w:eastAsia="Calibri" w:cs="Times New Roman"/>
          <w:sz w:val="24"/>
          <w:szCs w:val="24"/>
          <w:lang w:val="uk-UA"/>
        </w:rPr>
        <w:t>50.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Kironde</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Meintjies</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delivery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burden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does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choice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matter</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2002</w:t>
      </w:r>
      <w:r w:rsidR="00334BFD" w:rsidRPr="00ED35A9">
        <w:rPr>
          <w:rFonts w:eastAsia="Calibri" w:cs="Times New Roman"/>
          <w:sz w:val="24"/>
          <w:szCs w:val="24"/>
          <w:lang w:val="uk-UA"/>
        </w:rPr>
        <w:t xml:space="preserve">, </w:t>
      </w:r>
      <w:r w:rsidRPr="00ED35A9">
        <w:rPr>
          <w:rFonts w:eastAsia="Calibri" w:cs="Times New Roman"/>
          <w:sz w:val="24"/>
          <w:szCs w:val="24"/>
          <w:lang w:val="uk-UA"/>
        </w:rPr>
        <w:t>6(7):</w:t>
      </w:r>
      <w:r w:rsidR="00334BFD" w:rsidRPr="00ED35A9">
        <w:rPr>
          <w:rFonts w:eastAsia="Calibri" w:cs="Times New Roman"/>
          <w:sz w:val="24"/>
          <w:szCs w:val="24"/>
          <w:lang w:val="uk-UA"/>
        </w:rPr>
        <w:t xml:space="preserve"> </w:t>
      </w:r>
      <w:r w:rsidRPr="00ED35A9">
        <w:rPr>
          <w:rFonts w:eastAsia="Calibri" w:cs="Times New Roman"/>
          <w:sz w:val="24"/>
          <w:szCs w:val="24"/>
          <w:lang w:val="uk-UA"/>
        </w:rPr>
        <w:t>599</w:t>
      </w:r>
      <w:r w:rsidR="00334BFD" w:rsidRPr="00ED35A9">
        <w:rPr>
          <w:rFonts w:eastAsia="Calibri" w:cs="Times New Roman"/>
          <w:sz w:val="24"/>
          <w:szCs w:val="24"/>
          <w:lang w:val="uk-UA"/>
        </w:rPr>
        <w:t>–</w:t>
      </w:r>
      <w:r w:rsidRPr="00ED35A9">
        <w:rPr>
          <w:rFonts w:eastAsia="Calibri" w:cs="Times New Roman"/>
          <w:sz w:val="24"/>
          <w:szCs w:val="24"/>
          <w:lang w:val="uk-UA"/>
        </w:rPr>
        <w:t>608.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Boogaard</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Lyimo</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Irongo</w:t>
      </w:r>
      <w:proofErr w:type="spellEnd"/>
      <w:r w:rsidRPr="00ED35A9">
        <w:rPr>
          <w:rFonts w:eastAsia="Calibri" w:cs="Times New Roman"/>
          <w:sz w:val="24"/>
          <w:szCs w:val="24"/>
          <w:lang w:val="uk-UA"/>
        </w:rPr>
        <w:t xml:space="preserve"> CF, </w:t>
      </w:r>
      <w:proofErr w:type="spellStart"/>
      <w:r w:rsidRPr="00ED35A9">
        <w:rPr>
          <w:rFonts w:eastAsia="Calibri" w:cs="Times New Roman"/>
          <w:sz w:val="24"/>
          <w:szCs w:val="24"/>
          <w:lang w:val="uk-UA"/>
        </w:rPr>
        <w:t>Boeree</w:t>
      </w:r>
      <w:proofErr w:type="spellEnd"/>
      <w:r w:rsidRPr="00ED35A9">
        <w:rPr>
          <w:rFonts w:eastAsia="Calibri" w:cs="Times New Roman"/>
          <w:sz w:val="24"/>
          <w:szCs w:val="24"/>
          <w:lang w:val="uk-UA"/>
        </w:rPr>
        <w:t xml:space="preserve"> MJ, </w:t>
      </w:r>
      <w:proofErr w:type="spellStart"/>
      <w:r w:rsidRPr="00ED35A9">
        <w:rPr>
          <w:rFonts w:eastAsia="Calibri" w:cs="Times New Roman"/>
          <w:sz w:val="24"/>
          <w:szCs w:val="24"/>
          <w:lang w:val="uk-UA"/>
        </w:rPr>
        <w:t>Schaalma</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Aarnoutse</w:t>
      </w:r>
      <w:proofErr w:type="spellEnd"/>
      <w:r w:rsidRPr="00ED35A9">
        <w:rPr>
          <w:rFonts w:eastAsia="Calibri" w:cs="Times New Roman"/>
          <w:sz w:val="24"/>
          <w:szCs w:val="24"/>
          <w:lang w:val="uk-UA"/>
        </w:rPr>
        <w:t xml:space="preserve"> RE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facility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Tanzania’s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Kilimanjaro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2009</w:t>
      </w:r>
      <w:r w:rsidR="00334BFD" w:rsidRPr="00ED35A9">
        <w:rPr>
          <w:rFonts w:eastAsia="Calibri" w:cs="Times New Roman"/>
          <w:sz w:val="24"/>
          <w:szCs w:val="24"/>
          <w:lang w:val="uk-UA"/>
        </w:rPr>
        <w:t xml:space="preserve">, </w:t>
      </w:r>
      <w:r w:rsidRPr="00ED35A9">
        <w:rPr>
          <w:rFonts w:eastAsia="Calibri" w:cs="Times New Roman"/>
          <w:sz w:val="24"/>
          <w:szCs w:val="24"/>
          <w:lang w:val="uk-UA"/>
        </w:rPr>
        <w:t>13(12)</w:t>
      </w:r>
      <w:r w:rsidR="00334BFD" w:rsidRPr="00ED35A9">
        <w:rPr>
          <w:rFonts w:eastAsia="Calibri" w:cs="Times New Roman"/>
          <w:sz w:val="24"/>
          <w:szCs w:val="24"/>
          <w:lang w:val="uk-UA"/>
        </w:rPr>
        <w:t xml:space="preserve">: </w:t>
      </w:r>
      <w:r w:rsidRPr="00ED35A9">
        <w:rPr>
          <w:rFonts w:eastAsia="Calibri" w:cs="Times New Roman"/>
          <w:sz w:val="24"/>
          <w:szCs w:val="24"/>
          <w:lang w:val="uk-UA"/>
        </w:rPr>
        <w:t>1524</w:t>
      </w:r>
      <w:r w:rsidR="00334BFD" w:rsidRPr="00ED35A9">
        <w:rPr>
          <w:rFonts w:eastAsia="Calibri" w:cs="Times New Roman"/>
          <w:sz w:val="24"/>
          <w:szCs w:val="24"/>
          <w:lang w:val="uk-UA"/>
        </w:rPr>
        <w:t>–152</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Manders</w:t>
      </w:r>
      <w:proofErr w:type="spellEnd"/>
      <w:r w:rsidRPr="00ED35A9">
        <w:rPr>
          <w:rFonts w:eastAsia="Calibri" w:cs="Times New Roman"/>
          <w:sz w:val="24"/>
          <w:szCs w:val="24"/>
          <w:lang w:val="uk-UA"/>
        </w:rPr>
        <w:t xml:space="preserve"> AJE, </w:t>
      </w:r>
      <w:proofErr w:type="spellStart"/>
      <w:r w:rsidRPr="00ED35A9">
        <w:rPr>
          <w:rFonts w:eastAsia="Calibri" w:cs="Times New Roman"/>
          <w:sz w:val="24"/>
          <w:szCs w:val="24"/>
          <w:lang w:val="uk-UA"/>
        </w:rPr>
        <w:t>Banerjee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Borne</w:t>
      </w:r>
      <w:proofErr w:type="spellEnd"/>
      <w:r w:rsidRPr="00ED35A9">
        <w:rPr>
          <w:rFonts w:eastAsia="Calibri" w:cs="Times New Roman"/>
          <w:sz w:val="24"/>
          <w:szCs w:val="24"/>
          <w:lang w:val="uk-UA"/>
        </w:rPr>
        <w:t xml:space="preserve"> HW, </w:t>
      </w:r>
      <w:proofErr w:type="spellStart"/>
      <w:r w:rsidRPr="00ED35A9">
        <w:rPr>
          <w:rFonts w:eastAsia="Calibri" w:cs="Times New Roman"/>
          <w:sz w:val="24"/>
          <w:szCs w:val="24"/>
          <w:lang w:val="uk-UA"/>
        </w:rPr>
        <w:t>Harries</w:t>
      </w:r>
      <w:proofErr w:type="spellEnd"/>
      <w:r w:rsidRPr="00ED35A9">
        <w:rPr>
          <w:rFonts w:eastAsia="Calibri" w:cs="Times New Roman"/>
          <w:sz w:val="24"/>
          <w:szCs w:val="24"/>
          <w:lang w:val="uk-UA"/>
        </w:rPr>
        <w:t xml:space="preserve"> AD, </w:t>
      </w:r>
      <w:proofErr w:type="spellStart"/>
      <w:r w:rsidRPr="00ED35A9">
        <w:rPr>
          <w:rFonts w:eastAsia="Calibri" w:cs="Times New Roman"/>
          <w:sz w:val="24"/>
          <w:szCs w:val="24"/>
          <w:lang w:val="uk-UA"/>
        </w:rPr>
        <w:t>Kok</w:t>
      </w:r>
      <w:proofErr w:type="spellEnd"/>
      <w:r w:rsidRPr="00ED35A9">
        <w:rPr>
          <w:rFonts w:eastAsia="Calibri" w:cs="Times New Roman"/>
          <w:sz w:val="24"/>
          <w:szCs w:val="24"/>
          <w:lang w:val="uk-UA"/>
        </w:rPr>
        <w:t xml:space="preserve"> GJ, </w:t>
      </w:r>
      <w:proofErr w:type="spellStart"/>
      <w:r w:rsidRPr="00ED35A9">
        <w:rPr>
          <w:rFonts w:eastAsia="Calibri" w:cs="Times New Roman"/>
          <w:sz w:val="24"/>
          <w:szCs w:val="24"/>
          <w:lang w:val="uk-UA"/>
        </w:rPr>
        <w:t>Salaniponi</w:t>
      </w:r>
      <w:proofErr w:type="spellEnd"/>
      <w:r w:rsidRPr="00ED35A9">
        <w:rPr>
          <w:rFonts w:eastAsia="Calibri" w:cs="Times New Roman"/>
          <w:sz w:val="24"/>
          <w:szCs w:val="24"/>
          <w:lang w:val="uk-UA"/>
        </w:rPr>
        <w:t xml:space="preserve"> FML. </w:t>
      </w:r>
      <w:proofErr w:type="spellStart"/>
      <w:r w:rsidRPr="00ED35A9">
        <w:rPr>
          <w:rFonts w:eastAsia="Calibri" w:cs="Times New Roman"/>
          <w:sz w:val="24"/>
          <w:szCs w:val="24"/>
          <w:lang w:val="uk-UA"/>
        </w:rPr>
        <w:t>Can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guardians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supervise</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well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intensive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phase</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2001</w:t>
      </w:r>
      <w:r w:rsidR="00334BFD" w:rsidRPr="00ED35A9">
        <w:rPr>
          <w:rFonts w:eastAsia="Calibri" w:cs="Times New Roman"/>
          <w:sz w:val="24"/>
          <w:szCs w:val="24"/>
          <w:lang w:val="uk-UA"/>
        </w:rPr>
        <w:t xml:space="preserve">, </w:t>
      </w:r>
      <w:r w:rsidRPr="00ED35A9">
        <w:rPr>
          <w:rFonts w:eastAsia="Calibri" w:cs="Times New Roman"/>
          <w:sz w:val="24"/>
          <w:szCs w:val="24"/>
          <w:lang w:val="uk-UA"/>
        </w:rPr>
        <w:t>5(9):</w:t>
      </w:r>
      <w:r w:rsidR="00334BFD" w:rsidRPr="00ED35A9">
        <w:rPr>
          <w:rFonts w:eastAsia="Calibri" w:cs="Times New Roman"/>
          <w:sz w:val="24"/>
          <w:szCs w:val="24"/>
          <w:lang w:val="uk-UA"/>
        </w:rPr>
        <w:t xml:space="preserve"> </w:t>
      </w:r>
      <w:r w:rsidRPr="00ED35A9">
        <w:rPr>
          <w:rFonts w:eastAsia="Calibri" w:cs="Times New Roman"/>
          <w:sz w:val="24"/>
          <w:szCs w:val="24"/>
          <w:lang w:val="uk-UA"/>
        </w:rPr>
        <w:t>838</w:t>
      </w:r>
      <w:r w:rsidR="00334BFD" w:rsidRPr="00ED35A9">
        <w:rPr>
          <w:rFonts w:eastAsia="Calibri" w:cs="Times New Roman"/>
          <w:sz w:val="24"/>
          <w:szCs w:val="24"/>
          <w:lang w:val="uk-UA"/>
        </w:rPr>
        <w:t>–8</w:t>
      </w:r>
      <w:r w:rsidRPr="00ED35A9">
        <w:rPr>
          <w:rFonts w:eastAsia="Calibri" w:cs="Times New Roman"/>
          <w:sz w:val="24"/>
          <w:szCs w:val="24"/>
          <w:lang w:val="uk-UA"/>
        </w:rPr>
        <w:t>42.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Akhtar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Rozi</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White</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Hasan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analysis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Pakistan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2011</w:t>
      </w:r>
      <w:r w:rsidR="00334BFD" w:rsidRPr="00ED35A9">
        <w:rPr>
          <w:rFonts w:eastAsia="Calibri" w:cs="Times New Roman"/>
          <w:sz w:val="24"/>
          <w:szCs w:val="24"/>
          <w:lang w:val="uk-UA"/>
        </w:rPr>
        <w:t xml:space="preserve">, </w:t>
      </w:r>
      <w:r w:rsidRPr="00ED35A9">
        <w:rPr>
          <w:rFonts w:eastAsia="Calibri" w:cs="Times New Roman"/>
          <w:sz w:val="24"/>
          <w:szCs w:val="24"/>
          <w:lang w:val="uk-UA"/>
        </w:rPr>
        <w:t>15(</w:t>
      </w:r>
      <w:r w:rsidR="00334BFD" w:rsidRPr="00ED35A9">
        <w:rPr>
          <w:rFonts w:eastAsia="Calibri" w:cs="Times New Roman"/>
          <w:sz w:val="24"/>
          <w:szCs w:val="24"/>
          <w:lang w:val="uk-UA"/>
        </w:rPr>
        <w:t>1</w:t>
      </w:r>
      <w:r w:rsidRPr="00ED35A9">
        <w:rPr>
          <w:rFonts w:eastAsia="Calibri" w:cs="Times New Roman"/>
          <w:sz w:val="24"/>
          <w:szCs w:val="24"/>
          <w:lang w:val="uk-UA"/>
        </w:rPr>
        <w:t>):</w:t>
      </w:r>
      <w:r w:rsidR="00334BFD" w:rsidRPr="00ED35A9">
        <w:rPr>
          <w:rFonts w:eastAsia="Calibri" w:cs="Times New Roman"/>
          <w:sz w:val="24"/>
          <w:szCs w:val="24"/>
          <w:lang w:val="uk-UA"/>
        </w:rPr>
        <w:t xml:space="preserve"> </w:t>
      </w:r>
      <w:r w:rsidRPr="00ED35A9">
        <w:rPr>
          <w:rFonts w:eastAsia="Calibri" w:cs="Times New Roman"/>
          <w:sz w:val="24"/>
          <w:szCs w:val="24"/>
          <w:lang w:val="uk-UA"/>
        </w:rPr>
        <w:t>90</w:t>
      </w:r>
      <w:r w:rsidR="00334BFD" w:rsidRPr="00ED35A9">
        <w:rPr>
          <w:rFonts w:eastAsia="Calibri" w:cs="Times New Roman"/>
          <w:sz w:val="24"/>
          <w:szCs w:val="24"/>
          <w:lang w:val="uk-UA"/>
        </w:rPr>
        <w:t>–9</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Chuck</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Robinson</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Macaraig</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Alexander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Burzynski</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Enhancing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video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York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2016</w:t>
      </w:r>
      <w:r w:rsidR="00334BFD" w:rsidRPr="00ED35A9">
        <w:rPr>
          <w:rFonts w:eastAsia="Calibri" w:cs="Times New Roman"/>
          <w:sz w:val="24"/>
          <w:szCs w:val="24"/>
          <w:lang w:val="uk-UA"/>
        </w:rPr>
        <w:t xml:space="preserve">, </w:t>
      </w:r>
      <w:r w:rsidRPr="00ED35A9">
        <w:rPr>
          <w:rFonts w:eastAsia="Calibri" w:cs="Times New Roman"/>
          <w:sz w:val="24"/>
          <w:szCs w:val="24"/>
          <w:lang w:val="uk-UA"/>
        </w:rPr>
        <w:t>20(5):</w:t>
      </w:r>
      <w:r w:rsidR="00334BFD" w:rsidRPr="00ED35A9">
        <w:rPr>
          <w:rFonts w:eastAsia="Calibri" w:cs="Times New Roman"/>
          <w:sz w:val="24"/>
          <w:szCs w:val="24"/>
          <w:lang w:val="uk-UA"/>
        </w:rPr>
        <w:t xml:space="preserve"> </w:t>
      </w:r>
      <w:r w:rsidRPr="00ED35A9">
        <w:rPr>
          <w:rFonts w:eastAsia="Calibri" w:cs="Times New Roman"/>
          <w:sz w:val="24"/>
          <w:szCs w:val="24"/>
          <w:lang w:val="uk-UA"/>
        </w:rPr>
        <w:t>588</w:t>
      </w:r>
      <w:r w:rsidR="00334BFD" w:rsidRPr="00ED35A9">
        <w:rPr>
          <w:rFonts w:eastAsia="Calibri" w:cs="Times New Roman"/>
          <w:sz w:val="24"/>
          <w:szCs w:val="24"/>
          <w:lang w:val="uk-UA"/>
        </w:rPr>
        <w:t>–5</w:t>
      </w:r>
      <w:r w:rsidRPr="00ED35A9">
        <w:rPr>
          <w:rFonts w:eastAsia="Calibri" w:cs="Times New Roman"/>
          <w:sz w:val="24"/>
          <w:szCs w:val="24"/>
          <w:lang w:val="uk-UA"/>
        </w:rPr>
        <w:t>93.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Wade</w:t>
      </w:r>
      <w:proofErr w:type="spellEnd"/>
      <w:r w:rsidRPr="00ED35A9">
        <w:rPr>
          <w:rFonts w:eastAsia="Calibri" w:cs="Times New Roman"/>
          <w:sz w:val="24"/>
          <w:szCs w:val="24"/>
          <w:lang w:val="uk-UA"/>
        </w:rPr>
        <w:t xml:space="preserve"> VA, </w:t>
      </w:r>
      <w:proofErr w:type="spellStart"/>
      <w:r w:rsidRPr="00ED35A9">
        <w:rPr>
          <w:rFonts w:eastAsia="Calibri" w:cs="Times New Roman"/>
          <w:sz w:val="24"/>
          <w:szCs w:val="24"/>
          <w:lang w:val="uk-UA"/>
        </w:rPr>
        <w:t>Karnon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Eliott</w:t>
      </w:r>
      <w:proofErr w:type="spellEnd"/>
      <w:r w:rsidRPr="00ED35A9">
        <w:rPr>
          <w:rFonts w:eastAsia="Calibri" w:cs="Times New Roman"/>
          <w:sz w:val="24"/>
          <w:szCs w:val="24"/>
          <w:lang w:val="uk-UA"/>
        </w:rPr>
        <w:t xml:space="preserve"> JA, </w:t>
      </w:r>
      <w:proofErr w:type="spellStart"/>
      <w:r w:rsidRPr="00ED35A9">
        <w:rPr>
          <w:rFonts w:eastAsia="Calibri" w:cs="Times New Roman"/>
          <w:sz w:val="24"/>
          <w:szCs w:val="24"/>
          <w:lang w:val="uk-UA"/>
        </w:rPr>
        <w:t>Hiller</w:t>
      </w:r>
      <w:proofErr w:type="spellEnd"/>
      <w:r w:rsidRPr="00ED35A9">
        <w:rPr>
          <w:rFonts w:eastAsia="Calibri" w:cs="Times New Roman"/>
          <w:sz w:val="24"/>
          <w:szCs w:val="24"/>
          <w:lang w:val="uk-UA"/>
        </w:rPr>
        <w:t xml:space="preserve"> JE. </w:t>
      </w:r>
      <w:proofErr w:type="spellStart"/>
      <w:r w:rsidRPr="00ED35A9">
        <w:rPr>
          <w:rFonts w:eastAsia="Calibri" w:cs="Times New Roman"/>
          <w:sz w:val="24"/>
          <w:szCs w:val="24"/>
          <w:lang w:val="uk-UA"/>
        </w:rPr>
        <w:t>Home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videophones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mixed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methods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evaluation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One</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2012</w:t>
      </w:r>
      <w:r w:rsidR="00334BFD" w:rsidRPr="00ED35A9">
        <w:rPr>
          <w:rFonts w:eastAsia="Calibri" w:cs="Times New Roman"/>
          <w:sz w:val="24"/>
          <w:szCs w:val="24"/>
          <w:lang w:val="uk-UA"/>
        </w:rPr>
        <w:t xml:space="preserve">, </w:t>
      </w:r>
      <w:r w:rsidRPr="00ED35A9">
        <w:rPr>
          <w:rFonts w:eastAsia="Calibri" w:cs="Times New Roman"/>
          <w:sz w:val="24"/>
          <w:szCs w:val="24"/>
          <w:lang w:val="uk-UA"/>
        </w:rPr>
        <w:t>7(</w:t>
      </w:r>
      <w:r w:rsidR="00334BFD" w:rsidRPr="00ED35A9">
        <w:rPr>
          <w:rFonts w:eastAsia="Calibri" w:cs="Times New Roman"/>
          <w:sz w:val="24"/>
          <w:szCs w:val="24"/>
          <w:lang w:val="uk-UA"/>
        </w:rPr>
        <w:t>11</w:t>
      </w:r>
      <w:r w:rsidRPr="00ED35A9">
        <w:rPr>
          <w:rFonts w:eastAsia="Calibri" w:cs="Times New Roman"/>
          <w:sz w:val="24"/>
          <w:szCs w:val="24"/>
          <w:lang w:val="uk-UA"/>
        </w:rPr>
        <w:t>):</w:t>
      </w:r>
      <w:r w:rsidR="00334BFD" w:rsidRPr="00ED35A9">
        <w:rPr>
          <w:rFonts w:eastAsia="Calibri" w:cs="Times New Roman"/>
          <w:sz w:val="24"/>
          <w:szCs w:val="24"/>
          <w:lang w:val="uk-UA"/>
        </w:rPr>
        <w:t xml:space="preserve"> </w:t>
      </w:r>
      <w:r w:rsidRPr="00ED35A9">
        <w:rPr>
          <w:rFonts w:eastAsia="Calibri" w:cs="Times New Roman"/>
          <w:sz w:val="24"/>
          <w:szCs w:val="24"/>
          <w:lang w:val="uk-UA"/>
        </w:rPr>
        <w:t>e50155.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Khortwong</w:t>
      </w:r>
      <w:proofErr w:type="spellEnd"/>
      <w:r w:rsidRPr="00ED35A9">
        <w:rPr>
          <w:rFonts w:eastAsia="Calibri" w:cs="Times New Roman"/>
          <w:sz w:val="24"/>
          <w:szCs w:val="24"/>
          <w:lang w:val="uk-UA"/>
        </w:rPr>
        <w:t xml:space="preserve"> P</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Kaewkungwal</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Thai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education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improving</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migrant’s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compliance</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Assoc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Thai</w:t>
      </w:r>
      <w:proofErr w:type="spellEnd"/>
      <w:r w:rsidR="00334BFD" w:rsidRPr="00ED35A9">
        <w:rPr>
          <w:rFonts w:eastAsia="Calibri" w:cs="Times New Roman"/>
          <w:sz w:val="24"/>
          <w:szCs w:val="24"/>
          <w:lang w:val="uk-UA"/>
        </w:rPr>
        <w:t xml:space="preserve">, </w:t>
      </w:r>
      <w:r w:rsidRPr="00ED35A9">
        <w:rPr>
          <w:rFonts w:eastAsia="Calibri" w:cs="Times New Roman"/>
          <w:sz w:val="24"/>
          <w:szCs w:val="24"/>
          <w:lang w:val="uk-UA"/>
        </w:rPr>
        <w:t>2013</w:t>
      </w:r>
      <w:r w:rsidR="00334BFD" w:rsidRPr="00ED35A9">
        <w:rPr>
          <w:rFonts w:eastAsia="Calibri" w:cs="Times New Roman"/>
          <w:sz w:val="24"/>
          <w:szCs w:val="24"/>
          <w:lang w:val="uk-UA"/>
        </w:rPr>
        <w:t xml:space="preserve">, </w:t>
      </w:r>
      <w:r w:rsidRPr="00ED35A9">
        <w:rPr>
          <w:rFonts w:eastAsia="Calibri" w:cs="Times New Roman"/>
          <w:sz w:val="24"/>
          <w:szCs w:val="24"/>
          <w:lang w:val="uk-UA"/>
        </w:rPr>
        <w:t>96(3):</w:t>
      </w:r>
      <w:r w:rsidR="00334BFD" w:rsidRPr="00ED35A9">
        <w:rPr>
          <w:rFonts w:eastAsia="Calibri" w:cs="Times New Roman"/>
          <w:sz w:val="24"/>
          <w:szCs w:val="24"/>
          <w:lang w:val="uk-UA"/>
        </w:rPr>
        <w:t xml:space="preserve"> </w:t>
      </w:r>
      <w:r w:rsidRPr="00ED35A9">
        <w:rPr>
          <w:rFonts w:eastAsia="Calibri" w:cs="Times New Roman"/>
          <w:sz w:val="24"/>
          <w:szCs w:val="24"/>
          <w:lang w:val="uk-UA"/>
        </w:rPr>
        <w:t>365</w:t>
      </w:r>
      <w:r w:rsidR="00334BFD" w:rsidRPr="00ED35A9">
        <w:rPr>
          <w:rFonts w:eastAsia="Calibri" w:cs="Times New Roman"/>
          <w:sz w:val="24"/>
          <w:szCs w:val="24"/>
          <w:lang w:val="uk-UA"/>
        </w:rPr>
        <w:t>–3</w:t>
      </w:r>
      <w:r w:rsidRPr="00ED35A9">
        <w:rPr>
          <w:rFonts w:eastAsia="Calibri" w:cs="Times New Roman"/>
          <w:sz w:val="24"/>
          <w:szCs w:val="24"/>
          <w:lang w:val="uk-UA"/>
        </w:rPr>
        <w:t>73.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Morisky</w:t>
      </w:r>
      <w:proofErr w:type="spellEnd"/>
      <w:r w:rsidRPr="00ED35A9">
        <w:rPr>
          <w:rFonts w:eastAsia="Calibri" w:cs="Times New Roman"/>
          <w:sz w:val="24"/>
          <w:szCs w:val="24"/>
          <w:lang w:val="uk-UA"/>
        </w:rPr>
        <w:t xml:space="preserve"> DE, </w:t>
      </w:r>
      <w:proofErr w:type="spellStart"/>
      <w:r w:rsidRPr="00ED35A9">
        <w:rPr>
          <w:rFonts w:eastAsia="Calibri" w:cs="Times New Roman"/>
          <w:sz w:val="24"/>
          <w:szCs w:val="24"/>
          <w:lang w:val="uk-UA"/>
        </w:rPr>
        <w:t>Malotte</w:t>
      </w:r>
      <w:proofErr w:type="spellEnd"/>
      <w:r w:rsidRPr="00ED35A9">
        <w:rPr>
          <w:rFonts w:eastAsia="Calibri" w:cs="Times New Roman"/>
          <w:sz w:val="24"/>
          <w:szCs w:val="24"/>
          <w:lang w:val="uk-UA"/>
        </w:rPr>
        <w:t xml:space="preserve"> CK, </w:t>
      </w:r>
      <w:proofErr w:type="spellStart"/>
      <w:r w:rsidRPr="00ED35A9">
        <w:rPr>
          <w:rFonts w:eastAsia="Calibri" w:cs="Times New Roman"/>
          <w:sz w:val="24"/>
          <w:szCs w:val="24"/>
          <w:lang w:val="uk-UA"/>
        </w:rPr>
        <w:t>Choi</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Davidson</w:t>
      </w:r>
      <w:proofErr w:type="spellEnd"/>
      <w:r w:rsidRPr="00ED35A9">
        <w:rPr>
          <w:rFonts w:eastAsia="Calibri" w:cs="Times New Roman"/>
          <w:sz w:val="24"/>
          <w:szCs w:val="24"/>
          <w:lang w:val="uk-UA"/>
        </w:rPr>
        <w:t xml:space="preserve"> R</w:t>
      </w:r>
      <w:r w:rsidR="00334BFD"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Rigler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Sugland</w:t>
      </w:r>
      <w:proofErr w:type="spellEnd"/>
      <w:r w:rsidRPr="00ED35A9">
        <w:rPr>
          <w:rFonts w:eastAsia="Calibri" w:cs="Times New Roman"/>
          <w:sz w:val="24"/>
          <w:szCs w:val="24"/>
          <w:lang w:val="uk-UA"/>
        </w:rPr>
        <w:t xml:space="preserve"> В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education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rates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regimens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Educ</w:t>
      </w:r>
      <w:proofErr w:type="spellEnd"/>
      <w:r w:rsidRPr="00ED35A9">
        <w:rPr>
          <w:rFonts w:eastAsia="Calibri" w:cs="Times New Roman"/>
          <w:i/>
          <w:sz w:val="24"/>
          <w:szCs w:val="24"/>
          <w:lang w:val="uk-UA"/>
        </w:rPr>
        <w:t xml:space="preserve"> Q</w:t>
      </w:r>
      <w:r w:rsidR="00334BFD" w:rsidRPr="00ED35A9">
        <w:rPr>
          <w:rFonts w:eastAsia="Calibri" w:cs="Times New Roman"/>
          <w:sz w:val="24"/>
          <w:szCs w:val="24"/>
          <w:lang w:val="uk-UA"/>
        </w:rPr>
        <w:t xml:space="preserve">, </w:t>
      </w:r>
      <w:r w:rsidRPr="00ED35A9">
        <w:rPr>
          <w:rFonts w:eastAsia="Calibri" w:cs="Times New Roman"/>
          <w:sz w:val="24"/>
          <w:szCs w:val="24"/>
          <w:lang w:val="uk-UA"/>
        </w:rPr>
        <w:t>1990</w:t>
      </w:r>
      <w:r w:rsidR="00334BFD" w:rsidRPr="00ED35A9">
        <w:rPr>
          <w:rFonts w:eastAsia="Calibri" w:cs="Times New Roman"/>
          <w:sz w:val="24"/>
          <w:szCs w:val="24"/>
          <w:lang w:val="uk-UA"/>
        </w:rPr>
        <w:t xml:space="preserve">, </w:t>
      </w:r>
      <w:r w:rsidRPr="00ED35A9">
        <w:rPr>
          <w:rFonts w:eastAsia="Calibri" w:cs="Times New Roman"/>
          <w:sz w:val="24"/>
          <w:szCs w:val="24"/>
          <w:lang w:val="uk-UA"/>
        </w:rPr>
        <w:t>17(3):</w:t>
      </w:r>
      <w:r w:rsidR="00334BFD" w:rsidRPr="00ED35A9">
        <w:rPr>
          <w:rFonts w:eastAsia="Calibri" w:cs="Times New Roman"/>
          <w:sz w:val="24"/>
          <w:szCs w:val="24"/>
          <w:lang w:val="uk-UA"/>
        </w:rPr>
        <w:t xml:space="preserve"> </w:t>
      </w:r>
      <w:r w:rsidRPr="00ED35A9">
        <w:rPr>
          <w:rFonts w:eastAsia="Calibri" w:cs="Times New Roman"/>
          <w:sz w:val="24"/>
          <w:szCs w:val="24"/>
          <w:lang w:val="uk-UA"/>
        </w:rPr>
        <w:t>253</w:t>
      </w:r>
      <w:r w:rsidR="00334BFD" w:rsidRPr="00ED35A9">
        <w:rPr>
          <w:rFonts w:eastAsia="Calibri" w:cs="Times New Roman"/>
          <w:sz w:val="24"/>
          <w:szCs w:val="24"/>
          <w:lang w:val="uk-UA"/>
        </w:rPr>
        <w:t>–2</w:t>
      </w:r>
      <w:r w:rsidRPr="00ED35A9">
        <w:rPr>
          <w:rFonts w:eastAsia="Calibri" w:cs="Times New Roman"/>
          <w:sz w:val="24"/>
          <w:szCs w:val="24"/>
          <w:lang w:val="uk-UA"/>
        </w:rPr>
        <w:t>66.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Drabo</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Zerbo</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Berthe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Ouedrago</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Konfe</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Mugisho</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Implication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communautaire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aux</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soins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dans</w:t>
      </w:r>
      <w:proofErr w:type="spellEnd"/>
      <w:r w:rsidRPr="00ED35A9">
        <w:rPr>
          <w:rFonts w:eastAsia="Calibri" w:cs="Times New Roman"/>
          <w:sz w:val="24"/>
          <w:szCs w:val="24"/>
          <w:lang w:val="uk-UA"/>
        </w:rPr>
        <w:t xml:space="preserve"> 3 </w:t>
      </w:r>
      <w:proofErr w:type="spellStart"/>
      <w:r w:rsidRPr="00ED35A9">
        <w:rPr>
          <w:rFonts w:eastAsia="Calibri" w:cs="Times New Roman"/>
          <w:sz w:val="24"/>
          <w:szCs w:val="24"/>
          <w:lang w:val="uk-UA"/>
        </w:rPr>
        <w:t>districts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sanitaires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Burkina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Faso</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Sante</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Publique</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2009</w:t>
      </w:r>
      <w:r w:rsidR="007038AC" w:rsidRPr="00ED35A9">
        <w:rPr>
          <w:rFonts w:eastAsia="Calibri" w:cs="Times New Roman"/>
          <w:sz w:val="24"/>
          <w:szCs w:val="24"/>
          <w:lang w:val="uk-UA"/>
        </w:rPr>
        <w:t xml:space="preserve">, </w:t>
      </w:r>
      <w:r w:rsidRPr="00ED35A9">
        <w:rPr>
          <w:rFonts w:eastAsia="Calibri" w:cs="Times New Roman"/>
          <w:sz w:val="24"/>
          <w:szCs w:val="24"/>
          <w:lang w:val="uk-UA"/>
        </w:rPr>
        <w:t>21(5):</w:t>
      </w:r>
      <w:r w:rsidR="007038AC" w:rsidRPr="00ED35A9">
        <w:rPr>
          <w:rFonts w:eastAsia="Calibri" w:cs="Times New Roman"/>
          <w:sz w:val="24"/>
          <w:szCs w:val="24"/>
          <w:lang w:val="uk-UA"/>
        </w:rPr>
        <w:t xml:space="preserve"> </w:t>
      </w:r>
      <w:r w:rsidRPr="00ED35A9">
        <w:rPr>
          <w:rFonts w:eastAsia="Calibri" w:cs="Times New Roman"/>
          <w:sz w:val="24"/>
          <w:szCs w:val="24"/>
          <w:lang w:val="uk-UA"/>
        </w:rPr>
        <w:t>485</w:t>
      </w:r>
      <w:r w:rsidR="007038AC" w:rsidRPr="00ED35A9">
        <w:rPr>
          <w:rFonts w:eastAsia="Calibri" w:cs="Times New Roman"/>
          <w:sz w:val="24"/>
          <w:szCs w:val="24"/>
          <w:lang w:val="uk-UA"/>
        </w:rPr>
        <w:t>–4</w:t>
      </w:r>
      <w:r w:rsidRPr="00ED35A9">
        <w:rPr>
          <w:rFonts w:eastAsia="Calibri" w:cs="Times New Roman"/>
          <w:sz w:val="24"/>
          <w:szCs w:val="24"/>
          <w:lang w:val="uk-UA"/>
        </w:rPr>
        <w:t>97.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Thiam</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LeFevre</w:t>
      </w:r>
      <w:proofErr w:type="spellEnd"/>
      <w:r w:rsidRPr="00ED35A9">
        <w:rPr>
          <w:rFonts w:eastAsia="Calibri" w:cs="Times New Roman"/>
          <w:sz w:val="24"/>
          <w:szCs w:val="24"/>
          <w:lang w:val="uk-UA"/>
        </w:rPr>
        <w:t xml:space="preserve"> AM, </w:t>
      </w:r>
      <w:proofErr w:type="spellStart"/>
      <w:r w:rsidRPr="00ED35A9">
        <w:rPr>
          <w:rFonts w:eastAsia="Calibri" w:cs="Times New Roman"/>
          <w:sz w:val="24"/>
          <w:szCs w:val="24"/>
          <w:lang w:val="uk-UA"/>
        </w:rPr>
        <w:t>Hane</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Ndiaye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Ba</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Fielding</w:t>
      </w:r>
      <w:proofErr w:type="spellEnd"/>
      <w:r w:rsidRPr="00ED35A9">
        <w:rPr>
          <w:rFonts w:eastAsia="Calibri" w:cs="Times New Roman"/>
          <w:sz w:val="24"/>
          <w:szCs w:val="24"/>
          <w:lang w:val="uk-UA"/>
        </w:rPr>
        <w:t xml:space="preserve"> KL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resource-poor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cluster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JAMA</w:t>
      </w:r>
      <w:r w:rsidR="007038AC" w:rsidRPr="00ED35A9">
        <w:rPr>
          <w:rFonts w:eastAsia="Calibri" w:cs="Times New Roman"/>
          <w:sz w:val="24"/>
          <w:szCs w:val="24"/>
          <w:lang w:val="uk-UA"/>
        </w:rPr>
        <w:t xml:space="preserve">, </w:t>
      </w:r>
      <w:r w:rsidRPr="00ED35A9">
        <w:rPr>
          <w:rFonts w:eastAsia="Calibri" w:cs="Times New Roman"/>
          <w:sz w:val="24"/>
          <w:szCs w:val="24"/>
          <w:lang w:val="uk-UA"/>
        </w:rPr>
        <w:t>2007</w:t>
      </w:r>
      <w:r w:rsidR="007038AC" w:rsidRPr="00ED35A9">
        <w:rPr>
          <w:rFonts w:eastAsia="Calibri" w:cs="Times New Roman"/>
          <w:sz w:val="24"/>
          <w:szCs w:val="24"/>
          <w:lang w:val="uk-UA"/>
        </w:rPr>
        <w:t xml:space="preserve">, </w:t>
      </w:r>
      <w:r w:rsidRPr="00ED35A9">
        <w:rPr>
          <w:rFonts w:eastAsia="Calibri" w:cs="Times New Roman"/>
          <w:sz w:val="24"/>
          <w:szCs w:val="24"/>
          <w:lang w:val="uk-UA"/>
        </w:rPr>
        <w:t>297(4):</w:t>
      </w:r>
      <w:r w:rsidR="007038AC" w:rsidRPr="00ED35A9">
        <w:rPr>
          <w:rFonts w:eastAsia="Calibri" w:cs="Times New Roman"/>
          <w:sz w:val="24"/>
          <w:szCs w:val="24"/>
          <w:lang w:val="uk-UA"/>
        </w:rPr>
        <w:t xml:space="preserve"> </w:t>
      </w:r>
      <w:r w:rsidRPr="00ED35A9">
        <w:rPr>
          <w:rFonts w:eastAsia="Calibri" w:cs="Times New Roman"/>
          <w:sz w:val="24"/>
          <w:szCs w:val="24"/>
          <w:lang w:val="uk-UA"/>
        </w:rPr>
        <w:t>380</w:t>
      </w:r>
      <w:r w:rsidR="007038AC" w:rsidRPr="00ED35A9">
        <w:rPr>
          <w:rFonts w:eastAsia="Calibri" w:cs="Times New Roman"/>
          <w:sz w:val="24"/>
          <w:szCs w:val="24"/>
          <w:lang w:val="uk-UA"/>
        </w:rPr>
        <w:t>–38</w:t>
      </w:r>
      <w:r w:rsidRPr="00ED35A9">
        <w:rPr>
          <w:rFonts w:eastAsia="Calibri" w:cs="Times New Roman"/>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Hsieh</w:t>
      </w:r>
      <w:proofErr w:type="spellEnd"/>
      <w:r w:rsidRPr="00ED35A9">
        <w:rPr>
          <w:rFonts w:eastAsia="Calibri" w:cs="Times New Roman"/>
          <w:sz w:val="24"/>
          <w:szCs w:val="24"/>
          <w:lang w:val="uk-UA"/>
        </w:rPr>
        <w:t xml:space="preserve"> CJ, </w:t>
      </w:r>
      <w:proofErr w:type="spellStart"/>
      <w:r w:rsidRPr="00ED35A9">
        <w:rPr>
          <w:rFonts w:eastAsia="Calibri" w:cs="Times New Roman"/>
          <w:sz w:val="24"/>
          <w:szCs w:val="24"/>
          <w:lang w:val="uk-UA"/>
        </w:rPr>
        <w:t>Lin</w:t>
      </w:r>
      <w:proofErr w:type="spellEnd"/>
      <w:r w:rsidRPr="00ED35A9">
        <w:rPr>
          <w:rFonts w:eastAsia="Calibri" w:cs="Times New Roman"/>
          <w:sz w:val="24"/>
          <w:szCs w:val="24"/>
          <w:lang w:val="uk-UA"/>
        </w:rPr>
        <w:t xml:space="preserve"> LC, </w:t>
      </w:r>
      <w:proofErr w:type="spellStart"/>
      <w:r w:rsidRPr="00ED35A9">
        <w:rPr>
          <w:rFonts w:eastAsia="Calibri" w:cs="Times New Roman"/>
          <w:sz w:val="24"/>
          <w:szCs w:val="24"/>
          <w:lang w:val="uk-UA"/>
        </w:rPr>
        <w:t>Kuo</w:t>
      </w:r>
      <w:proofErr w:type="spellEnd"/>
      <w:r w:rsidRPr="00ED35A9">
        <w:rPr>
          <w:rFonts w:eastAsia="Calibri" w:cs="Times New Roman"/>
          <w:sz w:val="24"/>
          <w:szCs w:val="24"/>
          <w:lang w:val="uk-UA"/>
        </w:rPr>
        <w:t xml:space="preserve"> BI, </w:t>
      </w:r>
      <w:proofErr w:type="spellStart"/>
      <w:r w:rsidRPr="00ED35A9">
        <w:rPr>
          <w:rFonts w:eastAsia="Calibri" w:cs="Times New Roman"/>
          <w:sz w:val="24"/>
          <w:szCs w:val="24"/>
          <w:lang w:val="uk-UA"/>
        </w:rPr>
        <w:t>Chiang</w:t>
      </w:r>
      <w:proofErr w:type="spellEnd"/>
      <w:r w:rsidRPr="00ED35A9">
        <w:rPr>
          <w:rFonts w:eastAsia="Calibri" w:cs="Times New Roman"/>
          <w:sz w:val="24"/>
          <w:szCs w:val="24"/>
          <w:lang w:val="uk-UA"/>
        </w:rPr>
        <w:t xml:space="preserve"> CH, </w:t>
      </w:r>
      <w:proofErr w:type="spellStart"/>
      <w:r w:rsidRPr="00ED35A9">
        <w:rPr>
          <w:rFonts w:eastAsia="Calibri" w:cs="Times New Roman"/>
          <w:sz w:val="24"/>
          <w:szCs w:val="24"/>
          <w:lang w:val="uk-UA"/>
        </w:rPr>
        <w:t>Su</w:t>
      </w:r>
      <w:proofErr w:type="spellEnd"/>
      <w:r w:rsidRPr="00ED35A9">
        <w:rPr>
          <w:rFonts w:eastAsia="Calibri" w:cs="Times New Roman"/>
          <w:sz w:val="24"/>
          <w:szCs w:val="24"/>
          <w:lang w:val="uk-UA"/>
        </w:rPr>
        <w:t xml:space="preserve"> WJ, </w:t>
      </w:r>
      <w:proofErr w:type="spellStart"/>
      <w:r w:rsidRPr="00ED35A9">
        <w:rPr>
          <w:rFonts w:eastAsia="Calibri" w:cs="Times New Roman"/>
          <w:sz w:val="24"/>
          <w:szCs w:val="24"/>
          <w:lang w:val="uk-UA"/>
        </w:rPr>
        <w:t>Shih</w:t>
      </w:r>
      <w:proofErr w:type="spellEnd"/>
      <w:r w:rsidRPr="00ED35A9">
        <w:rPr>
          <w:rFonts w:eastAsia="Calibri" w:cs="Times New Roman"/>
          <w:sz w:val="24"/>
          <w:szCs w:val="24"/>
          <w:lang w:val="uk-UA"/>
        </w:rPr>
        <w:t xml:space="preserve"> JF. </w:t>
      </w:r>
      <w:proofErr w:type="spellStart"/>
      <w:r w:rsidRPr="00ED35A9">
        <w:rPr>
          <w:rFonts w:eastAsia="Calibri" w:cs="Times New Roman"/>
          <w:sz w:val="24"/>
          <w:szCs w:val="24"/>
          <w:lang w:val="uk-UA"/>
        </w:rPr>
        <w:t>Exploring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model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using</w:t>
      </w:r>
      <w:proofErr w:type="spellEnd"/>
      <w:r w:rsidRPr="00ED35A9">
        <w:rPr>
          <w:rFonts w:eastAsia="Calibri" w:cs="Times New Roman"/>
          <w:sz w:val="24"/>
          <w:szCs w:val="24"/>
          <w:lang w:val="uk-UA"/>
        </w:rPr>
        <w:t xml:space="preserve"> DOTS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Clin</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Nurs</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2008</w:t>
      </w:r>
      <w:r w:rsidR="007038AC" w:rsidRPr="00ED35A9">
        <w:rPr>
          <w:rFonts w:eastAsia="Calibri" w:cs="Times New Roman"/>
          <w:sz w:val="24"/>
          <w:szCs w:val="24"/>
          <w:lang w:val="uk-UA"/>
        </w:rPr>
        <w:t xml:space="preserve">, </w:t>
      </w:r>
      <w:r w:rsidRPr="00ED35A9">
        <w:rPr>
          <w:rFonts w:eastAsia="Calibri" w:cs="Times New Roman"/>
          <w:sz w:val="24"/>
          <w:szCs w:val="24"/>
          <w:lang w:val="uk-UA"/>
        </w:rPr>
        <w:t>17(7):</w:t>
      </w:r>
      <w:r w:rsidR="007038AC" w:rsidRPr="00ED35A9">
        <w:rPr>
          <w:rFonts w:eastAsia="Calibri" w:cs="Times New Roman"/>
          <w:sz w:val="24"/>
          <w:szCs w:val="24"/>
          <w:lang w:val="uk-UA"/>
        </w:rPr>
        <w:t xml:space="preserve"> </w:t>
      </w:r>
      <w:r w:rsidRPr="00ED35A9">
        <w:rPr>
          <w:rFonts w:eastAsia="Calibri" w:cs="Times New Roman"/>
          <w:sz w:val="24"/>
          <w:szCs w:val="24"/>
          <w:lang w:val="uk-UA"/>
        </w:rPr>
        <w:t>869</w:t>
      </w:r>
      <w:r w:rsidR="007038AC" w:rsidRPr="00ED35A9">
        <w:rPr>
          <w:rFonts w:eastAsia="Calibri" w:cs="Times New Roman"/>
          <w:sz w:val="24"/>
          <w:szCs w:val="24"/>
          <w:lang w:val="uk-UA"/>
        </w:rPr>
        <w:t>–8</w:t>
      </w:r>
      <w:r w:rsidRPr="00ED35A9">
        <w:rPr>
          <w:rFonts w:eastAsia="Calibri" w:cs="Times New Roman"/>
          <w:sz w:val="24"/>
          <w:szCs w:val="24"/>
          <w:lang w:val="uk-UA"/>
        </w:rPr>
        <w:t>75.</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Atkins</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Lewin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Jordaan</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Thorson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Lay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worker-supported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interrupted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time-series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2011</w:t>
      </w:r>
      <w:r w:rsidR="007038AC" w:rsidRPr="00ED35A9">
        <w:rPr>
          <w:rFonts w:eastAsia="Calibri" w:cs="Times New Roman"/>
          <w:sz w:val="24"/>
          <w:szCs w:val="24"/>
          <w:lang w:val="uk-UA"/>
        </w:rPr>
        <w:t xml:space="preserve">, </w:t>
      </w:r>
      <w:r w:rsidRPr="00ED35A9">
        <w:rPr>
          <w:rFonts w:eastAsia="Calibri" w:cs="Times New Roman"/>
          <w:sz w:val="24"/>
          <w:szCs w:val="24"/>
          <w:lang w:val="uk-UA"/>
        </w:rPr>
        <w:t>15(</w:t>
      </w:r>
      <w:r w:rsidR="007038AC" w:rsidRPr="00ED35A9">
        <w:rPr>
          <w:rFonts w:eastAsia="Calibri" w:cs="Times New Roman"/>
          <w:sz w:val="24"/>
          <w:szCs w:val="24"/>
          <w:lang w:val="uk-UA"/>
        </w:rPr>
        <w:t>1</w:t>
      </w:r>
      <w:r w:rsidRPr="00ED35A9">
        <w:rPr>
          <w:rFonts w:eastAsia="Calibri" w:cs="Times New Roman"/>
          <w:sz w:val="24"/>
          <w:szCs w:val="24"/>
          <w:lang w:val="uk-UA"/>
        </w:rPr>
        <w:t>):</w:t>
      </w:r>
      <w:r w:rsidR="007038AC" w:rsidRPr="00ED35A9">
        <w:rPr>
          <w:rFonts w:eastAsia="Calibri" w:cs="Times New Roman"/>
          <w:sz w:val="24"/>
          <w:szCs w:val="24"/>
          <w:lang w:val="uk-UA"/>
        </w:rPr>
        <w:t xml:space="preserve"> </w:t>
      </w:r>
      <w:r w:rsidRPr="00ED35A9">
        <w:rPr>
          <w:rFonts w:eastAsia="Calibri" w:cs="Times New Roman"/>
          <w:sz w:val="24"/>
          <w:szCs w:val="24"/>
          <w:lang w:val="uk-UA"/>
        </w:rPr>
        <w:t>84</w:t>
      </w:r>
      <w:r w:rsidR="007038AC" w:rsidRPr="00ED35A9">
        <w:rPr>
          <w:rFonts w:eastAsia="Calibri" w:cs="Times New Roman"/>
          <w:sz w:val="24"/>
          <w:szCs w:val="24"/>
          <w:lang w:val="uk-UA"/>
        </w:rPr>
        <w:t>–8</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Iribarren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Chirico</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Echevarria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Cardinali</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TextTB</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parallel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design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randomized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pilot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evaluate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acceptance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feasibility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patient-driven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mobile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phone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Mob</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Technol</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2012</w:t>
      </w:r>
      <w:r w:rsidR="007038AC" w:rsidRPr="00ED35A9">
        <w:rPr>
          <w:rFonts w:eastAsia="Calibri" w:cs="Times New Roman"/>
          <w:sz w:val="24"/>
          <w:szCs w:val="24"/>
          <w:lang w:val="uk-UA"/>
        </w:rPr>
        <w:t>, 1</w:t>
      </w:r>
      <w:r w:rsidRPr="00ED35A9">
        <w:rPr>
          <w:rFonts w:eastAsia="Calibri" w:cs="Times New Roman"/>
          <w:sz w:val="24"/>
          <w:szCs w:val="24"/>
          <w:lang w:val="uk-UA"/>
        </w:rPr>
        <w:t>(4S):</w:t>
      </w:r>
      <w:r w:rsidR="007038AC" w:rsidRPr="00ED35A9">
        <w:rPr>
          <w:rFonts w:eastAsia="Calibri" w:cs="Times New Roman"/>
          <w:sz w:val="24"/>
          <w:szCs w:val="24"/>
          <w:lang w:val="uk-UA"/>
        </w:rPr>
        <w:t xml:space="preserve"> </w:t>
      </w:r>
      <w:r w:rsidRPr="00ED35A9">
        <w:rPr>
          <w:rFonts w:eastAsia="Calibri" w:cs="Times New Roman"/>
          <w:sz w:val="24"/>
          <w:szCs w:val="24"/>
          <w:lang w:val="uk-UA"/>
        </w:rPr>
        <w:t>23</w:t>
      </w:r>
      <w:r w:rsidR="007038AC" w:rsidRPr="00ED35A9">
        <w:rPr>
          <w:rFonts w:eastAsia="Calibri" w:cs="Times New Roman"/>
          <w:sz w:val="24"/>
          <w:szCs w:val="24"/>
          <w:lang w:val="uk-UA"/>
        </w:rPr>
        <w:t>–2</w:t>
      </w:r>
      <w:r w:rsidRPr="00ED35A9">
        <w:rPr>
          <w:rFonts w:eastAsia="Calibri" w:cs="Times New Roman"/>
          <w:sz w:val="24"/>
          <w:szCs w:val="24"/>
          <w:lang w:val="uk-UA"/>
        </w:rPr>
        <w:t>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Krishnaswami</w:t>
      </w:r>
      <w:proofErr w:type="spellEnd"/>
      <w:r w:rsidRPr="00ED35A9">
        <w:rPr>
          <w:rFonts w:eastAsia="Calibri" w:cs="Times New Roman"/>
          <w:sz w:val="24"/>
          <w:szCs w:val="24"/>
          <w:lang w:val="uk-UA"/>
        </w:rPr>
        <w:t xml:space="preserve"> KV, </w:t>
      </w:r>
      <w:proofErr w:type="spellStart"/>
      <w:r w:rsidRPr="00ED35A9">
        <w:rPr>
          <w:rFonts w:eastAsia="Calibri" w:cs="Times New Roman"/>
          <w:sz w:val="24"/>
          <w:szCs w:val="24"/>
          <w:lang w:val="uk-UA"/>
        </w:rPr>
        <w:t>Somasundaram</w:t>
      </w:r>
      <w:proofErr w:type="spellEnd"/>
      <w:r w:rsidRPr="00ED35A9">
        <w:rPr>
          <w:rFonts w:eastAsia="Calibri" w:cs="Times New Roman"/>
          <w:sz w:val="24"/>
          <w:szCs w:val="24"/>
          <w:lang w:val="uk-UA"/>
        </w:rPr>
        <w:t xml:space="preserve"> PR, </w:t>
      </w:r>
      <w:proofErr w:type="spellStart"/>
      <w:r w:rsidRPr="00ED35A9">
        <w:rPr>
          <w:rFonts w:eastAsia="Calibri" w:cs="Times New Roman"/>
          <w:sz w:val="24"/>
          <w:szCs w:val="24"/>
          <w:lang w:val="uk-UA"/>
        </w:rPr>
        <w:t>Tripathy</w:t>
      </w:r>
      <w:proofErr w:type="spellEnd"/>
      <w:r w:rsidRPr="00ED35A9">
        <w:rPr>
          <w:rFonts w:eastAsia="Calibri" w:cs="Times New Roman"/>
          <w:sz w:val="24"/>
          <w:szCs w:val="24"/>
          <w:lang w:val="uk-UA"/>
        </w:rPr>
        <w:t xml:space="preserve"> SR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Vaidyanathan</w:t>
      </w:r>
      <w:proofErr w:type="spellEnd"/>
      <w:r w:rsidRPr="00ED35A9">
        <w:rPr>
          <w:rFonts w:eastAsia="Calibri" w:cs="Times New Roman"/>
          <w:sz w:val="24"/>
          <w:szCs w:val="24"/>
          <w:lang w:val="uk-UA"/>
        </w:rPr>
        <w:t xml:space="preserve"> B, </w:t>
      </w:r>
      <w:proofErr w:type="spellStart"/>
      <w:r w:rsidRPr="00ED35A9">
        <w:rPr>
          <w:rFonts w:eastAsia="Calibri" w:cs="Times New Roman"/>
          <w:sz w:val="24"/>
          <w:szCs w:val="24"/>
          <w:lang w:val="uk-UA"/>
        </w:rPr>
        <w:t>Radhakrishna</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Fox</w:t>
      </w:r>
      <w:proofErr w:type="spellEnd"/>
      <w:r w:rsidR="007038AC" w:rsidRPr="00ED35A9">
        <w:rPr>
          <w:rFonts w:eastAsia="Calibri" w:cs="Times New Roman"/>
          <w:sz w:val="24"/>
          <w:szCs w:val="24"/>
          <w:lang w:val="uk-UA"/>
        </w:rPr>
        <w:t> </w:t>
      </w:r>
      <w:r w:rsidRPr="00ED35A9">
        <w:rPr>
          <w:rFonts w:eastAsia="Calibri" w:cs="Times New Roman"/>
          <w:sz w:val="24"/>
          <w:szCs w:val="24"/>
          <w:lang w:val="uk-UA"/>
        </w:rPr>
        <w:t xml:space="preserve">W. A </w:t>
      </w:r>
      <w:proofErr w:type="spellStart"/>
      <w:r w:rsidRPr="00ED35A9">
        <w:rPr>
          <w:rFonts w:eastAsia="Calibri" w:cs="Times New Roman"/>
          <w:sz w:val="24"/>
          <w:szCs w:val="24"/>
          <w:lang w:val="uk-UA"/>
        </w:rPr>
        <w:t>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two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policies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collecting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supplies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pulmonary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large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Tubercle</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1981</w:t>
      </w:r>
      <w:r w:rsidR="007038AC" w:rsidRPr="00ED35A9">
        <w:rPr>
          <w:rFonts w:eastAsia="Calibri" w:cs="Times New Roman"/>
          <w:sz w:val="24"/>
          <w:szCs w:val="24"/>
          <w:lang w:val="uk-UA"/>
        </w:rPr>
        <w:t xml:space="preserve">, </w:t>
      </w:r>
      <w:r w:rsidRPr="00ED35A9">
        <w:rPr>
          <w:rFonts w:eastAsia="Calibri" w:cs="Times New Roman"/>
          <w:sz w:val="24"/>
          <w:szCs w:val="24"/>
          <w:lang w:val="uk-UA"/>
        </w:rPr>
        <w:t>62(2):</w:t>
      </w:r>
      <w:r w:rsidR="007038AC" w:rsidRPr="00ED35A9">
        <w:rPr>
          <w:rFonts w:eastAsia="Calibri" w:cs="Times New Roman"/>
          <w:sz w:val="24"/>
          <w:szCs w:val="24"/>
          <w:lang w:val="uk-UA"/>
        </w:rPr>
        <w:t xml:space="preserve"> </w:t>
      </w:r>
      <w:r w:rsidRPr="00ED35A9">
        <w:rPr>
          <w:rFonts w:eastAsia="Calibri" w:cs="Times New Roman"/>
          <w:sz w:val="24"/>
          <w:szCs w:val="24"/>
          <w:lang w:val="uk-UA"/>
        </w:rPr>
        <w:t>103</w:t>
      </w:r>
      <w:r w:rsidR="007038AC" w:rsidRPr="00ED35A9">
        <w:rPr>
          <w:rFonts w:eastAsia="Calibri" w:cs="Times New Roman"/>
          <w:sz w:val="24"/>
          <w:szCs w:val="24"/>
          <w:lang w:val="uk-UA"/>
        </w:rPr>
        <w:t>–1</w:t>
      </w:r>
      <w:r w:rsidRPr="00ED35A9">
        <w:rPr>
          <w:rFonts w:eastAsia="Calibri" w:cs="Times New Roman"/>
          <w:sz w:val="24"/>
          <w:szCs w:val="24"/>
          <w:lang w:val="uk-UA"/>
        </w:rPr>
        <w:t>12.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Kunawararak</w:t>
      </w:r>
      <w:proofErr w:type="spellEnd"/>
      <w:r w:rsidRPr="00ED35A9">
        <w:rPr>
          <w:rFonts w:eastAsia="Calibri" w:cs="Times New Roman"/>
          <w:sz w:val="24"/>
          <w:szCs w:val="24"/>
          <w:lang w:val="uk-UA"/>
        </w:rPr>
        <w:t xml:space="preserve"> 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Pongpanich</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Chantawong</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Pokaew</w:t>
      </w:r>
      <w:proofErr w:type="spellEnd"/>
      <w:r w:rsidRPr="00ED35A9">
        <w:rPr>
          <w:rFonts w:eastAsia="Calibri" w:cs="Times New Roman"/>
          <w:sz w:val="24"/>
          <w:szCs w:val="24"/>
          <w:lang w:val="uk-UA"/>
        </w:rPr>
        <w:t xml:space="preserve"> 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Traisathit</w:t>
      </w:r>
      <w:proofErr w:type="spellEnd"/>
      <w:r w:rsidRPr="00ED35A9">
        <w:rPr>
          <w:rFonts w:eastAsia="Calibri" w:cs="Times New Roman"/>
          <w:sz w:val="24"/>
          <w:szCs w:val="24"/>
          <w:lang w:val="uk-UA"/>
        </w:rPr>
        <w:t xml:space="preserve"> 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Srithanaviboonchai</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mobile-phone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reminders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northern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Southeast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Asian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Public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2011</w:t>
      </w:r>
      <w:r w:rsidR="007038AC" w:rsidRPr="00ED35A9">
        <w:rPr>
          <w:rFonts w:eastAsia="Calibri" w:cs="Times New Roman"/>
          <w:sz w:val="24"/>
          <w:szCs w:val="24"/>
          <w:lang w:val="uk-UA"/>
        </w:rPr>
        <w:t xml:space="preserve">, </w:t>
      </w:r>
      <w:r w:rsidRPr="00ED35A9">
        <w:rPr>
          <w:rFonts w:eastAsia="Calibri" w:cs="Times New Roman"/>
          <w:sz w:val="24"/>
          <w:szCs w:val="24"/>
          <w:lang w:val="uk-UA"/>
        </w:rPr>
        <w:t>42(6):</w:t>
      </w:r>
      <w:r w:rsidR="007038AC" w:rsidRPr="00ED35A9">
        <w:rPr>
          <w:rFonts w:eastAsia="Calibri" w:cs="Times New Roman"/>
          <w:sz w:val="24"/>
          <w:szCs w:val="24"/>
          <w:lang w:val="uk-UA"/>
        </w:rPr>
        <w:t xml:space="preserve"> </w:t>
      </w:r>
      <w:r w:rsidRPr="00ED35A9">
        <w:rPr>
          <w:rFonts w:eastAsia="Calibri" w:cs="Times New Roman"/>
          <w:sz w:val="24"/>
          <w:szCs w:val="24"/>
          <w:lang w:val="uk-UA"/>
        </w:rPr>
        <w:t>1444</w:t>
      </w:r>
      <w:r w:rsidR="007038AC" w:rsidRPr="00ED35A9">
        <w:rPr>
          <w:rFonts w:eastAsia="Calibri" w:cs="Times New Roman"/>
          <w:sz w:val="24"/>
          <w:szCs w:val="24"/>
          <w:lang w:val="uk-UA"/>
        </w:rPr>
        <w:t>–14</w:t>
      </w:r>
      <w:r w:rsidRPr="00ED35A9">
        <w:rPr>
          <w:rFonts w:eastAsia="Calibri" w:cs="Times New Roman"/>
          <w:sz w:val="24"/>
          <w:szCs w:val="24"/>
          <w:lang w:val="uk-UA"/>
        </w:rPr>
        <w:t>51.</w:t>
      </w:r>
    </w:p>
    <w:p w:rsidR="004B5B7F" w:rsidRPr="00ED35A9" w:rsidRDefault="004B5B7F" w:rsidP="00561CCA">
      <w:pPr>
        <w:pStyle w:val="a7"/>
        <w:numPr>
          <w:ilvl w:val="0"/>
          <w:numId w:val="3"/>
        </w:numPr>
        <w:spacing w:after="120"/>
        <w:ind w:left="567" w:hanging="567"/>
        <w:contextualSpacing w:val="0"/>
        <w:rPr>
          <w:rFonts w:eastAsia="Calibri" w:cs="Times New Roman"/>
          <w:spacing w:val="2"/>
          <w:sz w:val="24"/>
          <w:szCs w:val="24"/>
          <w:lang w:val="uk-UA"/>
        </w:rPr>
      </w:pPr>
      <w:proofErr w:type="spellStart"/>
      <w:r w:rsidRPr="00ED35A9">
        <w:rPr>
          <w:rFonts w:eastAsia="Calibri" w:cs="Times New Roman"/>
          <w:spacing w:val="2"/>
          <w:sz w:val="24"/>
          <w:szCs w:val="24"/>
          <w:lang w:val="uk-UA"/>
        </w:rPr>
        <w:t>Mohan</w:t>
      </w:r>
      <w:proofErr w:type="spellEnd"/>
      <w:r w:rsidRPr="00ED35A9">
        <w:rPr>
          <w:rFonts w:eastAsia="Calibri" w:cs="Times New Roman"/>
          <w:spacing w:val="2"/>
          <w:sz w:val="24"/>
          <w:szCs w:val="24"/>
          <w:lang w:val="uk-UA"/>
        </w:rPr>
        <w:t xml:space="preserve"> A, </w:t>
      </w:r>
      <w:proofErr w:type="spellStart"/>
      <w:r w:rsidRPr="00ED35A9">
        <w:rPr>
          <w:rFonts w:eastAsia="Calibri" w:cs="Times New Roman"/>
          <w:spacing w:val="2"/>
          <w:sz w:val="24"/>
          <w:szCs w:val="24"/>
          <w:lang w:val="uk-UA"/>
        </w:rPr>
        <w:t>Nassir</w:t>
      </w:r>
      <w:proofErr w:type="spellEnd"/>
      <w:r w:rsidRPr="00ED35A9">
        <w:rPr>
          <w:rFonts w:eastAsia="Calibri" w:cs="Times New Roman"/>
          <w:spacing w:val="2"/>
          <w:sz w:val="24"/>
          <w:szCs w:val="24"/>
          <w:lang w:val="uk-UA"/>
        </w:rPr>
        <w:t xml:space="preserve"> H, </w:t>
      </w:r>
      <w:proofErr w:type="spellStart"/>
      <w:r w:rsidRPr="00ED35A9">
        <w:rPr>
          <w:rFonts w:eastAsia="Calibri" w:cs="Times New Roman"/>
          <w:spacing w:val="2"/>
          <w:sz w:val="24"/>
          <w:szCs w:val="24"/>
          <w:lang w:val="uk-UA"/>
        </w:rPr>
        <w:t>Niazi</w:t>
      </w:r>
      <w:proofErr w:type="spellEnd"/>
      <w:r w:rsidRPr="00ED35A9">
        <w:rPr>
          <w:rFonts w:eastAsia="Calibri" w:cs="Times New Roman"/>
          <w:spacing w:val="2"/>
          <w:sz w:val="24"/>
          <w:szCs w:val="24"/>
          <w:lang w:val="uk-UA"/>
        </w:rPr>
        <w:t xml:space="preserve"> A. </w:t>
      </w:r>
      <w:proofErr w:type="spellStart"/>
      <w:r w:rsidRPr="00ED35A9">
        <w:rPr>
          <w:rFonts w:eastAsia="Calibri" w:cs="Times New Roman"/>
          <w:spacing w:val="2"/>
          <w:sz w:val="24"/>
          <w:szCs w:val="24"/>
          <w:lang w:val="uk-UA"/>
        </w:rPr>
        <w:t>Does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routine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home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visiting</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improve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the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return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rate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and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outcome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DOTS </w:t>
      </w:r>
      <w:proofErr w:type="spellStart"/>
      <w:r w:rsidRPr="00ED35A9">
        <w:rPr>
          <w:rFonts w:eastAsia="Calibri" w:cs="Times New Roman"/>
          <w:spacing w:val="2"/>
          <w:sz w:val="24"/>
          <w:szCs w:val="24"/>
          <w:lang w:val="uk-UA"/>
        </w:rPr>
        <w:t>patients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who</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delay</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treatment</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i/>
          <w:spacing w:val="2"/>
          <w:sz w:val="24"/>
          <w:szCs w:val="24"/>
          <w:lang w:val="uk-UA"/>
        </w:rPr>
        <w:t>East</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Mediterr</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Health</w:t>
      </w:r>
      <w:proofErr w:type="spellEnd"/>
      <w:r w:rsidRPr="00ED35A9">
        <w:rPr>
          <w:rFonts w:eastAsia="Calibri" w:cs="Times New Roman"/>
          <w:i/>
          <w:spacing w:val="2"/>
          <w:sz w:val="24"/>
          <w:szCs w:val="24"/>
          <w:lang w:val="uk-UA"/>
        </w:rPr>
        <w:t xml:space="preserve"> J</w:t>
      </w:r>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2003</w:t>
      </w:r>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9(4):</w:t>
      </w:r>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702</w:t>
      </w:r>
      <w:r w:rsidR="007038AC" w:rsidRPr="00ED35A9">
        <w:rPr>
          <w:rFonts w:eastAsia="Calibri" w:cs="Times New Roman"/>
          <w:spacing w:val="2"/>
          <w:sz w:val="24"/>
          <w:szCs w:val="24"/>
          <w:lang w:val="uk-UA"/>
        </w:rPr>
        <w:t>–70</w:t>
      </w:r>
      <w:r w:rsidRPr="00ED35A9">
        <w:rPr>
          <w:rFonts w:eastAsia="Calibri" w:cs="Times New Roman"/>
          <w:spacing w:val="2"/>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Paramasivan</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Parthasarathy</w:t>
      </w:r>
      <w:proofErr w:type="spellEnd"/>
      <w:r w:rsidRPr="00ED35A9">
        <w:rPr>
          <w:rFonts w:eastAsia="Calibri" w:cs="Times New Roman"/>
          <w:sz w:val="24"/>
          <w:szCs w:val="24"/>
          <w:lang w:val="uk-UA"/>
        </w:rPr>
        <w:t xml:space="preserve"> RT, </w:t>
      </w:r>
      <w:proofErr w:type="spellStart"/>
      <w:r w:rsidRPr="00ED35A9">
        <w:rPr>
          <w:rFonts w:eastAsia="Calibri" w:cs="Times New Roman"/>
          <w:sz w:val="24"/>
          <w:szCs w:val="24"/>
          <w:lang w:val="uk-UA"/>
        </w:rPr>
        <w:t>Rajasekaran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Short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course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chemotherapy</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controlled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indirect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retrieval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method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Indian</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1993</w:t>
      </w:r>
      <w:r w:rsidR="007038AC" w:rsidRPr="00ED35A9">
        <w:rPr>
          <w:rFonts w:eastAsia="Calibri" w:cs="Times New Roman"/>
          <w:sz w:val="24"/>
          <w:szCs w:val="24"/>
          <w:lang w:val="uk-UA"/>
        </w:rPr>
        <w:t xml:space="preserve">, </w:t>
      </w:r>
      <w:r w:rsidRPr="00ED35A9">
        <w:rPr>
          <w:rFonts w:eastAsia="Calibri" w:cs="Times New Roman"/>
          <w:sz w:val="24"/>
          <w:szCs w:val="24"/>
          <w:lang w:val="uk-UA"/>
        </w:rPr>
        <w:t>40:</w:t>
      </w:r>
      <w:r w:rsidR="007038AC" w:rsidRPr="00ED35A9">
        <w:rPr>
          <w:rFonts w:eastAsia="Calibri" w:cs="Times New Roman"/>
          <w:sz w:val="24"/>
          <w:szCs w:val="24"/>
          <w:lang w:val="uk-UA"/>
        </w:rPr>
        <w:t xml:space="preserve"> </w:t>
      </w:r>
      <w:r w:rsidRPr="00ED35A9">
        <w:rPr>
          <w:rFonts w:eastAsia="Calibri" w:cs="Times New Roman"/>
          <w:sz w:val="24"/>
          <w:szCs w:val="24"/>
          <w:lang w:val="uk-UA"/>
        </w:rPr>
        <w:t>185</w:t>
      </w:r>
      <w:r w:rsidR="007038AC" w:rsidRPr="00ED35A9">
        <w:rPr>
          <w:rFonts w:eastAsia="Calibri" w:cs="Times New Roman"/>
          <w:sz w:val="24"/>
          <w:szCs w:val="24"/>
          <w:lang w:val="uk-UA"/>
        </w:rPr>
        <w:t>–1</w:t>
      </w:r>
      <w:r w:rsidRPr="00ED35A9">
        <w:rPr>
          <w:rFonts w:eastAsia="Calibri" w:cs="Times New Roman"/>
          <w:sz w:val="24"/>
          <w:szCs w:val="24"/>
          <w:lang w:val="uk-UA"/>
        </w:rPr>
        <w:t>90.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Tanke</w:t>
      </w:r>
      <w:proofErr w:type="spellEnd"/>
      <w:r w:rsidRPr="00ED35A9">
        <w:rPr>
          <w:rFonts w:eastAsia="Calibri" w:cs="Times New Roman"/>
          <w:sz w:val="24"/>
          <w:szCs w:val="24"/>
          <w:lang w:val="uk-UA"/>
        </w:rPr>
        <w:t xml:space="preserve"> ED, </w:t>
      </w:r>
      <w:proofErr w:type="spellStart"/>
      <w:r w:rsidRPr="00ED35A9">
        <w:rPr>
          <w:rFonts w:eastAsia="Calibri" w:cs="Times New Roman"/>
          <w:sz w:val="24"/>
          <w:szCs w:val="24"/>
          <w:lang w:val="uk-UA"/>
        </w:rPr>
        <w:t>Leirer</w:t>
      </w:r>
      <w:proofErr w:type="spellEnd"/>
      <w:r w:rsidRPr="00ED35A9">
        <w:rPr>
          <w:rFonts w:eastAsia="Calibri" w:cs="Times New Roman"/>
          <w:sz w:val="24"/>
          <w:szCs w:val="24"/>
          <w:lang w:val="uk-UA"/>
        </w:rPr>
        <w:t xml:space="preserve"> VO. </w:t>
      </w:r>
      <w:proofErr w:type="spellStart"/>
      <w:r w:rsidRPr="00ED35A9">
        <w:rPr>
          <w:rFonts w:eastAsia="Calibri" w:cs="Times New Roman"/>
          <w:sz w:val="24"/>
          <w:szCs w:val="24"/>
          <w:lang w:val="uk-UA"/>
        </w:rPr>
        <w:t>Automated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telephone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reminders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Care</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1994</w:t>
      </w:r>
      <w:r w:rsidR="007038AC" w:rsidRPr="00ED35A9">
        <w:rPr>
          <w:rFonts w:eastAsia="Calibri" w:cs="Times New Roman"/>
          <w:sz w:val="24"/>
          <w:szCs w:val="24"/>
          <w:lang w:val="uk-UA"/>
        </w:rPr>
        <w:t xml:space="preserve">, </w:t>
      </w:r>
      <w:r w:rsidRPr="00ED35A9">
        <w:rPr>
          <w:rFonts w:eastAsia="Calibri" w:cs="Times New Roman"/>
          <w:sz w:val="24"/>
          <w:szCs w:val="24"/>
          <w:lang w:val="uk-UA"/>
        </w:rPr>
        <w:t>32(4):</w:t>
      </w:r>
      <w:r w:rsidR="007038AC" w:rsidRPr="00ED35A9">
        <w:rPr>
          <w:rFonts w:eastAsia="Calibri" w:cs="Times New Roman"/>
          <w:sz w:val="24"/>
          <w:szCs w:val="24"/>
          <w:lang w:val="uk-UA"/>
        </w:rPr>
        <w:t xml:space="preserve"> </w:t>
      </w:r>
      <w:r w:rsidRPr="00ED35A9">
        <w:rPr>
          <w:rFonts w:eastAsia="Calibri" w:cs="Times New Roman"/>
          <w:sz w:val="24"/>
          <w:szCs w:val="24"/>
          <w:lang w:val="uk-UA"/>
        </w:rPr>
        <w:t>380</w:t>
      </w:r>
      <w:r w:rsidR="007038AC" w:rsidRPr="00ED35A9">
        <w:rPr>
          <w:rFonts w:eastAsia="Calibri" w:cs="Times New Roman"/>
          <w:sz w:val="24"/>
          <w:szCs w:val="24"/>
          <w:lang w:val="uk-UA"/>
        </w:rPr>
        <w:t>–38</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Moulding</w:t>
      </w:r>
      <w:proofErr w:type="spellEnd"/>
      <w:r w:rsidRPr="00ED35A9">
        <w:rPr>
          <w:rFonts w:eastAsia="Calibri" w:cs="Times New Roman"/>
          <w:sz w:val="24"/>
          <w:szCs w:val="24"/>
          <w:lang w:val="uk-UA"/>
        </w:rPr>
        <w:t xml:space="preserve"> TS, </w:t>
      </w:r>
      <w:proofErr w:type="spellStart"/>
      <w:r w:rsidRPr="00ED35A9">
        <w:rPr>
          <w:rFonts w:eastAsia="Calibri" w:cs="Times New Roman"/>
          <w:sz w:val="24"/>
          <w:szCs w:val="24"/>
          <w:lang w:val="uk-UA"/>
        </w:rPr>
        <w:t>Caymittes</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Managing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Haiti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2002</w:t>
      </w:r>
      <w:r w:rsidR="007038AC" w:rsidRPr="00ED35A9">
        <w:rPr>
          <w:rFonts w:eastAsia="Calibri" w:cs="Times New Roman"/>
          <w:sz w:val="24"/>
          <w:szCs w:val="24"/>
          <w:lang w:val="uk-UA"/>
        </w:rPr>
        <w:t xml:space="preserve">, </w:t>
      </w:r>
      <w:r w:rsidRPr="00ED35A9">
        <w:rPr>
          <w:rFonts w:eastAsia="Calibri" w:cs="Times New Roman"/>
          <w:sz w:val="24"/>
          <w:szCs w:val="24"/>
          <w:lang w:val="uk-UA"/>
        </w:rPr>
        <w:t>6(4):</w:t>
      </w:r>
      <w:r w:rsidR="007038AC" w:rsidRPr="00ED35A9">
        <w:rPr>
          <w:rFonts w:eastAsia="Calibri" w:cs="Times New Roman"/>
          <w:sz w:val="24"/>
          <w:szCs w:val="24"/>
          <w:lang w:val="uk-UA"/>
        </w:rPr>
        <w:t xml:space="preserve"> </w:t>
      </w:r>
      <w:r w:rsidRPr="00ED35A9">
        <w:rPr>
          <w:rFonts w:eastAsia="Calibri" w:cs="Times New Roman"/>
          <w:sz w:val="24"/>
          <w:szCs w:val="24"/>
          <w:lang w:val="uk-UA"/>
        </w:rPr>
        <w:t>313</w:t>
      </w:r>
      <w:r w:rsidR="007038AC" w:rsidRPr="00ED35A9">
        <w:rPr>
          <w:rFonts w:eastAsia="Calibri" w:cs="Times New Roman"/>
          <w:sz w:val="24"/>
          <w:szCs w:val="24"/>
          <w:lang w:val="uk-UA"/>
        </w:rPr>
        <w:t>–31</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Liu</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Lewis</w:t>
      </w:r>
      <w:proofErr w:type="spellEnd"/>
      <w:r w:rsidRPr="00ED35A9">
        <w:rPr>
          <w:rFonts w:eastAsia="Calibri" w:cs="Times New Roman"/>
          <w:sz w:val="24"/>
          <w:szCs w:val="24"/>
          <w:lang w:val="uk-UA"/>
        </w:rPr>
        <w:t xml:space="preserve"> JJ, </w:t>
      </w:r>
      <w:proofErr w:type="spellStart"/>
      <w:r w:rsidRPr="00ED35A9">
        <w:rPr>
          <w:rFonts w:eastAsia="Calibri" w:cs="Times New Roman"/>
          <w:sz w:val="24"/>
          <w:szCs w:val="24"/>
          <w:lang w:val="uk-UA"/>
        </w:rPr>
        <w:t>Zhang</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Lu</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Zhang</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Zheng</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electronic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reminders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cluster-randomised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trial</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2015</w:t>
      </w:r>
      <w:r w:rsidR="007038AC" w:rsidRPr="00ED35A9">
        <w:rPr>
          <w:rFonts w:eastAsia="Calibri" w:cs="Times New Roman"/>
          <w:sz w:val="24"/>
          <w:szCs w:val="24"/>
          <w:lang w:val="uk-UA"/>
        </w:rPr>
        <w:t xml:space="preserve">, </w:t>
      </w:r>
      <w:r w:rsidRPr="00ED35A9">
        <w:rPr>
          <w:rFonts w:eastAsia="Calibri" w:cs="Times New Roman"/>
          <w:sz w:val="24"/>
          <w:szCs w:val="24"/>
          <w:lang w:val="uk-UA"/>
        </w:rPr>
        <w:t>12(9):</w:t>
      </w:r>
      <w:r w:rsidR="007038AC" w:rsidRPr="00ED35A9">
        <w:rPr>
          <w:rFonts w:eastAsia="Calibri" w:cs="Times New Roman"/>
          <w:sz w:val="24"/>
          <w:szCs w:val="24"/>
          <w:lang w:val="uk-UA"/>
        </w:rPr>
        <w:t xml:space="preserve"> </w:t>
      </w:r>
      <w:r w:rsidRPr="00ED35A9">
        <w:rPr>
          <w:rFonts w:eastAsia="Calibri" w:cs="Times New Roman"/>
          <w:sz w:val="24"/>
          <w:szCs w:val="24"/>
          <w:lang w:val="uk-UA"/>
        </w:rPr>
        <w:t>e</w:t>
      </w:r>
      <w:r w:rsidR="007038AC" w:rsidRPr="00ED35A9">
        <w:rPr>
          <w:rFonts w:eastAsia="Calibri" w:cs="Times New Roman"/>
          <w:sz w:val="24"/>
          <w:szCs w:val="24"/>
          <w:lang w:val="uk-UA"/>
        </w:rPr>
        <w:t>1</w:t>
      </w:r>
      <w:r w:rsidRPr="00ED35A9">
        <w:rPr>
          <w:rFonts w:eastAsia="Calibri" w:cs="Times New Roman"/>
          <w:sz w:val="24"/>
          <w:szCs w:val="24"/>
          <w:lang w:val="uk-UA"/>
        </w:rPr>
        <w:t>001876.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Bronner</w:t>
      </w:r>
      <w:proofErr w:type="spellEnd"/>
      <w:r w:rsidRPr="00ED35A9">
        <w:rPr>
          <w:rFonts w:eastAsia="Calibri" w:cs="Times New Roman"/>
          <w:sz w:val="24"/>
          <w:szCs w:val="24"/>
          <w:lang w:val="uk-UA"/>
        </w:rPr>
        <w:t xml:space="preserve"> LE, </w:t>
      </w:r>
      <w:proofErr w:type="spellStart"/>
      <w:r w:rsidRPr="00ED35A9">
        <w:rPr>
          <w:rFonts w:eastAsia="Calibri" w:cs="Times New Roman"/>
          <w:sz w:val="24"/>
          <w:szCs w:val="24"/>
          <w:lang w:val="uk-UA"/>
        </w:rPr>
        <w:t>Podewils</w:t>
      </w:r>
      <w:proofErr w:type="spellEnd"/>
      <w:r w:rsidRPr="00ED35A9">
        <w:rPr>
          <w:rFonts w:eastAsia="Calibri" w:cs="Times New Roman"/>
          <w:sz w:val="24"/>
          <w:szCs w:val="24"/>
          <w:lang w:val="uk-UA"/>
        </w:rPr>
        <w:t xml:space="preserve"> LJ, </w:t>
      </w:r>
      <w:proofErr w:type="spellStart"/>
      <w:r w:rsidRPr="00ED35A9">
        <w:rPr>
          <w:rFonts w:eastAsia="Calibri" w:cs="Times New Roman"/>
          <w:sz w:val="24"/>
          <w:szCs w:val="24"/>
          <w:lang w:val="uk-UA"/>
        </w:rPr>
        <w:t>Peters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Somnath</w:t>
      </w:r>
      <w:proofErr w:type="spellEnd"/>
      <w:r w:rsidRPr="00ED35A9">
        <w:rPr>
          <w:rFonts w:eastAsia="Calibri" w:cs="Times New Roman"/>
          <w:sz w:val="24"/>
          <w:szCs w:val="24"/>
          <w:lang w:val="uk-UA"/>
        </w:rPr>
        <w:t xml:space="preserve"> R</w:t>
      </w:r>
      <w:r w:rsidR="007038AC"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Nshuti</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van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Walt</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tracer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teams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Public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2012</w:t>
      </w:r>
      <w:r w:rsidR="007038AC" w:rsidRPr="00ED35A9">
        <w:rPr>
          <w:rFonts w:eastAsia="Calibri" w:cs="Times New Roman"/>
          <w:sz w:val="24"/>
          <w:szCs w:val="24"/>
          <w:lang w:val="uk-UA"/>
        </w:rPr>
        <w:t xml:space="preserve">, </w:t>
      </w:r>
      <w:r w:rsidRPr="00ED35A9">
        <w:rPr>
          <w:rFonts w:eastAsia="Calibri" w:cs="Times New Roman"/>
          <w:sz w:val="24"/>
          <w:szCs w:val="24"/>
          <w:lang w:val="uk-UA"/>
        </w:rPr>
        <w:t>12(1):</w:t>
      </w:r>
      <w:r w:rsidR="007038AC" w:rsidRPr="00ED35A9">
        <w:rPr>
          <w:rFonts w:eastAsia="Calibri" w:cs="Times New Roman"/>
          <w:sz w:val="24"/>
          <w:szCs w:val="24"/>
          <w:lang w:val="uk-UA"/>
        </w:rPr>
        <w:t xml:space="preserve"> </w:t>
      </w:r>
      <w:r w:rsidRPr="00ED35A9">
        <w:rPr>
          <w:rFonts w:eastAsia="Calibri" w:cs="Times New Roman"/>
          <w:sz w:val="24"/>
          <w:szCs w:val="24"/>
          <w:lang w:val="uk-UA"/>
        </w:rPr>
        <w:t>621.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Snidal</w:t>
      </w:r>
      <w:proofErr w:type="spellEnd"/>
      <w:r w:rsidRPr="00ED35A9">
        <w:rPr>
          <w:rFonts w:eastAsia="Calibri" w:cs="Times New Roman"/>
          <w:sz w:val="24"/>
          <w:szCs w:val="24"/>
          <w:lang w:val="uk-UA"/>
        </w:rPr>
        <w:t xml:space="preserve"> SJ, </w:t>
      </w:r>
      <w:proofErr w:type="spellStart"/>
      <w:r w:rsidRPr="00ED35A9">
        <w:rPr>
          <w:rFonts w:eastAsia="Calibri" w:cs="Times New Roman"/>
          <w:sz w:val="24"/>
          <w:szCs w:val="24"/>
          <w:lang w:val="uk-UA"/>
        </w:rPr>
        <w:t>Barnard</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Atuhairwe</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Amor</w:t>
      </w:r>
      <w:proofErr w:type="spellEnd"/>
      <w:r w:rsidRPr="00ED35A9">
        <w:rPr>
          <w:rFonts w:eastAsia="Calibri" w:cs="Times New Roman"/>
          <w:sz w:val="24"/>
          <w:szCs w:val="24"/>
          <w:lang w:val="uk-UA"/>
        </w:rPr>
        <w:t xml:space="preserve"> YB. </w:t>
      </w:r>
      <w:proofErr w:type="spellStart"/>
      <w:r w:rsidRPr="00ED35A9">
        <w:rPr>
          <w:rFonts w:eastAsia="Calibri" w:cs="Times New Roman"/>
          <w:sz w:val="24"/>
          <w:szCs w:val="24"/>
          <w:lang w:val="uk-UA"/>
        </w:rPr>
        <w:t>Use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innovative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biometric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system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rural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Uganda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Am</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Trap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Hyg</w:t>
      </w:r>
      <w:proofErr w:type="spellEnd"/>
      <w:r w:rsidR="007038AC" w:rsidRPr="00ED35A9">
        <w:rPr>
          <w:rFonts w:eastAsia="Calibri" w:cs="Times New Roman"/>
          <w:sz w:val="24"/>
          <w:szCs w:val="24"/>
          <w:lang w:val="uk-UA"/>
        </w:rPr>
        <w:t xml:space="preserve">, </w:t>
      </w:r>
      <w:r w:rsidRPr="00ED35A9">
        <w:rPr>
          <w:rFonts w:eastAsia="Calibri" w:cs="Times New Roman"/>
          <w:sz w:val="24"/>
          <w:szCs w:val="24"/>
          <w:lang w:val="uk-UA"/>
        </w:rPr>
        <w:t>2015</w:t>
      </w:r>
      <w:r w:rsidR="007038AC" w:rsidRPr="00ED35A9">
        <w:rPr>
          <w:rFonts w:eastAsia="Calibri" w:cs="Times New Roman"/>
          <w:sz w:val="24"/>
          <w:szCs w:val="24"/>
          <w:lang w:val="uk-UA"/>
        </w:rPr>
        <w:t xml:space="preserve">, </w:t>
      </w:r>
      <w:r w:rsidRPr="00ED35A9">
        <w:rPr>
          <w:rFonts w:eastAsia="Calibri" w:cs="Times New Roman"/>
          <w:sz w:val="24"/>
          <w:szCs w:val="24"/>
          <w:lang w:val="uk-UA"/>
        </w:rPr>
        <w:t>92(6):</w:t>
      </w:r>
      <w:r w:rsidR="007038AC" w:rsidRPr="00ED35A9">
        <w:rPr>
          <w:rFonts w:eastAsia="Calibri" w:cs="Times New Roman"/>
          <w:sz w:val="24"/>
          <w:szCs w:val="24"/>
          <w:lang w:val="uk-UA"/>
        </w:rPr>
        <w:t xml:space="preserve"> </w:t>
      </w:r>
      <w:r w:rsidRPr="00ED35A9">
        <w:rPr>
          <w:rFonts w:eastAsia="Calibri" w:cs="Times New Roman"/>
          <w:sz w:val="24"/>
          <w:szCs w:val="24"/>
          <w:lang w:val="uk-UA"/>
        </w:rPr>
        <w:t>1271</w:t>
      </w:r>
      <w:r w:rsidR="007038AC" w:rsidRPr="00ED35A9">
        <w:rPr>
          <w:rFonts w:eastAsia="Calibri" w:cs="Times New Roman"/>
          <w:sz w:val="24"/>
          <w:szCs w:val="24"/>
          <w:lang w:val="uk-UA"/>
        </w:rPr>
        <w:t>–127</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pacing w:val="-2"/>
          <w:sz w:val="24"/>
          <w:szCs w:val="24"/>
          <w:lang w:val="uk-UA"/>
        </w:rPr>
      </w:pPr>
      <w:proofErr w:type="spellStart"/>
      <w:r w:rsidRPr="00ED35A9">
        <w:rPr>
          <w:rFonts w:eastAsia="Calibri" w:cs="Times New Roman"/>
          <w:spacing w:val="-2"/>
          <w:sz w:val="24"/>
          <w:szCs w:val="24"/>
          <w:lang w:val="uk-UA"/>
        </w:rPr>
        <w:t>Thomson</w:t>
      </w:r>
      <w:proofErr w:type="spellEnd"/>
      <w:r w:rsidRPr="00ED35A9">
        <w:rPr>
          <w:rFonts w:eastAsia="Calibri" w:cs="Times New Roman"/>
          <w:spacing w:val="-2"/>
          <w:sz w:val="24"/>
          <w:szCs w:val="24"/>
          <w:lang w:val="uk-UA"/>
        </w:rPr>
        <w:t xml:space="preserve"> KA, </w:t>
      </w:r>
      <w:proofErr w:type="spellStart"/>
      <w:r w:rsidRPr="00ED35A9">
        <w:rPr>
          <w:rFonts w:eastAsia="Calibri" w:cs="Times New Roman"/>
          <w:spacing w:val="-2"/>
          <w:sz w:val="24"/>
          <w:szCs w:val="24"/>
          <w:lang w:val="uk-UA"/>
        </w:rPr>
        <w:t>Cheti</w:t>
      </w:r>
      <w:proofErr w:type="spellEnd"/>
      <w:r w:rsidRPr="00ED35A9">
        <w:rPr>
          <w:rFonts w:eastAsia="Calibri" w:cs="Times New Roman"/>
          <w:spacing w:val="-2"/>
          <w:sz w:val="24"/>
          <w:szCs w:val="24"/>
          <w:lang w:val="uk-UA"/>
        </w:rPr>
        <w:t xml:space="preserve"> EO, </w:t>
      </w:r>
      <w:proofErr w:type="spellStart"/>
      <w:r w:rsidRPr="00ED35A9">
        <w:rPr>
          <w:rFonts w:eastAsia="Calibri" w:cs="Times New Roman"/>
          <w:spacing w:val="-2"/>
          <w:sz w:val="24"/>
          <w:szCs w:val="24"/>
          <w:lang w:val="uk-UA"/>
        </w:rPr>
        <w:t>Reid</w:t>
      </w:r>
      <w:proofErr w:type="spellEnd"/>
      <w:r w:rsidRPr="00ED35A9">
        <w:rPr>
          <w:rFonts w:eastAsia="Calibri" w:cs="Times New Roman"/>
          <w:spacing w:val="-2"/>
          <w:sz w:val="24"/>
          <w:szCs w:val="24"/>
          <w:lang w:val="uk-UA"/>
        </w:rPr>
        <w:t xml:space="preserve"> T. </w:t>
      </w:r>
      <w:proofErr w:type="spellStart"/>
      <w:r w:rsidRPr="00ED35A9">
        <w:rPr>
          <w:rFonts w:eastAsia="Calibri" w:cs="Times New Roman"/>
          <w:spacing w:val="-2"/>
          <w:sz w:val="24"/>
          <w:szCs w:val="24"/>
          <w:lang w:val="uk-UA"/>
        </w:rPr>
        <w:t>Implementation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and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outcomes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an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active</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defaulter</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tracing</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system</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for</w:t>
      </w:r>
      <w:proofErr w:type="spellEnd"/>
      <w:r w:rsidRPr="00ED35A9">
        <w:rPr>
          <w:rFonts w:eastAsia="Calibri" w:cs="Times New Roman"/>
          <w:spacing w:val="-2"/>
          <w:sz w:val="24"/>
          <w:szCs w:val="24"/>
          <w:lang w:val="uk-UA"/>
        </w:rPr>
        <w:t xml:space="preserve"> HIV, </w:t>
      </w:r>
      <w:proofErr w:type="spellStart"/>
      <w:r w:rsidRPr="00ED35A9">
        <w:rPr>
          <w:rFonts w:eastAsia="Calibri" w:cs="Times New Roman"/>
          <w:spacing w:val="-2"/>
          <w:sz w:val="24"/>
          <w:szCs w:val="24"/>
          <w:lang w:val="uk-UA"/>
        </w:rPr>
        <w:t>prevention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mother</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to</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child</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transmission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of</w:t>
      </w:r>
      <w:proofErr w:type="spellEnd"/>
      <w:r w:rsidRPr="00ED35A9">
        <w:rPr>
          <w:rFonts w:eastAsia="Calibri" w:cs="Times New Roman"/>
          <w:spacing w:val="-2"/>
          <w:sz w:val="24"/>
          <w:szCs w:val="24"/>
          <w:lang w:val="uk-UA"/>
        </w:rPr>
        <w:t xml:space="preserve"> HIV (PMTCT), </w:t>
      </w:r>
      <w:proofErr w:type="spellStart"/>
      <w:r w:rsidRPr="00ED35A9">
        <w:rPr>
          <w:rFonts w:eastAsia="Calibri" w:cs="Times New Roman"/>
          <w:spacing w:val="-2"/>
          <w:sz w:val="24"/>
          <w:szCs w:val="24"/>
          <w:lang w:val="uk-UA"/>
        </w:rPr>
        <w:t>and</w:t>
      </w:r>
      <w:proofErr w:type="spellEnd"/>
      <w:r w:rsidRPr="00ED35A9">
        <w:rPr>
          <w:rFonts w:eastAsia="Calibri" w:cs="Times New Roman"/>
          <w:spacing w:val="-2"/>
          <w:sz w:val="24"/>
          <w:szCs w:val="24"/>
          <w:lang w:val="uk-UA"/>
        </w:rPr>
        <w:t xml:space="preserve"> TB </w:t>
      </w:r>
      <w:proofErr w:type="spellStart"/>
      <w:r w:rsidRPr="00ED35A9">
        <w:rPr>
          <w:rFonts w:eastAsia="Calibri" w:cs="Times New Roman"/>
          <w:spacing w:val="-2"/>
          <w:sz w:val="24"/>
          <w:szCs w:val="24"/>
          <w:lang w:val="uk-UA"/>
        </w:rPr>
        <w:t>patients</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in</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Kibera</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Nairobi</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spacing w:val="-2"/>
          <w:sz w:val="24"/>
          <w:szCs w:val="24"/>
          <w:lang w:val="uk-UA"/>
        </w:rPr>
        <w:t>Kenya</w:t>
      </w:r>
      <w:proofErr w:type="spellEnd"/>
      <w:r w:rsidRPr="00ED35A9">
        <w:rPr>
          <w:rFonts w:eastAsia="Calibri" w:cs="Times New Roman"/>
          <w:spacing w:val="-2"/>
          <w:sz w:val="24"/>
          <w:szCs w:val="24"/>
          <w:lang w:val="uk-UA"/>
        </w:rPr>
        <w:t xml:space="preserve">. </w:t>
      </w:r>
      <w:proofErr w:type="spellStart"/>
      <w:r w:rsidRPr="00ED35A9">
        <w:rPr>
          <w:rFonts w:eastAsia="Calibri" w:cs="Times New Roman"/>
          <w:i/>
          <w:spacing w:val="-2"/>
          <w:sz w:val="24"/>
          <w:szCs w:val="24"/>
          <w:lang w:val="uk-UA"/>
        </w:rPr>
        <w:t>Trans</w:t>
      </w:r>
      <w:proofErr w:type="spellEnd"/>
      <w:r w:rsidRPr="00ED35A9">
        <w:rPr>
          <w:rFonts w:eastAsia="Calibri" w:cs="Times New Roman"/>
          <w:i/>
          <w:spacing w:val="-2"/>
          <w:sz w:val="24"/>
          <w:szCs w:val="24"/>
          <w:lang w:val="uk-UA"/>
        </w:rPr>
        <w:t xml:space="preserve"> R </w:t>
      </w:r>
      <w:proofErr w:type="spellStart"/>
      <w:r w:rsidRPr="00ED35A9">
        <w:rPr>
          <w:rFonts w:eastAsia="Calibri" w:cs="Times New Roman"/>
          <w:i/>
          <w:spacing w:val="-2"/>
          <w:sz w:val="24"/>
          <w:szCs w:val="24"/>
          <w:lang w:val="uk-UA"/>
        </w:rPr>
        <w:t>Soc</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Trop</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Med</w:t>
      </w:r>
      <w:proofErr w:type="spellEnd"/>
      <w:r w:rsidRPr="00ED35A9">
        <w:rPr>
          <w:rFonts w:eastAsia="Calibri" w:cs="Times New Roman"/>
          <w:i/>
          <w:spacing w:val="-2"/>
          <w:sz w:val="24"/>
          <w:szCs w:val="24"/>
          <w:lang w:val="uk-UA"/>
        </w:rPr>
        <w:t xml:space="preserve"> </w:t>
      </w:r>
      <w:proofErr w:type="spellStart"/>
      <w:r w:rsidRPr="00ED35A9">
        <w:rPr>
          <w:rFonts w:eastAsia="Calibri" w:cs="Times New Roman"/>
          <w:i/>
          <w:spacing w:val="-2"/>
          <w:sz w:val="24"/>
          <w:szCs w:val="24"/>
          <w:lang w:val="uk-UA"/>
        </w:rPr>
        <w:t>Hyg</w:t>
      </w:r>
      <w:proofErr w:type="spellEnd"/>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2011</w:t>
      </w:r>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105(6):</w:t>
      </w:r>
      <w:r w:rsidR="007038AC" w:rsidRPr="00ED35A9">
        <w:rPr>
          <w:rFonts w:eastAsia="Calibri" w:cs="Times New Roman"/>
          <w:spacing w:val="-2"/>
          <w:sz w:val="24"/>
          <w:szCs w:val="24"/>
          <w:lang w:val="uk-UA"/>
        </w:rPr>
        <w:t xml:space="preserve"> </w:t>
      </w:r>
      <w:r w:rsidRPr="00ED35A9">
        <w:rPr>
          <w:rFonts w:eastAsia="Calibri" w:cs="Times New Roman"/>
          <w:spacing w:val="-2"/>
          <w:sz w:val="24"/>
          <w:szCs w:val="24"/>
          <w:lang w:val="uk-UA"/>
        </w:rPr>
        <w:t>320</w:t>
      </w:r>
      <w:r w:rsidR="007038AC" w:rsidRPr="00ED35A9">
        <w:rPr>
          <w:rFonts w:eastAsia="Calibri" w:cs="Times New Roman"/>
          <w:spacing w:val="-2"/>
          <w:sz w:val="24"/>
          <w:szCs w:val="24"/>
          <w:lang w:val="uk-UA"/>
        </w:rPr>
        <w:t>–32</w:t>
      </w:r>
      <w:r w:rsidRPr="00ED35A9">
        <w:rPr>
          <w:rFonts w:eastAsia="Calibri" w:cs="Times New Roman"/>
          <w:spacing w:val="-2"/>
          <w:sz w:val="24"/>
          <w:szCs w:val="24"/>
          <w:lang w:val="uk-UA"/>
        </w:rPr>
        <w:t>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Al-Hajjaj</w:t>
      </w:r>
      <w:proofErr w:type="spellEnd"/>
      <w:r w:rsidRPr="00ED35A9">
        <w:rPr>
          <w:rFonts w:eastAsia="Calibri" w:cs="Times New Roman"/>
          <w:sz w:val="24"/>
          <w:szCs w:val="24"/>
          <w:lang w:val="uk-UA"/>
        </w:rPr>
        <w:t xml:space="preserve"> MS, </w:t>
      </w:r>
      <w:proofErr w:type="spellStart"/>
      <w:r w:rsidRPr="00ED35A9">
        <w:rPr>
          <w:rFonts w:eastAsia="Calibri" w:cs="Times New Roman"/>
          <w:sz w:val="24"/>
          <w:szCs w:val="24"/>
          <w:lang w:val="uk-UA"/>
        </w:rPr>
        <w:t>Al-Khatim</w:t>
      </w:r>
      <w:proofErr w:type="spellEnd"/>
      <w:r w:rsidRPr="00ED35A9">
        <w:rPr>
          <w:rFonts w:eastAsia="Calibri" w:cs="Times New Roman"/>
          <w:sz w:val="24"/>
          <w:szCs w:val="24"/>
          <w:lang w:val="uk-UA"/>
        </w:rPr>
        <w:t xml:space="preserve"> IM.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non-compliance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anti-tuberculosis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despite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retrieval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system</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call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implementation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directly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observed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therapy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Saudi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Arabia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2000</w:t>
      </w:r>
      <w:r w:rsidR="00545089" w:rsidRPr="00ED35A9">
        <w:rPr>
          <w:rFonts w:eastAsia="Calibri" w:cs="Times New Roman"/>
          <w:sz w:val="24"/>
          <w:szCs w:val="24"/>
          <w:lang w:val="uk-UA"/>
        </w:rPr>
        <w:t xml:space="preserve">, </w:t>
      </w:r>
      <w:r w:rsidRPr="00ED35A9">
        <w:rPr>
          <w:rFonts w:eastAsia="Calibri" w:cs="Times New Roman"/>
          <w:sz w:val="24"/>
          <w:szCs w:val="24"/>
          <w:lang w:val="uk-UA"/>
        </w:rPr>
        <w:t>4(4):</w:t>
      </w:r>
      <w:r w:rsidR="00545089" w:rsidRPr="00ED35A9">
        <w:rPr>
          <w:rFonts w:eastAsia="Calibri" w:cs="Times New Roman"/>
          <w:sz w:val="24"/>
          <w:szCs w:val="24"/>
          <w:lang w:val="uk-UA"/>
        </w:rPr>
        <w:t xml:space="preserve"> </w:t>
      </w:r>
      <w:r w:rsidRPr="00ED35A9">
        <w:rPr>
          <w:rFonts w:eastAsia="Calibri" w:cs="Times New Roman"/>
          <w:sz w:val="24"/>
          <w:szCs w:val="24"/>
          <w:lang w:val="uk-UA"/>
        </w:rPr>
        <w:t>345</w:t>
      </w:r>
      <w:r w:rsidR="00545089" w:rsidRPr="00ED35A9">
        <w:rPr>
          <w:rFonts w:eastAsia="Calibri" w:cs="Times New Roman"/>
          <w:sz w:val="24"/>
          <w:szCs w:val="24"/>
          <w:lang w:val="uk-UA"/>
        </w:rPr>
        <w:t>–34</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Broomhead</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Mars</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Retrospective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return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investment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analysis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electronic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device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piloted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Northern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Cape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Province</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Telemed</w:t>
      </w:r>
      <w:proofErr w:type="spellEnd"/>
      <w:r w:rsidRPr="00ED35A9">
        <w:rPr>
          <w:rFonts w:eastAsia="Calibri" w:cs="Times New Roman"/>
          <w:i/>
          <w:sz w:val="24"/>
          <w:szCs w:val="24"/>
          <w:lang w:val="uk-UA"/>
        </w:rPr>
        <w:t xml:space="preserve"> J E </w:t>
      </w:r>
      <w:proofErr w:type="spellStart"/>
      <w:r w:rsidRPr="00ED35A9">
        <w:rPr>
          <w:rFonts w:eastAsia="Calibri" w:cs="Times New Roman"/>
          <w:i/>
          <w:sz w:val="24"/>
          <w:szCs w:val="24"/>
          <w:lang w:val="uk-UA"/>
        </w:rPr>
        <w:t>Health</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18(1):</w:t>
      </w:r>
      <w:r w:rsidR="00545089" w:rsidRPr="00ED35A9">
        <w:rPr>
          <w:rFonts w:eastAsia="Calibri" w:cs="Times New Roman"/>
          <w:sz w:val="24"/>
          <w:szCs w:val="24"/>
          <w:lang w:val="uk-UA"/>
        </w:rPr>
        <w:t xml:space="preserve"> </w:t>
      </w:r>
      <w:r w:rsidRPr="00ED35A9">
        <w:rPr>
          <w:rFonts w:eastAsia="Calibri" w:cs="Times New Roman"/>
          <w:sz w:val="24"/>
          <w:szCs w:val="24"/>
          <w:lang w:val="uk-UA"/>
        </w:rPr>
        <w:t>24</w:t>
      </w:r>
      <w:r w:rsidR="00545089" w:rsidRPr="00ED35A9">
        <w:rPr>
          <w:rFonts w:eastAsia="Calibri" w:cs="Times New Roman"/>
          <w:sz w:val="24"/>
          <w:szCs w:val="24"/>
          <w:lang w:val="uk-UA"/>
        </w:rPr>
        <w:t>–</w:t>
      </w:r>
      <w:r w:rsidRPr="00ED35A9">
        <w:rPr>
          <w:rFonts w:eastAsia="Calibri" w:cs="Times New Roman"/>
          <w:sz w:val="24"/>
          <w:szCs w:val="24"/>
          <w:lang w:val="uk-UA"/>
        </w:rPr>
        <w:t>31.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Ngamvithayapong-Yanai</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Luangjina</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Nedsuwan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Kantipong</w:t>
      </w:r>
      <w:proofErr w:type="spellEnd"/>
      <w:r w:rsidRPr="00ED35A9">
        <w:rPr>
          <w:rFonts w:eastAsia="Calibri" w:cs="Times New Roman"/>
          <w:sz w:val="24"/>
          <w:szCs w:val="24"/>
          <w:lang w:val="uk-UA"/>
        </w:rPr>
        <w:t xml:space="preserve"> I</w:t>
      </w:r>
      <w:r w:rsidR="00545089" w:rsidRPr="00ED35A9">
        <w:rPr>
          <w:rFonts w:eastAsia="Calibri" w:cs="Times New Roman"/>
          <w:sz w:val="24"/>
          <w:szCs w:val="24"/>
          <w:lang w:val="uk-UA"/>
        </w:rPr>
        <w:t xml:space="preserve">, </w:t>
      </w:r>
      <w:proofErr w:type="spellStart"/>
      <w:r w:rsidR="00545089" w:rsidRPr="00ED35A9">
        <w:rPr>
          <w:rFonts w:eastAsia="Calibri" w:cs="Times New Roman"/>
          <w:sz w:val="24"/>
          <w:szCs w:val="24"/>
          <w:lang w:val="uk-UA"/>
        </w:rPr>
        <w:t>Wongyai</w:t>
      </w:r>
      <w:proofErr w:type="spellEnd"/>
      <w:r w:rsidR="00545089" w:rsidRPr="00ED35A9">
        <w:rPr>
          <w:rFonts w:eastAsia="Calibri" w:cs="Times New Roman"/>
          <w:sz w:val="24"/>
          <w:szCs w:val="24"/>
          <w:lang w:val="uk-UA"/>
        </w:rPr>
        <w:t xml:space="preserve"> J, </w:t>
      </w:r>
      <w:proofErr w:type="spellStart"/>
      <w:r w:rsidR="00545089" w:rsidRPr="00ED35A9">
        <w:rPr>
          <w:rFonts w:eastAsia="Calibri" w:cs="Times New Roman"/>
          <w:sz w:val="24"/>
          <w:szCs w:val="24"/>
          <w:lang w:val="uk-UA"/>
        </w:rPr>
        <w:t>Ishikawa</w:t>
      </w:r>
      <w:proofErr w:type="spellEnd"/>
      <w:r w:rsidR="00545089" w:rsidRPr="00ED35A9">
        <w:rPr>
          <w:rFonts w:eastAsia="Calibri" w:cs="Times New Roman"/>
          <w:sz w:val="24"/>
          <w:szCs w:val="24"/>
          <w:lang w:val="uk-UA"/>
        </w:rPr>
        <w:t> </w:t>
      </w:r>
      <w:r w:rsidRPr="00ED35A9">
        <w:rPr>
          <w:rFonts w:eastAsia="Calibri" w:cs="Times New Roman"/>
          <w:sz w:val="24"/>
          <w:szCs w:val="24"/>
          <w:lang w:val="uk-UA"/>
        </w:rPr>
        <w:t xml:space="preserve">N. </w:t>
      </w:r>
      <w:proofErr w:type="spellStart"/>
      <w:r w:rsidRPr="00ED35A9">
        <w:rPr>
          <w:rFonts w:eastAsia="Calibri" w:cs="Times New Roman"/>
          <w:sz w:val="24"/>
          <w:szCs w:val="24"/>
          <w:lang w:val="uk-UA"/>
        </w:rPr>
        <w:t>Engaging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women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volunteers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high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socioeconomic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status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supporting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socioeconomically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disadvantaged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Chiang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Rai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Thailand</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West</w:t>
      </w:r>
      <w:proofErr w:type="spellEnd"/>
      <w:r w:rsidRPr="00ED35A9">
        <w:rPr>
          <w:rFonts w:eastAsia="Calibri" w:cs="Times New Roman"/>
          <w:i/>
          <w:sz w:val="24"/>
          <w:szCs w:val="24"/>
          <w:lang w:val="uk-UA"/>
        </w:rPr>
        <w:t xml:space="preserve"> Рас </w:t>
      </w:r>
      <w:proofErr w:type="spellStart"/>
      <w:r w:rsidRPr="00ED35A9">
        <w:rPr>
          <w:rFonts w:eastAsia="Calibri" w:cs="Times New Roman"/>
          <w:i/>
          <w:sz w:val="24"/>
          <w:szCs w:val="24"/>
          <w:lang w:val="uk-UA"/>
        </w:rPr>
        <w:t>Surveill</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Response</w:t>
      </w:r>
      <w:proofErr w:type="spellEnd"/>
      <w:r w:rsidRPr="00ED35A9">
        <w:rPr>
          <w:rFonts w:eastAsia="Calibri" w:cs="Times New Roman"/>
          <w:i/>
          <w:sz w:val="24"/>
          <w:szCs w:val="24"/>
          <w:lang w:val="uk-UA"/>
        </w:rPr>
        <w:t xml:space="preserve"> J</w:t>
      </w:r>
      <w:r w:rsidR="00545089" w:rsidRPr="00ED35A9">
        <w:rPr>
          <w:rFonts w:eastAsia="Calibri" w:cs="Times New Roman"/>
          <w:sz w:val="24"/>
          <w:szCs w:val="24"/>
          <w:lang w:val="uk-UA"/>
        </w:rPr>
        <w:t xml:space="preserve">, </w:t>
      </w:r>
      <w:r w:rsidRPr="00ED35A9">
        <w:rPr>
          <w:rFonts w:eastAsia="Calibri" w:cs="Times New Roman"/>
          <w:sz w:val="24"/>
          <w:szCs w:val="24"/>
          <w:lang w:val="uk-UA"/>
        </w:rPr>
        <w:t>2013</w:t>
      </w:r>
      <w:r w:rsidR="00545089" w:rsidRPr="00ED35A9">
        <w:rPr>
          <w:rFonts w:eastAsia="Calibri" w:cs="Times New Roman"/>
          <w:sz w:val="24"/>
          <w:szCs w:val="24"/>
          <w:lang w:val="uk-UA"/>
        </w:rPr>
        <w:t xml:space="preserve">, </w:t>
      </w:r>
      <w:r w:rsidRPr="00ED35A9">
        <w:rPr>
          <w:rFonts w:eastAsia="Calibri" w:cs="Times New Roman"/>
          <w:sz w:val="24"/>
          <w:szCs w:val="24"/>
          <w:lang w:val="uk-UA"/>
        </w:rPr>
        <w:t>4(</w:t>
      </w:r>
      <w:r w:rsidR="00545089" w:rsidRPr="00ED35A9">
        <w:rPr>
          <w:rFonts w:eastAsia="Calibri" w:cs="Times New Roman"/>
          <w:sz w:val="24"/>
          <w:szCs w:val="24"/>
          <w:lang w:val="uk-UA"/>
        </w:rPr>
        <w:t>1</w:t>
      </w:r>
      <w:r w:rsidRPr="00ED35A9">
        <w:rPr>
          <w:rFonts w:eastAsia="Calibri" w:cs="Times New Roman"/>
          <w:sz w:val="24"/>
          <w:szCs w:val="24"/>
          <w:lang w:val="uk-UA"/>
        </w:rPr>
        <w:t>):</w:t>
      </w:r>
      <w:r w:rsidR="00545089" w:rsidRPr="00ED35A9">
        <w:rPr>
          <w:rFonts w:eastAsia="Calibri" w:cs="Times New Roman"/>
          <w:sz w:val="24"/>
          <w:szCs w:val="24"/>
          <w:lang w:val="uk-UA"/>
        </w:rPr>
        <w:t xml:space="preserve"> </w:t>
      </w:r>
      <w:r w:rsidRPr="00ED35A9">
        <w:rPr>
          <w:rFonts w:eastAsia="Calibri" w:cs="Times New Roman"/>
          <w:sz w:val="24"/>
          <w:szCs w:val="24"/>
          <w:lang w:val="uk-UA"/>
        </w:rPr>
        <w:t>34</w:t>
      </w:r>
      <w:r w:rsidR="00545089" w:rsidRPr="00ED35A9">
        <w:rPr>
          <w:rFonts w:eastAsia="Calibri" w:cs="Times New Roman"/>
          <w:sz w:val="24"/>
          <w:szCs w:val="24"/>
          <w:lang w:val="uk-UA"/>
        </w:rPr>
        <w:t>–3</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Zou</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Wei</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Witter</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Yin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Walley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Liu</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Incremental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results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migrant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Shanghai</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2013</w:t>
      </w:r>
      <w:r w:rsidR="00545089" w:rsidRPr="00ED35A9">
        <w:rPr>
          <w:rFonts w:eastAsia="Calibri" w:cs="Times New Roman"/>
          <w:sz w:val="24"/>
          <w:szCs w:val="24"/>
          <w:lang w:val="uk-UA"/>
        </w:rPr>
        <w:t xml:space="preserve">, </w:t>
      </w:r>
      <w:r w:rsidRPr="00ED35A9">
        <w:rPr>
          <w:rFonts w:eastAsia="Calibri" w:cs="Times New Roman"/>
          <w:sz w:val="24"/>
          <w:szCs w:val="24"/>
          <w:lang w:val="uk-UA"/>
        </w:rPr>
        <w:t>17(8):</w:t>
      </w:r>
      <w:r w:rsidR="00545089" w:rsidRPr="00ED35A9">
        <w:rPr>
          <w:rFonts w:eastAsia="Calibri" w:cs="Times New Roman"/>
          <w:sz w:val="24"/>
          <w:szCs w:val="24"/>
          <w:lang w:val="uk-UA"/>
        </w:rPr>
        <w:t xml:space="preserve"> </w:t>
      </w:r>
      <w:r w:rsidRPr="00ED35A9">
        <w:rPr>
          <w:rFonts w:eastAsia="Calibri" w:cs="Times New Roman"/>
          <w:sz w:val="24"/>
          <w:szCs w:val="24"/>
          <w:lang w:val="uk-UA"/>
        </w:rPr>
        <w:t>1056</w:t>
      </w:r>
      <w:r w:rsidR="00545089" w:rsidRPr="00ED35A9">
        <w:rPr>
          <w:rFonts w:eastAsia="Calibri" w:cs="Times New Roman"/>
          <w:sz w:val="24"/>
          <w:szCs w:val="24"/>
          <w:lang w:val="uk-UA"/>
        </w:rPr>
        <w:t>–10</w:t>
      </w:r>
      <w:r w:rsidRPr="00ED35A9">
        <w:rPr>
          <w:rFonts w:eastAsia="Calibri" w:cs="Times New Roman"/>
          <w:sz w:val="24"/>
          <w:szCs w:val="24"/>
          <w:lang w:val="uk-UA"/>
        </w:rPr>
        <w:t>64.</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Lu</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Yan</w:t>
      </w:r>
      <w:proofErr w:type="spellEnd"/>
      <w:r w:rsidRPr="00ED35A9">
        <w:rPr>
          <w:rFonts w:eastAsia="Calibri" w:cs="Times New Roman"/>
          <w:sz w:val="24"/>
          <w:szCs w:val="24"/>
          <w:lang w:val="uk-UA"/>
        </w:rPr>
        <w:t xml:space="preserve"> F, </w:t>
      </w:r>
      <w:proofErr w:type="spellStart"/>
      <w:r w:rsidRPr="00ED35A9">
        <w:rPr>
          <w:rFonts w:eastAsia="Calibri" w:cs="Times New Roman"/>
          <w:sz w:val="24"/>
          <w:szCs w:val="24"/>
          <w:lang w:val="uk-UA"/>
        </w:rPr>
        <w:t>Wang</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Wu</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Ma</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Chen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transportation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subsidies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living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allowances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among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migrants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Shanghai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China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West</w:t>
      </w:r>
      <w:proofErr w:type="spellEnd"/>
      <w:r w:rsidRPr="00ED35A9">
        <w:rPr>
          <w:rFonts w:eastAsia="Calibri" w:cs="Times New Roman"/>
          <w:i/>
          <w:sz w:val="24"/>
          <w:szCs w:val="24"/>
          <w:lang w:val="uk-UA"/>
        </w:rPr>
        <w:t xml:space="preserve"> Рас </w:t>
      </w:r>
      <w:proofErr w:type="spellStart"/>
      <w:r w:rsidRPr="00ED35A9">
        <w:rPr>
          <w:rFonts w:eastAsia="Calibri" w:cs="Times New Roman"/>
          <w:i/>
          <w:sz w:val="24"/>
          <w:szCs w:val="24"/>
          <w:lang w:val="uk-UA"/>
        </w:rPr>
        <w:t>Surveill</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Response</w:t>
      </w:r>
      <w:proofErr w:type="spellEnd"/>
      <w:r w:rsidRPr="00ED35A9">
        <w:rPr>
          <w:rFonts w:eastAsia="Calibri" w:cs="Times New Roman"/>
          <w:i/>
          <w:sz w:val="24"/>
          <w:szCs w:val="24"/>
          <w:lang w:val="uk-UA"/>
        </w:rPr>
        <w:t xml:space="preserve"> J</w:t>
      </w:r>
      <w:r w:rsidR="00545089" w:rsidRPr="00ED35A9">
        <w:rPr>
          <w:rFonts w:eastAsia="Calibri" w:cs="Times New Roman"/>
          <w:sz w:val="24"/>
          <w:szCs w:val="24"/>
          <w:lang w:val="uk-UA"/>
        </w:rPr>
        <w:t xml:space="preserve">, </w:t>
      </w:r>
      <w:r w:rsidRPr="00ED35A9">
        <w:rPr>
          <w:rFonts w:eastAsia="Calibri" w:cs="Times New Roman"/>
          <w:sz w:val="24"/>
          <w:szCs w:val="24"/>
          <w:lang w:val="uk-UA"/>
        </w:rPr>
        <w:t>2013</w:t>
      </w:r>
      <w:r w:rsidR="00545089" w:rsidRPr="00ED35A9">
        <w:rPr>
          <w:rFonts w:eastAsia="Calibri" w:cs="Times New Roman"/>
          <w:sz w:val="24"/>
          <w:szCs w:val="24"/>
          <w:lang w:val="uk-UA"/>
        </w:rPr>
        <w:t xml:space="preserve">, </w:t>
      </w:r>
      <w:r w:rsidRPr="00ED35A9">
        <w:rPr>
          <w:rFonts w:eastAsia="Calibri" w:cs="Times New Roman"/>
          <w:sz w:val="24"/>
          <w:szCs w:val="24"/>
          <w:lang w:val="uk-UA"/>
        </w:rPr>
        <w:t>4(1):</w:t>
      </w:r>
      <w:r w:rsidR="00545089" w:rsidRPr="00ED35A9">
        <w:rPr>
          <w:rFonts w:eastAsia="Calibri" w:cs="Times New Roman"/>
          <w:sz w:val="24"/>
          <w:szCs w:val="24"/>
          <w:lang w:val="uk-UA"/>
        </w:rPr>
        <w:t xml:space="preserve"> </w:t>
      </w:r>
      <w:r w:rsidRPr="00ED35A9">
        <w:rPr>
          <w:rFonts w:eastAsia="Calibri" w:cs="Times New Roman"/>
          <w:sz w:val="24"/>
          <w:szCs w:val="24"/>
          <w:lang w:val="uk-UA"/>
        </w:rPr>
        <w:t>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Wei</w:t>
      </w:r>
      <w:proofErr w:type="spellEnd"/>
      <w:r w:rsidRPr="00ED35A9">
        <w:rPr>
          <w:rFonts w:eastAsia="Calibri" w:cs="Times New Roman"/>
          <w:sz w:val="24"/>
          <w:szCs w:val="24"/>
          <w:lang w:val="uk-UA"/>
        </w:rPr>
        <w:t xml:space="preserve"> X, </w:t>
      </w:r>
      <w:proofErr w:type="spellStart"/>
      <w:r w:rsidRPr="00ED35A9">
        <w:rPr>
          <w:rFonts w:eastAsia="Calibri" w:cs="Times New Roman"/>
          <w:sz w:val="24"/>
          <w:szCs w:val="24"/>
          <w:lang w:val="uk-UA"/>
        </w:rPr>
        <w:t>Zou</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Yin</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Walley</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Yang</w:t>
      </w:r>
      <w:proofErr w:type="spellEnd"/>
      <w:r w:rsidRPr="00ED35A9">
        <w:rPr>
          <w:rFonts w:eastAsia="Calibri" w:cs="Times New Roman"/>
          <w:sz w:val="24"/>
          <w:szCs w:val="24"/>
          <w:lang w:val="uk-UA"/>
        </w:rPr>
        <w:t xml:space="preserve"> H, </w:t>
      </w:r>
      <w:proofErr w:type="spellStart"/>
      <w:r w:rsidRPr="00ED35A9">
        <w:rPr>
          <w:rFonts w:eastAsia="Calibri" w:cs="Times New Roman"/>
          <w:sz w:val="24"/>
          <w:szCs w:val="24"/>
          <w:lang w:val="uk-UA"/>
        </w:rPr>
        <w:t>Kliner</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Providing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financial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incentives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rural-to-urban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migrants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Shanghai</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Infect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Poverty</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1(1):</w:t>
      </w:r>
      <w:r w:rsidR="00545089" w:rsidRPr="00ED35A9">
        <w:rPr>
          <w:rFonts w:eastAsia="Calibri" w:cs="Times New Roman"/>
          <w:sz w:val="24"/>
          <w:szCs w:val="24"/>
          <w:lang w:val="uk-UA"/>
        </w:rPr>
        <w:t xml:space="preserve"> </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Cantalice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Filho</w:t>
      </w:r>
      <w:proofErr w:type="spellEnd"/>
      <w:r w:rsidRPr="00ED35A9">
        <w:rPr>
          <w:rFonts w:eastAsia="Calibri" w:cs="Times New Roman"/>
          <w:sz w:val="24"/>
          <w:szCs w:val="24"/>
          <w:lang w:val="uk-UA"/>
        </w:rPr>
        <w:t xml:space="preserve"> JR</w:t>
      </w:r>
      <w:r w:rsidR="0054508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baskets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given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at</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primary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clinic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Duque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Caxias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Brazil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outcomes</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Bras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Pneumol</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2009</w:t>
      </w:r>
      <w:r w:rsidR="00545089" w:rsidRPr="00ED35A9">
        <w:rPr>
          <w:rFonts w:eastAsia="Calibri" w:cs="Times New Roman"/>
          <w:sz w:val="24"/>
          <w:szCs w:val="24"/>
          <w:lang w:val="uk-UA"/>
        </w:rPr>
        <w:t xml:space="preserve">, </w:t>
      </w:r>
      <w:r w:rsidRPr="00ED35A9">
        <w:rPr>
          <w:rFonts w:eastAsia="Calibri" w:cs="Times New Roman"/>
          <w:sz w:val="24"/>
          <w:szCs w:val="24"/>
          <w:lang w:val="uk-UA"/>
        </w:rPr>
        <w:t>35(10):</w:t>
      </w:r>
      <w:r w:rsidR="00545089" w:rsidRPr="00ED35A9">
        <w:rPr>
          <w:rFonts w:eastAsia="Calibri" w:cs="Times New Roman"/>
          <w:sz w:val="24"/>
          <w:szCs w:val="24"/>
          <w:lang w:val="uk-UA"/>
        </w:rPr>
        <w:t xml:space="preserve"> </w:t>
      </w:r>
      <w:r w:rsidRPr="00ED35A9">
        <w:rPr>
          <w:rFonts w:eastAsia="Calibri" w:cs="Times New Roman"/>
          <w:sz w:val="24"/>
          <w:szCs w:val="24"/>
          <w:lang w:val="uk-UA"/>
        </w:rPr>
        <w:t>992</w:t>
      </w:r>
      <w:r w:rsidR="00545089" w:rsidRPr="00ED35A9">
        <w:rPr>
          <w:rFonts w:eastAsia="Calibri" w:cs="Times New Roman"/>
          <w:sz w:val="24"/>
          <w:szCs w:val="24"/>
          <w:lang w:val="uk-UA"/>
        </w:rPr>
        <w:t>–99</w:t>
      </w:r>
      <w:r w:rsidRPr="00ED35A9">
        <w:rPr>
          <w:rFonts w:eastAsia="Calibri" w:cs="Times New Roman"/>
          <w:sz w:val="24"/>
          <w:szCs w:val="24"/>
          <w:lang w:val="uk-UA"/>
        </w:rPr>
        <w:t>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Sripad</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Castedo</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Danford</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Zaha</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Freile</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Effects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Ecuador’s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monetary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incentive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2014</w:t>
      </w:r>
      <w:r w:rsidR="00545089" w:rsidRPr="00ED35A9">
        <w:rPr>
          <w:rFonts w:eastAsia="Calibri" w:cs="Times New Roman"/>
          <w:sz w:val="24"/>
          <w:szCs w:val="24"/>
          <w:lang w:val="uk-UA"/>
        </w:rPr>
        <w:t xml:space="preserve">, </w:t>
      </w:r>
      <w:r w:rsidRPr="00ED35A9">
        <w:rPr>
          <w:rFonts w:eastAsia="Calibri" w:cs="Times New Roman"/>
          <w:sz w:val="24"/>
          <w:szCs w:val="24"/>
          <w:lang w:val="uk-UA"/>
        </w:rPr>
        <w:t>18(</w:t>
      </w:r>
      <w:r w:rsidR="00545089" w:rsidRPr="00ED35A9">
        <w:rPr>
          <w:rFonts w:eastAsia="Calibri" w:cs="Times New Roman"/>
          <w:sz w:val="24"/>
          <w:szCs w:val="24"/>
          <w:lang w:val="uk-UA"/>
        </w:rPr>
        <w:t>1</w:t>
      </w:r>
      <w:r w:rsidRPr="00ED35A9">
        <w:rPr>
          <w:rFonts w:eastAsia="Calibri" w:cs="Times New Roman"/>
          <w:sz w:val="24"/>
          <w:szCs w:val="24"/>
          <w:lang w:val="uk-UA"/>
        </w:rPr>
        <w:t>):</w:t>
      </w:r>
      <w:r w:rsidR="00545089" w:rsidRPr="00ED35A9">
        <w:rPr>
          <w:rFonts w:eastAsia="Calibri" w:cs="Times New Roman"/>
          <w:sz w:val="24"/>
          <w:szCs w:val="24"/>
          <w:lang w:val="uk-UA"/>
        </w:rPr>
        <w:t xml:space="preserve"> </w:t>
      </w:r>
      <w:r w:rsidRPr="00ED35A9">
        <w:rPr>
          <w:rFonts w:eastAsia="Calibri" w:cs="Times New Roman"/>
          <w:sz w:val="24"/>
          <w:szCs w:val="24"/>
          <w:lang w:val="uk-UA"/>
        </w:rPr>
        <w:t>44</w:t>
      </w:r>
      <w:r w:rsidR="00545089" w:rsidRPr="00ED35A9">
        <w:rPr>
          <w:rFonts w:eastAsia="Calibri" w:cs="Times New Roman"/>
          <w:sz w:val="24"/>
          <w:szCs w:val="24"/>
          <w:lang w:val="uk-UA"/>
        </w:rPr>
        <w:t>–4</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Tsai</w:t>
      </w:r>
      <w:proofErr w:type="spellEnd"/>
      <w:r w:rsidRPr="00ED35A9">
        <w:rPr>
          <w:rFonts w:eastAsia="Calibri" w:cs="Times New Roman"/>
          <w:sz w:val="24"/>
          <w:szCs w:val="24"/>
          <w:lang w:val="uk-UA"/>
        </w:rPr>
        <w:t xml:space="preserve"> WC, </w:t>
      </w:r>
      <w:proofErr w:type="spellStart"/>
      <w:r w:rsidRPr="00ED35A9">
        <w:rPr>
          <w:rFonts w:eastAsia="Calibri" w:cs="Times New Roman"/>
          <w:sz w:val="24"/>
          <w:szCs w:val="24"/>
          <w:lang w:val="uk-UA"/>
        </w:rPr>
        <w:t>Kung</w:t>
      </w:r>
      <w:proofErr w:type="spellEnd"/>
      <w:r w:rsidRPr="00ED35A9">
        <w:rPr>
          <w:rFonts w:eastAsia="Calibri" w:cs="Times New Roman"/>
          <w:sz w:val="24"/>
          <w:szCs w:val="24"/>
          <w:lang w:val="uk-UA"/>
        </w:rPr>
        <w:t xml:space="preserve"> PT,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Campbell</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Yang</w:t>
      </w:r>
      <w:proofErr w:type="spellEnd"/>
      <w:r w:rsidRPr="00ED35A9">
        <w:rPr>
          <w:rFonts w:eastAsia="Calibri" w:cs="Times New Roman"/>
          <w:sz w:val="24"/>
          <w:szCs w:val="24"/>
          <w:lang w:val="uk-UA"/>
        </w:rPr>
        <w:t xml:space="preserve"> WT, </w:t>
      </w:r>
      <w:proofErr w:type="spellStart"/>
      <w:r w:rsidRPr="00ED35A9">
        <w:rPr>
          <w:rFonts w:eastAsia="Calibri" w:cs="Times New Roman"/>
          <w:sz w:val="24"/>
          <w:szCs w:val="24"/>
          <w:lang w:val="uk-UA"/>
        </w:rPr>
        <w:t>Lee</w:t>
      </w:r>
      <w:proofErr w:type="spellEnd"/>
      <w:r w:rsidRPr="00ED35A9">
        <w:rPr>
          <w:rFonts w:eastAsia="Calibri" w:cs="Times New Roman"/>
          <w:sz w:val="24"/>
          <w:szCs w:val="24"/>
          <w:lang w:val="uk-UA"/>
        </w:rPr>
        <w:t xml:space="preserve"> TF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pay-for-performance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system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cases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Taiwan</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J </w:t>
      </w:r>
      <w:proofErr w:type="spellStart"/>
      <w:r w:rsidRPr="00ED35A9">
        <w:rPr>
          <w:rFonts w:eastAsia="Calibri" w:cs="Times New Roman"/>
          <w:i/>
          <w:sz w:val="24"/>
          <w:szCs w:val="24"/>
          <w:lang w:val="uk-UA"/>
        </w:rPr>
        <w:t>Infect</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2010</w:t>
      </w:r>
      <w:r w:rsidR="00545089" w:rsidRPr="00ED35A9">
        <w:rPr>
          <w:rFonts w:eastAsia="Calibri" w:cs="Times New Roman"/>
          <w:sz w:val="24"/>
          <w:szCs w:val="24"/>
          <w:lang w:val="uk-UA"/>
        </w:rPr>
        <w:t xml:space="preserve">, </w:t>
      </w:r>
      <w:r w:rsidRPr="00ED35A9">
        <w:rPr>
          <w:rFonts w:eastAsia="Calibri" w:cs="Times New Roman"/>
          <w:sz w:val="24"/>
          <w:szCs w:val="24"/>
          <w:lang w:val="uk-UA"/>
        </w:rPr>
        <w:t>61(3):</w:t>
      </w:r>
      <w:r w:rsidR="00545089" w:rsidRPr="00ED35A9">
        <w:rPr>
          <w:rFonts w:eastAsia="Calibri" w:cs="Times New Roman"/>
          <w:sz w:val="24"/>
          <w:szCs w:val="24"/>
          <w:lang w:val="uk-UA"/>
        </w:rPr>
        <w:t xml:space="preserve"> </w:t>
      </w:r>
      <w:r w:rsidRPr="00ED35A9">
        <w:rPr>
          <w:rFonts w:eastAsia="Calibri" w:cs="Times New Roman"/>
          <w:sz w:val="24"/>
          <w:szCs w:val="24"/>
          <w:lang w:val="uk-UA"/>
        </w:rPr>
        <w:t>235</w:t>
      </w:r>
      <w:r w:rsidR="00545089" w:rsidRPr="00ED35A9">
        <w:rPr>
          <w:rFonts w:eastAsia="Calibri" w:cs="Times New Roman"/>
          <w:sz w:val="24"/>
          <w:szCs w:val="24"/>
          <w:lang w:val="uk-UA"/>
        </w:rPr>
        <w:t>–2</w:t>
      </w:r>
      <w:r w:rsidRPr="00ED35A9">
        <w:rPr>
          <w:rFonts w:eastAsia="Calibri" w:cs="Times New Roman"/>
          <w:sz w:val="24"/>
          <w:szCs w:val="24"/>
          <w:lang w:val="uk-UA"/>
        </w:rPr>
        <w:t>43.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Bock</w:t>
      </w:r>
      <w:proofErr w:type="spellEnd"/>
      <w:r w:rsidRPr="00ED35A9">
        <w:rPr>
          <w:rFonts w:eastAsia="Calibri" w:cs="Times New Roman"/>
          <w:sz w:val="24"/>
          <w:szCs w:val="24"/>
          <w:lang w:val="uk-UA"/>
        </w:rPr>
        <w:t xml:space="preserve"> NN, </w:t>
      </w:r>
      <w:proofErr w:type="spellStart"/>
      <w:r w:rsidRPr="00ED35A9">
        <w:rPr>
          <w:rFonts w:eastAsia="Calibri" w:cs="Times New Roman"/>
          <w:sz w:val="24"/>
          <w:szCs w:val="24"/>
          <w:lang w:val="uk-UA"/>
        </w:rPr>
        <w:t>Sales</w:t>
      </w:r>
      <w:proofErr w:type="spellEnd"/>
      <w:r w:rsidRPr="00ED35A9">
        <w:rPr>
          <w:rFonts w:eastAsia="Calibri" w:cs="Times New Roman"/>
          <w:sz w:val="24"/>
          <w:szCs w:val="24"/>
          <w:lang w:val="uk-UA"/>
        </w:rPr>
        <w:t xml:space="preserve"> RM, </w:t>
      </w:r>
      <w:proofErr w:type="spellStart"/>
      <w:r w:rsidRPr="00ED35A9">
        <w:rPr>
          <w:rFonts w:eastAsia="Calibri" w:cs="Times New Roman"/>
          <w:sz w:val="24"/>
          <w:szCs w:val="24"/>
          <w:lang w:val="uk-UA"/>
        </w:rPr>
        <w:t>Rogers</w:t>
      </w:r>
      <w:proofErr w:type="spellEnd"/>
      <w:r w:rsidRPr="00ED35A9">
        <w:rPr>
          <w:rFonts w:eastAsia="Calibri" w:cs="Times New Roman"/>
          <w:sz w:val="24"/>
          <w:szCs w:val="24"/>
          <w:lang w:val="uk-UA"/>
        </w:rPr>
        <w:t xml:space="preserve"> T, </w:t>
      </w:r>
      <w:proofErr w:type="spellStart"/>
      <w:r w:rsidRPr="00ED35A9">
        <w:rPr>
          <w:rFonts w:eastAsia="Calibri" w:cs="Times New Roman"/>
          <w:sz w:val="24"/>
          <w:szCs w:val="24"/>
          <w:lang w:val="uk-UA"/>
        </w:rPr>
        <w:t>DeVoe</w:t>
      </w:r>
      <w:proofErr w:type="spellEnd"/>
      <w:r w:rsidRPr="00ED35A9">
        <w:rPr>
          <w:rFonts w:eastAsia="Calibri" w:cs="Times New Roman"/>
          <w:sz w:val="24"/>
          <w:szCs w:val="24"/>
          <w:lang w:val="uk-UA"/>
        </w:rPr>
        <w:t xml:space="preserve"> B. A </w:t>
      </w:r>
      <w:proofErr w:type="spellStart"/>
      <w:r w:rsidRPr="00ED35A9">
        <w:rPr>
          <w:rFonts w:eastAsia="Calibri" w:cs="Times New Roman"/>
          <w:sz w:val="24"/>
          <w:szCs w:val="24"/>
          <w:lang w:val="uk-UA"/>
        </w:rPr>
        <w:t>spoonful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sugar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adherence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using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financial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incentives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2001</w:t>
      </w:r>
      <w:r w:rsidR="00545089" w:rsidRPr="00ED35A9">
        <w:rPr>
          <w:rFonts w:eastAsia="Calibri" w:cs="Times New Roman"/>
          <w:sz w:val="24"/>
          <w:szCs w:val="24"/>
          <w:lang w:val="uk-UA"/>
        </w:rPr>
        <w:t xml:space="preserve">, </w:t>
      </w:r>
      <w:r w:rsidRPr="00ED35A9">
        <w:rPr>
          <w:rFonts w:eastAsia="Calibri" w:cs="Times New Roman"/>
          <w:sz w:val="24"/>
          <w:szCs w:val="24"/>
          <w:lang w:val="uk-UA"/>
        </w:rPr>
        <w:t>5(</w:t>
      </w:r>
      <w:r w:rsidR="00545089" w:rsidRPr="00ED35A9">
        <w:rPr>
          <w:rFonts w:eastAsia="Calibri" w:cs="Times New Roman"/>
          <w:sz w:val="24"/>
          <w:szCs w:val="24"/>
          <w:lang w:val="uk-UA"/>
        </w:rPr>
        <w:t>1</w:t>
      </w:r>
      <w:r w:rsidRPr="00ED35A9">
        <w:rPr>
          <w:rFonts w:eastAsia="Calibri" w:cs="Times New Roman"/>
          <w:sz w:val="24"/>
          <w:szCs w:val="24"/>
          <w:lang w:val="uk-UA"/>
        </w:rPr>
        <w:t>):</w:t>
      </w:r>
      <w:r w:rsidR="00545089" w:rsidRPr="00ED35A9">
        <w:rPr>
          <w:rFonts w:eastAsia="Calibri" w:cs="Times New Roman"/>
          <w:sz w:val="24"/>
          <w:szCs w:val="24"/>
          <w:lang w:val="uk-UA"/>
        </w:rPr>
        <w:t xml:space="preserve"> </w:t>
      </w:r>
      <w:r w:rsidRPr="00ED35A9">
        <w:rPr>
          <w:rFonts w:eastAsia="Calibri" w:cs="Times New Roman"/>
          <w:sz w:val="24"/>
          <w:szCs w:val="24"/>
          <w:lang w:val="uk-UA"/>
        </w:rPr>
        <w:t>96</w:t>
      </w:r>
      <w:r w:rsidR="00545089" w:rsidRPr="00ED35A9">
        <w:rPr>
          <w:rFonts w:eastAsia="Calibri" w:cs="Times New Roman"/>
          <w:sz w:val="24"/>
          <w:szCs w:val="24"/>
          <w:lang w:val="uk-UA"/>
        </w:rPr>
        <w:t>–9</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Safdar</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Hinderaker</w:t>
      </w:r>
      <w:proofErr w:type="spellEnd"/>
      <w:r w:rsidRPr="00ED35A9">
        <w:rPr>
          <w:rFonts w:eastAsia="Calibri" w:cs="Times New Roman"/>
          <w:sz w:val="24"/>
          <w:szCs w:val="24"/>
          <w:lang w:val="uk-UA"/>
        </w:rPr>
        <w:t xml:space="preserve"> SG, </w:t>
      </w:r>
      <w:proofErr w:type="spellStart"/>
      <w:r w:rsidRPr="00ED35A9">
        <w:rPr>
          <w:rFonts w:eastAsia="Calibri" w:cs="Times New Roman"/>
          <w:sz w:val="24"/>
          <w:szCs w:val="24"/>
          <w:lang w:val="uk-UA"/>
        </w:rPr>
        <w:t>Baloch</w:t>
      </w:r>
      <w:proofErr w:type="spellEnd"/>
      <w:r w:rsidRPr="00ED35A9">
        <w:rPr>
          <w:rFonts w:eastAsia="Calibri" w:cs="Times New Roman"/>
          <w:sz w:val="24"/>
          <w:szCs w:val="24"/>
          <w:lang w:val="uk-UA"/>
        </w:rPr>
        <w:t xml:space="preserve"> NA, </w:t>
      </w:r>
      <w:proofErr w:type="spellStart"/>
      <w:r w:rsidRPr="00ED35A9">
        <w:rPr>
          <w:rFonts w:eastAsia="Calibri" w:cs="Times New Roman"/>
          <w:sz w:val="24"/>
          <w:szCs w:val="24"/>
          <w:lang w:val="uk-UA"/>
        </w:rPr>
        <w:t>Enarson</w:t>
      </w:r>
      <w:proofErr w:type="spellEnd"/>
      <w:r w:rsidRPr="00ED35A9">
        <w:rPr>
          <w:rFonts w:eastAsia="Calibri" w:cs="Times New Roman"/>
          <w:sz w:val="24"/>
          <w:szCs w:val="24"/>
          <w:lang w:val="uk-UA"/>
        </w:rPr>
        <w:t xml:space="preserve"> DA, </w:t>
      </w:r>
      <w:proofErr w:type="spellStart"/>
      <w:r w:rsidRPr="00ED35A9">
        <w:rPr>
          <w:rFonts w:eastAsia="Calibri" w:cs="Times New Roman"/>
          <w:sz w:val="24"/>
          <w:szCs w:val="24"/>
          <w:lang w:val="uk-UA"/>
        </w:rPr>
        <w:t>Khan</w:t>
      </w:r>
      <w:proofErr w:type="spellEnd"/>
      <w:r w:rsidRPr="00ED35A9">
        <w:rPr>
          <w:rFonts w:eastAsia="Calibri" w:cs="Times New Roman"/>
          <w:sz w:val="24"/>
          <w:szCs w:val="24"/>
          <w:lang w:val="uk-UA"/>
        </w:rPr>
        <w:t xml:space="preserve"> MA, </w:t>
      </w:r>
      <w:proofErr w:type="spellStart"/>
      <w:r w:rsidRPr="00ED35A9">
        <w:rPr>
          <w:rFonts w:eastAsia="Calibri" w:cs="Times New Roman"/>
          <w:sz w:val="24"/>
          <w:szCs w:val="24"/>
          <w:lang w:val="uk-UA"/>
        </w:rPr>
        <w:t>Morkve</w:t>
      </w:r>
      <w:proofErr w:type="spellEnd"/>
      <w:r w:rsidRPr="00ED35A9">
        <w:rPr>
          <w:rFonts w:eastAsia="Calibri" w:cs="Times New Roman"/>
          <w:sz w:val="24"/>
          <w:szCs w:val="24"/>
          <w:lang w:val="uk-UA"/>
        </w:rPr>
        <w:t xml:space="preserve"> O. </w:t>
      </w:r>
      <w:proofErr w:type="spellStart"/>
      <w:r w:rsidRPr="00ED35A9">
        <w:rPr>
          <w:rFonts w:eastAsia="Calibri" w:cs="Times New Roman"/>
          <w:sz w:val="24"/>
          <w:szCs w:val="24"/>
          <w:lang w:val="uk-UA"/>
        </w:rPr>
        <w:t>Childhood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deskguide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monitoring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improve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case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management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Pakistan</w:t>
      </w:r>
      <w:proofErr w:type="spellEnd"/>
      <w:r w:rsidRPr="00ED35A9">
        <w:rPr>
          <w:rFonts w:eastAsia="Calibri" w:cs="Times New Roman"/>
          <w:sz w:val="24"/>
          <w:szCs w:val="24"/>
          <w:lang w:val="uk-UA"/>
        </w:rPr>
        <w:t xml:space="preserve">. </w:t>
      </w:r>
      <w:r w:rsidRPr="00ED35A9">
        <w:rPr>
          <w:rFonts w:eastAsia="Calibri" w:cs="Times New Roman"/>
          <w:i/>
          <w:sz w:val="24"/>
          <w:szCs w:val="24"/>
          <w:lang w:val="uk-UA"/>
        </w:rPr>
        <w:t xml:space="preserve">BMC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Serv</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Res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2011</w:t>
      </w:r>
      <w:r w:rsidR="00545089" w:rsidRPr="00ED35A9">
        <w:rPr>
          <w:rFonts w:eastAsia="Calibri" w:cs="Times New Roman"/>
          <w:sz w:val="24"/>
          <w:szCs w:val="24"/>
          <w:lang w:val="uk-UA"/>
        </w:rPr>
        <w:t xml:space="preserve">, </w:t>
      </w:r>
      <w:r w:rsidRPr="00ED35A9">
        <w:rPr>
          <w:rFonts w:eastAsia="Calibri" w:cs="Times New Roman"/>
          <w:sz w:val="24"/>
          <w:szCs w:val="24"/>
          <w:lang w:val="uk-UA"/>
        </w:rPr>
        <w:t>11(1):</w:t>
      </w:r>
      <w:r w:rsidR="00545089" w:rsidRPr="00ED35A9">
        <w:rPr>
          <w:rFonts w:eastAsia="Calibri" w:cs="Times New Roman"/>
          <w:sz w:val="24"/>
          <w:szCs w:val="24"/>
          <w:lang w:val="uk-UA"/>
        </w:rPr>
        <w:t xml:space="preserve"> </w:t>
      </w:r>
      <w:r w:rsidRPr="00ED35A9">
        <w:rPr>
          <w:rFonts w:eastAsia="Calibri" w:cs="Times New Roman"/>
          <w:sz w:val="24"/>
          <w:szCs w:val="24"/>
          <w:lang w:val="uk-UA"/>
        </w:rPr>
        <w:t>187.</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Shin</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Livchits</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Connery</w:t>
      </w:r>
      <w:proofErr w:type="spellEnd"/>
      <w:r w:rsidRPr="00ED35A9">
        <w:rPr>
          <w:rFonts w:eastAsia="Calibri" w:cs="Times New Roman"/>
          <w:sz w:val="24"/>
          <w:szCs w:val="24"/>
          <w:lang w:val="uk-UA"/>
        </w:rPr>
        <w:t xml:space="preserve"> HS, </w:t>
      </w:r>
      <w:proofErr w:type="spellStart"/>
      <w:r w:rsidRPr="00ED35A9">
        <w:rPr>
          <w:rFonts w:eastAsia="Calibri" w:cs="Times New Roman"/>
          <w:sz w:val="24"/>
          <w:szCs w:val="24"/>
          <w:lang w:val="uk-UA"/>
        </w:rPr>
        <w:t>Shields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Yanov</w:t>
      </w:r>
      <w:proofErr w:type="spellEnd"/>
      <w:r w:rsidRPr="00ED35A9">
        <w:rPr>
          <w:rFonts w:eastAsia="Calibri" w:cs="Times New Roman"/>
          <w:sz w:val="24"/>
          <w:szCs w:val="24"/>
          <w:lang w:val="uk-UA"/>
        </w:rPr>
        <w:t xml:space="preserve"> S, </w:t>
      </w:r>
      <w:proofErr w:type="spellStart"/>
      <w:r w:rsidRPr="00ED35A9">
        <w:rPr>
          <w:rFonts w:eastAsia="Calibri" w:cs="Times New Roman"/>
          <w:sz w:val="24"/>
          <w:szCs w:val="24"/>
          <w:lang w:val="uk-UA"/>
        </w:rPr>
        <w:t>Yanova</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alcohol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interventions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integrated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into</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routine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Tomsk</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Russia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Addiction</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2013</w:t>
      </w:r>
      <w:r w:rsidR="00545089" w:rsidRPr="00ED35A9">
        <w:rPr>
          <w:rFonts w:eastAsia="Calibri" w:cs="Times New Roman"/>
          <w:sz w:val="24"/>
          <w:szCs w:val="24"/>
          <w:lang w:val="uk-UA"/>
        </w:rPr>
        <w:t xml:space="preserve">, </w:t>
      </w:r>
      <w:r w:rsidRPr="00ED35A9">
        <w:rPr>
          <w:rFonts w:eastAsia="Calibri" w:cs="Times New Roman"/>
          <w:sz w:val="24"/>
          <w:szCs w:val="24"/>
          <w:lang w:val="uk-UA"/>
        </w:rPr>
        <w:t>108(8):</w:t>
      </w:r>
      <w:r w:rsidR="00545089" w:rsidRPr="00ED35A9">
        <w:rPr>
          <w:rFonts w:eastAsia="Calibri" w:cs="Times New Roman"/>
          <w:sz w:val="24"/>
          <w:szCs w:val="24"/>
          <w:lang w:val="uk-UA"/>
        </w:rPr>
        <w:t xml:space="preserve"> </w:t>
      </w:r>
      <w:r w:rsidRPr="00ED35A9">
        <w:rPr>
          <w:rFonts w:eastAsia="Calibri" w:cs="Times New Roman"/>
          <w:sz w:val="24"/>
          <w:szCs w:val="24"/>
          <w:lang w:val="uk-UA"/>
        </w:rPr>
        <w:t>1387</w:t>
      </w:r>
      <w:r w:rsidR="00545089" w:rsidRPr="00ED35A9">
        <w:rPr>
          <w:rFonts w:eastAsia="Calibri" w:cs="Times New Roman"/>
          <w:sz w:val="24"/>
          <w:szCs w:val="24"/>
          <w:lang w:val="uk-UA"/>
        </w:rPr>
        <w:t>–13</w:t>
      </w:r>
      <w:r w:rsidRPr="00ED35A9">
        <w:rPr>
          <w:rFonts w:eastAsia="Calibri" w:cs="Times New Roman"/>
          <w:sz w:val="24"/>
          <w:szCs w:val="24"/>
          <w:lang w:val="uk-UA"/>
        </w:rPr>
        <w:t>96.</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Floyd</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Hutubessy</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Kliiman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Centis</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Khurieva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Jakobowiak</w:t>
      </w:r>
      <w:proofErr w:type="spellEnd"/>
      <w:r w:rsidRPr="00ED35A9">
        <w:rPr>
          <w:rFonts w:eastAsia="Calibri" w:cs="Times New Roman"/>
          <w:sz w:val="24"/>
          <w:szCs w:val="24"/>
          <w:lang w:val="uk-UA"/>
        </w:rPr>
        <w:t xml:space="preserve"> W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Estonia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Russia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Eur</w:t>
      </w:r>
      <w:proofErr w:type="spellEnd"/>
      <w:r w:rsidR="00545089" w:rsidRPr="00ED35A9">
        <w:rPr>
          <w:rFonts w:eastAsia="Calibri" w:cs="Times New Roman"/>
          <w:i/>
          <w:sz w:val="24"/>
          <w:szCs w:val="24"/>
          <w:lang w:val="uk-UA"/>
        </w:rPr>
        <w:t> </w:t>
      </w:r>
      <w:proofErr w:type="spellStart"/>
      <w:r w:rsidRPr="00ED35A9">
        <w:rPr>
          <w:rFonts w:eastAsia="Calibri" w:cs="Times New Roman"/>
          <w:i/>
          <w:sz w:val="24"/>
          <w:szCs w:val="24"/>
          <w:lang w:val="uk-UA"/>
        </w:rPr>
        <w:t>Respir</w:t>
      </w:r>
      <w:proofErr w:type="spellEnd"/>
      <w:r w:rsidRPr="00ED35A9">
        <w:rPr>
          <w:rFonts w:eastAsia="Calibri" w:cs="Times New Roman"/>
          <w:i/>
          <w:sz w:val="24"/>
          <w:szCs w:val="24"/>
          <w:lang w:val="uk-UA"/>
        </w:rPr>
        <w:t xml:space="preserve"> J</w:t>
      </w:r>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40(</w:t>
      </w:r>
      <w:r w:rsidR="00545089" w:rsidRPr="00ED35A9">
        <w:rPr>
          <w:rFonts w:eastAsia="Calibri" w:cs="Times New Roman"/>
          <w:sz w:val="24"/>
          <w:szCs w:val="24"/>
          <w:lang w:val="uk-UA"/>
        </w:rPr>
        <w:t>1</w:t>
      </w:r>
      <w:r w:rsidRPr="00ED35A9">
        <w:rPr>
          <w:rFonts w:eastAsia="Calibri" w:cs="Times New Roman"/>
          <w:sz w:val="24"/>
          <w:szCs w:val="24"/>
          <w:lang w:val="uk-UA"/>
        </w:rPr>
        <w:t>):</w:t>
      </w:r>
      <w:r w:rsidR="00545089" w:rsidRPr="00ED35A9">
        <w:rPr>
          <w:rFonts w:eastAsia="Calibri" w:cs="Times New Roman"/>
          <w:sz w:val="24"/>
          <w:szCs w:val="24"/>
          <w:lang w:val="uk-UA"/>
        </w:rPr>
        <w:t xml:space="preserve"> </w:t>
      </w:r>
      <w:r w:rsidRPr="00ED35A9">
        <w:rPr>
          <w:rFonts w:eastAsia="Calibri" w:cs="Times New Roman"/>
          <w:sz w:val="24"/>
          <w:szCs w:val="24"/>
          <w:lang w:val="uk-UA"/>
        </w:rPr>
        <w:t>133</w:t>
      </w:r>
      <w:r w:rsidR="00545089" w:rsidRPr="00ED35A9">
        <w:rPr>
          <w:rFonts w:eastAsia="Calibri" w:cs="Times New Roman"/>
          <w:sz w:val="24"/>
          <w:szCs w:val="24"/>
          <w:lang w:val="uk-UA"/>
        </w:rPr>
        <w:t>–1</w:t>
      </w:r>
      <w:r w:rsidRPr="00ED35A9">
        <w:rPr>
          <w:rFonts w:eastAsia="Calibri" w:cs="Times New Roman"/>
          <w:sz w:val="24"/>
          <w:szCs w:val="24"/>
          <w:lang w:val="uk-UA"/>
        </w:rPr>
        <w:t>42.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Suarez</w:t>
      </w:r>
      <w:proofErr w:type="spellEnd"/>
      <w:r w:rsidRPr="00ED35A9">
        <w:rPr>
          <w:rFonts w:eastAsia="Calibri" w:cs="Times New Roman"/>
          <w:sz w:val="24"/>
          <w:szCs w:val="24"/>
          <w:lang w:val="uk-UA"/>
        </w:rPr>
        <w:t xml:space="preserve"> PG, </w:t>
      </w:r>
      <w:proofErr w:type="spellStart"/>
      <w:r w:rsidRPr="00ED35A9">
        <w:rPr>
          <w:rFonts w:eastAsia="Calibri" w:cs="Times New Roman"/>
          <w:sz w:val="24"/>
          <w:szCs w:val="24"/>
          <w:lang w:val="uk-UA"/>
        </w:rPr>
        <w:t>Floyd</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Portocarrero</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Alarcon</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Rapiti</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Ramos</w:t>
      </w:r>
      <w:proofErr w:type="spellEnd"/>
      <w:r w:rsidRPr="00ED35A9">
        <w:rPr>
          <w:rFonts w:eastAsia="Calibri" w:cs="Times New Roman"/>
          <w:sz w:val="24"/>
          <w:szCs w:val="24"/>
          <w:lang w:val="uk-UA"/>
        </w:rPr>
        <w:t xml:space="preserve"> G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Feasibility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standardised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second-line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chronic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national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Peru</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Lancet</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2002</w:t>
      </w:r>
      <w:r w:rsidR="00545089" w:rsidRPr="00ED35A9">
        <w:rPr>
          <w:rFonts w:eastAsia="Calibri" w:cs="Times New Roman"/>
          <w:sz w:val="24"/>
          <w:szCs w:val="24"/>
          <w:lang w:val="uk-UA"/>
        </w:rPr>
        <w:t xml:space="preserve">, </w:t>
      </w:r>
      <w:r w:rsidRPr="00ED35A9">
        <w:rPr>
          <w:rFonts w:eastAsia="Calibri" w:cs="Times New Roman"/>
          <w:sz w:val="24"/>
          <w:szCs w:val="24"/>
          <w:lang w:val="uk-UA"/>
        </w:rPr>
        <w:t>359(9322):</w:t>
      </w:r>
      <w:r w:rsidR="00545089" w:rsidRPr="00ED35A9">
        <w:rPr>
          <w:rFonts w:eastAsia="Calibri" w:cs="Times New Roman"/>
          <w:sz w:val="24"/>
          <w:szCs w:val="24"/>
          <w:lang w:val="uk-UA"/>
        </w:rPr>
        <w:t xml:space="preserve"> </w:t>
      </w:r>
      <w:r w:rsidRPr="00ED35A9">
        <w:rPr>
          <w:rFonts w:eastAsia="Calibri" w:cs="Times New Roman"/>
          <w:sz w:val="24"/>
          <w:szCs w:val="24"/>
          <w:lang w:val="uk-UA"/>
        </w:rPr>
        <w:t>1980</w:t>
      </w:r>
      <w:r w:rsidR="00545089" w:rsidRPr="00ED35A9">
        <w:rPr>
          <w:rFonts w:eastAsia="Calibri" w:cs="Times New Roman"/>
          <w:sz w:val="24"/>
          <w:szCs w:val="24"/>
          <w:lang w:val="uk-UA"/>
        </w:rPr>
        <w:t>–198</w:t>
      </w:r>
      <w:r w:rsidRPr="00ED35A9">
        <w:rPr>
          <w:rFonts w:eastAsia="Calibri" w:cs="Times New Roman"/>
          <w:sz w:val="24"/>
          <w:szCs w:val="24"/>
          <w:lang w:val="uk-UA"/>
        </w:rPr>
        <w:t>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Tupasi</w:t>
      </w:r>
      <w:proofErr w:type="spellEnd"/>
      <w:r w:rsidRPr="00ED35A9">
        <w:rPr>
          <w:rFonts w:eastAsia="Calibri" w:cs="Times New Roman"/>
          <w:sz w:val="24"/>
          <w:szCs w:val="24"/>
          <w:lang w:val="uk-UA"/>
        </w:rPr>
        <w:t xml:space="preserve"> ТЕ, </w:t>
      </w:r>
      <w:proofErr w:type="spellStart"/>
      <w:r w:rsidRPr="00ED35A9">
        <w:rPr>
          <w:rFonts w:eastAsia="Calibri" w:cs="Times New Roman"/>
          <w:sz w:val="24"/>
          <w:szCs w:val="24"/>
          <w:lang w:val="uk-UA"/>
        </w:rPr>
        <w:t>Gupta</w:t>
      </w:r>
      <w:proofErr w:type="spellEnd"/>
      <w:r w:rsidRPr="00ED35A9">
        <w:rPr>
          <w:rFonts w:eastAsia="Calibri" w:cs="Times New Roman"/>
          <w:sz w:val="24"/>
          <w:szCs w:val="24"/>
          <w:lang w:val="uk-UA"/>
        </w:rPr>
        <w:t xml:space="preserve"> R, </w:t>
      </w:r>
      <w:proofErr w:type="spellStart"/>
      <w:r w:rsidRPr="00ED35A9">
        <w:rPr>
          <w:rFonts w:eastAsia="Calibri" w:cs="Times New Roman"/>
          <w:sz w:val="24"/>
          <w:szCs w:val="24"/>
          <w:lang w:val="uk-UA"/>
        </w:rPr>
        <w:t>Quelapio</w:t>
      </w:r>
      <w:proofErr w:type="spellEnd"/>
      <w:r w:rsidRPr="00ED35A9">
        <w:rPr>
          <w:rFonts w:eastAsia="Calibri" w:cs="Times New Roman"/>
          <w:sz w:val="24"/>
          <w:szCs w:val="24"/>
          <w:lang w:val="uk-UA"/>
        </w:rPr>
        <w:t xml:space="preserve"> MID, </w:t>
      </w:r>
      <w:proofErr w:type="spellStart"/>
      <w:r w:rsidRPr="00ED35A9">
        <w:rPr>
          <w:rFonts w:eastAsia="Calibri" w:cs="Times New Roman"/>
          <w:sz w:val="24"/>
          <w:szCs w:val="24"/>
          <w:lang w:val="uk-UA"/>
        </w:rPr>
        <w:t>Orillaza</w:t>
      </w:r>
      <w:proofErr w:type="spellEnd"/>
      <w:r w:rsidRPr="00ED35A9">
        <w:rPr>
          <w:rFonts w:eastAsia="Calibri" w:cs="Times New Roman"/>
          <w:sz w:val="24"/>
          <w:szCs w:val="24"/>
          <w:lang w:val="uk-UA"/>
        </w:rPr>
        <w:t xml:space="preserve"> RB, </w:t>
      </w:r>
      <w:proofErr w:type="spellStart"/>
      <w:r w:rsidRPr="00ED35A9">
        <w:rPr>
          <w:rFonts w:eastAsia="Calibri" w:cs="Times New Roman"/>
          <w:sz w:val="24"/>
          <w:szCs w:val="24"/>
          <w:lang w:val="uk-UA"/>
        </w:rPr>
        <w:t>Mira</w:t>
      </w:r>
      <w:proofErr w:type="spellEnd"/>
      <w:r w:rsidRPr="00ED35A9">
        <w:rPr>
          <w:rFonts w:eastAsia="Calibri" w:cs="Times New Roman"/>
          <w:sz w:val="24"/>
          <w:szCs w:val="24"/>
          <w:lang w:val="uk-UA"/>
        </w:rPr>
        <w:t xml:space="preserve"> NR, </w:t>
      </w:r>
      <w:proofErr w:type="spellStart"/>
      <w:r w:rsidRPr="00ED35A9">
        <w:rPr>
          <w:rFonts w:eastAsia="Calibri" w:cs="Times New Roman"/>
          <w:sz w:val="24"/>
          <w:szCs w:val="24"/>
          <w:lang w:val="uk-UA"/>
        </w:rPr>
        <w:t>Mangubat</w:t>
      </w:r>
      <w:proofErr w:type="spellEnd"/>
      <w:r w:rsidRPr="00ED35A9">
        <w:rPr>
          <w:rFonts w:eastAsia="Calibri" w:cs="Times New Roman"/>
          <w:sz w:val="24"/>
          <w:szCs w:val="24"/>
          <w:lang w:val="uk-UA"/>
        </w:rPr>
        <w:t xml:space="preserve"> NV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Feasibility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cohort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study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Philippines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PLoS</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2006</w:t>
      </w:r>
      <w:r w:rsidR="00545089" w:rsidRPr="00ED35A9">
        <w:rPr>
          <w:rFonts w:eastAsia="Calibri" w:cs="Times New Roman"/>
          <w:sz w:val="24"/>
          <w:szCs w:val="24"/>
          <w:lang w:val="uk-UA"/>
        </w:rPr>
        <w:t xml:space="preserve">, </w:t>
      </w:r>
      <w:r w:rsidRPr="00ED35A9">
        <w:rPr>
          <w:rFonts w:eastAsia="Calibri" w:cs="Times New Roman"/>
          <w:sz w:val="24"/>
          <w:szCs w:val="24"/>
          <w:lang w:val="uk-UA"/>
        </w:rPr>
        <w:t>3(9):</w:t>
      </w:r>
      <w:r w:rsidR="00545089" w:rsidRPr="00ED35A9">
        <w:rPr>
          <w:rFonts w:eastAsia="Calibri" w:cs="Times New Roman"/>
          <w:sz w:val="24"/>
          <w:szCs w:val="24"/>
          <w:lang w:val="uk-UA"/>
        </w:rPr>
        <w:t xml:space="preserve"> </w:t>
      </w:r>
      <w:r w:rsidRPr="00ED35A9">
        <w:rPr>
          <w:rFonts w:eastAsia="Calibri" w:cs="Times New Roman"/>
          <w:sz w:val="24"/>
          <w:szCs w:val="24"/>
          <w:lang w:val="uk-UA"/>
        </w:rPr>
        <w:t>e352.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Fitzpatrick</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Floyd</w:t>
      </w:r>
      <w:proofErr w:type="spellEnd"/>
      <w:r w:rsidRPr="00ED35A9">
        <w:rPr>
          <w:rFonts w:eastAsia="Calibri" w:cs="Times New Roman"/>
          <w:sz w:val="24"/>
          <w:szCs w:val="24"/>
          <w:lang w:val="uk-UA"/>
        </w:rPr>
        <w:t xml:space="preserve"> K. A </w:t>
      </w:r>
      <w:proofErr w:type="spellStart"/>
      <w:r w:rsidRPr="00ED35A9">
        <w:rPr>
          <w:rFonts w:eastAsia="Calibri" w:cs="Times New Roman"/>
          <w:sz w:val="24"/>
          <w:szCs w:val="24"/>
          <w:lang w:val="uk-UA"/>
        </w:rPr>
        <w:t>systematic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effectiveness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Pharmacoeconomics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30(</w:t>
      </w:r>
      <w:r w:rsidR="00545089" w:rsidRPr="00ED35A9">
        <w:rPr>
          <w:rFonts w:eastAsia="Calibri" w:cs="Times New Roman"/>
          <w:sz w:val="24"/>
          <w:szCs w:val="24"/>
          <w:lang w:val="uk-UA"/>
        </w:rPr>
        <w:t>1</w:t>
      </w:r>
      <w:r w:rsidRPr="00ED35A9">
        <w:rPr>
          <w:rFonts w:eastAsia="Calibri" w:cs="Times New Roman"/>
          <w:sz w:val="24"/>
          <w:szCs w:val="24"/>
          <w:lang w:val="uk-UA"/>
        </w:rPr>
        <w:t>):</w:t>
      </w:r>
      <w:r w:rsidR="00545089" w:rsidRPr="00ED35A9">
        <w:rPr>
          <w:rFonts w:eastAsia="Calibri" w:cs="Times New Roman"/>
          <w:sz w:val="24"/>
          <w:szCs w:val="24"/>
          <w:lang w:val="uk-UA"/>
        </w:rPr>
        <w:t xml:space="preserve"> </w:t>
      </w:r>
      <w:r w:rsidRPr="00ED35A9">
        <w:rPr>
          <w:rFonts w:eastAsia="Calibri" w:cs="Times New Roman"/>
          <w:sz w:val="24"/>
          <w:szCs w:val="24"/>
          <w:lang w:val="uk-UA"/>
        </w:rPr>
        <w:t>63</w:t>
      </w:r>
      <w:r w:rsidR="00545089" w:rsidRPr="00ED35A9">
        <w:rPr>
          <w:rFonts w:eastAsia="Calibri" w:cs="Times New Roman"/>
          <w:sz w:val="24"/>
          <w:szCs w:val="24"/>
          <w:lang w:val="uk-UA"/>
        </w:rPr>
        <w:t>–</w:t>
      </w:r>
      <w:r w:rsidRPr="00ED35A9">
        <w:rPr>
          <w:rFonts w:eastAsia="Calibri" w:cs="Times New Roman"/>
          <w:sz w:val="24"/>
          <w:szCs w:val="24"/>
          <w:lang w:val="uk-UA"/>
        </w:rPr>
        <w:t xml:space="preserve">80. </w:t>
      </w:r>
      <w:proofErr w:type="spellStart"/>
      <w:r w:rsidRPr="00ED35A9">
        <w:rPr>
          <w:rFonts w:eastAsia="Calibri" w:cs="Times New Roman"/>
          <w:sz w:val="24"/>
          <w:szCs w:val="24"/>
          <w:lang w:val="uk-UA"/>
        </w:rPr>
        <w:t>Erratum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Pharmacoeconomics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30(1):</w:t>
      </w:r>
      <w:r w:rsidR="00545089" w:rsidRPr="00ED35A9">
        <w:rPr>
          <w:rFonts w:eastAsia="Calibri" w:cs="Times New Roman"/>
          <w:sz w:val="24"/>
          <w:szCs w:val="24"/>
          <w:lang w:val="uk-UA"/>
        </w:rPr>
        <w:t xml:space="preserve"> </w:t>
      </w:r>
      <w:r w:rsidRPr="00ED35A9">
        <w:rPr>
          <w:rFonts w:eastAsia="Calibri" w:cs="Times New Roman"/>
          <w:sz w:val="24"/>
          <w:szCs w:val="24"/>
          <w:lang w:val="uk-UA"/>
        </w:rPr>
        <w:t>81.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End</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Global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strategy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targets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prevention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after</w:t>
      </w:r>
      <w:proofErr w:type="spellEnd"/>
      <w:r w:rsidRPr="00ED35A9">
        <w:rPr>
          <w:rFonts w:eastAsia="Calibri" w:cs="Times New Roman"/>
          <w:sz w:val="24"/>
          <w:szCs w:val="24"/>
          <w:lang w:val="uk-UA"/>
        </w:rPr>
        <w:t xml:space="preserve"> 2015. </w:t>
      </w:r>
      <w:proofErr w:type="spellStart"/>
      <w:r w:rsidRPr="00ED35A9">
        <w:rPr>
          <w:rFonts w:eastAsia="Calibri" w:cs="Times New Roman"/>
          <w:sz w:val="24"/>
          <w:szCs w:val="24"/>
          <w:lang w:val="uk-UA"/>
        </w:rPr>
        <w:t>Geneva</w:t>
      </w:r>
      <w:proofErr w:type="spellEnd"/>
      <w:r w:rsidR="005450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2014 (</w:t>
      </w:r>
      <w:hyperlink r:id="rId47" w:history="1">
        <w:r w:rsidRPr="00ED35A9">
          <w:rPr>
            <w:rFonts w:eastAsia="Calibri" w:cs="Times New Roman"/>
            <w:sz w:val="24"/>
            <w:szCs w:val="24"/>
            <w:lang w:val="uk-UA"/>
          </w:rPr>
          <w:t>http://www.who.int/tb/strategy/en/</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15 </w:t>
      </w:r>
      <w:proofErr w:type="spellStart"/>
      <w:r w:rsidRPr="00ED35A9">
        <w:rPr>
          <w:rFonts w:eastAsia="Calibri" w:cs="Times New Roman"/>
          <w:sz w:val="24"/>
          <w:szCs w:val="24"/>
          <w:lang w:val="uk-UA"/>
        </w:rPr>
        <w:t>February</w:t>
      </w:r>
      <w:proofErr w:type="spellEnd"/>
      <w:r w:rsidRPr="00ED35A9">
        <w:rPr>
          <w:rFonts w:eastAsia="Calibri" w:cs="Times New Roman"/>
          <w:sz w:val="24"/>
          <w:szCs w:val="24"/>
          <w:lang w:val="uk-UA"/>
        </w:rPr>
        <w:t xml:space="preserve"> 2019).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Сох</w:t>
      </w:r>
      <w:proofErr w:type="spellEnd"/>
      <w:r w:rsidRPr="00ED35A9">
        <w:rPr>
          <w:rFonts w:eastAsia="Calibri" w:cs="Times New Roman"/>
          <w:sz w:val="24"/>
          <w:szCs w:val="24"/>
          <w:lang w:val="uk-UA"/>
        </w:rPr>
        <w:t xml:space="preserve"> Н, </w:t>
      </w:r>
      <w:proofErr w:type="spellStart"/>
      <w:r w:rsidRPr="00ED35A9">
        <w:rPr>
          <w:rFonts w:eastAsia="Calibri" w:cs="Times New Roman"/>
          <w:sz w:val="24"/>
          <w:szCs w:val="24"/>
          <w:lang w:val="uk-UA"/>
        </w:rPr>
        <w:t>Hughes</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Daniels</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Azevedo</w:t>
      </w:r>
      <w:proofErr w:type="spellEnd"/>
      <w:r w:rsidRPr="00ED35A9">
        <w:rPr>
          <w:rFonts w:eastAsia="Calibri" w:cs="Times New Roman"/>
          <w:sz w:val="24"/>
          <w:szCs w:val="24"/>
          <w:lang w:val="uk-UA"/>
        </w:rPr>
        <w:t xml:space="preserve"> V, </w:t>
      </w:r>
      <w:proofErr w:type="spellStart"/>
      <w:r w:rsidRPr="00ED35A9">
        <w:rPr>
          <w:rFonts w:eastAsia="Calibri" w:cs="Times New Roman"/>
          <w:sz w:val="24"/>
          <w:szCs w:val="24"/>
          <w:lang w:val="uk-UA"/>
        </w:rPr>
        <w:t>McDermid</w:t>
      </w:r>
      <w:proofErr w:type="spellEnd"/>
      <w:r w:rsidRPr="00ED35A9">
        <w:rPr>
          <w:rFonts w:eastAsia="Calibri" w:cs="Times New Roman"/>
          <w:sz w:val="24"/>
          <w:szCs w:val="24"/>
          <w:lang w:val="uk-UA"/>
        </w:rPr>
        <w:t xml:space="preserve"> C, </w:t>
      </w:r>
      <w:proofErr w:type="spellStart"/>
      <w:r w:rsidRPr="00ED35A9">
        <w:rPr>
          <w:rFonts w:eastAsia="Calibri" w:cs="Times New Roman"/>
          <w:sz w:val="24"/>
          <w:szCs w:val="24"/>
          <w:lang w:val="uk-UA"/>
        </w:rPr>
        <w:t>Poolman</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Khayelitsha</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2014</w:t>
      </w:r>
      <w:r w:rsidR="00545089" w:rsidRPr="00ED35A9">
        <w:rPr>
          <w:rFonts w:eastAsia="Calibri" w:cs="Times New Roman"/>
          <w:sz w:val="24"/>
          <w:szCs w:val="24"/>
          <w:lang w:val="uk-UA"/>
        </w:rPr>
        <w:t xml:space="preserve">, </w:t>
      </w:r>
      <w:r w:rsidRPr="00ED35A9">
        <w:rPr>
          <w:rFonts w:eastAsia="Calibri" w:cs="Times New Roman"/>
          <w:sz w:val="24"/>
          <w:szCs w:val="24"/>
          <w:lang w:val="uk-UA"/>
        </w:rPr>
        <w:t>18(4):</w:t>
      </w:r>
      <w:r w:rsidR="00545089" w:rsidRPr="00ED35A9">
        <w:rPr>
          <w:rFonts w:eastAsia="Calibri" w:cs="Times New Roman"/>
          <w:sz w:val="24"/>
          <w:szCs w:val="24"/>
          <w:lang w:val="uk-UA"/>
        </w:rPr>
        <w:t xml:space="preserve"> </w:t>
      </w:r>
      <w:r w:rsidRPr="00ED35A9">
        <w:rPr>
          <w:rFonts w:eastAsia="Calibri" w:cs="Times New Roman"/>
          <w:sz w:val="24"/>
          <w:szCs w:val="24"/>
          <w:lang w:val="uk-UA"/>
        </w:rPr>
        <w:t>441</w:t>
      </w:r>
      <w:r w:rsidR="00545089" w:rsidRPr="00ED35A9">
        <w:rPr>
          <w:rFonts w:eastAsia="Calibri" w:cs="Times New Roman"/>
          <w:sz w:val="24"/>
          <w:szCs w:val="24"/>
          <w:lang w:val="uk-UA"/>
        </w:rPr>
        <w:t>–44</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lastRenderedPageBreak/>
        <w:t>Gler</w:t>
      </w:r>
      <w:proofErr w:type="spellEnd"/>
      <w:r w:rsidRPr="00ED35A9">
        <w:rPr>
          <w:rFonts w:eastAsia="Calibri" w:cs="Times New Roman"/>
          <w:sz w:val="24"/>
          <w:szCs w:val="24"/>
          <w:lang w:val="uk-UA"/>
        </w:rPr>
        <w:t xml:space="preserve"> MT, </w:t>
      </w:r>
      <w:proofErr w:type="spellStart"/>
      <w:r w:rsidRPr="00ED35A9">
        <w:rPr>
          <w:rFonts w:eastAsia="Calibri" w:cs="Times New Roman"/>
          <w:sz w:val="24"/>
          <w:szCs w:val="24"/>
          <w:lang w:val="uk-UA"/>
        </w:rPr>
        <w:t>Podewils</w:t>
      </w:r>
      <w:proofErr w:type="spellEnd"/>
      <w:r w:rsidRPr="00ED35A9">
        <w:rPr>
          <w:rFonts w:eastAsia="Calibri" w:cs="Times New Roman"/>
          <w:sz w:val="24"/>
          <w:szCs w:val="24"/>
          <w:lang w:val="uk-UA"/>
        </w:rPr>
        <w:t xml:space="preserve"> LJ, </w:t>
      </w:r>
      <w:proofErr w:type="spellStart"/>
      <w:r w:rsidRPr="00ED35A9">
        <w:rPr>
          <w:rFonts w:eastAsia="Calibri" w:cs="Times New Roman"/>
          <w:sz w:val="24"/>
          <w:szCs w:val="24"/>
          <w:lang w:val="uk-UA"/>
        </w:rPr>
        <w:t>Munez</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Galipot</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Quelapio</w:t>
      </w:r>
      <w:proofErr w:type="spellEnd"/>
      <w:r w:rsidRPr="00ED35A9">
        <w:rPr>
          <w:rFonts w:eastAsia="Calibri" w:cs="Times New Roman"/>
          <w:sz w:val="24"/>
          <w:szCs w:val="24"/>
          <w:lang w:val="uk-UA"/>
        </w:rPr>
        <w:t xml:space="preserve"> MID, </w:t>
      </w:r>
      <w:proofErr w:type="spellStart"/>
      <w:r w:rsidRPr="00ED35A9">
        <w:rPr>
          <w:rFonts w:eastAsia="Calibri" w:cs="Times New Roman"/>
          <w:sz w:val="24"/>
          <w:szCs w:val="24"/>
          <w:lang w:val="uk-UA"/>
        </w:rPr>
        <w:t>Tupasi</w:t>
      </w:r>
      <w:proofErr w:type="spellEnd"/>
      <w:r w:rsidRPr="00ED35A9">
        <w:rPr>
          <w:rFonts w:eastAsia="Calibri" w:cs="Times New Roman"/>
          <w:sz w:val="24"/>
          <w:szCs w:val="24"/>
          <w:lang w:val="uk-UA"/>
        </w:rPr>
        <w:t xml:space="preserve"> ТЕ.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patient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program</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factors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default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during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2012</w:t>
      </w:r>
      <w:r w:rsidR="00545089" w:rsidRPr="00ED35A9">
        <w:rPr>
          <w:rFonts w:eastAsia="Calibri" w:cs="Times New Roman"/>
          <w:sz w:val="24"/>
          <w:szCs w:val="24"/>
          <w:lang w:val="uk-UA"/>
        </w:rPr>
        <w:t xml:space="preserve">, </w:t>
      </w:r>
      <w:r w:rsidRPr="00ED35A9">
        <w:rPr>
          <w:rFonts w:eastAsia="Calibri" w:cs="Times New Roman"/>
          <w:sz w:val="24"/>
          <w:szCs w:val="24"/>
          <w:lang w:val="uk-UA"/>
        </w:rPr>
        <w:t>16(7):</w:t>
      </w:r>
      <w:r w:rsidR="00545089" w:rsidRPr="00ED35A9">
        <w:rPr>
          <w:rFonts w:eastAsia="Calibri" w:cs="Times New Roman"/>
          <w:sz w:val="24"/>
          <w:szCs w:val="24"/>
          <w:lang w:val="uk-UA"/>
        </w:rPr>
        <w:t xml:space="preserve"> </w:t>
      </w:r>
      <w:r w:rsidRPr="00ED35A9">
        <w:rPr>
          <w:rFonts w:eastAsia="Calibri" w:cs="Times New Roman"/>
          <w:sz w:val="24"/>
          <w:szCs w:val="24"/>
          <w:lang w:val="uk-UA"/>
        </w:rPr>
        <w:t>955</w:t>
      </w:r>
      <w:r w:rsidR="00545089" w:rsidRPr="00ED35A9">
        <w:rPr>
          <w:rFonts w:eastAsia="Calibri" w:cs="Times New Roman"/>
          <w:sz w:val="24"/>
          <w:szCs w:val="24"/>
          <w:lang w:val="uk-UA"/>
        </w:rPr>
        <w:t>–9</w:t>
      </w:r>
      <w:r w:rsidRPr="00ED35A9">
        <w:rPr>
          <w:rFonts w:eastAsia="Calibri" w:cs="Times New Roman"/>
          <w:sz w:val="24"/>
          <w:szCs w:val="24"/>
          <w:lang w:val="uk-UA"/>
        </w:rPr>
        <w:t>60.</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Loveday</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Wallengren</w:t>
      </w:r>
      <w:proofErr w:type="spellEnd"/>
      <w:r w:rsidRPr="00ED35A9">
        <w:rPr>
          <w:rFonts w:eastAsia="Calibri" w:cs="Times New Roman"/>
          <w:sz w:val="24"/>
          <w:szCs w:val="24"/>
          <w:lang w:val="uk-UA"/>
        </w:rPr>
        <w:t xml:space="preserve"> K, </w:t>
      </w:r>
      <w:proofErr w:type="spellStart"/>
      <w:r w:rsidRPr="00ED35A9">
        <w:rPr>
          <w:rFonts w:eastAsia="Calibri" w:cs="Times New Roman"/>
          <w:sz w:val="24"/>
          <w:szCs w:val="24"/>
          <w:lang w:val="uk-UA"/>
        </w:rPr>
        <w:t>Brust</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Roberts</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Voce</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Margot</w:t>
      </w:r>
      <w:proofErr w:type="spellEnd"/>
      <w:r w:rsidRPr="00ED35A9">
        <w:rPr>
          <w:rFonts w:eastAsia="Calibri" w:cs="Times New Roman"/>
          <w:sz w:val="24"/>
          <w:szCs w:val="24"/>
          <w:lang w:val="uk-UA"/>
        </w:rPr>
        <w:t xml:space="preserve"> В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Community-based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vs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centralised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hospitalisation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patients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KwaZulu-Natal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2015</w:t>
      </w:r>
      <w:r w:rsidR="00545089" w:rsidRPr="00ED35A9">
        <w:rPr>
          <w:rFonts w:eastAsia="Calibri" w:cs="Times New Roman"/>
          <w:sz w:val="24"/>
          <w:szCs w:val="24"/>
          <w:lang w:val="uk-UA"/>
        </w:rPr>
        <w:t xml:space="preserve">, </w:t>
      </w:r>
      <w:r w:rsidRPr="00ED35A9">
        <w:rPr>
          <w:rFonts w:eastAsia="Calibri" w:cs="Times New Roman"/>
          <w:sz w:val="24"/>
          <w:szCs w:val="24"/>
          <w:lang w:val="uk-UA"/>
        </w:rPr>
        <w:t>19(2):</w:t>
      </w:r>
      <w:r w:rsidR="00545089" w:rsidRPr="00ED35A9">
        <w:rPr>
          <w:rFonts w:eastAsia="Calibri" w:cs="Times New Roman"/>
          <w:sz w:val="24"/>
          <w:szCs w:val="24"/>
          <w:lang w:val="uk-UA"/>
        </w:rPr>
        <w:t xml:space="preserve"> </w:t>
      </w:r>
      <w:r w:rsidRPr="00ED35A9">
        <w:rPr>
          <w:rFonts w:eastAsia="Calibri" w:cs="Times New Roman"/>
          <w:sz w:val="24"/>
          <w:szCs w:val="24"/>
          <w:lang w:val="uk-UA"/>
        </w:rPr>
        <w:t>163</w:t>
      </w:r>
      <w:r w:rsidR="00545089" w:rsidRPr="00ED35A9">
        <w:rPr>
          <w:rFonts w:eastAsia="Calibri" w:cs="Times New Roman"/>
          <w:sz w:val="24"/>
          <w:szCs w:val="24"/>
          <w:lang w:val="uk-UA"/>
        </w:rPr>
        <w:t>–1</w:t>
      </w:r>
      <w:r w:rsidRPr="00ED35A9">
        <w:rPr>
          <w:rFonts w:eastAsia="Calibri" w:cs="Times New Roman"/>
          <w:sz w:val="24"/>
          <w:szCs w:val="24"/>
          <w:lang w:val="uk-UA"/>
        </w:rPr>
        <w:t>71.</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Musa</w:t>
      </w:r>
      <w:proofErr w:type="spellEnd"/>
      <w:r w:rsidRPr="00ED35A9">
        <w:rPr>
          <w:rFonts w:eastAsia="Calibri" w:cs="Times New Roman"/>
          <w:sz w:val="24"/>
          <w:szCs w:val="24"/>
          <w:lang w:val="uk-UA"/>
        </w:rPr>
        <w:t xml:space="preserve"> BM, </w:t>
      </w:r>
      <w:proofErr w:type="spellStart"/>
      <w:r w:rsidRPr="00ED35A9">
        <w:rPr>
          <w:rFonts w:eastAsia="Calibri" w:cs="Times New Roman"/>
          <w:sz w:val="24"/>
          <w:szCs w:val="24"/>
          <w:lang w:val="uk-UA"/>
        </w:rPr>
        <w:t>John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Habib</w:t>
      </w:r>
      <w:proofErr w:type="spellEnd"/>
      <w:r w:rsidRPr="00ED35A9">
        <w:rPr>
          <w:rFonts w:eastAsia="Calibri" w:cs="Times New Roman"/>
          <w:sz w:val="24"/>
          <w:szCs w:val="24"/>
          <w:lang w:val="uk-UA"/>
        </w:rPr>
        <w:t xml:space="preserve"> AG, </w:t>
      </w:r>
      <w:proofErr w:type="spellStart"/>
      <w:r w:rsidRPr="00ED35A9">
        <w:rPr>
          <w:rFonts w:eastAsia="Calibri" w:cs="Times New Roman"/>
          <w:sz w:val="24"/>
          <w:szCs w:val="24"/>
          <w:lang w:val="uk-UA"/>
        </w:rPr>
        <w:t>Kuznik</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Cost-optimization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Nigeria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Trop</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Med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2016</w:t>
      </w:r>
      <w:r w:rsidR="00545089" w:rsidRPr="00ED35A9">
        <w:rPr>
          <w:rFonts w:eastAsia="Calibri" w:cs="Times New Roman"/>
          <w:sz w:val="24"/>
          <w:szCs w:val="24"/>
          <w:lang w:val="uk-UA"/>
        </w:rPr>
        <w:t xml:space="preserve">, </w:t>
      </w:r>
      <w:r w:rsidRPr="00ED35A9">
        <w:rPr>
          <w:rFonts w:eastAsia="Calibri" w:cs="Times New Roman"/>
          <w:sz w:val="24"/>
          <w:szCs w:val="24"/>
          <w:lang w:val="uk-UA"/>
        </w:rPr>
        <w:t>21(2):</w:t>
      </w:r>
      <w:r w:rsidR="00545089" w:rsidRPr="00ED35A9">
        <w:rPr>
          <w:rFonts w:eastAsia="Calibri" w:cs="Times New Roman"/>
          <w:sz w:val="24"/>
          <w:szCs w:val="24"/>
          <w:lang w:val="uk-UA"/>
        </w:rPr>
        <w:t xml:space="preserve"> </w:t>
      </w:r>
      <w:r w:rsidRPr="00ED35A9">
        <w:rPr>
          <w:rFonts w:eastAsia="Calibri" w:cs="Times New Roman"/>
          <w:sz w:val="24"/>
          <w:szCs w:val="24"/>
          <w:lang w:val="uk-UA"/>
        </w:rPr>
        <w:t>176</w:t>
      </w:r>
      <w:r w:rsidR="00545089" w:rsidRPr="00ED35A9">
        <w:rPr>
          <w:rFonts w:eastAsia="Calibri" w:cs="Times New Roman"/>
          <w:sz w:val="24"/>
          <w:szCs w:val="24"/>
          <w:lang w:val="uk-UA"/>
        </w:rPr>
        <w:t>–1</w:t>
      </w:r>
      <w:r w:rsidRPr="00ED35A9">
        <w:rPr>
          <w:rFonts w:eastAsia="Calibri" w:cs="Times New Roman"/>
          <w:sz w:val="24"/>
          <w:szCs w:val="24"/>
          <w:lang w:val="uk-UA"/>
        </w:rPr>
        <w:t>82.</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Sinanovic</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Ramma</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Vassall</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Azevedo</w:t>
      </w:r>
      <w:proofErr w:type="spellEnd"/>
      <w:r w:rsidRPr="00ED35A9">
        <w:rPr>
          <w:rFonts w:eastAsia="Calibri" w:cs="Times New Roman"/>
          <w:sz w:val="24"/>
          <w:szCs w:val="24"/>
          <w:lang w:val="uk-UA"/>
        </w:rPr>
        <w:t xml:space="preserve"> V</w:t>
      </w:r>
      <w:r w:rsidR="0054508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Wilkinson</w:t>
      </w:r>
      <w:proofErr w:type="spellEnd"/>
      <w:r w:rsidRPr="00ED35A9">
        <w:rPr>
          <w:rFonts w:eastAsia="Calibri" w:cs="Times New Roman"/>
          <w:sz w:val="24"/>
          <w:szCs w:val="24"/>
          <w:lang w:val="uk-UA"/>
        </w:rPr>
        <w:t xml:space="preserve"> L, </w:t>
      </w:r>
      <w:proofErr w:type="spellStart"/>
      <w:r w:rsidRPr="00ED35A9">
        <w:rPr>
          <w:rFonts w:eastAsia="Calibri" w:cs="Times New Roman"/>
          <w:sz w:val="24"/>
          <w:szCs w:val="24"/>
          <w:lang w:val="uk-UA"/>
        </w:rPr>
        <w:t>Ndjeka</w:t>
      </w:r>
      <w:proofErr w:type="spellEnd"/>
      <w:r w:rsidRPr="00ED35A9">
        <w:rPr>
          <w:rFonts w:eastAsia="Calibri" w:cs="Times New Roman"/>
          <w:sz w:val="24"/>
          <w:szCs w:val="24"/>
          <w:lang w:val="uk-UA"/>
        </w:rPr>
        <w:t xml:space="preserve"> N </w:t>
      </w:r>
      <w:proofErr w:type="spellStart"/>
      <w:r w:rsidRPr="00ED35A9">
        <w:rPr>
          <w:rFonts w:eastAsia="Calibri" w:cs="Times New Roman"/>
          <w:sz w:val="24"/>
          <w:szCs w:val="24"/>
          <w:lang w:val="uk-UA"/>
        </w:rPr>
        <w:t>et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Impact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reduced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hospitalisation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cost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South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Africa</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Int</w:t>
      </w:r>
      <w:proofErr w:type="spellEnd"/>
      <w:r w:rsidRPr="00ED35A9">
        <w:rPr>
          <w:rFonts w:eastAsia="Calibri" w:cs="Times New Roman"/>
          <w:i/>
          <w:sz w:val="24"/>
          <w:szCs w:val="24"/>
          <w:lang w:val="uk-UA"/>
        </w:rPr>
        <w:t xml:space="preserve"> J </w:t>
      </w:r>
      <w:proofErr w:type="spellStart"/>
      <w:r w:rsidRPr="00ED35A9">
        <w:rPr>
          <w:rFonts w:eastAsia="Calibri" w:cs="Times New Roman"/>
          <w:i/>
          <w:sz w:val="24"/>
          <w:szCs w:val="24"/>
          <w:lang w:val="uk-UA"/>
        </w:rPr>
        <w:t>Tuberc</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Lung</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Dis</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2015</w:t>
      </w:r>
      <w:r w:rsidR="00545089" w:rsidRPr="00ED35A9">
        <w:rPr>
          <w:rFonts w:eastAsia="Calibri" w:cs="Times New Roman"/>
          <w:sz w:val="24"/>
          <w:szCs w:val="24"/>
          <w:lang w:val="uk-UA"/>
        </w:rPr>
        <w:t xml:space="preserve">, </w:t>
      </w:r>
      <w:r w:rsidRPr="00ED35A9">
        <w:rPr>
          <w:rFonts w:eastAsia="Calibri" w:cs="Times New Roman"/>
          <w:sz w:val="24"/>
          <w:szCs w:val="24"/>
          <w:lang w:val="uk-UA"/>
        </w:rPr>
        <w:t>19(2):</w:t>
      </w:r>
      <w:r w:rsidR="00545089" w:rsidRPr="00ED35A9">
        <w:rPr>
          <w:rFonts w:eastAsia="Calibri" w:cs="Times New Roman"/>
          <w:sz w:val="24"/>
          <w:szCs w:val="24"/>
          <w:lang w:val="uk-UA"/>
        </w:rPr>
        <w:t xml:space="preserve"> </w:t>
      </w:r>
      <w:r w:rsidRPr="00ED35A9">
        <w:rPr>
          <w:rFonts w:eastAsia="Calibri" w:cs="Times New Roman"/>
          <w:sz w:val="24"/>
          <w:szCs w:val="24"/>
          <w:lang w:val="uk-UA"/>
        </w:rPr>
        <w:t>172</w:t>
      </w:r>
      <w:r w:rsidR="00545089" w:rsidRPr="00ED35A9">
        <w:rPr>
          <w:rFonts w:eastAsia="Calibri" w:cs="Times New Roman"/>
          <w:sz w:val="24"/>
          <w:szCs w:val="24"/>
          <w:lang w:val="uk-UA"/>
        </w:rPr>
        <w:t>–17</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Narita</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Alonso</w:t>
      </w:r>
      <w:proofErr w:type="spellEnd"/>
      <w:r w:rsidRPr="00ED35A9">
        <w:rPr>
          <w:rFonts w:eastAsia="Calibri" w:cs="Times New Roman"/>
          <w:sz w:val="24"/>
          <w:szCs w:val="24"/>
          <w:lang w:val="uk-UA"/>
        </w:rPr>
        <w:t xml:space="preserve"> R</w:t>
      </w:r>
      <w:r w:rsidR="00545089" w:rsidRPr="00ED35A9">
        <w:rPr>
          <w:rFonts w:eastAsia="Calibri" w:cs="Times New Roman"/>
          <w:sz w:val="24"/>
          <w:szCs w:val="24"/>
          <w:lang w:val="uk-UA"/>
        </w:rPr>
        <w:t>,</w:t>
      </w:r>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Lauzardo</w:t>
      </w:r>
      <w:proofErr w:type="spellEnd"/>
      <w:r w:rsidRPr="00ED35A9">
        <w:rPr>
          <w:rFonts w:eastAsia="Calibri" w:cs="Times New Roman"/>
          <w:sz w:val="24"/>
          <w:szCs w:val="24"/>
          <w:lang w:val="uk-UA"/>
        </w:rPr>
        <w:t xml:space="preserve"> M, </w:t>
      </w:r>
      <w:proofErr w:type="spellStart"/>
      <w:r w:rsidRPr="00ED35A9">
        <w:rPr>
          <w:rFonts w:eastAsia="Calibri" w:cs="Times New Roman"/>
          <w:sz w:val="24"/>
          <w:szCs w:val="24"/>
          <w:lang w:val="uk-UA"/>
        </w:rPr>
        <w:t>Hollender</w:t>
      </w:r>
      <w:proofErr w:type="spellEnd"/>
      <w:r w:rsidRPr="00ED35A9">
        <w:rPr>
          <w:rFonts w:eastAsia="Calibri" w:cs="Times New Roman"/>
          <w:sz w:val="24"/>
          <w:szCs w:val="24"/>
          <w:lang w:val="uk-UA"/>
        </w:rPr>
        <w:t xml:space="preserve"> ES, </w:t>
      </w:r>
      <w:proofErr w:type="spellStart"/>
      <w:r w:rsidRPr="00ED35A9">
        <w:rPr>
          <w:rFonts w:eastAsia="Calibri" w:cs="Times New Roman"/>
          <w:sz w:val="24"/>
          <w:szCs w:val="24"/>
          <w:lang w:val="uk-UA"/>
        </w:rPr>
        <w:t>Pitchenik</w:t>
      </w:r>
      <w:proofErr w:type="spellEnd"/>
      <w:r w:rsidRPr="00ED35A9">
        <w:rPr>
          <w:rFonts w:eastAsia="Calibri" w:cs="Times New Roman"/>
          <w:sz w:val="24"/>
          <w:szCs w:val="24"/>
          <w:lang w:val="uk-UA"/>
        </w:rPr>
        <w:t xml:space="preserve"> AE, </w:t>
      </w:r>
      <w:proofErr w:type="spellStart"/>
      <w:r w:rsidRPr="00ED35A9">
        <w:rPr>
          <w:rFonts w:eastAsia="Calibri" w:cs="Times New Roman"/>
          <w:sz w:val="24"/>
          <w:szCs w:val="24"/>
          <w:lang w:val="uk-UA"/>
        </w:rPr>
        <w:t>Ashkin</w:t>
      </w:r>
      <w:proofErr w:type="spellEnd"/>
      <w:r w:rsidRPr="00ED35A9">
        <w:rPr>
          <w:rFonts w:eastAsia="Calibri" w:cs="Times New Roman"/>
          <w:sz w:val="24"/>
          <w:szCs w:val="24"/>
          <w:lang w:val="uk-UA"/>
        </w:rPr>
        <w:t xml:space="preserve"> D.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experience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Florida</w:t>
      </w:r>
      <w:proofErr w:type="spellEnd"/>
      <w:r w:rsidRPr="00ED35A9">
        <w:rPr>
          <w:rFonts w:eastAsia="Calibri" w:cs="Times New Roman"/>
          <w:sz w:val="24"/>
          <w:szCs w:val="24"/>
          <w:lang w:val="uk-UA"/>
        </w:rPr>
        <w:t>, 1994</w:t>
      </w:r>
      <w:r w:rsidR="00545089" w:rsidRPr="00ED35A9">
        <w:rPr>
          <w:rFonts w:eastAsia="Calibri" w:cs="Times New Roman"/>
          <w:sz w:val="24"/>
          <w:szCs w:val="24"/>
          <w:lang w:val="uk-UA"/>
        </w:rPr>
        <w:t>–</w:t>
      </w:r>
      <w:r w:rsidRPr="00ED35A9">
        <w:rPr>
          <w:rFonts w:eastAsia="Calibri" w:cs="Times New Roman"/>
          <w:sz w:val="24"/>
          <w:szCs w:val="24"/>
          <w:lang w:val="uk-UA"/>
        </w:rPr>
        <w:t xml:space="preserve">1997. </w:t>
      </w:r>
      <w:proofErr w:type="spellStart"/>
      <w:r w:rsidRPr="00ED35A9">
        <w:rPr>
          <w:rFonts w:eastAsia="Calibri" w:cs="Times New Roman"/>
          <w:i/>
          <w:sz w:val="24"/>
          <w:szCs w:val="24"/>
          <w:lang w:val="uk-UA"/>
        </w:rPr>
        <w:t>Chest</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2001</w:t>
      </w:r>
      <w:r w:rsidR="00545089" w:rsidRPr="00ED35A9">
        <w:rPr>
          <w:rFonts w:eastAsia="Calibri" w:cs="Times New Roman"/>
          <w:sz w:val="24"/>
          <w:szCs w:val="24"/>
          <w:lang w:val="uk-UA"/>
        </w:rPr>
        <w:t xml:space="preserve">, </w:t>
      </w:r>
      <w:r w:rsidRPr="00ED35A9">
        <w:rPr>
          <w:rFonts w:eastAsia="Calibri" w:cs="Times New Roman"/>
          <w:sz w:val="24"/>
          <w:szCs w:val="24"/>
          <w:lang w:val="uk-UA"/>
        </w:rPr>
        <w:t>120(2):</w:t>
      </w:r>
      <w:r w:rsidR="00545089" w:rsidRPr="00ED35A9">
        <w:rPr>
          <w:rFonts w:eastAsia="Calibri" w:cs="Times New Roman"/>
          <w:sz w:val="24"/>
          <w:szCs w:val="24"/>
          <w:lang w:val="uk-UA"/>
        </w:rPr>
        <w:t xml:space="preserve"> </w:t>
      </w:r>
      <w:r w:rsidRPr="00ED35A9">
        <w:rPr>
          <w:rFonts w:eastAsia="Calibri" w:cs="Times New Roman"/>
          <w:sz w:val="24"/>
          <w:szCs w:val="24"/>
          <w:lang w:val="uk-UA"/>
        </w:rPr>
        <w:t>343</w:t>
      </w:r>
      <w:r w:rsidR="00545089" w:rsidRPr="00ED35A9">
        <w:rPr>
          <w:rFonts w:eastAsia="Calibri" w:cs="Times New Roman"/>
          <w:sz w:val="24"/>
          <w:szCs w:val="24"/>
          <w:lang w:val="uk-UA"/>
        </w:rPr>
        <w:t>–34</w:t>
      </w:r>
      <w:r w:rsidRPr="00ED35A9">
        <w:rPr>
          <w:rFonts w:eastAsia="Calibri" w:cs="Times New Roman"/>
          <w:sz w:val="24"/>
          <w:szCs w:val="24"/>
          <w:lang w:val="uk-UA"/>
        </w:rPr>
        <w:t>8.</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Ho</w:t>
      </w:r>
      <w:proofErr w:type="spellEnd"/>
      <w:r w:rsidRPr="00ED35A9">
        <w:rPr>
          <w:rFonts w:eastAsia="Calibri" w:cs="Times New Roman"/>
          <w:sz w:val="24"/>
          <w:szCs w:val="24"/>
          <w:lang w:val="uk-UA"/>
        </w:rPr>
        <w:t xml:space="preserve"> J, </w:t>
      </w:r>
      <w:proofErr w:type="spellStart"/>
      <w:r w:rsidRPr="00ED35A9">
        <w:rPr>
          <w:rFonts w:eastAsia="Calibri" w:cs="Times New Roman"/>
          <w:sz w:val="24"/>
          <w:szCs w:val="24"/>
          <w:lang w:val="uk-UA"/>
        </w:rPr>
        <w:t>Byrne</w:t>
      </w:r>
      <w:proofErr w:type="spellEnd"/>
      <w:r w:rsidRPr="00ED35A9">
        <w:rPr>
          <w:rFonts w:eastAsia="Calibri" w:cs="Times New Roman"/>
          <w:sz w:val="24"/>
          <w:szCs w:val="24"/>
          <w:lang w:val="uk-UA"/>
        </w:rPr>
        <w:t xml:space="preserve"> AL, </w:t>
      </w:r>
      <w:proofErr w:type="spellStart"/>
      <w:r w:rsidRPr="00ED35A9">
        <w:rPr>
          <w:rFonts w:eastAsia="Calibri" w:cs="Times New Roman"/>
          <w:sz w:val="24"/>
          <w:szCs w:val="24"/>
          <w:lang w:val="uk-UA"/>
        </w:rPr>
        <w:t>Linh</w:t>
      </w:r>
      <w:proofErr w:type="spellEnd"/>
      <w:r w:rsidRPr="00ED35A9">
        <w:rPr>
          <w:rFonts w:eastAsia="Calibri" w:cs="Times New Roman"/>
          <w:sz w:val="24"/>
          <w:szCs w:val="24"/>
          <w:lang w:val="uk-UA"/>
        </w:rPr>
        <w:t xml:space="preserve"> NN, </w:t>
      </w:r>
      <w:proofErr w:type="spellStart"/>
      <w:r w:rsidRPr="00ED35A9">
        <w:rPr>
          <w:rFonts w:eastAsia="Calibri" w:cs="Times New Roman"/>
          <w:sz w:val="24"/>
          <w:szCs w:val="24"/>
          <w:lang w:val="uk-UA"/>
        </w:rPr>
        <w:t>Jaramillo</w:t>
      </w:r>
      <w:proofErr w:type="spellEnd"/>
      <w:r w:rsidRPr="00ED35A9">
        <w:rPr>
          <w:rFonts w:eastAsia="Calibri" w:cs="Times New Roman"/>
          <w:sz w:val="24"/>
          <w:szCs w:val="24"/>
          <w:lang w:val="uk-UA"/>
        </w:rPr>
        <w:t xml:space="preserve"> E, </w:t>
      </w:r>
      <w:proofErr w:type="spellStart"/>
      <w:r w:rsidRPr="00ED35A9">
        <w:rPr>
          <w:rFonts w:eastAsia="Calibri" w:cs="Times New Roman"/>
          <w:sz w:val="24"/>
          <w:szCs w:val="24"/>
          <w:lang w:val="uk-UA"/>
        </w:rPr>
        <w:t>Fox</w:t>
      </w:r>
      <w:proofErr w:type="spellEnd"/>
      <w:r w:rsidRPr="00ED35A9">
        <w:rPr>
          <w:rFonts w:eastAsia="Calibri" w:cs="Times New Roman"/>
          <w:sz w:val="24"/>
          <w:szCs w:val="24"/>
          <w:lang w:val="uk-UA"/>
        </w:rPr>
        <w:t xml:space="preserve"> GJ. </w:t>
      </w:r>
      <w:proofErr w:type="spellStart"/>
      <w:r w:rsidRPr="00ED35A9">
        <w:rPr>
          <w:rFonts w:eastAsia="Calibri" w:cs="Times New Roman"/>
          <w:sz w:val="24"/>
          <w:szCs w:val="24"/>
          <w:lang w:val="uk-UA"/>
        </w:rPr>
        <w:t>Decentralized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multidrug-resistant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tuberculosis</w:t>
      </w:r>
      <w:proofErr w:type="spellEnd"/>
      <w:r w:rsidRPr="00ED35A9">
        <w:rPr>
          <w:rFonts w:eastAsia="Calibri" w:cs="Times New Roman"/>
          <w:sz w:val="24"/>
          <w:szCs w:val="24"/>
          <w:lang w:val="uk-UA"/>
        </w:rPr>
        <w:t xml:space="preserve">: a </w:t>
      </w:r>
      <w:proofErr w:type="spellStart"/>
      <w:r w:rsidRPr="00ED35A9">
        <w:rPr>
          <w:rFonts w:eastAsia="Calibri" w:cs="Times New Roman"/>
          <w:sz w:val="24"/>
          <w:szCs w:val="24"/>
          <w:lang w:val="uk-UA"/>
        </w:rPr>
        <w:t>systematic</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review</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meta-analysis</w:t>
      </w:r>
      <w:proofErr w:type="spellEnd"/>
      <w:r w:rsidRPr="00ED35A9">
        <w:rPr>
          <w:rFonts w:eastAsia="Calibri" w:cs="Times New Roman"/>
          <w:sz w:val="24"/>
          <w:szCs w:val="24"/>
          <w:lang w:val="uk-UA"/>
        </w:rPr>
        <w:t xml:space="preserve">. </w:t>
      </w:r>
      <w:proofErr w:type="spellStart"/>
      <w:r w:rsidRPr="00ED35A9">
        <w:rPr>
          <w:rFonts w:eastAsia="Calibri" w:cs="Times New Roman"/>
          <w:i/>
          <w:sz w:val="24"/>
          <w:szCs w:val="24"/>
          <w:lang w:val="uk-UA"/>
        </w:rPr>
        <w:t>Bull</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World</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Health</w:t>
      </w:r>
      <w:proofErr w:type="spellEnd"/>
      <w:r w:rsidRPr="00ED35A9">
        <w:rPr>
          <w:rFonts w:eastAsia="Calibri" w:cs="Times New Roman"/>
          <w:i/>
          <w:sz w:val="24"/>
          <w:szCs w:val="24"/>
          <w:lang w:val="uk-UA"/>
        </w:rPr>
        <w:t xml:space="preserve"> </w:t>
      </w:r>
      <w:proofErr w:type="spellStart"/>
      <w:r w:rsidRPr="00ED35A9">
        <w:rPr>
          <w:rFonts w:eastAsia="Calibri" w:cs="Times New Roman"/>
          <w:i/>
          <w:sz w:val="24"/>
          <w:szCs w:val="24"/>
          <w:lang w:val="uk-UA"/>
        </w:rPr>
        <w:t>Organ</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2017</w:t>
      </w:r>
      <w:r w:rsidR="00545089" w:rsidRPr="00ED35A9">
        <w:rPr>
          <w:rFonts w:eastAsia="Calibri" w:cs="Times New Roman"/>
          <w:sz w:val="24"/>
          <w:szCs w:val="24"/>
          <w:lang w:val="uk-UA"/>
        </w:rPr>
        <w:t xml:space="preserve">, </w:t>
      </w:r>
      <w:r w:rsidRPr="00ED35A9">
        <w:rPr>
          <w:rFonts w:eastAsia="Calibri" w:cs="Times New Roman"/>
          <w:sz w:val="24"/>
          <w:szCs w:val="24"/>
          <w:lang w:val="uk-UA"/>
        </w:rPr>
        <w:t>95(8):</w:t>
      </w:r>
      <w:r w:rsidR="00545089" w:rsidRPr="00ED35A9">
        <w:rPr>
          <w:rFonts w:eastAsia="Calibri" w:cs="Times New Roman"/>
          <w:sz w:val="24"/>
          <w:szCs w:val="24"/>
          <w:lang w:val="uk-UA"/>
        </w:rPr>
        <w:t xml:space="preserve"> </w:t>
      </w:r>
      <w:r w:rsidRPr="00ED35A9">
        <w:rPr>
          <w:rFonts w:eastAsia="Calibri" w:cs="Times New Roman"/>
          <w:sz w:val="24"/>
          <w:szCs w:val="24"/>
          <w:lang w:val="uk-UA"/>
        </w:rPr>
        <w:t>584</w:t>
      </w:r>
      <w:r w:rsidR="00545089" w:rsidRPr="00ED35A9">
        <w:rPr>
          <w:rFonts w:eastAsia="Calibri" w:cs="Times New Roman"/>
          <w:sz w:val="24"/>
          <w:szCs w:val="24"/>
          <w:lang w:val="uk-UA"/>
        </w:rPr>
        <w:t>–5</w:t>
      </w:r>
      <w:r w:rsidRPr="00ED35A9">
        <w:rPr>
          <w:rFonts w:eastAsia="Calibri" w:cs="Times New Roman"/>
          <w:sz w:val="24"/>
          <w:szCs w:val="24"/>
          <w:lang w:val="uk-UA"/>
        </w:rPr>
        <w:t>93.</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r w:rsidRPr="00ED35A9">
        <w:rPr>
          <w:rFonts w:eastAsia="Calibri" w:cs="Times New Roman"/>
          <w:sz w:val="24"/>
          <w:szCs w:val="24"/>
          <w:lang w:val="uk-UA"/>
        </w:rPr>
        <w:t xml:space="preserve">WHO </w:t>
      </w:r>
      <w:proofErr w:type="spellStart"/>
      <w:r w:rsidRPr="00ED35A9">
        <w:rPr>
          <w:rFonts w:eastAsia="Calibri" w:cs="Times New Roman"/>
          <w:sz w:val="24"/>
          <w:szCs w:val="24"/>
          <w:lang w:val="uk-UA"/>
        </w:rPr>
        <w:t>Policy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on</w:t>
      </w:r>
      <w:proofErr w:type="spellEnd"/>
      <w:r w:rsidRPr="00ED35A9">
        <w:rPr>
          <w:rFonts w:eastAsia="Calibri" w:cs="Times New Roman"/>
          <w:sz w:val="24"/>
          <w:szCs w:val="24"/>
          <w:lang w:val="uk-UA"/>
        </w:rPr>
        <w:t xml:space="preserve"> TB </w:t>
      </w:r>
      <w:proofErr w:type="spellStart"/>
      <w:r w:rsidRPr="00ED35A9">
        <w:rPr>
          <w:rFonts w:eastAsia="Calibri" w:cs="Times New Roman"/>
          <w:sz w:val="24"/>
          <w:szCs w:val="24"/>
          <w:lang w:val="uk-UA"/>
        </w:rPr>
        <w:t>infection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control</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health-care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facilities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congregate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settings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households</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Geneva</w:t>
      </w:r>
      <w:proofErr w:type="spellEnd"/>
      <w:r w:rsidR="00545089" w:rsidRPr="00ED35A9">
        <w:rPr>
          <w:rFonts w:eastAsia="Calibri" w:cs="Times New Roman"/>
          <w:sz w:val="24"/>
          <w:szCs w:val="24"/>
          <w:lang w:val="uk-UA"/>
        </w:rPr>
        <w:t xml:space="preserve">, </w:t>
      </w:r>
      <w:proofErr w:type="spellStart"/>
      <w:r w:rsidRPr="00ED35A9">
        <w:rPr>
          <w:rFonts w:eastAsia="Calibri" w:cs="Times New Roman"/>
          <w:sz w:val="24"/>
          <w:szCs w:val="24"/>
          <w:lang w:val="uk-UA"/>
        </w:rPr>
        <w:t>World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Health</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Organization</w:t>
      </w:r>
      <w:proofErr w:type="spellEnd"/>
      <w:r w:rsidR="00545089" w:rsidRPr="00ED35A9">
        <w:rPr>
          <w:rFonts w:eastAsia="Calibri" w:cs="Times New Roman"/>
          <w:sz w:val="24"/>
          <w:szCs w:val="24"/>
          <w:lang w:val="uk-UA"/>
        </w:rPr>
        <w:t xml:space="preserve">. </w:t>
      </w:r>
      <w:r w:rsidRPr="00ED35A9">
        <w:rPr>
          <w:rFonts w:eastAsia="Calibri" w:cs="Times New Roman"/>
          <w:sz w:val="24"/>
          <w:szCs w:val="24"/>
          <w:lang w:val="uk-UA"/>
        </w:rPr>
        <w:t>2009</w:t>
      </w:r>
      <w:r w:rsidR="00545089" w:rsidRPr="00ED35A9">
        <w:rPr>
          <w:rFonts w:eastAsia="Calibri" w:cs="Times New Roman"/>
          <w:sz w:val="24"/>
          <w:szCs w:val="24"/>
          <w:lang w:val="uk-UA"/>
        </w:rPr>
        <w:t xml:space="preserve"> </w:t>
      </w:r>
      <w:r w:rsidRPr="00ED35A9">
        <w:rPr>
          <w:rFonts w:eastAsia="Calibri" w:cs="Times New Roman"/>
          <w:sz w:val="24"/>
          <w:szCs w:val="24"/>
          <w:lang w:val="uk-UA"/>
        </w:rPr>
        <w:t>(WHO/HTM/TB/2009.419).</w:t>
      </w:r>
    </w:p>
    <w:p w:rsidR="004B5B7F" w:rsidRPr="00ED35A9" w:rsidRDefault="004B5B7F" w:rsidP="00561CCA">
      <w:pPr>
        <w:pStyle w:val="a7"/>
        <w:numPr>
          <w:ilvl w:val="0"/>
          <w:numId w:val="3"/>
        </w:numPr>
        <w:spacing w:after="120"/>
        <w:ind w:left="567" w:hanging="567"/>
        <w:contextualSpacing w:val="0"/>
        <w:rPr>
          <w:rFonts w:eastAsia="Calibri" w:cs="Times New Roman"/>
          <w:sz w:val="24"/>
          <w:szCs w:val="24"/>
          <w:lang w:val="uk-UA"/>
        </w:rPr>
      </w:pPr>
      <w:proofErr w:type="spellStart"/>
      <w:r w:rsidRPr="00ED35A9">
        <w:rPr>
          <w:rFonts w:eastAsia="Calibri" w:cs="Times New Roman"/>
          <w:sz w:val="24"/>
          <w:szCs w:val="24"/>
          <w:lang w:val="uk-UA"/>
        </w:rPr>
        <w:t>Efficacy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and</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safety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levofloxacin</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for</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the</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treatment</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MDR-TB (</w:t>
      </w:r>
      <w:proofErr w:type="spellStart"/>
      <w:r w:rsidRPr="00ED35A9">
        <w:rPr>
          <w:rFonts w:eastAsia="Calibri" w:cs="Times New Roman"/>
          <w:sz w:val="24"/>
          <w:szCs w:val="24"/>
          <w:lang w:val="uk-UA"/>
        </w:rPr>
        <w:t>Opti</w:t>
      </w:r>
      <w:proofErr w:type="spellEnd"/>
      <w:r w:rsidRPr="00ED35A9">
        <w:rPr>
          <w:rFonts w:eastAsia="Calibri" w:cs="Times New Roman"/>
          <w:sz w:val="24"/>
          <w:szCs w:val="24"/>
          <w:lang w:val="uk-UA"/>
        </w:rPr>
        <w:t xml:space="preserve">-Q). </w:t>
      </w:r>
      <w:proofErr w:type="spellStart"/>
      <w:r w:rsidRPr="00ED35A9">
        <w:rPr>
          <w:rFonts w:eastAsia="Calibri" w:cs="Times New Roman"/>
          <w:sz w:val="24"/>
          <w:szCs w:val="24"/>
          <w:lang w:val="uk-UA"/>
        </w:rPr>
        <w:t>In</w:t>
      </w:r>
      <w:proofErr w:type="spellEnd"/>
      <w:r w:rsidRPr="00ED35A9">
        <w:rPr>
          <w:rFonts w:eastAsia="Calibri" w:cs="Times New Roman"/>
          <w:sz w:val="24"/>
          <w:szCs w:val="24"/>
          <w:lang w:val="uk-UA"/>
        </w:rPr>
        <w:t xml:space="preserve">: NIH US </w:t>
      </w:r>
      <w:proofErr w:type="spellStart"/>
      <w:r w:rsidRPr="00ED35A9">
        <w:rPr>
          <w:rFonts w:eastAsia="Calibri" w:cs="Times New Roman"/>
          <w:sz w:val="24"/>
          <w:szCs w:val="24"/>
          <w:lang w:val="uk-UA"/>
        </w:rPr>
        <w:t>Library</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of</w:t>
      </w:r>
      <w:proofErr w:type="spellEnd"/>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Medicine</w:t>
      </w:r>
      <w:proofErr w:type="spellEnd"/>
      <w:r w:rsidRPr="00ED35A9">
        <w:rPr>
          <w:rFonts w:eastAsia="Calibri" w:cs="Times New Roman"/>
          <w:sz w:val="24"/>
          <w:szCs w:val="24"/>
          <w:lang w:val="uk-UA"/>
        </w:rPr>
        <w:t xml:space="preserve">. ClinicalTrials.gov </w:t>
      </w:r>
      <w:r w:rsidR="00545089" w:rsidRPr="00ED35A9">
        <w:rPr>
          <w:rFonts w:eastAsia="Calibri" w:cs="Times New Roman"/>
          <w:sz w:val="24"/>
          <w:szCs w:val="24"/>
          <w:lang w:val="uk-UA"/>
        </w:rPr>
        <w:t>(</w:t>
      </w:r>
      <w:proofErr w:type="spellStart"/>
      <w:r w:rsidRPr="00ED35A9">
        <w:rPr>
          <w:rFonts w:eastAsia="Calibri" w:cs="Times New Roman"/>
          <w:sz w:val="24"/>
          <w:szCs w:val="24"/>
          <w:lang w:val="uk-UA"/>
        </w:rPr>
        <w:t>website</w:t>
      </w:r>
      <w:proofErr w:type="spellEnd"/>
      <w:r w:rsidR="00545089" w:rsidRPr="00ED35A9">
        <w:rPr>
          <w:rFonts w:eastAsia="Calibri" w:cs="Times New Roman"/>
          <w:sz w:val="24"/>
          <w:szCs w:val="24"/>
          <w:lang w:val="uk-UA"/>
        </w:rPr>
        <w:t>)</w:t>
      </w:r>
      <w:r w:rsidRPr="00ED35A9">
        <w:rPr>
          <w:rFonts w:eastAsia="Calibri" w:cs="Times New Roman"/>
          <w:sz w:val="24"/>
          <w:szCs w:val="24"/>
          <w:lang w:val="uk-UA"/>
        </w:rPr>
        <w:t xml:space="preserve"> (</w:t>
      </w:r>
      <w:hyperlink r:id="rId48" w:history="1">
        <w:r w:rsidRPr="00ED35A9">
          <w:rPr>
            <w:rFonts w:eastAsia="Calibri" w:cs="Times New Roman"/>
            <w:sz w:val="24"/>
            <w:szCs w:val="24"/>
            <w:lang w:val="uk-UA"/>
          </w:rPr>
          <w:t>https://clinicaltrials.gov/show/</w:t>
        </w:r>
        <w:r w:rsidR="00545089" w:rsidRPr="00ED35A9">
          <w:rPr>
            <w:rFonts w:eastAsia="Calibri" w:cs="Times New Roman"/>
            <w:sz w:val="24"/>
            <w:szCs w:val="24"/>
            <w:lang w:val="uk-UA"/>
          </w:rPr>
          <w:br/>
        </w:r>
        <w:r w:rsidRPr="00ED35A9">
          <w:rPr>
            <w:rFonts w:eastAsia="Calibri" w:cs="Times New Roman"/>
            <w:sz w:val="24"/>
            <w:szCs w:val="24"/>
            <w:lang w:val="uk-UA"/>
          </w:rPr>
          <w:t>NCT01918397</w:t>
        </w:r>
      </w:hyperlink>
      <w:r w:rsidRPr="00ED35A9">
        <w:rPr>
          <w:rFonts w:eastAsia="Calibri" w:cs="Times New Roman"/>
          <w:sz w:val="24"/>
          <w:szCs w:val="24"/>
          <w:lang w:val="uk-UA"/>
        </w:rPr>
        <w:t xml:space="preserve">, </w:t>
      </w:r>
      <w:proofErr w:type="spellStart"/>
      <w:r w:rsidRPr="00ED35A9">
        <w:rPr>
          <w:rFonts w:eastAsia="Calibri" w:cs="Times New Roman"/>
          <w:sz w:val="24"/>
          <w:szCs w:val="24"/>
          <w:lang w:val="uk-UA"/>
        </w:rPr>
        <w:t>accessed</w:t>
      </w:r>
      <w:proofErr w:type="spellEnd"/>
      <w:r w:rsidRPr="00ED35A9">
        <w:rPr>
          <w:rFonts w:eastAsia="Calibri" w:cs="Times New Roman"/>
          <w:sz w:val="24"/>
          <w:szCs w:val="24"/>
          <w:lang w:val="uk-UA"/>
        </w:rPr>
        <w:t xml:space="preserve"> 1 </w:t>
      </w:r>
      <w:proofErr w:type="spellStart"/>
      <w:r w:rsidRPr="00ED35A9">
        <w:rPr>
          <w:rFonts w:eastAsia="Calibri" w:cs="Times New Roman"/>
          <w:sz w:val="24"/>
          <w:szCs w:val="24"/>
          <w:lang w:val="uk-UA"/>
        </w:rPr>
        <w:t>March</w:t>
      </w:r>
      <w:proofErr w:type="spellEnd"/>
      <w:r w:rsidRPr="00ED35A9">
        <w:rPr>
          <w:rFonts w:eastAsia="Calibri" w:cs="Times New Roman"/>
          <w:sz w:val="24"/>
          <w:szCs w:val="24"/>
          <w:lang w:val="uk-UA"/>
        </w:rPr>
        <w:t xml:space="preserve"> 2019). </w:t>
      </w:r>
    </w:p>
    <w:p w:rsidR="004B5B7F" w:rsidRPr="00ED35A9" w:rsidRDefault="004B5B7F" w:rsidP="000E0B10">
      <w:pPr>
        <w:rPr>
          <w:rFonts w:cs="Times New Roman"/>
          <w:szCs w:val="28"/>
          <w:lang w:val="uk-UA"/>
        </w:rPr>
      </w:pPr>
      <w:r w:rsidRPr="00ED35A9">
        <w:rPr>
          <w:rFonts w:cs="Times New Roman"/>
          <w:szCs w:val="28"/>
          <w:lang w:val="uk-UA"/>
        </w:rPr>
        <w:br w:type="page"/>
      </w:r>
    </w:p>
    <w:p w:rsidR="004B5B7F" w:rsidRPr="00ED35A9" w:rsidRDefault="004B5B7F" w:rsidP="000E0B10">
      <w:pPr>
        <w:rPr>
          <w:rFonts w:cs="Times New Roman"/>
          <w:szCs w:val="28"/>
          <w:lang w:val="uk-UA"/>
        </w:rPr>
        <w:sectPr w:rsidR="004B5B7F" w:rsidRPr="00ED35A9" w:rsidSect="000E0B10">
          <w:type w:val="nextColumn"/>
          <w:pgSz w:w="11907" w:h="16840" w:code="9"/>
          <w:pgMar w:top="1134" w:right="851" w:bottom="1134" w:left="1701" w:header="0" w:footer="6" w:gutter="0"/>
          <w:cols w:space="720"/>
          <w:noEndnote/>
          <w:docGrid w:linePitch="360"/>
        </w:sectPr>
      </w:pPr>
      <w:bookmarkStart w:id="88" w:name="bookmark91"/>
    </w:p>
    <w:p w:rsidR="001A0A35" w:rsidRPr="00ED35A9" w:rsidRDefault="00CB3BEE" w:rsidP="00823898">
      <w:pPr>
        <w:pStyle w:val="1"/>
        <w:rPr>
          <w:lang w:val="uk-UA"/>
        </w:rPr>
      </w:pPr>
      <w:bookmarkStart w:id="89" w:name="_Toc18416330"/>
      <w:bookmarkEnd w:id="88"/>
      <w:r w:rsidRPr="00ED35A9">
        <w:rPr>
          <w:caps w:val="0"/>
          <w:lang w:val="uk-UA"/>
        </w:rPr>
        <w:lastRenderedPageBreak/>
        <w:t>Додаток </w:t>
      </w:r>
      <w:r w:rsidR="001A0A35" w:rsidRPr="00ED35A9">
        <w:rPr>
          <w:lang w:val="uk-UA"/>
        </w:rPr>
        <w:t>1. </w:t>
      </w:r>
      <w:r w:rsidRPr="00ED35A9">
        <w:rPr>
          <w:caps w:val="0"/>
          <w:lang w:val="uk-UA"/>
        </w:rPr>
        <w:t xml:space="preserve">Запитання </w:t>
      </w:r>
      <w:r w:rsidR="001A0A35" w:rsidRPr="00ED35A9">
        <w:rPr>
          <w:lang w:val="uk-UA"/>
        </w:rPr>
        <w:t>PICO</w:t>
      </w:r>
      <w:bookmarkEnd w:id="89"/>
    </w:p>
    <w:p w:rsidR="001A0A35" w:rsidRPr="00ED35A9" w:rsidRDefault="001A0A35" w:rsidP="001A0A35">
      <w:pPr>
        <w:ind w:firstLine="0"/>
        <w:rPr>
          <w:b/>
          <w:szCs w:val="28"/>
          <w:lang w:val="uk-UA"/>
        </w:rPr>
      </w:pPr>
      <w:r w:rsidRPr="00ED35A9">
        <w:rPr>
          <w:b/>
          <w:szCs w:val="28"/>
          <w:lang w:val="uk-UA"/>
        </w:rPr>
        <w:t xml:space="preserve">1a. Запитання PICO з Настанови ВООЗ із лікування </w:t>
      </w:r>
      <w:proofErr w:type="spellStart"/>
      <w:r w:rsidRPr="00ED35A9">
        <w:rPr>
          <w:b/>
          <w:szCs w:val="28"/>
          <w:lang w:val="uk-UA"/>
        </w:rPr>
        <w:t>ізоніазид</w:t>
      </w:r>
      <w:proofErr w:type="spellEnd"/>
      <w:r w:rsidRPr="00ED35A9">
        <w:rPr>
          <w:b/>
          <w:szCs w:val="28"/>
          <w:lang w:val="uk-UA"/>
        </w:rPr>
        <w:t>-резистентного туберкульозу, 2018 р.</w:t>
      </w:r>
    </w:p>
    <w:p w:rsidR="001A0A35" w:rsidRPr="00ED35A9" w:rsidRDefault="001A0A35" w:rsidP="001A0A35">
      <w:pPr>
        <w:spacing w:after="120"/>
        <w:ind w:firstLine="0"/>
        <w:rPr>
          <w:szCs w:val="28"/>
          <w:lang w:val="uk-UA"/>
        </w:rPr>
      </w:pPr>
      <w:r w:rsidRPr="00ED35A9">
        <w:rPr>
          <w:b/>
          <w:i/>
          <w:szCs w:val="28"/>
          <w:lang w:val="uk-UA"/>
        </w:rPr>
        <w:t>Запитання 1.</w:t>
      </w:r>
      <w:r w:rsidRPr="00ED35A9">
        <w:rPr>
          <w:szCs w:val="28"/>
          <w:lang w:val="uk-UA"/>
        </w:rPr>
        <w:t xml:space="preserve"> Якими повинні бути склад та тривалість схеми лікування у пацієнтів з </w:t>
      </w:r>
      <w:proofErr w:type="spellStart"/>
      <w:r w:rsidRPr="00ED35A9">
        <w:rPr>
          <w:szCs w:val="28"/>
          <w:lang w:val="uk-UA"/>
        </w:rPr>
        <w:t>ізоніазид</w:t>
      </w:r>
      <w:proofErr w:type="spellEnd"/>
      <w:r w:rsidRPr="00ED35A9">
        <w:rPr>
          <w:szCs w:val="28"/>
          <w:lang w:val="uk-UA"/>
        </w:rPr>
        <w:t xml:space="preserve">-резистентним ТБ (крім МРТБ) для підвищення ймовірності успіху лікування та зниження ризиків порівняно із призначенням схеми із застосуванням </w:t>
      </w:r>
      <w:proofErr w:type="spellStart"/>
      <w:r w:rsidRPr="00ED35A9">
        <w:rPr>
          <w:szCs w:val="28"/>
          <w:lang w:val="uk-UA"/>
        </w:rPr>
        <w:t>рифампіцину</w:t>
      </w:r>
      <w:proofErr w:type="spellEnd"/>
      <w:r w:rsidRPr="00ED35A9">
        <w:rPr>
          <w:szCs w:val="28"/>
          <w:lang w:val="uk-UA"/>
        </w:rPr>
        <w:t xml:space="preserve">, </w:t>
      </w:r>
      <w:proofErr w:type="spellStart"/>
      <w:r w:rsidRPr="00ED35A9">
        <w:rPr>
          <w:szCs w:val="28"/>
          <w:lang w:val="uk-UA"/>
        </w:rPr>
        <w:t>піразинаміду</w:t>
      </w:r>
      <w:proofErr w:type="spellEnd"/>
      <w:r w:rsidRPr="00ED35A9">
        <w:rPr>
          <w:szCs w:val="28"/>
          <w:lang w:val="uk-UA"/>
        </w:rPr>
        <w:t xml:space="preserve"> та </w:t>
      </w:r>
      <w:proofErr w:type="spellStart"/>
      <w:r w:rsidRPr="00ED35A9">
        <w:rPr>
          <w:szCs w:val="28"/>
          <w:lang w:val="uk-UA"/>
        </w:rPr>
        <w:t>етамбутолу</w:t>
      </w:r>
      <w:proofErr w:type="spellEnd"/>
      <w:r w:rsidRPr="00ED35A9">
        <w:rPr>
          <w:szCs w:val="28"/>
          <w:lang w:val="uk-UA"/>
        </w:rPr>
        <w:t xml:space="preserve"> протягом 6 міс або більше?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410"/>
        <w:gridCol w:w="2126"/>
        <w:gridCol w:w="4111"/>
      </w:tblGrid>
      <w:tr w:rsidR="001A0A35" w:rsidRPr="00ED35A9" w:rsidTr="001A0A35">
        <w:tc>
          <w:tcPr>
            <w:tcW w:w="5954" w:type="dxa"/>
          </w:tcPr>
          <w:p w:rsidR="001A0A35" w:rsidRPr="00ED35A9" w:rsidRDefault="001A0A35" w:rsidP="001A0A35">
            <w:pPr>
              <w:ind w:firstLine="0"/>
              <w:jc w:val="center"/>
              <w:rPr>
                <w:b/>
                <w:sz w:val="24"/>
                <w:szCs w:val="24"/>
                <w:lang w:val="uk-UA"/>
              </w:rPr>
            </w:pPr>
            <w:r w:rsidRPr="00ED35A9">
              <w:rPr>
                <w:b/>
                <w:sz w:val="24"/>
                <w:szCs w:val="24"/>
                <w:lang w:val="uk-UA"/>
              </w:rPr>
              <w:t>Населення</w:t>
            </w:r>
          </w:p>
        </w:tc>
        <w:tc>
          <w:tcPr>
            <w:tcW w:w="2410" w:type="dxa"/>
          </w:tcPr>
          <w:p w:rsidR="001A0A35" w:rsidRPr="00ED35A9" w:rsidRDefault="001A0A35" w:rsidP="001A0A35">
            <w:pPr>
              <w:ind w:firstLine="0"/>
              <w:jc w:val="center"/>
              <w:rPr>
                <w:b/>
                <w:sz w:val="24"/>
                <w:szCs w:val="24"/>
                <w:lang w:val="uk-UA"/>
              </w:rPr>
            </w:pPr>
            <w:r w:rsidRPr="00ED35A9">
              <w:rPr>
                <w:b/>
                <w:sz w:val="24"/>
                <w:szCs w:val="24"/>
                <w:lang w:val="uk-UA"/>
              </w:rPr>
              <w:t>Втручання</w:t>
            </w:r>
          </w:p>
        </w:tc>
        <w:tc>
          <w:tcPr>
            <w:tcW w:w="2126" w:type="dxa"/>
          </w:tcPr>
          <w:p w:rsidR="001A0A35" w:rsidRPr="00ED35A9" w:rsidRDefault="001A0A35" w:rsidP="001A0A35">
            <w:pPr>
              <w:ind w:firstLine="0"/>
              <w:jc w:val="center"/>
              <w:rPr>
                <w:b/>
                <w:sz w:val="24"/>
                <w:szCs w:val="24"/>
                <w:lang w:val="uk-UA"/>
              </w:rPr>
            </w:pPr>
            <w:r w:rsidRPr="00ED35A9">
              <w:rPr>
                <w:b/>
                <w:sz w:val="24"/>
                <w:szCs w:val="24"/>
                <w:lang w:val="uk-UA"/>
              </w:rPr>
              <w:t>Компаратор</w:t>
            </w:r>
          </w:p>
        </w:tc>
        <w:tc>
          <w:tcPr>
            <w:tcW w:w="4111" w:type="dxa"/>
          </w:tcPr>
          <w:p w:rsidR="001A0A35" w:rsidRPr="00ED35A9" w:rsidRDefault="001A0A35" w:rsidP="001A0A35">
            <w:pPr>
              <w:ind w:firstLine="0"/>
              <w:jc w:val="center"/>
              <w:rPr>
                <w:b/>
                <w:sz w:val="24"/>
                <w:szCs w:val="24"/>
                <w:lang w:val="uk-UA"/>
              </w:rPr>
            </w:pPr>
            <w:r w:rsidRPr="00ED35A9">
              <w:rPr>
                <w:b/>
                <w:sz w:val="24"/>
                <w:szCs w:val="24"/>
                <w:lang w:val="uk-UA"/>
              </w:rPr>
              <w:t>Результати</w:t>
            </w:r>
          </w:p>
        </w:tc>
      </w:tr>
      <w:tr w:rsidR="001A0A35" w:rsidRPr="00ED35A9" w:rsidTr="001A0A35">
        <w:tc>
          <w:tcPr>
            <w:tcW w:w="5954" w:type="dxa"/>
            <w:vMerge w:val="restart"/>
          </w:tcPr>
          <w:p w:rsidR="001A0A35" w:rsidRPr="00ED35A9" w:rsidRDefault="001A0A35" w:rsidP="001A0A35">
            <w:pPr>
              <w:ind w:firstLine="0"/>
              <w:jc w:val="left"/>
              <w:rPr>
                <w:sz w:val="24"/>
                <w:szCs w:val="24"/>
                <w:lang w:val="uk-UA"/>
              </w:rPr>
            </w:pPr>
            <w:r w:rsidRPr="00ED35A9">
              <w:rPr>
                <w:sz w:val="24"/>
                <w:szCs w:val="24"/>
                <w:lang w:val="uk-UA"/>
              </w:rPr>
              <w:t xml:space="preserve">Пацієнти з резистентним до </w:t>
            </w:r>
            <w:proofErr w:type="spellStart"/>
            <w:r w:rsidRPr="00ED35A9">
              <w:rPr>
                <w:sz w:val="24"/>
                <w:szCs w:val="24"/>
                <w:lang w:val="uk-UA"/>
              </w:rPr>
              <w:t>ізоніазиду</w:t>
            </w:r>
            <w:proofErr w:type="spellEnd"/>
            <w:r w:rsidRPr="00ED35A9">
              <w:rPr>
                <w:sz w:val="24"/>
                <w:szCs w:val="24"/>
                <w:lang w:val="uk-UA"/>
              </w:rPr>
              <w:t xml:space="preserve"> ТБ:</w:t>
            </w:r>
          </w:p>
          <w:p w:rsidR="001A0A35" w:rsidRPr="00ED35A9" w:rsidRDefault="001A0A35" w:rsidP="001A0A35">
            <w:pPr>
              <w:pStyle w:val="a7"/>
              <w:numPr>
                <w:ilvl w:val="0"/>
                <w:numId w:val="13"/>
              </w:numPr>
              <w:ind w:left="459" w:hanging="283"/>
              <w:jc w:val="left"/>
              <w:rPr>
                <w:sz w:val="24"/>
                <w:szCs w:val="24"/>
                <w:lang w:val="uk-UA"/>
              </w:rPr>
            </w:pPr>
            <w:r w:rsidRPr="00ED35A9">
              <w:rPr>
                <w:sz w:val="24"/>
                <w:szCs w:val="24"/>
                <w:lang w:val="uk-UA"/>
              </w:rPr>
              <w:t xml:space="preserve">з/без мутації </w:t>
            </w:r>
            <w:proofErr w:type="spellStart"/>
            <w:r w:rsidRPr="00ED35A9">
              <w:rPr>
                <w:i/>
                <w:sz w:val="24"/>
                <w:szCs w:val="24"/>
                <w:lang w:val="uk-UA"/>
              </w:rPr>
              <w:t>katG</w:t>
            </w:r>
            <w:proofErr w:type="spellEnd"/>
            <w:r w:rsidRPr="00ED35A9">
              <w:rPr>
                <w:sz w:val="24"/>
                <w:szCs w:val="24"/>
                <w:lang w:val="uk-UA"/>
              </w:rPr>
              <w:t xml:space="preserve"> та застосуванням </w:t>
            </w:r>
            <w:proofErr w:type="spellStart"/>
            <w:r w:rsidRPr="00ED35A9">
              <w:rPr>
                <w:sz w:val="24"/>
                <w:szCs w:val="24"/>
                <w:lang w:val="uk-UA"/>
              </w:rPr>
              <w:t>ізоніазиду</w:t>
            </w:r>
            <w:proofErr w:type="spellEnd"/>
            <w:r w:rsidRPr="00ED35A9">
              <w:rPr>
                <w:sz w:val="24"/>
                <w:szCs w:val="24"/>
                <w:lang w:val="uk-UA"/>
              </w:rPr>
              <w:t xml:space="preserve"> у звичайних/високих дозах;</w:t>
            </w:r>
          </w:p>
          <w:p w:rsidR="001A0A35" w:rsidRPr="00ED35A9" w:rsidRDefault="001A0A35" w:rsidP="001A0A35">
            <w:pPr>
              <w:pStyle w:val="a7"/>
              <w:numPr>
                <w:ilvl w:val="0"/>
                <w:numId w:val="13"/>
              </w:numPr>
              <w:ind w:left="459" w:hanging="283"/>
              <w:jc w:val="left"/>
              <w:rPr>
                <w:sz w:val="24"/>
                <w:szCs w:val="24"/>
                <w:lang w:val="uk-UA"/>
              </w:rPr>
            </w:pPr>
            <w:r w:rsidRPr="00ED35A9">
              <w:rPr>
                <w:sz w:val="24"/>
                <w:szCs w:val="24"/>
                <w:lang w:val="uk-UA"/>
              </w:rPr>
              <w:t xml:space="preserve">з/без мутації </w:t>
            </w:r>
            <w:proofErr w:type="spellStart"/>
            <w:r w:rsidRPr="00ED35A9">
              <w:rPr>
                <w:i/>
                <w:sz w:val="24"/>
                <w:szCs w:val="24"/>
                <w:lang w:val="uk-UA"/>
              </w:rPr>
              <w:t>inhA</w:t>
            </w:r>
            <w:proofErr w:type="spellEnd"/>
            <w:r w:rsidRPr="00ED35A9">
              <w:rPr>
                <w:sz w:val="24"/>
                <w:szCs w:val="24"/>
                <w:lang w:val="uk-UA"/>
              </w:rPr>
              <w:t xml:space="preserve"> та застосуванням </w:t>
            </w:r>
            <w:proofErr w:type="spellStart"/>
            <w:r w:rsidRPr="00ED35A9">
              <w:rPr>
                <w:sz w:val="24"/>
                <w:szCs w:val="24"/>
                <w:lang w:val="uk-UA"/>
              </w:rPr>
              <w:t>ізоніазиду</w:t>
            </w:r>
            <w:proofErr w:type="spellEnd"/>
            <w:r w:rsidRPr="00ED35A9">
              <w:rPr>
                <w:sz w:val="24"/>
                <w:szCs w:val="24"/>
                <w:lang w:val="uk-UA"/>
              </w:rPr>
              <w:t xml:space="preserve"> у звичайних/високих дозах;</w:t>
            </w:r>
          </w:p>
          <w:p w:rsidR="001A0A35" w:rsidRPr="00ED35A9" w:rsidRDefault="001A0A35" w:rsidP="001A0A35">
            <w:pPr>
              <w:pStyle w:val="a7"/>
              <w:numPr>
                <w:ilvl w:val="0"/>
                <w:numId w:val="13"/>
              </w:numPr>
              <w:ind w:left="459" w:hanging="283"/>
              <w:jc w:val="left"/>
              <w:rPr>
                <w:sz w:val="24"/>
                <w:szCs w:val="24"/>
                <w:lang w:val="uk-UA"/>
              </w:rPr>
            </w:pPr>
            <w:r w:rsidRPr="00ED35A9">
              <w:rPr>
                <w:sz w:val="24"/>
                <w:szCs w:val="24"/>
                <w:lang w:val="uk-UA"/>
              </w:rPr>
              <w:t xml:space="preserve">прогнозована неефективність застосування </w:t>
            </w:r>
            <w:proofErr w:type="spellStart"/>
            <w:r w:rsidRPr="00ED35A9">
              <w:rPr>
                <w:sz w:val="24"/>
                <w:szCs w:val="24"/>
                <w:lang w:val="uk-UA"/>
              </w:rPr>
              <w:t>етамбутолу</w:t>
            </w:r>
            <w:proofErr w:type="spellEnd"/>
            <w:r w:rsidRPr="00ED35A9">
              <w:rPr>
                <w:sz w:val="24"/>
                <w:szCs w:val="24"/>
                <w:lang w:val="uk-UA"/>
              </w:rPr>
              <w:t xml:space="preserve">, </w:t>
            </w:r>
            <w:proofErr w:type="spellStart"/>
            <w:r w:rsidRPr="00ED35A9">
              <w:rPr>
                <w:sz w:val="24"/>
                <w:szCs w:val="24"/>
                <w:lang w:val="uk-UA"/>
              </w:rPr>
              <w:t>піразинаміду</w:t>
            </w:r>
            <w:proofErr w:type="spellEnd"/>
            <w:r w:rsidRPr="00ED35A9">
              <w:rPr>
                <w:sz w:val="24"/>
                <w:szCs w:val="24"/>
                <w:lang w:val="uk-UA"/>
              </w:rPr>
              <w:t xml:space="preserve"> або ін’єкційних препаратів.</w:t>
            </w:r>
          </w:p>
          <w:p w:rsidR="001A0A35" w:rsidRPr="00ED35A9" w:rsidRDefault="001A0A35" w:rsidP="001A0A35">
            <w:pPr>
              <w:spacing w:before="120"/>
              <w:ind w:firstLine="0"/>
              <w:jc w:val="left"/>
              <w:rPr>
                <w:sz w:val="24"/>
                <w:szCs w:val="24"/>
                <w:lang w:val="uk-UA"/>
              </w:rPr>
            </w:pPr>
            <w:r w:rsidRPr="00ED35A9">
              <w:rPr>
                <w:sz w:val="24"/>
                <w:szCs w:val="24"/>
                <w:lang w:val="uk-UA"/>
              </w:rPr>
              <w:t>Пацієнти, що раніше проходили лікування ТБ.</w:t>
            </w:r>
          </w:p>
          <w:p w:rsidR="001A0A35" w:rsidRPr="00ED35A9" w:rsidRDefault="001A0A35" w:rsidP="001A0A35">
            <w:pPr>
              <w:spacing w:before="120"/>
              <w:ind w:firstLine="0"/>
              <w:jc w:val="left"/>
              <w:rPr>
                <w:sz w:val="24"/>
                <w:szCs w:val="24"/>
                <w:lang w:val="uk-UA"/>
              </w:rPr>
            </w:pPr>
            <w:r w:rsidRPr="00ED35A9">
              <w:rPr>
                <w:sz w:val="24"/>
                <w:szCs w:val="24"/>
                <w:lang w:val="uk-UA"/>
              </w:rPr>
              <w:t>Пацієнти з екстенсивним захворюванням.</w:t>
            </w:r>
          </w:p>
          <w:p w:rsidR="001A0A35" w:rsidRPr="00ED35A9" w:rsidRDefault="001A0A35" w:rsidP="001A0A35">
            <w:pPr>
              <w:spacing w:before="120"/>
              <w:ind w:firstLine="0"/>
              <w:jc w:val="left"/>
              <w:rPr>
                <w:sz w:val="24"/>
                <w:szCs w:val="24"/>
                <w:lang w:val="uk-UA"/>
              </w:rPr>
            </w:pPr>
            <w:r w:rsidRPr="00ED35A9">
              <w:rPr>
                <w:sz w:val="24"/>
                <w:szCs w:val="24"/>
                <w:lang w:val="uk-UA"/>
              </w:rPr>
              <w:t>Пацієнти з ВІЛ.</w:t>
            </w:r>
          </w:p>
          <w:p w:rsidR="001A0A35" w:rsidRPr="00ED35A9" w:rsidRDefault="001A0A35" w:rsidP="001A0A35">
            <w:pPr>
              <w:spacing w:before="120"/>
              <w:ind w:firstLine="0"/>
              <w:jc w:val="left"/>
              <w:rPr>
                <w:sz w:val="24"/>
                <w:szCs w:val="24"/>
                <w:lang w:val="uk-UA"/>
              </w:rPr>
            </w:pPr>
            <w:r w:rsidRPr="00ED35A9">
              <w:rPr>
                <w:sz w:val="24"/>
                <w:szCs w:val="24"/>
                <w:lang w:val="uk-UA"/>
              </w:rPr>
              <w:t>Пацієнти з ВІЛ на АРТ.</w:t>
            </w:r>
          </w:p>
          <w:p w:rsidR="001A0A35" w:rsidRPr="00ED35A9" w:rsidRDefault="001A0A35" w:rsidP="001A0A35">
            <w:pPr>
              <w:spacing w:before="120"/>
              <w:ind w:firstLine="0"/>
              <w:jc w:val="left"/>
              <w:rPr>
                <w:sz w:val="24"/>
                <w:szCs w:val="24"/>
                <w:lang w:val="uk-UA"/>
              </w:rPr>
            </w:pPr>
            <w:r w:rsidRPr="00ED35A9">
              <w:rPr>
                <w:sz w:val="24"/>
                <w:szCs w:val="24"/>
                <w:lang w:val="uk-UA"/>
              </w:rPr>
              <w:t>Діти (0–14 років).</w:t>
            </w:r>
          </w:p>
          <w:p w:rsidR="001A0A35" w:rsidRPr="00ED35A9" w:rsidRDefault="001A0A35" w:rsidP="001A0A35">
            <w:pPr>
              <w:spacing w:before="120"/>
              <w:ind w:firstLine="0"/>
              <w:jc w:val="left"/>
              <w:rPr>
                <w:sz w:val="24"/>
                <w:szCs w:val="24"/>
                <w:lang w:val="uk-UA"/>
              </w:rPr>
            </w:pPr>
            <w:r w:rsidRPr="00ED35A9">
              <w:rPr>
                <w:sz w:val="24"/>
                <w:szCs w:val="24"/>
                <w:lang w:val="uk-UA"/>
              </w:rPr>
              <w:t>Пацієнти з цукровим діабетом.</w:t>
            </w:r>
          </w:p>
        </w:tc>
        <w:tc>
          <w:tcPr>
            <w:tcW w:w="2410" w:type="dxa"/>
          </w:tcPr>
          <w:p w:rsidR="001A0A35" w:rsidRPr="00ED35A9" w:rsidRDefault="001A0A35" w:rsidP="001A0A35">
            <w:pPr>
              <w:ind w:firstLine="0"/>
              <w:jc w:val="left"/>
              <w:rPr>
                <w:sz w:val="24"/>
                <w:szCs w:val="24"/>
                <w:lang w:val="uk-UA"/>
              </w:rPr>
            </w:pPr>
            <w:r w:rsidRPr="00ED35A9">
              <w:rPr>
                <w:sz w:val="24"/>
                <w:szCs w:val="24"/>
                <w:lang w:val="uk-UA"/>
              </w:rPr>
              <w:t>6REZ</w:t>
            </w:r>
          </w:p>
        </w:tc>
        <w:tc>
          <w:tcPr>
            <w:tcW w:w="2126" w:type="dxa"/>
          </w:tcPr>
          <w:p w:rsidR="001A0A35" w:rsidRPr="00ED35A9" w:rsidRDefault="001A0A35" w:rsidP="001A0A35">
            <w:pPr>
              <w:ind w:firstLine="0"/>
              <w:jc w:val="left"/>
              <w:rPr>
                <w:sz w:val="24"/>
                <w:szCs w:val="24"/>
                <w:lang w:val="uk-UA"/>
              </w:rPr>
            </w:pPr>
            <w:r w:rsidRPr="00ED35A9">
              <w:rPr>
                <w:sz w:val="24"/>
                <w:szCs w:val="24"/>
                <w:lang w:val="uk-UA"/>
              </w:rPr>
              <w:t>&gt;6REZ</w:t>
            </w:r>
          </w:p>
        </w:tc>
        <w:tc>
          <w:tcPr>
            <w:tcW w:w="4111" w:type="dxa"/>
            <w:vMerge w:val="restart"/>
          </w:tcPr>
          <w:p w:rsidR="001A0A35" w:rsidRPr="00ED35A9" w:rsidRDefault="001A0A35" w:rsidP="001A0A35">
            <w:pPr>
              <w:ind w:firstLine="0"/>
              <w:jc w:val="left"/>
              <w:rPr>
                <w:sz w:val="24"/>
                <w:szCs w:val="24"/>
                <w:lang w:val="uk-UA"/>
              </w:rPr>
            </w:pPr>
            <w:r w:rsidRPr="00ED35A9">
              <w:rPr>
                <w:sz w:val="24"/>
                <w:szCs w:val="24"/>
                <w:lang w:val="uk-UA"/>
              </w:rPr>
              <w:t xml:space="preserve">Завершення курсу лікування або 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ind w:firstLine="0"/>
              <w:jc w:val="left"/>
              <w:rPr>
                <w:sz w:val="24"/>
                <w:szCs w:val="24"/>
                <w:lang w:val="uk-UA"/>
              </w:rPr>
            </w:pPr>
            <w:r w:rsidRPr="00ED35A9">
              <w:rPr>
                <w:sz w:val="24"/>
                <w:szCs w:val="24"/>
                <w:lang w:val="uk-UA"/>
              </w:rPr>
              <w:t>Невдача лікування ± рецидив.</w:t>
            </w:r>
          </w:p>
          <w:p w:rsidR="001A0A35" w:rsidRPr="00ED35A9" w:rsidRDefault="001A0A35" w:rsidP="001A0A35">
            <w:pPr>
              <w:spacing w:before="120"/>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ind w:firstLine="0"/>
              <w:jc w:val="left"/>
              <w:rPr>
                <w:sz w:val="24"/>
                <w:szCs w:val="24"/>
                <w:lang w:val="uk-UA"/>
              </w:rPr>
            </w:pPr>
            <w:r w:rsidRPr="00ED35A9">
              <w:rPr>
                <w:sz w:val="24"/>
                <w:szCs w:val="24"/>
                <w:lang w:val="uk-UA"/>
              </w:rPr>
              <w:t>Виникнення небажаних явищ при застосуванні ПТП (тяжкість, тип, клас органів).</w:t>
            </w:r>
          </w:p>
          <w:p w:rsidR="001A0A35" w:rsidRPr="00ED35A9" w:rsidRDefault="001A0A35" w:rsidP="001A0A35">
            <w:pPr>
              <w:spacing w:before="120"/>
              <w:ind w:firstLine="0"/>
              <w:jc w:val="left"/>
              <w:rPr>
                <w:sz w:val="24"/>
                <w:szCs w:val="24"/>
                <w:lang w:val="uk-UA"/>
              </w:rPr>
            </w:pPr>
            <w:r w:rsidRPr="00ED35A9">
              <w:rPr>
                <w:sz w:val="24"/>
                <w:szCs w:val="24"/>
                <w:lang w:val="uk-UA"/>
              </w:rPr>
              <w:t xml:space="preserve">Набуття (посилення) </w:t>
            </w:r>
            <w:r w:rsidR="00480CDB" w:rsidRPr="00ED35A9">
              <w:rPr>
                <w:sz w:val="24"/>
                <w:szCs w:val="24"/>
                <w:lang w:val="uk-UA"/>
              </w:rPr>
              <w:t>медикаментозної</w:t>
            </w:r>
            <w:r w:rsidR="00480CDB" w:rsidRPr="00ED35A9">
              <w:rPr>
                <w:rFonts w:cs="Times New Roman"/>
                <w:szCs w:val="28"/>
                <w:lang w:val="uk-UA"/>
              </w:rPr>
              <w:t xml:space="preserve"> </w:t>
            </w:r>
            <w:r w:rsidRPr="00ED35A9">
              <w:rPr>
                <w:sz w:val="24"/>
                <w:szCs w:val="24"/>
                <w:lang w:val="uk-UA"/>
              </w:rPr>
              <w:t>резистентності.</w:t>
            </w:r>
          </w:p>
        </w:tc>
      </w:tr>
      <w:tr w:rsidR="001A0A35" w:rsidRPr="00ED35A9" w:rsidTr="001A0A35">
        <w:trPr>
          <w:trHeight w:val="430"/>
        </w:trPr>
        <w:tc>
          <w:tcPr>
            <w:tcW w:w="5954" w:type="dxa"/>
            <w:vMerge/>
          </w:tcPr>
          <w:p w:rsidR="001A0A35" w:rsidRPr="00ED35A9" w:rsidRDefault="001A0A35" w:rsidP="001A0A35">
            <w:pPr>
              <w:ind w:firstLine="0"/>
              <w:jc w:val="left"/>
              <w:rPr>
                <w:sz w:val="24"/>
                <w:szCs w:val="24"/>
                <w:lang w:val="uk-UA"/>
              </w:rPr>
            </w:pPr>
          </w:p>
        </w:tc>
        <w:tc>
          <w:tcPr>
            <w:tcW w:w="2410" w:type="dxa"/>
          </w:tcPr>
          <w:p w:rsidR="001A0A35" w:rsidRPr="00ED35A9" w:rsidRDefault="001A0A35" w:rsidP="001A0A35">
            <w:pPr>
              <w:ind w:firstLine="0"/>
              <w:jc w:val="left"/>
              <w:rPr>
                <w:sz w:val="24"/>
                <w:szCs w:val="24"/>
                <w:lang w:val="uk-UA"/>
              </w:rPr>
            </w:pPr>
            <w:r w:rsidRPr="00ED35A9">
              <w:rPr>
                <w:sz w:val="24"/>
                <w:szCs w:val="24"/>
                <w:lang w:val="uk-UA"/>
              </w:rPr>
              <w:t>6+RE+2Z+</w:t>
            </w:r>
          </w:p>
          <w:p w:rsidR="001A0A35" w:rsidRPr="00ED35A9" w:rsidRDefault="001A0A35" w:rsidP="001A0A35">
            <w:pPr>
              <w:ind w:firstLine="0"/>
              <w:jc w:val="left"/>
              <w:rPr>
                <w:sz w:val="24"/>
                <w:szCs w:val="24"/>
                <w:lang w:val="uk-UA"/>
              </w:rPr>
            </w:pPr>
            <w:proofErr w:type="spellStart"/>
            <w:r w:rsidRPr="00ED35A9">
              <w:rPr>
                <w:sz w:val="24"/>
                <w:szCs w:val="24"/>
                <w:lang w:val="uk-UA"/>
              </w:rPr>
              <w:t>фторхінолон</w:t>
            </w:r>
            <w:proofErr w:type="spellEnd"/>
          </w:p>
        </w:tc>
        <w:tc>
          <w:tcPr>
            <w:tcW w:w="2126" w:type="dxa"/>
          </w:tcPr>
          <w:p w:rsidR="001A0A35" w:rsidRPr="00ED35A9" w:rsidRDefault="001A0A35" w:rsidP="001A0A35">
            <w:pPr>
              <w:ind w:firstLine="0"/>
              <w:jc w:val="left"/>
              <w:rPr>
                <w:sz w:val="24"/>
                <w:szCs w:val="24"/>
                <w:lang w:val="uk-UA"/>
              </w:rPr>
            </w:pPr>
            <w:r w:rsidRPr="00ED35A9">
              <w:rPr>
                <w:sz w:val="24"/>
                <w:szCs w:val="24"/>
                <w:lang w:val="uk-UA"/>
              </w:rPr>
              <w:t>6+REZ</w:t>
            </w:r>
          </w:p>
        </w:tc>
        <w:tc>
          <w:tcPr>
            <w:tcW w:w="4111" w:type="dxa"/>
            <w:vMerge/>
          </w:tcPr>
          <w:p w:rsidR="001A0A35" w:rsidRPr="00ED35A9" w:rsidRDefault="001A0A35" w:rsidP="001A0A35">
            <w:pPr>
              <w:ind w:firstLine="0"/>
              <w:jc w:val="left"/>
              <w:rPr>
                <w:sz w:val="24"/>
                <w:szCs w:val="24"/>
                <w:lang w:val="uk-UA"/>
              </w:rPr>
            </w:pPr>
          </w:p>
        </w:tc>
      </w:tr>
      <w:tr w:rsidR="001A0A35" w:rsidRPr="00ED35A9" w:rsidTr="001A0A35">
        <w:trPr>
          <w:trHeight w:val="430"/>
        </w:trPr>
        <w:tc>
          <w:tcPr>
            <w:tcW w:w="5954" w:type="dxa"/>
            <w:vMerge/>
          </w:tcPr>
          <w:p w:rsidR="001A0A35" w:rsidRPr="00ED35A9" w:rsidRDefault="001A0A35" w:rsidP="001A0A35">
            <w:pPr>
              <w:ind w:firstLine="0"/>
              <w:jc w:val="left"/>
              <w:rPr>
                <w:sz w:val="24"/>
                <w:szCs w:val="24"/>
                <w:lang w:val="uk-UA"/>
              </w:rPr>
            </w:pPr>
          </w:p>
        </w:tc>
        <w:tc>
          <w:tcPr>
            <w:tcW w:w="2410" w:type="dxa"/>
          </w:tcPr>
          <w:p w:rsidR="001A0A35" w:rsidRPr="00ED35A9" w:rsidRDefault="001A0A35" w:rsidP="001A0A35">
            <w:pPr>
              <w:ind w:firstLine="0"/>
              <w:jc w:val="left"/>
              <w:rPr>
                <w:sz w:val="24"/>
                <w:szCs w:val="24"/>
                <w:lang w:val="uk-UA"/>
              </w:rPr>
            </w:pPr>
            <w:r w:rsidRPr="00ED35A9">
              <w:rPr>
                <w:sz w:val="24"/>
                <w:szCs w:val="24"/>
                <w:lang w:val="uk-UA"/>
              </w:rPr>
              <w:t>6+REZ+</w:t>
            </w:r>
          </w:p>
          <w:p w:rsidR="001A0A35" w:rsidRPr="00ED35A9" w:rsidRDefault="001A0A35" w:rsidP="001A0A35">
            <w:pPr>
              <w:ind w:firstLine="0"/>
              <w:jc w:val="left"/>
              <w:rPr>
                <w:sz w:val="24"/>
                <w:szCs w:val="24"/>
                <w:lang w:val="uk-UA"/>
              </w:rPr>
            </w:pPr>
            <w:proofErr w:type="spellStart"/>
            <w:r w:rsidRPr="00ED35A9">
              <w:rPr>
                <w:sz w:val="24"/>
                <w:szCs w:val="24"/>
                <w:lang w:val="uk-UA"/>
              </w:rPr>
              <w:t>фторхінолон</w:t>
            </w:r>
            <w:proofErr w:type="spellEnd"/>
          </w:p>
        </w:tc>
        <w:tc>
          <w:tcPr>
            <w:tcW w:w="2126" w:type="dxa"/>
          </w:tcPr>
          <w:p w:rsidR="001A0A35" w:rsidRPr="00ED35A9" w:rsidRDefault="001A0A35" w:rsidP="001A0A35">
            <w:pPr>
              <w:ind w:firstLine="0"/>
              <w:jc w:val="left"/>
              <w:rPr>
                <w:sz w:val="24"/>
                <w:szCs w:val="24"/>
                <w:lang w:val="uk-UA"/>
              </w:rPr>
            </w:pPr>
            <w:r w:rsidRPr="00ED35A9">
              <w:rPr>
                <w:sz w:val="24"/>
                <w:szCs w:val="24"/>
                <w:lang w:val="uk-UA"/>
              </w:rPr>
              <w:t>6+REZ</w:t>
            </w:r>
          </w:p>
        </w:tc>
        <w:tc>
          <w:tcPr>
            <w:tcW w:w="4111" w:type="dxa"/>
            <w:vMerge/>
          </w:tcPr>
          <w:p w:rsidR="001A0A35" w:rsidRPr="00ED35A9" w:rsidRDefault="001A0A35" w:rsidP="001A0A35">
            <w:pPr>
              <w:ind w:firstLine="0"/>
              <w:jc w:val="left"/>
              <w:rPr>
                <w:sz w:val="24"/>
                <w:szCs w:val="24"/>
                <w:lang w:val="uk-UA"/>
              </w:rPr>
            </w:pPr>
          </w:p>
        </w:tc>
      </w:tr>
      <w:tr w:rsidR="001A0A35" w:rsidRPr="00ED35A9" w:rsidTr="001A0A35">
        <w:trPr>
          <w:trHeight w:val="1304"/>
        </w:trPr>
        <w:tc>
          <w:tcPr>
            <w:tcW w:w="5954" w:type="dxa"/>
            <w:vMerge/>
          </w:tcPr>
          <w:p w:rsidR="001A0A35" w:rsidRPr="00ED35A9" w:rsidRDefault="001A0A35" w:rsidP="001A0A35">
            <w:pPr>
              <w:ind w:firstLine="0"/>
              <w:jc w:val="left"/>
              <w:rPr>
                <w:sz w:val="24"/>
                <w:szCs w:val="24"/>
                <w:lang w:val="uk-UA"/>
              </w:rPr>
            </w:pPr>
          </w:p>
        </w:tc>
        <w:tc>
          <w:tcPr>
            <w:tcW w:w="2410" w:type="dxa"/>
          </w:tcPr>
          <w:p w:rsidR="001A0A35" w:rsidRPr="00ED35A9" w:rsidRDefault="001A0A35" w:rsidP="001A0A35">
            <w:pPr>
              <w:ind w:firstLine="0"/>
              <w:jc w:val="left"/>
              <w:rPr>
                <w:sz w:val="24"/>
                <w:szCs w:val="24"/>
                <w:lang w:val="uk-UA"/>
              </w:rPr>
            </w:pPr>
            <w:r w:rsidRPr="00ED35A9">
              <w:rPr>
                <w:sz w:val="24"/>
                <w:szCs w:val="24"/>
                <w:lang w:val="uk-UA"/>
              </w:rPr>
              <w:t>6+REZ+</w:t>
            </w:r>
            <w:r w:rsidRPr="00ED35A9">
              <w:rPr>
                <w:sz w:val="24"/>
                <w:szCs w:val="24"/>
                <w:lang w:val="uk-UA"/>
              </w:rPr>
              <w:br/>
              <w:t>ін’єкційний препарат</w:t>
            </w:r>
          </w:p>
        </w:tc>
        <w:tc>
          <w:tcPr>
            <w:tcW w:w="2126" w:type="dxa"/>
          </w:tcPr>
          <w:p w:rsidR="001A0A35" w:rsidRPr="00ED35A9" w:rsidRDefault="001A0A35" w:rsidP="001A0A35">
            <w:pPr>
              <w:ind w:firstLine="0"/>
              <w:jc w:val="left"/>
              <w:rPr>
                <w:sz w:val="24"/>
                <w:szCs w:val="24"/>
                <w:lang w:val="uk-UA"/>
              </w:rPr>
            </w:pPr>
            <w:r w:rsidRPr="00ED35A9">
              <w:rPr>
                <w:sz w:val="24"/>
                <w:szCs w:val="24"/>
                <w:lang w:val="uk-UA"/>
              </w:rPr>
              <w:t>6+REZ</w:t>
            </w:r>
          </w:p>
        </w:tc>
        <w:tc>
          <w:tcPr>
            <w:tcW w:w="4111" w:type="dxa"/>
            <w:vMerge/>
          </w:tcPr>
          <w:p w:rsidR="001A0A35" w:rsidRPr="00ED35A9" w:rsidRDefault="001A0A35" w:rsidP="001A0A35">
            <w:pPr>
              <w:ind w:firstLine="0"/>
              <w:jc w:val="left"/>
              <w:rPr>
                <w:sz w:val="24"/>
                <w:szCs w:val="24"/>
                <w:lang w:val="uk-UA"/>
              </w:rPr>
            </w:pPr>
          </w:p>
        </w:tc>
      </w:tr>
    </w:tbl>
    <w:p w:rsidR="001A0A35" w:rsidRPr="00ED35A9" w:rsidRDefault="001A0A35" w:rsidP="001A0A35">
      <w:pPr>
        <w:ind w:firstLine="0"/>
        <w:rPr>
          <w:sz w:val="24"/>
          <w:szCs w:val="24"/>
          <w:lang w:val="uk-UA"/>
        </w:rPr>
      </w:pPr>
      <w:r w:rsidRPr="00ED35A9">
        <w:rPr>
          <w:b/>
          <w:sz w:val="24"/>
          <w:szCs w:val="24"/>
          <w:lang w:val="uk-UA"/>
        </w:rPr>
        <w:t>Примітка.</w:t>
      </w:r>
      <w:r w:rsidRPr="00ED35A9">
        <w:rPr>
          <w:sz w:val="24"/>
          <w:szCs w:val="24"/>
          <w:lang w:val="uk-UA"/>
        </w:rPr>
        <w:t xml:space="preserve"> </w:t>
      </w:r>
      <w:proofErr w:type="spellStart"/>
      <w:r w:rsidRPr="00ED35A9">
        <w:rPr>
          <w:sz w:val="24"/>
          <w:szCs w:val="24"/>
          <w:lang w:val="uk-UA"/>
        </w:rPr>
        <w:t>Етамбутол</w:t>
      </w:r>
      <w:proofErr w:type="spellEnd"/>
      <w:r w:rsidRPr="00ED35A9">
        <w:rPr>
          <w:sz w:val="24"/>
          <w:szCs w:val="24"/>
          <w:lang w:val="uk-UA"/>
        </w:rPr>
        <w:t xml:space="preserve"> – E; </w:t>
      </w:r>
      <w:proofErr w:type="spellStart"/>
      <w:r w:rsidRPr="00ED35A9">
        <w:rPr>
          <w:sz w:val="24"/>
          <w:szCs w:val="24"/>
          <w:lang w:val="uk-UA"/>
        </w:rPr>
        <w:t>ізоніазид</w:t>
      </w:r>
      <w:proofErr w:type="spellEnd"/>
      <w:r w:rsidRPr="00ED35A9">
        <w:rPr>
          <w:sz w:val="24"/>
          <w:szCs w:val="24"/>
          <w:lang w:val="uk-UA"/>
        </w:rPr>
        <w:t xml:space="preserve"> – H; </w:t>
      </w:r>
      <w:proofErr w:type="spellStart"/>
      <w:r w:rsidRPr="00ED35A9">
        <w:rPr>
          <w:sz w:val="24"/>
          <w:szCs w:val="24"/>
          <w:lang w:val="uk-UA"/>
        </w:rPr>
        <w:t>рифампіцин</w:t>
      </w:r>
      <w:proofErr w:type="spellEnd"/>
      <w:r w:rsidRPr="00ED35A9">
        <w:rPr>
          <w:sz w:val="24"/>
          <w:szCs w:val="24"/>
          <w:lang w:val="uk-UA"/>
        </w:rPr>
        <w:t xml:space="preserve"> – R; </w:t>
      </w:r>
      <w:proofErr w:type="spellStart"/>
      <w:r w:rsidRPr="00ED35A9">
        <w:rPr>
          <w:sz w:val="24"/>
          <w:szCs w:val="24"/>
          <w:lang w:val="uk-UA"/>
        </w:rPr>
        <w:t>піразинамід</w:t>
      </w:r>
      <w:proofErr w:type="spellEnd"/>
      <w:r w:rsidRPr="00ED35A9">
        <w:rPr>
          <w:sz w:val="24"/>
          <w:szCs w:val="24"/>
          <w:lang w:val="uk-UA"/>
        </w:rPr>
        <w:t xml:space="preserve"> – Z.</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spacing w:line="228" w:lineRule="auto"/>
        <w:ind w:firstLine="0"/>
        <w:rPr>
          <w:b/>
          <w:szCs w:val="28"/>
          <w:lang w:val="uk-UA"/>
        </w:rPr>
      </w:pPr>
      <w:r w:rsidRPr="00ED35A9">
        <w:rPr>
          <w:b/>
          <w:szCs w:val="28"/>
          <w:lang w:val="uk-UA"/>
        </w:rPr>
        <w:lastRenderedPageBreak/>
        <w:t xml:space="preserve">1b. Запитання PICO з клінічної Настанови ВООЗ із лікування </w:t>
      </w:r>
      <w:proofErr w:type="spellStart"/>
      <w:r w:rsidRPr="00ED35A9">
        <w:rPr>
          <w:b/>
          <w:szCs w:val="28"/>
          <w:lang w:val="uk-UA"/>
        </w:rPr>
        <w:t>мультирезистентного</w:t>
      </w:r>
      <w:proofErr w:type="spellEnd"/>
      <w:r w:rsidRPr="00ED35A9">
        <w:rPr>
          <w:b/>
          <w:szCs w:val="28"/>
          <w:lang w:val="uk-UA"/>
        </w:rPr>
        <w:t xml:space="preserve"> та </w:t>
      </w:r>
      <w:proofErr w:type="spellStart"/>
      <w:r w:rsidRPr="00ED35A9">
        <w:rPr>
          <w:b/>
          <w:szCs w:val="28"/>
          <w:lang w:val="uk-UA"/>
        </w:rPr>
        <w:t>рифампіцин</w:t>
      </w:r>
      <w:proofErr w:type="spellEnd"/>
      <w:r w:rsidRPr="00ED35A9">
        <w:rPr>
          <w:b/>
          <w:szCs w:val="28"/>
          <w:lang w:val="uk-UA"/>
        </w:rPr>
        <w:t>-резистентного туберкульозу, оновлення 2018 р.</w:t>
      </w:r>
    </w:p>
    <w:p w:rsidR="001A0A35" w:rsidRPr="00ED35A9" w:rsidRDefault="001A0A35" w:rsidP="001A0A35">
      <w:pPr>
        <w:spacing w:after="120" w:line="228" w:lineRule="auto"/>
        <w:ind w:firstLine="0"/>
        <w:rPr>
          <w:szCs w:val="28"/>
          <w:lang w:val="uk-UA"/>
        </w:rPr>
      </w:pPr>
      <w:r w:rsidRPr="00ED35A9">
        <w:rPr>
          <w:b/>
          <w:i/>
          <w:szCs w:val="28"/>
          <w:lang w:val="uk-UA"/>
        </w:rPr>
        <w:t>Запитання 1.</w:t>
      </w:r>
      <w:r w:rsidRPr="00ED35A9">
        <w:rPr>
          <w:szCs w:val="28"/>
          <w:lang w:val="uk-UA"/>
        </w:rPr>
        <w:t xml:space="preserve"> Чи застосування короткострокової схеми лікування (9–12 міс) у пацієнтів з МР/Риф-ТБ підвищить ймовірність покращення результатів лікування порівняно із застосуванням довгострокової схеми, рекомендованим у попередніх настановах ВООЗ</w:t>
      </w:r>
      <w:r w:rsidRPr="00ED35A9">
        <w:rPr>
          <w:rStyle w:val="ac"/>
          <w:szCs w:val="28"/>
          <w:lang w:val="uk-UA"/>
        </w:rPr>
        <w:footnoteReference w:id="39"/>
      </w:r>
      <w:r w:rsidRPr="00ED35A9">
        <w:rPr>
          <w:szCs w:val="28"/>
          <w:lang w:val="uk-UA"/>
        </w:rPr>
        <w:t>?</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980"/>
        <w:gridCol w:w="3400"/>
        <w:gridCol w:w="3623"/>
      </w:tblGrid>
      <w:tr w:rsidR="001A0A35" w:rsidRPr="00ED35A9" w:rsidTr="001A0A35">
        <w:tc>
          <w:tcPr>
            <w:tcW w:w="1593"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01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15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234"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rPr>
          <w:trHeight w:val="698"/>
        </w:trPr>
        <w:tc>
          <w:tcPr>
            <w:tcW w:w="1593"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Пацієнти з МР/Риф-ТБ: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попереднього лікування із застосуванням препаратів другого ряду;</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тяжкою формою захворювання (наявність каверни на рентгені);</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із додатковою медикаментозною резистентністю (до препаратів першого та другого ряду; наявність специфічних мутацій щодо H, Z, ETO, </w:t>
            </w:r>
            <w:proofErr w:type="spellStart"/>
            <w:r w:rsidRPr="00ED35A9">
              <w:rPr>
                <w:sz w:val="24"/>
                <w:szCs w:val="24"/>
                <w:lang w:val="uk-UA"/>
              </w:rPr>
              <w:t>фторхінолонів</w:t>
            </w:r>
            <w:proofErr w:type="spellEnd"/>
            <w:r w:rsidRPr="00ED35A9">
              <w:rPr>
                <w:sz w:val="24"/>
                <w:szCs w:val="24"/>
                <w:lang w:val="uk-UA"/>
              </w:rPr>
              <w:t>, ін’єкційних препаратів тощо);</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 попереднім застосуванням </w:t>
            </w:r>
            <w:proofErr w:type="spellStart"/>
            <w:r w:rsidRPr="00ED35A9">
              <w:rPr>
                <w:sz w:val="24"/>
                <w:szCs w:val="24"/>
                <w:lang w:val="uk-UA"/>
              </w:rPr>
              <w:t>етамбутолу</w:t>
            </w:r>
            <w:proofErr w:type="spellEnd"/>
            <w:r w:rsidRPr="00ED35A9">
              <w:rPr>
                <w:sz w:val="24"/>
                <w:szCs w:val="24"/>
                <w:lang w:val="uk-UA"/>
              </w:rPr>
              <w:t xml:space="preserve">, </w:t>
            </w:r>
            <w:proofErr w:type="spellStart"/>
            <w:r w:rsidRPr="00ED35A9">
              <w:rPr>
                <w:sz w:val="24"/>
                <w:szCs w:val="24"/>
                <w:lang w:val="uk-UA"/>
              </w:rPr>
              <w:t>етіонаміду</w:t>
            </w:r>
            <w:proofErr w:type="spellEnd"/>
            <w:r w:rsidRPr="00ED35A9">
              <w:rPr>
                <w:sz w:val="24"/>
                <w:szCs w:val="24"/>
                <w:lang w:val="uk-UA"/>
              </w:rPr>
              <w:t xml:space="preserve"> або </w:t>
            </w:r>
            <w:proofErr w:type="spellStart"/>
            <w:r w:rsidRPr="00ED35A9">
              <w:rPr>
                <w:sz w:val="24"/>
                <w:szCs w:val="24"/>
                <w:lang w:val="uk-UA"/>
              </w:rPr>
              <w:t>піразинаміду</w:t>
            </w:r>
            <w:proofErr w:type="spellEnd"/>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діти (0–14 років) та дорослі</w:t>
            </w:r>
            <w:r w:rsidRPr="00ED35A9">
              <w:rPr>
                <w:sz w:val="24"/>
                <w:szCs w:val="24"/>
                <w:lang w:val="uk-UA"/>
              </w:rPr>
              <w:br/>
              <w:t>(зокрема підлітки віком 10–19 років);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вагітні жінки;</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цукровим діабетом;</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особи з </w:t>
            </w:r>
            <w:proofErr w:type="spellStart"/>
            <w:r w:rsidRPr="00ED35A9">
              <w:rPr>
                <w:sz w:val="24"/>
                <w:szCs w:val="24"/>
                <w:lang w:val="uk-UA"/>
              </w:rPr>
              <w:t>позалегеневим</w:t>
            </w:r>
            <w:proofErr w:type="spellEnd"/>
            <w:r w:rsidRPr="00ED35A9">
              <w:rPr>
                <w:sz w:val="24"/>
                <w:szCs w:val="24"/>
                <w:lang w:val="uk-UA"/>
              </w:rPr>
              <w:t xml:space="preserve"> 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недостатністю харчування.</w:t>
            </w:r>
          </w:p>
        </w:tc>
        <w:tc>
          <w:tcPr>
            <w:tcW w:w="1015"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Тривалість лікування </w:t>
            </w:r>
            <w:r w:rsidRPr="00ED35A9">
              <w:rPr>
                <w:sz w:val="24"/>
                <w:szCs w:val="24"/>
                <w:lang w:val="uk-UA"/>
              </w:rPr>
              <w:br/>
              <w:t>9–12 міс.</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Тривалість застосування ін’єкційного препарату</w:t>
            </w:r>
            <w:r w:rsidRPr="00ED35A9">
              <w:rPr>
                <w:sz w:val="24"/>
                <w:szCs w:val="24"/>
                <w:lang w:val="uk-UA"/>
              </w:rPr>
              <w:br/>
              <w:t>4–6 міс.</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Застосування комбінації препаратів (зазвичай </w:t>
            </w:r>
            <w:r w:rsidRPr="00ED35A9">
              <w:rPr>
                <w:sz w:val="24"/>
                <w:szCs w:val="24"/>
                <w:lang w:val="uk-UA"/>
              </w:rPr>
              <w:br/>
              <w:t xml:space="preserve">7 – у інтенсивній фазі та </w:t>
            </w:r>
            <w:r w:rsidRPr="00ED35A9">
              <w:rPr>
                <w:spacing w:val="-2"/>
                <w:sz w:val="24"/>
                <w:szCs w:val="24"/>
                <w:lang w:val="uk-UA"/>
              </w:rPr>
              <w:t>4–5 – у фазі продовження).</w:t>
            </w:r>
          </w:p>
        </w:tc>
        <w:tc>
          <w:tcPr>
            <w:tcW w:w="1158"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Застосування щонайменше 4 ефективних препаратів другого ряду із додаванням </w:t>
            </w:r>
            <w:proofErr w:type="spellStart"/>
            <w:r w:rsidRPr="00ED35A9">
              <w:rPr>
                <w:sz w:val="24"/>
                <w:szCs w:val="24"/>
                <w:lang w:val="uk-UA"/>
              </w:rPr>
              <w:t>піразинаміду</w:t>
            </w:r>
            <w:proofErr w:type="spellEnd"/>
            <w:r w:rsidRPr="00ED35A9">
              <w:rPr>
                <w:sz w:val="24"/>
                <w:szCs w:val="24"/>
                <w:lang w:val="uk-UA"/>
              </w:rPr>
              <w:t>.</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Застосування ін’єкційного препарату принаймні 4 міс після </w:t>
            </w:r>
            <w:proofErr w:type="spellStart"/>
            <w:r w:rsidRPr="00ED35A9">
              <w:rPr>
                <w:sz w:val="24"/>
                <w:szCs w:val="24"/>
                <w:lang w:val="uk-UA"/>
              </w:rPr>
              <w:t>культуральної</w:t>
            </w:r>
            <w:proofErr w:type="spellEnd"/>
            <w:r w:rsidRPr="00ED35A9">
              <w:rPr>
                <w:sz w:val="24"/>
                <w:szCs w:val="24"/>
                <w:lang w:val="uk-UA"/>
              </w:rPr>
              <w:t xml:space="preserve"> конверсії (при його загальній тривалості застосування 8 міс).</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Тривалість повного курсу лікування становить приблизно 20 міс, і щонайменше 18 міс – після визначення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Застосування ін’єкційного препарату до визначення конверсії мокротиння, після конверсії мокротиння – щонайменше 12 міс.</w:t>
            </w:r>
          </w:p>
        </w:tc>
        <w:tc>
          <w:tcPr>
            <w:tcW w:w="1234"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міс.</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Виникнення побічних реакцій при застосуванні ПТП.</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Набуття (посилення) медикаментозної резистентності.</w:t>
            </w:r>
          </w:p>
        </w:tc>
      </w:tr>
    </w:tbl>
    <w:p w:rsidR="001A0A35" w:rsidRPr="00ED35A9" w:rsidRDefault="001A0A35" w:rsidP="001A0A35">
      <w:pPr>
        <w:spacing w:line="228" w:lineRule="auto"/>
        <w:ind w:firstLine="0"/>
        <w:rPr>
          <w:b/>
          <w:sz w:val="24"/>
          <w:szCs w:val="24"/>
          <w:lang w:val="uk-UA"/>
        </w:rPr>
      </w:pPr>
      <w:r w:rsidRPr="00ED35A9">
        <w:rPr>
          <w:b/>
          <w:sz w:val="24"/>
          <w:szCs w:val="24"/>
          <w:lang w:val="uk-UA"/>
        </w:rPr>
        <w:t xml:space="preserve">Примітка. </w:t>
      </w:r>
      <w:proofErr w:type="spellStart"/>
      <w:r w:rsidRPr="00ED35A9">
        <w:rPr>
          <w:sz w:val="24"/>
          <w:szCs w:val="24"/>
          <w:lang w:val="uk-UA"/>
        </w:rPr>
        <w:t>Етіонамід</w:t>
      </w:r>
      <w:proofErr w:type="spellEnd"/>
      <w:r w:rsidRPr="00ED35A9">
        <w:rPr>
          <w:sz w:val="24"/>
          <w:szCs w:val="24"/>
          <w:lang w:val="uk-UA"/>
        </w:rPr>
        <w:t xml:space="preserve"> – ETO; </w:t>
      </w:r>
      <w:proofErr w:type="spellStart"/>
      <w:r w:rsidRPr="00ED35A9">
        <w:rPr>
          <w:sz w:val="24"/>
          <w:szCs w:val="24"/>
          <w:lang w:val="uk-UA"/>
        </w:rPr>
        <w:t>ізоніазид</w:t>
      </w:r>
      <w:proofErr w:type="spellEnd"/>
      <w:r w:rsidRPr="00ED35A9">
        <w:rPr>
          <w:sz w:val="24"/>
          <w:szCs w:val="24"/>
          <w:lang w:val="uk-UA"/>
        </w:rPr>
        <w:t xml:space="preserve"> – H; </w:t>
      </w:r>
      <w:proofErr w:type="spellStart"/>
      <w:r w:rsidRPr="00ED35A9">
        <w:rPr>
          <w:sz w:val="24"/>
          <w:szCs w:val="24"/>
          <w:lang w:val="uk-UA"/>
        </w:rPr>
        <w:t>піразинамід</w:t>
      </w:r>
      <w:proofErr w:type="spellEnd"/>
      <w:r w:rsidRPr="00ED35A9">
        <w:rPr>
          <w:sz w:val="24"/>
          <w:szCs w:val="24"/>
          <w:lang w:val="uk-UA"/>
        </w:rPr>
        <w:t xml:space="preserve"> – Z.</w:t>
      </w:r>
    </w:p>
    <w:p w:rsidR="001A0A35" w:rsidRPr="00ED35A9" w:rsidRDefault="001A0A35" w:rsidP="001A0A35">
      <w:pPr>
        <w:ind w:firstLine="0"/>
        <w:rPr>
          <w:szCs w:val="28"/>
          <w:lang w:val="uk-UA"/>
        </w:rPr>
        <w:sectPr w:rsidR="001A0A35" w:rsidRPr="00ED35A9" w:rsidSect="001A0A35">
          <w:type w:val="nextColumn"/>
          <w:pgSz w:w="16840" w:h="11907" w:orient="landscape" w:code="9"/>
          <w:pgMar w:top="1134" w:right="1134" w:bottom="1134" w:left="1134" w:header="0" w:footer="6" w:gutter="0"/>
          <w:cols w:space="720"/>
          <w:noEndnote/>
          <w:docGrid w:linePitch="360"/>
        </w:sectPr>
      </w:pPr>
    </w:p>
    <w:p w:rsidR="001A0A35" w:rsidRPr="00ED35A9" w:rsidRDefault="001A0A35" w:rsidP="001A0A35">
      <w:pPr>
        <w:spacing w:after="120" w:line="228" w:lineRule="auto"/>
        <w:ind w:firstLine="0"/>
        <w:rPr>
          <w:szCs w:val="28"/>
          <w:lang w:val="uk-UA"/>
        </w:rPr>
      </w:pPr>
      <w:r w:rsidRPr="00ED35A9">
        <w:rPr>
          <w:b/>
          <w:i/>
          <w:szCs w:val="28"/>
          <w:lang w:val="uk-UA"/>
        </w:rPr>
        <w:lastRenderedPageBreak/>
        <w:t>Запитання 2.</w:t>
      </w:r>
      <w:r w:rsidRPr="00ED35A9">
        <w:rPr>
          <w:szCs w:val="28"/>
          <w:lang w:val="uk-UA"/>
        </w:rPr>
        <w:t xml:space="preserve"> </w:t>
      </w:r>
      <w:r w:rsidRPr="00ED35A9">
        <w:rPr>
          <w:lang w:val="uk-UA"/>
        </w:rPr>
        <w:t>Застосування яких окремих препаратів ймовірніше покращить результат лікування пацієнтів з МР/Риф-ТБ в умовах призначення довгострокової схеми відповідно до рекомендацій ВООЗ</w:t>
      </w:r>
      <w:r w:rsidRPr="00ED35A9">
        <w:rPr>
          <w:rStyle w:val="ac"/>
          <w:lang w:val="uk-UA"/>
        </w:rPr>
        <w:footnoteReference w:id="40"/>
      </w:r>
      <w:r w:rsidRPr="00ED35A9">
        <w:rPr>
          <w:lang w:val="uk-UA"/>
        </w:rPr>
        <w:t>?</w:t>
      </w:r>
    </w:p>
    <w:tbl>
      <w:tblPr>
        <w:tblW w:w="498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2835"/>
        <w:gridCol w:w="418"/>
        <w:gridCol w:w="2843"/>
        <w:gridCol w:w="3429"/>
      </w:tblGrid>
      <w:tr w:rsidR="001A0A35" w:rsidRPr="00ED35A9" w:rsidTr="001A0A35">
        <w:tc>
          <w:tcPr>
            <w:tcW w:w="1744" w:type="pct"/>
            <w:tcMar>
              <w:left w:w="57" w:type="dxa"/>
              <w:right w:w="57" w:type="dxa"/>
            </w:tcMar>
          </w:tcPr>
          <w:p w:rsidR="001A0A35" w:rsidRPr="00ED35A9" w:rsidRDefault="001A0A35" w:rsidP="001A0A35">
            <w:pPr>
              <w:spacing w:line="228" w:lineRule="auto"/>
              <w:ind w:firstLine="0"/>
              <w:jc w:val="center"/>
              <w:rPr>
                <w:b/>
                <w:sz w:val="22"/>
                <w:lang w:val="uk-UA"/>
              </w:rPr>
            </w:pPr>
            <w:r w:rsidRPr="00ED35A9">
              <w:rPr>
                <w:b/>
                <w:sz w:val="22"/>
                <w:lang w:val="uk-UA"/>
              </w:rPr>
              <w:t>Населення</w:t>
            </w:r>
          </w:p>
        </w:tc>
        <w:tc>
          <w:tcPr>
            <w:tcW w:w="1112" w:type="pct"/>
            <w:gridSpan w:val="2"/>
            <w:tcMar>
              <w:left w:w="57" w:type="dxa"/>
              <w:right w:w="57" w:type="dxa"/>
            </w:tcMar>
          </w:tcPr>
          <w:p w:rsidR="001A0A35" w:rsidRPr="00ED35A9" w:rsidRDefault="001A0A35" w:rsidP="001A0A35">
            <w:pPr>
              <w:spacing w:line="228" w:lineRule="auto"/>
              <w:ind w:firstLine="0"/>
              <w:jc w:val="center"/>
              <w:rPr>
                <w:b/>
                <w:sz w:val="22"/>
                <w:lang w:val="uk-UA"/>
              </w:rPr>
            </w:pPr>
            <w:r w:rsidRPr="00ED35A9">
              <w:rPr>
                <w:b/>
                <w:sz w:val="22"/>
                <w:lang w:val="uk-UA"/>
              </w:rPr>
              <w:t>Втручання</w:t>
            </w:r>
          </w:p>
        </w:tc>
        <w:tc>
          <w:tcPr>
            <w:tcW w:w="972" w:type="pct"/>
            <w:tcMar>
              <w:left w:w="57" w:type="dxa"/>
              <w:right w:w="57" w:type="dxa"/>
            </w:tcMar>
          </w:tcPr>
          <w:p w:rsidR="001A0A35" w:rsidRPr="00ED35A9" w:rsidRDefault="001A0A35" w:rsidP="001A0A35">
            <w:pPr>
              <w:spacing w:line="228" w:lineRule="auto"/>
              <w:ind w:firstLine="0"/>
              <w:jc w:val="center"/>
              <w:rPr>
                <w:b/>
                <w:sz w:val="22"/>
                <w:lang w:val="uk-UA"/>
              </w:rPr>
            </w:pPr>
            <w:r w:rsidRPr="00ED35A9">
              <w:rPr>
                <w:b/>
                <w:sz w:val="22"/>
                <w:lang w:val="uk-UA"/>
              </w:rPr>
              <w:t>Компаратор</w:t>
            </w:r>
          </w:p>
        </w:tc>
        <w:tc>
          <w:tcPr>
            <w:tcW w:w="1172" w:type="pct"/>
            <w:tcMar>
              <w:left w:w="57" w:type="dxa"/>
              <w:right w:w="57" w:type="dxa"/>
            </w:tcMar>
          </w:tcPr>
          <w:p w:rsidR="001A0A35" w:rsidRPr="00ED35A9" w:rsidRDefault="001A0A35" w:rsidP="001A0A35">
            <w:pPr>
              <w:spacing w:line="228" w:lineRule="auto"/>
              <w:ind w:firstLine="0"/>
              <w:jc w:val="center"/>
              <w:rPr>
                <w:b/>
                <w:sz w:val="22"/>
                <w:lang w:val="uk-UA"/>
              </w:rPr>
            </w:pPr>
            <w:r w:rsidRPr="00ED35A9">
              <w:rPr>
                <w:b/>
                <w:sz w:val="22"/>
                <w:lang w:val="uk-UA"/>
              </w:rPr>
              <w:t>Результати</w:t>
            </w:r>
          </w:p>
        </w:tc>
      </w:tr>
      <w:tr w:rsidR="001A0A35" w:rsidRPr="00ED35A9" w:rsidTr="001A0A35">
        <w:trPr>
          <w:trHeight w:val="230"/>
        </w:trPr>
        <w:tc>
          <w:tcPr>
            <w:tcW w:w="1744" w:type="pct"/>
            <w:vMerge w:val="restart"/>
            <w:tcMar>
              <w:left w:w="57" w:type="dxa"/>
              <w:right w:w="57" w:type="dxa"/>
            </w:tcMar>
          </w:tcPr>
          <w:p w:rsidR="001A0A35" w:rsidRPr="00ED35A9" w:rsidRDefault="001A0A35" w:rsidP="001A0A35">
            <w:pPr>
              <w:spacing w:line="228" w:lineRule="auto"/>
              <w:ind w:firstLine="0"/>
              <w:jc w:val="left"/>
              <w:rPr>
                <w:sz w:val="22"/>
                <w:lang w:val="uk-UA"/>
              </w:rPr>
            </w:pPr>
            <w:r w:rsidRPr="00ED35A9">
              <w:rPr>
                <w:sz w:val="22"/>
                <w:lang w:val="uk-UA"/>
              </w:rPr>
              <w:t xml:space="preserve">Пацієнти з МР/Риф-ТБ без резистентності або </w:t>
            </w:r>
            <w:proofErr w:type="spellStart"/>
            <w:r w:rsidRPr="00ED35A9">
              <w:rPr>
                <w:sz w:val="22"/>
                <w:lang w:val="uk-UA"/>
              </w:rPr>
              <w:t>непереносності</w:t>
            </w:r>
            <w:proofErr w:type="spellEnd"/>
            <w:r w:rsidRPr="00ED35A9">
              <w:rPr>
                <w:sz w:val="22"/>
                <w:lang w:val="uk-UA"/>
              </w:rPr>
              <w:t xml:space="preserve"> препаратів другого ряду.</w:t>
            </w:r>
          </w:p>
          <w:p w:rsidR="001A0A35" w:rsidRPr="00ED35A9" w:rsidRDefault="001A0A35" w:rsidP="001A0A35">
            <w:pPr>
              <w:spacing w:before="120" w:line="228" w:lineRule="auto"/>
              <w:ind w:firstLine="0"/>
              <w:jc w:val="left"/>
              <w:rPr>
                <w:sz w:val="22"/>
                <w:lang w:val="uk-UA"/>
              </w:rPr>
            </w:pPr>
            <w:r w:rsidRPr="00ED35A9">
              <w:rPr>
                <w:sz w:val="22"/>
                <w:lang w:val="uk-UA"/>
              </w:rPr>
              <w:t xml:space="preserve">Пацієнти з МР/Риф-ТБ з резистентністю або </w:t>
            </w:r>
            <w:proofErr w:type="spellStart"/>
            <w:r w:rsidRPr="00ED35A9">
              <w:rPr>
                <w:sz w:val="22"/>
                <w:lang w:val="uk-UA"/>
              </w:rPr>
              <w:t>непереносністю</w:t>
            </w:r>
            <w:proofErr w:type="spellEnd"/>
            <w:r w:rsidRPr="00ED35A9">
              <w:rPr>
                <w:sz w:val="22"/>
                <w:lang w:val="uk-UA"/>
              </w:rPr>
              <w:t xml:space="preserve"> препаратів другого ряду:</w:t>
            </w:r>
          </w:p>
          <w:p w:rsidR="001A0A35" w:rsidRPr="00ED35A9" w:rsidRDefault="001A0A35" w:rsidP="001A0A35">
            <w:pPr>
              <w:pStyle w:val="a7"/>
              <w:numPr>
                <w:ilvl w:val="0"/>
                <w:numId w:val="13"/>
              </w:numPr>
              <w:spacing w:line="228" w:lineRule="auto"/>
              <w:ind w:left="459" w:hanging="283"/>
              <w:jc w:val="left"/>
              <w:rPr>
                <w:sz w:val="22"/>
                <w:lang w:val="uk-UA"/>
              </w:rPr>
            </w:pPr>
            <w:proofErr w:type="spellStart"/>
            <w:r w:rsidRPr="00ED35A9">
              <w:rPr>
                <w:sz w:val="22"/>
                <w:lang w:val="uk-UA"/>
              </w:rPr>
              <w:t>фторхінолонів</w:t>
            </w:r>
            <w:proofErr w:type="spellEnd"/>
            <w:r w:rsidRPr="00ED35A9">
              <w:rPr>
                <w:sz w:val="22"/>
                <w:lang w:val="uk-UA"/>
              </w:rPr>
              <w:t xml:space="preserve">, зокрема </w:t>
            </w:r>
            <w:proofErr w:type="spellStart"/>
            <w:r w:rsidRPr="00ED35A9">
              <w:rPr>
                <w:sz w:val="22"/>
                <w:lang w:val="uk-UA"/>
              </w:rPr>
              <w:t>Ofx</w:t>
            </w:r>
            <w:proofErr w:type="spellEnd"/>
            <w:r w:rsidRPr="00ED35A9">
              <w:rPr>
                <w:sz w:val="22"/>
                <w:lang w:val="uk-UA"/>
              </w:rPr>
              <w:t xml:space="preserve"> та </w:t>
            </w:r>
            <w:proofErr w:type="spellStart"/>
            <w:r w:rsidRPr="00ED35A9">
              <w:rPr>
                <w:sz w:val="22"/>
                <w:lang w:val="uk-UA"/>
              </w:rPr>
              <w:t>Cpx</w:t>
            </w:r>
            <w:proofErr w:type="spellEnd"/>
            <w:r w:rsidRPr="00ED35A9">
              <w:rPr>
                <w:sz w:val="22"/>
                <w:lang w:val="uk-UA"/>
              </w:rPr>
              <w:t xml:space="preserve"> </w:t>
            </w:r>
            <w:r w:rsidRPr="00ED35A9">
              <w:rPr>
                <w:sz w:val="22"/>
                <w:lang w:val="uk-UA"/>
              </w:rPr>
              <w:br/>
              <w:t>(за типом мутації);</w:t>
            </w:r>
          </w:p>
          <w:p w:rsidR="001A0A35" w:rsidRPr="00ED35A9" w:rsidRDefault="001A0A35" w:rsidP="001A0A35">
            <w:pPr>
              <w:pStyle w:val="a7"/>
              <w:numPr>
                <w:ilvl w:val="0"/>
                <w:numId w:val="13"/>
              </w:numPr>
              <w:spacing w:line="228" w:lineRule="auto"/>
              <w:ind w:left="459" w:hanging="283"/>
              <w:jc w:val="left"/>
              <w:rPr>
                <w:sz w:val="22"/>
                <w:lang w:val="uk-UA"/>
              </w:rPr>
            </w:pPr>
            <w:r w:rsidRPr="00ED35A9">
              <w:rPr>
                <w:sz w:val="22"/>
                <w:lang w:val="uk-UA"/>
              </w:rPr>
              <w:t xml:space="preserve">ін’єкційних препаратів другого ряду </w:t>
            </w:r>
            <w:r w:rsidRPr="00ED35A9">
              <w:rPr>
                <w:sz w:val="22"/>
                <w:lang w:val="uk-UA"/>
              </w:rPr>
              <w:br/>
              <w:t>(обох класів);</w:t>
            </w:r>
          </w:p>
          <w:p w:rsidR="001A0A35" w:rsidRPr="00ED35A9" w:rsidRDefault="001A0A35" w:rsidP="001A0A35">
            <w:pPr>
              <w:pStyle w:val="a7"/>
              <w:numPr>
                <w:ilvl w:val="0"/>
                <w:numId w:val="13"/>
              </w:numPr>
              <w:spacing w:line="228" w:lineRule="auto"/>
              <w:ind w:left="459" w:hanging="283"/>
              <w:jc w:val="left"/>
              <w:rPr>
                <w:sz w:val="22"/>
                <w:lang w:val="uk-UA"/>
              </w:rPr>
            </w:pPr>
            <w:proofErr w:type="spellStart"/>
            <w:r w:rsidRPr="00ED35A9">
              <w:rPr>
                <w:sz w:val="22"/>
                <w:lang w:val="uk-UA"/>
              </w:rPr>
              <w:t>фторхінолонів</w:t>
            </w:r>
            <w:proofErr w:type="spellEnd"/>
            <w:r w:rsidRPr="00ED35A9">
              <w:rPr>
                <w:sz w:val="22"/>
                <w:lang w:val="uk-UA"/>
              </w:rPr>
              <w:t xml:space="preserve"> та ін’єкційних препаратів другого ряду (наприклад, ТБ-ШМР±</w:t>
            </w:r>
            <w:r w:rsidRPr="00ED35A9">
              <w:rPr>
                <w:sz w:val="22"/>
                <w:lang w:val="uk-UA"/>
              </w:rPr>
              <w:br/>
              <w:t>додаткова резистентність);</w:t>
            </w:r>
          </w:p>
          <w:p w:rsidR="001A0A35" w:rsidRPr="00ED35A9" w:rsidRDefault="001A0A35" w:rsidP="001A0A35">
            <w:pPr>
              <w:pStyle w:val="a7"/>
              <w:numPr>
                <w:ilvl w:val="0"/>
                <w:numId w:val="13"/>
              </w:numPr>
              <w:spacing w:line="228" w:lineRule="auto"/>
              <w:ind w:left="459" w:hanging="283"/>
              <w:jc w:val="left"/>
              <w:rPr>
                <w:sz w:val="22"/>
                <w:lang w:val="uk-UA"/>
              </w:rPr>
            </w:pPr>
            <w:proofErr w:type="spellStart"/>
            <w:r w:rsidRPr="00ED35A9">
              <w:rPr>
                <w:sz w:val="22"/>
                <w:lang w:val="uk-UA"/>
              </w:rPr>
              <w:t>піразинаміду</w:t>
            </w:r>
            <w:proofErr w:type="spellEnd"/>
            <w:r w:rsidRPr="00ED35A9">
              <w:rPr>
                <w:sz w:val="22"/>
                <w:lang w:val="uk-UA"/>
              </w:rPr>
              <w:t>;</w:t>
            </w:r>
          </w:p>
          <w:p w:rsidR="001A0A35" w:rsidRPr="00ED35A9" w:rsidRDefault="001A0A35" w:rsidP="001A0A35">
            <w:pPr>
              <w:pStyle w:val="a7"/>
              <w:numPr>
                <w:ilvl w:val="0"/>
                <w:numId w:val="13"/>
              </w:numPr>
              <w:spacing w:line="228" w:lineRule="auto"/>
              <w:ind w:left="459" w:hanging="283"/>
              <w:jc w:val="left"/>
              <w:rPr>
                <w:sz w:val="22"/>
                <w:lang w:val="uk-UA"/>
              </w:rPr>
            </w:pPr>
            <w:r w:rsidRPr="00ED35A9">
              <w:rPr>
                <w:sz w:val="22"/>
                <w:lang w:val="uk-UA"/>
              </w:rPr>
              <w:t>препаратів групи C (</w:t>
            </w:r>
            <w:proofErr w:type="spellStart"/>
            <w:r w:rsidRPr="00ED35A9">
              <w:rPr>
                <w:sz w:val="22"/>
                <w:lang w:val="uk-UA"/>
              </w:rPr>
              <w:t>Eto</w:t>
            </w:r>
            <w:proofErr w:type="spellEnd"/>
            <w:r w:rsidRPr="00ED35A9">
              <w:rPr>
                <w:sz w:val="22"/>
                <w:lang w:val="uk-UA"/>
              </w:rPr>
              <w:t xml:space="preserve">, </w:t>
            </w:r>
            <w:proofErr w:type="spellStart"/>
            <w:r w:rsidRPr="00ED35A9">
              <w:rPr>
                <w:sz w:val="22"/>
                <w:lang w:val="uk-UA"/>
              </w:rPr>
              <w:t>Pto</w:t>
            </w:r>
            <w:proofErr w:type="spellEnd"/>
            <w:r w:rsidRPr="00ED35A9">
              <w:rPr>
                <w:sz w:val="22"/>
                <w:lang w:val="uk-UA"/>
              </w:rPr>
              <w:t xml:space="preserve">, </w:t>
            </w:r>
            <w:proofErr w:type="spellStart"/>
            <w:r w:rsidRPr="00ED35A9">
              <w:rPr>
                <w:sz w:val="22"/>
                <w:lang w:val="uk-UA"/>
              </w:rPr>
              <w:t>Cs</w:t>
            </w:r>
            <w:proofErr w:type="spellEnd"/>
            <w:r w:rsidRPr="00ED35A9">
              <w:rPr>
                <w:sz w:val="22"/>
                <w:lang w:val="uk-UA"/>
              </w:rPr>
              <w:t xml:space="preserve">, </w:t>
            </w:r>
            <w:proofErr w:type="spellStart"/>
            <w:r w:rsidRPr="00ED35A9">
              <w:rPr>
                <w:sz w:val="22"/>
                <w:lang w:val="uk-UA"/>
              </w:rPr>
              <w:t>Trd</w:t>
            </w:r>
            <w:proofErr w:type="spellEnd"/>
            <w:r w:rsidRPr="00ED35A9">
              <w:rPr>
                <w:sz w:val="22"/>
                <w:lang w:val="uk-UA"/>
              </w:rPr>
              <w:t xml:space="preserve">, </w:t>
            </w:r>
            <w:proofErr w:type="spellStart"/>
            <w:r w:rsidRPr="00ED35A9">
              <w:rPr>
                <w:sz w:val="22"/>
                <w:lang w:val="uk-UA"/>
              </w:rPr>
              <w:t>Lzd</w:t>
            </w:r>
            <w:proofErr w:type="spellEnd"/>
            <w:r w:rsidRPr="00ED35A9">
              <w:rPr>
                <w:sz w:val="22"/>
                <w:lang w:val="uk-UA"/>
              </w:rPr>
              <w:t xml:space="preserve">, </w:t>
            </w:r>
            <w:proofErr w:type="spellStart"/>
            <w:r w:rsidRPr="00ED35A9">
              <w:rPr>
                <w:sz w:val="22"/>
                <w:lang w:val="uk-UA"/>
              </w:rPr>
              <w:t>Cfz</w:t>
            </w:r>
            <w:proofErr w:type="spellEnd"/>
            <w:r w:rsidRPr="00ED35A9">
              <w:rPr>
                <w:sz w:val="22"/>
                <w:lang w:val="uk-UA"/>
              </w:rPr>
              <w:t>).</w:t>
            </w:r>
          </w:p>
          <w:p w:rsidR="001A0A35" w:rsidRPr="00ED35A9" w:rsidRDefault="001A0A35" w:rsidP="001A0A35">
            <w:pPr>
              <w:spacing w:before="120" w:line="228" w:lineRule="auto"/>
              <w:ind w:firstLine="0"/>
              <w:jc w:val="left"/>
              <w:rPr>
                <w:sz w:val="22"/>
                <w:lang w:val="uk-UA"/>
              </w:rPr>
            </w:pPr>
            <w:r w:rsidRPr="00ED35A9">
              <w:rPr>
                <w:sz w:val="22"/>
                <w:lang w:val="uk-UA"/>
              </w:rPr>
              <w:t>Діти (0–14 років) та дорослі (зокрема підлітки віком 10–19 років).</w:t>
            </w:r>
          </w:p>
          <w:p w:rsidR="001A0A35" w:rsidRPr="00ED35A9" w:rsidRDefault="001A0A35" w:rsidP="001A0A35">
            <w:pPr>
              <w:spacing w:before="120" w:line="228" w:lineRule="auto"/>
              <w:ind w:firstLine="0"/>
              <w:jc w:val="left"/>
              <w:rPr>
                <w:sz w:val="22"/>
                <w:lang w:val="uk-UA"/>
              </w:rPr>
            </w:pPr>
            <w:r w:rsidRPr="00ED35A9">
              <w:rPr>
                <w:sz w:val="22"/>
                <w:lang w:val="uk-UA"/>
              </w:rPr>
              <w:t>Особи з ВІЛ (±АРТ).</w:t>
            </w:r>
          </w:p>
          <w:p w:rsidR="001A0A35" w:rsidRPr="00ED35A9" w:rsidRDefault="001A0A35" w:rsidP="001A0A35">
            <w:pPr>
              <w:spacing w:before="120" w:line="228" w:lineRule="auto"/>
              <w:ind w:firstLine="0"/>
              <w:jc w:val="left"/>
              <w:rPr>
                <w:sz w:val="22"/>
                <w:lang w:val="uk-UA"/>
              </w:rPr>
            </w:pPr>
            <w:r w:rsidRPr="00ED35A9">
              <w:rPr>
                <w:sz w:val="22"/>
                <w:lang w:val="uk-UA"/>
              </w:rPr>
              <w:t>Вагітні жінки.</w:t>
            </w:r>
          </w:p>
          <w:p w:rsidR="001A0A35" w:rsidRPr="00ED35A9" w:rsidRDefault="001A0A35" w:rsidP="001A0A35">
            <w:pPr>
              <w:spacing w:before="120" w:line="228" w:lineRule="auto"/>
              <w:ind w:firstLine="0"/>
              <w:jc w:val="left"/>
              <w:rPr>
                <w:sz w:val="22"/>
                <w:lang w:val="uk-UA"/>
              </w:rPr>
            </w:pPr>
            <w:r w:rsidRPr="00ED35A9">
              <w:rPr>
                <w:sz w:val="22"/>
                <w:lang w:val="uk-UA"/>
              </w:rPr>
              <w:t>Особи з цукровим діабетом.</w:t>
            </w:r>
          </w:p>
          <w:p w:rsidR="001A0A35" w:rsidRPr="00ED35A9" w:rsidRDefault="001A0A35" w:rsidP="001A0A35">
            <w:pPr>
              <w:spacing w:before="120" w:line="228" w:lineRule="auto"/>
              <w:ind w:firstLine="0"/>
              <w:jc w:val="left"/>
              <w:rPr>
                <w:sz w:val="22"/>
                <w:lang w:val="uk-UA"/>
              </w:rPr>
            </w:pPr>
            <w:r w:rsidRPr="00ED35A9">
              <w:rPr>
                <w:sz w:val="22"/>
                <w:lang w:val="uk-UA"/>
              </w:rPr>
              <w:t xml:space="preserve">Особи з </w:t>
            </w:r>
            <w:proofErr w:type="spellStart"/>
            <w:r w:rsidRPr="00ED35A9">
              <w:rPr>
                <w:sz w:val="22"/>
                <w:lang w:val="uk-UA"/>
              </w:rPr>
              <w:t>позалегеневим</w:t>
            </w:r>
            <w:proofErr w:type="spellEnd"/>
            <w:r w:rsidRPr="00ED35A9">
              <w:rPr>
                <w:sz w:val="22"/>
                <w:lang w:val="uk-UA"/>
              </w:rPr>
              <w:t xml:space="preserve"> ТБ.</w:t>
            </w:r>
          </w:p>
          <w:p w:rsidR="001A0A35" w:rsidRPr="00ED35A9" w:rsidRDefault="001A0A35" w:rsidP="001A0A35">
            <w:pPr>
              <w:spacing w:before="120" w:line="228" w:lineRule="auto"/>
              <w:ind w:firstLine="0"/>
              <w:jc w:val="left"/>
              <w:rPr>
                <w:sz w:val="22"/>
                <w:lang w:val="uk-UA"/>
              </w:rPr>
            </w:pPr>
            <w:r w:rsidRPr="00ED35A9">
              <w:rPr>
                <w:sz w:val="22"/>
                <w:lang w:val="uk-UA"/>
              </w:rPr>
              <w:t>Особи з недостатністю харчування.</w:t>
            </w:r>
          </w:p>
        </w:tc>
        <w:tc>
          <w:tcPr>
            <w:tcW w:w="2084" w:type="pct"/>
            <w:gridSpan w:val="3"/>
            <w:tcMar>
              <w:left w:w="57" w:type="dxa"/>
              <w:right w:w="57" w:type="dxa"/>
            </w:tcMar>
          </w:tcPr>
          <w:p w:rsidR="001A0A35" w:rsidRPr="00ED35A9" w:rsidRDefault="001A0A35" w:rsidP="001A0A35">
            <w:pPr>
              <w:spacing w:line="228" w:lineRule="auto"/>
              <w:ind w:firstLine="0"/>
              <w:jc w:val="left"/>
              <w:rPr>
                <w:sz w:val="22"/>
                <w:lang w:val="uk-UA"/>
              </w:rPr>
            </w:pPr>
            <w:r w:rsidRPr="00ED35A9">
              <w:rPr>
                <w:sz w:val="22"/>
                <w:lang w:val="uk-UA"/>
              </w:rPr>
              <w:t>Відповідно до настанов ВООЗ схеми другого ряду включають</w:t>
            </w:r>
            <w:r w:rsidRPr="00ED35A9">
              <w:rPr>
                <w:rStyle w:val="ac"/>
                <w:sz w:val="22"/>
                <w:lang w:val="uk-UA"/>
              </w:rPr>
              <w:footnoteReference w:id="41"/>
            </w:r>
            <w:r w:rsidRPr="00ED35A9">
              <w:rPr>
                <w:sz w:val="22"/>
                <w:lang w:val="uk-UA"/>
              </w:rPr>
              <w:t>:</w:t>
            </w:r>
          </w:p>
        </w:tc>
        <w:tc>
          <w:tcPr>
            <w:tcW w:w="1172" w:type="pct"/>
            <w:vMerge w:val="restart"/>
            <w:tcMar>
              <w:left w:w="57" w:type="dxa"/>
              <w:right w:w="57" w:type="dxa"/>
            </w:tcMar>
          </w:tcPr>
          <w:p w:rsidR="001A0A35" w:rsidRPr="00ED35A9" w:rsidRDefault="001A0A35" w:rsidP="001A0A35">
            <w:pPr>
              <w:spacing w:line="228" w:lineRule="auto"/>
              <w:ind w:firstLine="0"/>
              <w:jc w:val="left"/>
              <w:rPr>
                <w:sz w:val="22"/>
                <w:lang w:val="uk-UA"/>
              </w:rPr>
            </w:pPr>
            <w:r w:rsidRPr="00ED35A9">
              <w:rPr>
                <w:sz w:val="22"/>
                <w:lang w:val="uk-UA"/>
              </w:rPr>
              <w:t xml:space="preserve">Визначення </w:t>
            </w:r>
            <w:proofErr w:type="spellStart"/>
            <w:r w:rsidRPr="00ED35A9">
              <w:rPr>
                <w:sz w:val="22"/>
                <w:lang w:val="uk-UA"/>
              </w:rPr>
              <w:t>культуральної</w:t>
            </w:r>
            <w:proofErr w:type="spellEnd"/>
            <w:r w:rsidRPr="00ED35A9">
              <w:rPr>
                <w:sz w:val="22"/>
                <w:lang w:val="uk-UA"/>
              </w:rPr>
              <w:t xml:space="preserve"> конверсії через 6 міс.</w:t>
            </w:r>
          </w:p>
          <w:p w:rsidR="001A0A35" w:rsidRPr="00ED35A9" w:rsidRDefault="001A0A35" w:rsidP="001A0A35">
            <w:pPr>
              <w:spacing w:before="120" w:line="228" w:lineRule="auto"/>
              <w:ind w:firstLine="0"/>
              <w:jc w:val="left"/>
              <w:rPr>
                <w:sz w:val="22"/>
                <w:lang w:val="uk-UA"/>
              </w:rPr>
            </w:pPr>
            <w:r w:rsidRPr="00ED35A9">
              <w:rPr>
                <w:sz w:val="22"/>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2"/>
                <w:lang w:val="uk-UA"/>
              </w:rPr>
            </w:pPr>
            <w:r w:rsidRPr="00ED35A9">
              <w:rPr>
                <w:sz w:val="22"/>
                <w:lang w:val="uk-UA"/>
              </w:rPr>
              <w:t xml:space="preserve">Отримання негативних результатів </w:t>
            </w:r>
            <w:proofErr w:type="spellStart"/>
            <w:r w:rsidRPr="00ED35A9">
              <w:rPr>
                <w:sz w:val="22"/>
                <w:lang w:val="uk-UA"/>
              </w:rPr>
              <w:t>культурального</w:t>
            </w:r>
            <w:proofErr w:type="spellEnd"/>
            <w:r w:rsidRPr="00ED35A9">
              <w:rPr>
                <w:sz w:val="22"/>
                <w:lang w:val="uk-UA"/>
              </w:rPr>
              <w:t xml:space="preserve"> дослідження наприкінці лікування.</w:t>
            </w:r>
          </w:p>
          <w:p w:rsidR="001A0A35" w:rsidRPr="00ED35A9" w:rsidRDefault="001A0A35" w:rsidP="001A0A35">
            <w:pPr>
              <w:spacing w:before="120" w:line="228" w:lineRule="auto"/>
              <w:ind w:firstLine="0"/>
              <w:jc w:val="left"/>
              <w:rPr>
                <w:sz w:val="22"/>
                <w:lang w:val="uk-UA"/>
              </w:rPr>
            </w:pPr>
            <w:r w:rsidRPr="00ED35A9">
              <w:rPr>
                <w:sz w:val="22"/>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2"/>
                <w:lang w:val="uk-UA"/>
              </w:rPr>
            </w:pPr>
            <w:r w:rsidRPr="00ED35A9">
              <w:rPr>
                <w:sz w:val="22"/>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2"/>
                <w:lang w:val="uk-UA"/>
              </w:rPr>
            </w:pPr>
            <w:r w:rsidRPr="00ED35A9">
              <w:rPr>
                <w:sz w:val="22"/>
                <w:lang w:val="uk-UA"/>
              </w:rPr>
              <w:t>Виживаність (або смертельний наслідок).</w:t>
            </w:r>
          </w:p>
          <w:p w:rsidR="001A0A35" w:rsidRPr="00ED35A9" w:rsidRDefault="001A0A35" w:rsidP="001A0A35">
            <w:pPr>
              <w:spacing w:before="120" w:line="228" w:lineRule="auto"/>
              <w:ind w:firstLine="0"/>
              <w:jc w:val="left"/>
              <w:rPr>
                <w:sz w:val="22"/>
                <w:lang w:val="uk-UA"/>
              </w:rPr>
            </w:pPr>
            <w:r w:rsidRPr="00ED35A9">
              <w:rPr>
                <w:sz w:val="22"/>
                <w:lang w:val="uk-UA"/>
              </w:rPr>
              <w:t>Виникнення побічних реакцій при застосуванні ПТП.</w:t>
            </w:r>
          </w:p>
          <w:p w:rsidR="001A0A35" w:rsidRPr="00ED35A9" w:rsidRDefault="001A0A35" w:rsidP="001A0A35">
            <w:pPr>
              <w:spacing w:before="120" w:line="228" w:lineRule="auto"/>
              <w:ind w:firstLine="0"/>
              <w:jc w:val="left"/>
              <w:rPr>
                <w:sz w:val="22"/>
                <w:lang w:val="uk-UA"/>
              </w:rPr>
            </w:pPr>
            <w:r w:rsidRPr="00ED35A9">
              <w:rPr>
                <w:sz w:val="22"/>
                <w:lang w:val="uk-UA"/>
              </w:rPr>
              <w:t>Набуття (посилення) медикаментозної резистентності.</w:t>
            </w:r>
          </w:p>
        </w:tc>
      </w:tr>
      <w:tr w:rsidR="001A0A35" w:rsidRPr="00850C2F" w:rsidTr="001A0A35">
        <w:trPr>
          <w:trHeight w:val="274"/>
        </w:trPr>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tcPr>
          <w:p w:rsidR="001A0A35" w:rsidRPr="00ED35A9" w:rsidRDefault="001A0A35" w:rsidP="001A0A35">
            <w:pPr>
              <w:spacing w:line="228" w:lineRule="auto"/>
              <w:ind w:firstLine="0"/>
              <w:jc w:val="left"/>
              <w:rPr>
                <w:sz w:val="22"/>
                <w:lang w:val="uk-UA"/>
              </w:rPr>
            </w:pPr>
            <w:proofErr w:type="spellStart"/>
            <w:r w:rsidRPr="00ED35A9">
              <w:rPr>
                <w:sz w:val="22"/>
                <w:lang w:val="uk-UA"/>
              </w:rPr>
              <w:t>фторхінолони</w:t>
            </w:r>
            <w:proofErr w:type="spellEnd"/>
            <w:r w:rsidRPr="00ED35A9">
              <w:rPr>
                <w:sz w:val="22"/>
                <w:lang w:val="uk-UA"/>
              </w:rPr>
              <w:t xml:space="preserve"> (</w:t>
            </w:r>
            <w:proofErr w:type="spellStart"/>
            <w:r w:rsidRPr="00ED35A9">
              <w:rPr>
                <w:sz w:val="22"/>
                <w:lang w:val="uk-UA"/>
              </w:rPr>
              <w:t>Mfx</w:t>
            </w:r>
            <w:proofErr w:type="spellEnd"/>
            <w:r w:rsidRPr="00ED35A9">
              <w:rPr>
                <w:sz w:val="22"/>
                <w:lang w:val="uk-UA"/>
              </w:rPr>
              <w:t>/</w:t>
            </w:r>
            <w:proofErr w:type="spellStart"/>
            <w:r w:rsidRPr="00ED35A9">
              <w:rPr>
                <w:sz w:val="22"/>
                <w:lang w:val="uk-UA"/>
              </w:rPr>
              <w:t>Lfx</w:t>
            </w:r>
            <w:proofErr w:type="spellEnd"/>
            <w:r w:rsidRPr="00ED35A9">
              <w:rPr>
                <w:sz w:val="22"/>
                <w:lang w:val="uk-UA"/>
              </w:rPr>
              <w:t>/</w:t>
            </w:r>
            <w:proofErr w:type="spellStart"/>
            <w:r w:rsidRPr="00ED35A9">
              <w:rPr>
                <w:sz w:val="22"/>
                <w:lang w:val="uk-UA"/>
              </w:rPr>
              <w:t>Gfx</w:t>
            </w:r>
            <w:proofErr w:type="spellEnd"/>
            <w:r w:rsidRPr="00ED35A9">
              <w:rPr>
                <w:sz w:val="22"/>
                <w:lang w:val="uk-UA"/>
              </w:rPr>
              <w:t>)</w:t>
            </w:r>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фторхінолонів</w:t>
            </w:r>
            <w:proofErr w:type="spellEnd"/>
            <w:r w:rsidRPr="00ED35A9">
              <w:rPr>
                <w:sz w:val="22"/>
                <w:lang w:val="uk-UA"/>
              </w:rPr>
              <w:t xml:space="preserve"> або </w:t>
            </w:r>
            <w:proofErr w:type="spellStart"/>
            <w:r w:rsidRPr="00ED35A9">
              <w:rPr>
                <w:sz w:val="22"/>
                <w:lang w:val="uk-UA"/>
              </w:rPr>
              <w:t>фторхінолон</w:t>
            </w:r>
            <w:proofErr w:type="spellEnd"/>
            <w:r w:rsidRPr="00ED35A9">
              <w:rPr>
                <w:sz w:val="22"/>
                <w:lang w:val="uk-UA"/>
              </w:rPr>
              <w:t xml:space="preserve"> іншого покоління (</w:t>
            </w:r>
            <w:proofErr w:type="spellStart"/>
            <w:r w:rsidRPr="00ED35A9">
              <w:rPr>
                <w:sz w:val="22"/>
                <w:lang w:val="uk-UA"/>
              </w:rPr>
              <w:t>Ofx</w:t>
            </w:r>
            <w:proofErr w:type="spellEnd"/>
            <w:r w:rsidRPr="00ED35A9">
              <w:rPr>
                <w:sz w:val="22"/>
                <w:lang w:val="uk-UA"/>
              </w:rPr>
              <w:t>/</w:t>
            </w:r>
            <w:proofErr w:type="spellStart"/>
            <w:r w:rsidRPr="00ED35A9">
              <w:rPr>
                <w:sz w:val="22"/>
                <w:lang w:val="uk-UA"/>
              </w:rPr>
              <w:t>Mfx</w:t>
            </w:r>
            <w:proofErr w:type="spellEnd"/>
            <w:r w:rsidRPr="00ED35A9">
              <w:rPr>
                <w:sz w:val="22"/>
                <w:lang w:val="uk-UA"/>
              </w:rPr>
              <w:t>/</w:t>
            </w:r>
            <w:proofErr w:type="spellStart"/>
            <w:r w:rsidRPr="00ED35A9">
              <w:rPr>
                <w:sz w:val="22"/>
                <w:lang w:val="uk-UA"/>
              </w:rPr>
              <w:t>Lfx</w:t>
            </w:r>
            <w:proofErr w:type="spellEnd"/>
            <w:r w:rsidRPr="00ED35A9">
              <w:rPr>
                <w:sz w:val="22"/>
                <w:lang w:val="uk-UA"/>
              </w:rPr>
              <w:t>/</w:t>
            </w:r>
            <w:proofErr w:type="spellStart"/>
            <w:r w:rsidRPr="00ED35A9">
              <w:rPr>
                <w:sz w:val="22"/>
                <w:lang w:val="uk-UA"/>
              </w:rPr>
              <w:t>Gfx</w:t>
            </w:r>
            <w:proofErr w:type="spellEnd"/>
            <w:r w:rsidRPr="00ED35A9">
              <w:rPr>
                <w:sz w:val="22"/>
                <w:lang w:val="uk-UA"/>
              </w:rPr>
              <w:t>)</w:t>
            </w:r>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850C2F" w:rsidTr="001A0A35">
        <w:trPr>
          <w:trHeight w:val="221"/>
        </w:trPr>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tcPr>
          <w:p w:rsidR="001A0A35" w:rsidRPr="00ED35A9" w:rsidRDefault="001A0A35" w:rsidP="001A0A35">
            <w:pPr>
              <w:spacing w:line="228" w:lineRule="auto"/>
              <w:ind w:firstLine="0"/>
              <w:jc w:val="left"/>
              <w:rPr>
                <w:sz w:val="22"/>
                <w:lang w:val="uk-UA"/>
              </w:rPr>
            </w:pPr>
            <w:r w:rsidRPr="00ED35A9">
              <w:rPr>
                <w:sz w:val="22"/>
                <w:lang w:val="uk-UA"/>
              </w:rPr>
              <w:t>ін’єкційні препарати (</w:t>
            </w:r>
            <w:proofErr w:type="spellStart"/>
            <w:r w:rsidRPr="00ED35A9">
              <w:rPr>
                <w:sz w:val="22"/>
                <w:lang w:val="uk-UA"/>
              </w:rPr>
              <w:t>Km</w:t>
            </w:r>
            <w:proofErr w:type="spellEnd"/>
            <w:r w:rsidRPr="00ED35A9">
              <w:rPr>
                <w:sz w:val="22"/>
                <w:lang w:val="uk-UA"/>
              </w:rPr>
              <w:t>/</w:t>
            </w:r>
            <w:proofErr w:type="spellStart"/>
            <w:r w:rsidRPr="00ED35A9">
              <w:rPr>
                <w:sz w:val="22"/>
                <w:lang w:val="uk-UA"/>
              </w:rPr>
              <w:t>Am</w:t>
            </w:r>
            <w:proofErr w:type="spellEnd"/>
            <w:r w:rsidRPr="00ED35A9">
              <w:rPr>
                <w:sz w:val="22"/>
                <w:lang w:val="uk-UA"/>
              </w:rPr>
              <w:t>/</w:t>
            </w:r>
            <w:proofErr w:type="spellStart"/>
            <w:r w:rsidRPr="00ED35A9">
              <w:rPr>
                <w:sz w:val="22"/>
                <w:lang w:val="uk-UA"/>
              </w:rPr>
              <w:t>Cm</w:t>
            </w:r>
            <w:proofErr w:type="spellEnd"/>
            <w:r w:rsidRPr="00ED35A9">
              <w:rPr>
                <w:sz w:val="22"/>
                <w:lang w:val="uk-UA"/>
              </w:rPr>
              <w:t>)</w:t>
            </w:r>
            <w:r w:rsidRPr="00ED35A9">
              <w:rPr>
                <w:rStyle w:val="ac"/>
                <w:sz w:val="22"/>
                <w:lang w:val="uk-UA"/>
              </w:rPr>
              <w:footnoteReference w:id="42"/>
            </w:r>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без ін’єкційних препаратів або інший ін’єкційний препарат (</w:t>
            </w:r>
            <w:proofErr w:type="spellStart"/>
            <w:r w:rsidRPr="00ED35A9">
              <w:rPr>
                <w:sz w:val="22"/>
                <w:lang w:val="uk-UA"/>
              </w:rPr>
              <w:t>Km</w:t>
            </w:r>
            <w:proofErr w:type="spellEnd"/>
            <w:r w:rsidRPr="00ED35A9">
              <w:rPr>
                <w:sz w:val="22"/>
                <w:lang w:val="uk-UA"/>
              </w:rPr>
              <w:t>/</w:t>
            </w:r>
            <w:proofErr w:type="spellStart"/>
            <w:r w:rsidRPr="00ED35A9">
              <w:rPr>
                <w:sz w:val="22"/>
                <w:lang w:val="uk-UA"/>
              </w:rPr>
              <w:t>Am</w:t>
            </w:r>
            <w:proofErr w:type="spellEnd"/>
            <w:r w:rsidRPr="00ED35A9">
              <w:rPr>
                <w:sz w:val="22"/>
                <w:lang w:val="uk-UA"/>
              </w:rPr>
              <w:t>/</w:t>
            </w:r>
            <w:proofErr w:type="spellStart"/>
            <w:r w:rsidRPr="00ED35A9">
              <w:rPr>
                <w:sz w:val="22"/>
                <w:lang w:val="uk-UA"/>
              </w:rPr>
              <w:t>Cm</w:t>
            </w:r>
            <w:proofErr w:type="spellEnd"/>
            <w:r w:rsidRPr="00ED35A9">
              <w:rPr>
                <w:sz w:val="22"/>
                <w:lang w:val="uk-UA"/>
              </w:rPr>
              <w:t>)</w:t>
            </w:r>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протіонамід</w:t>
            </w:r>
            <w:proofErr w:type="spellEnd"/>
            <w:r w:rsidRPr="00ED35A9">
              <w:rPr>
                <w:sz w:val="22"/>
                <w:lang w:val="uk-UA"/>
              </w:rPr>
              <w:t xml:space="preserve"> або </w:t>
            </w:r>
            <w:proofErr w:type="spellStart"/>
            <w:r w:rsidRPr="00ED35A9">
              <w:rPr>
                <w:sz w:val="22"/>
                <w:lang w:val="uk-UA"/>
              </w:rPr>
              <w:t>етіонамід</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протіонаміду</w:t>
            </w:r>
            <w:proofErr w:type="spellEnd"/>
            <w:r w:rsidRPr="00ED35A9">
              <w:rPr>
                <w:sz w:val="22"/>
                <w:lang w:val="uk-UA"/>
              </w:rPr>
              <w:t xml:space="preserve"> або </w:t>
            </w:r>
            <w:proofErr w:type="spellStart"/>
            <w:r w:rsidRPr="00ED35A9">
              <w:rPr>
                <w:sz w:val="22"/>
                <w:lang w:val="uk-UA"/>
              </w:rPr>
              <w:t>етіонаміду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циклосерін</w:t>
            </w:r>
            <w:proofErr w:type="spellEnd"/>
            <w:r w:rsidRPr="00ED35A9">
              <w:rPr>
                <w:sz w:val="22"/>
                <w:lang w:val="uk-UA"/>
              </w:rPr>
              <w:t xml:space="preserve"> або </w:t>
            </w:r>
            <w:proofErr w:type="spellStart"/>
            <w:r w:rsidRPr="00ED35A9">
              <w:rPr>
                <w:sz w:val="22"/>
                <w:lang w:val="uk-UA"/>
              </w:rPr>
              <w:t>теризидон</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циклосеріну</w:t>
            </w:r>
            <w:proofErr w:type="spellEnd"/>
            <w:r w:rsidRPr="00ED35A9">
              <w:rPr>
                <w:sz w:val="22"/>
                <w:lang w:val="uk-UA"/>
              </w:rPr>
              <w:t xml:space="preserve"> або </w:t>
            </w:r>
            <w:proofErr w:type="spellStart"/>
            <w:r w:rsidRPr="00ED35A9">
              <w:rPr>
                <w:sz w:val="22"/>
                <w:lang w:val="uk-UA"/>
              </w:rPr>
              <w:t>теризидону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лінезолід</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лінезоліду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клофазимін</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клофазиміну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піразинамід</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піразинаміду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ізоніазид</w:t>
            </w:r>
            <w:proofErr w:type="spellEnd"/>
            <w:r w:rsidRPr="00ED35A9">
              <w:rPr>
                <w:sz w:val="22"/>
                <w:lang w:val="uk-UA"/>
              </w:rPr>
              <w:t xml:space="preserve"> у високих дозах</w:t>
            </w:r>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ізоніазиду</w:t>
            </w:r>
            <w:proofErr w:type="spellEnd"/>
            <w:r w:rsidRPr="00ED35A9">
              <w:rPr>
                <w:sz w:val="22"/>
                <w:lang w:val="uk-UA"/>
              </w:rPr>
              <w:t xml:space="preserve"> у високих дозах</w:t>
            </w:r>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етамбутол</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етамбутолу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бедаквілін</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бедаквіліну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деламанід</w:t>
            </w:r>
            <w:proofErr w:type="spellEnd"/>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деламаніду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окремий препарат групи D3</w:t>
            </w:r>
            <w:r w:rsidRPr="00ED35A9">
              <w:rPr>
                <w:rStyle w:val="ac"/>
                <w:sz w:val="22"/>
                <w:lang w:val="uk-UA"/>
              </w:rPr>
              <w:footnoteReference w:id="43"/>
            </w:r>
          </w:p>
        </w:tc>
        <w:tc>
          <w:tcPr>
            <w:tcW w:w="1115" w:type="pct"/>
            <w:gridSpan w:val="2"/>
            <w:tcMar>
              <w:left w:w="57" w:type="dxa"/>
              <w:right w:w="57" w:type="dxa"/>
            </w:tcMar>
            <w:vAlign w:val="bottom"/>
          </w:tcPr>
          <w:p w:rsidR="001A0A35" w:rsidRPr="00ED35A9" w:rsidRDefault="001A0A35" w:rsidP="00D71282">
            <w:pPr>
              <w:spacing w:line="228" w:lineRule="auto"/>
              <w:ind w:firstLine="0"/>
              <w:jc w:val="left"/>
              <w:rPr>
                <w:sz w:val="22"/>
                <w:lang w:val="uk-UA"/>
              </w:rPr>
            </w:pPr>
            <w:r w:rsidRPr="00ED35A9">
              <w:rPr>
                <w:sz w:val="22"/>
                <w:lang w:val="uk-UA"/>
              </w:rPr>
              <w:t>без окремого препарату групи D3</w:t>
            </w:r>
            <w:r w:rsidR="00D71282" w:rsidRPr="00D71282">
              <w:rPr>
                <w:sz w:val="22"/>
                <w:vertAlign w:val="superscript"/>
                <w:lang w:val="uk-UA"/>
              </w:rPr>
              <w:t>42</w:t>
            </w:r>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ED35A9" w:rsidRDefault="001A0A35" w:rsidP="001A0A35">
            <w:pPr>
              <w:spacing w:line="228" w:lineRule="auto"/>
              <w:ind w:firstLine="0"/>
              <w:jc w:val="left"/>
              <w:rPr>
                <w:sz w:val="22"/>
                <w:lang w:val="uk-UA"/>
              </w:rPr>
            </w:pPr>
            <w:proofErr w:type="spellStart"/>
            <w:r w:rsidRPr="00ED35A9">
              <w:rPr>
                <w:sz w:val="22"/>
                <w:lang w:val="uk-UA"/>
              </w:rPr>
              <w:t>сутезолід</w:t>
            </w:r>
            <w:proofErr w:type="spellEnd"/>
            <w:r w:rsidRPr="00ED35A9">
              <w:rPr>
                <w:rStyle w:val="ac"/>
                <w:sz w:val="22"/>
                <w:lang w:val="uk-UA"/>
              </w:rPr>
              <w:footnoteReference w:id="44"/>
            </w:r>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сутезоліду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vAlign w:val="bottom"/>
          </w:tcPr>
          <w:p w:rsidR="001A0A35" w:rsidRPr="00D71282" w:rsidRDefault="001A0A35" w:rsidP="00D71282">
            <w:pPr>
              <w:spacing w:line="228" w:lineRule="auto"/>
              <w:ind w:firstLine="0"/>
              <w:jc w:val="left"/>
              <w:rPr>
                <w:sz w:val="22"/>
                <w:lang w:val="uk-UA"/>
              </w:rPr>
            </w:pPr>
            <w:r w:rsidRPr="00D71282">
              <w:rPr>
                <w:sz w:val="22"/>
                <w:lang w:val="uk-UA"/>
              </w:rPr>
              <w:t>інтерферон гамма</w:t>
            </w:r>
            <w:r w:rsidR="00D71282" w:rsidRPr="00D71282">
              <w:rPr>
                <w:sz w:val="22"/>
                <w:vertAlign w:val="superscript"/>
                <w:lang w:val="uk-UA"/>
              </w:rPr>
              <w:t>44</w:t>
            </w:r>
          </w:p>
        </w:tc>
        <w:tc>
          <w:tcPr>
            <w:tcW w:w="1115" w:type="pct"/>
            <w:gridSpan w:val="2"/>
            <w:tcMar>
              <w:left w:w="57" w:type="dxa"/>
              <w:right w:w="57" w:type="dxa"/>
            </w:tcMar>
            <w:vAlign w:val="bottom"/>
          </w:tcPr>
          <w:p w:rsidR="001A0A35" w:rsidRPr="00ED35A9" w:rsidRDefault="001A0A35" w:rsidP="001A0A35">
            <w:pPr>
              <w:spacing w:line="228" w:lineRule="auto"/>
              <w:ind w:firstLine="0"/>
              <w:jc w:val="left"/>
              <w:rPr>
                <w:sz w:val="22"/>
                <w:lang w:val="uk-UA"/>
              </w:rPr>
            </w:pPr>
            <w:r w:rsidRPr="00ED35A9">
              <w:rPr>
                <w:sz w:val="22"/>
                <w:lang w:val="uk-UA"/>
              </w:rPr>
              <w:t>без інтерферону гамма</w:t>
            </w:r>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r w:rsidR="001A0A35" w:rsidRPr="00ED35A9" w:rsidTr="001A0A35">
        <w:trPr>
          <w:trHeight w:val="562"/>
        </w:trPr>
        <w:tc>
          <w:tcPr>
            <w:tcW w:w="1744" w:type="pct"/>
            <w:vMerge/>
            <w:tcMar>
              <w:left w:w="57" w:type="dxa"/>
              <w:right w:w="57" w:type="dxa"/>
            </w:tcMar>
          </w:tcPr>
          <w:p w:rsidR="001A0A35" w:rsidRPr="00ED35A9" w:rsidRDefault="001A0A35" w:rsidP="001A0A35">
            <w:pPr>
              <w:spacing w:line="228" w:lineRule="auto"/>
              <w:ind w:firstLine="0"/>
              <w:jc w:val="left"/>
              <w:rPr>
                <w:sz w:val="22"/>
                <w:lang w:val="uk-UA"/>
              </w:rPr>
            </w:pPr>
          </w:p>
        </w:tc>
        <w:tc>
          <w:tcPr>
            <w:tcW w:w="969" w:type="pct"/>
            <w:tcMar>
              <w:left w:w="57" w:type="dxa"/>
              <w:right w:w="57" w:type="dxa"/>
            </w:tcMar>
          </w:tcPr>
          <w:p w:rsidR="001A0A35" w:rsidRPr="00D71282" w:rsidRDefault="001A0A35" w:rsidP="00D71282">
            <w:pPr>
              <w:spacing w:line="228" w:lineRule="auto"/>
              <w:ind w:firstLine="0"/>
              <w:jc w:val="left"/>
              <w:rPr>
                <w:sz w:val="22"/>
                <w:lang w:val="uk-UA"/>
              </w:rPr>
            </w:pPr>
            <w:proofErr w:type="spellStart"/>
            <w:r w:rsidRPr="00D71282">
              <w:rPr>
                <w:sz w:val="22"/>
                <w:lang w:val="uk-UA"/>
              </w:rPr>
              <w:t>перхлозон</w:t>
            </w:r>
            <w:proofErr w:type="spellEnd"/>
            <w:r w:rsidRPr="00D71282">
              <w:rPr>
                <w:sz w:val="22"/>
                <w:vertAlign w:val="superscript"/>
                <w:lang w:val="uk-UA"/>
              </w:rPr>
              <w:t xml:space="preserve"> 4</w:t>
            </w:r>
            <w:r w:rsidR="00D71282" w:rsidRPr="00D71282">
              <w:rPr>
                <w:sz w:val="22"/>
                <w:vertAlign w:val="superscript"/>
                <w:lang w:val="uk-UA"/>
              </w:rPr>
              <w:t>4</w:t>
            </w:r>
          </w:p>
        </w:tc>
        <w:tc>
          <w:tcPr>
            <w:tcW w:w="1115" w:type="pct"/>
            <w:gridSpan w:val="2"/>
            <w:tcMar>
              <w:left w:w="57" w:type="dxa"/>
              <w:right w:w="57" w:type="dxa"/>
            </w:tcMar>
          </w:tcPr>
          <w:p w:rsidR="001A0A35" w:rsidRPr="00ED35A9" w:rsidRDefault="001A0A35" w:rsidP="001A0A35">
            <w:pPr>
              <w:spacing w:line="228" w:lineRule="auto"/>
              <w:ind w:firstLine="0"/>
              <w:jc w:val="left"/>
              <w:rPr>
                <w:sz w:val="22"/>
                <w:lang w:val="uk-UA"/>
              </w:rPr>
            </w:pPr>
            <w:r w:rsidRPr="00ED35A9">
              <w:rPr>
                <w:sz w:val="22"/>
                <w:lang w:val="uk-UA"/>
              </w:rPr>
              <w:t xml:space="preserve">без </w:t>
            </w:r>
            <w:proofErr w:type="spellStart"/>
            <w:r w:rsidRPr="00ED35A9">
              <w:rPr>
                <w:sz w:val="22"/>
                <w:lang w:val="uk-UA"/>
              </w:rPr>
              <w:t>перхлозону</w:t>
            </w:r>
            <w:proofErr w:type="spellEnd"/>
          </w:p>
        </w:tc>
        <w:tc>
          <w:tcPr>
            <w:tcW w:w="1172" w:type="pct"/>
            <w:vMerge/>
            <w:tcMar>
              <w:left w:w="57" w:type="dxa"/>
              <w:right w:w="57" w:type="dxa"/>
            </w:tcMar>
          </w:tcPr>
          <w:p w:rsidR="001A0A35" w:rsidRPr="00ED35A9" w:rsidRDefault="001A0A35" w:rsidP="001A0A35">
            <w:pPr>
              <w:spacing w:line="228" w:lineRule="auto"/>
              <w:ind w:firstLine="0"/>
              <w:jc w:val="left"/>
              <w:rPr>
                <w:sz w:val="22"/>
                <w:lang w:val="uk-UA"/>
              </w:rPr>
            </w:pPr>
          </w:p>
        </w:tc>
      </w:tr>
    </w:tbl>
    <w:p w:rsidR="001A0A35" w:rsidRPr="00ED35A9" w:rsidRDefault="001A0A35" w:rsidP="001A0A35">
      <w:pPr>
        <w:spacing w:line="228" w:lineRule="auto"/>
        <w:ind w:firstLine="0"/>
        <w:rPr>
          <w:sz w:val="22"/>
          <w:lang w:val="uk-UA"/>
        </w:rPr>
      </w:pPr>
      <w:r w:rsidRPr="00ED35A9">
        <w:rPr>
          <w:b/>
          <w:sz w:val="22"/>
          <w:lang w:val="uk-UA"/>
        </w:rPr>
        <w:t>Примітка.</w:t>
      </w:r>
      <w:r w:rsidRPr="00ED35A9">
        <w:rPr>
          <w:sz w:val="22"/>
          <w:lang w:val="uk-UA"/>
        </w:rPr>
        <w:t xml:space="preserve"> </w:t>
      </w:r>
      <w:proofErr w:type="spellStart"/>
      <w:r w:rsidRPr="00ED35A9">
        <w:rPr>
          <w:sz w:val="22"/>
          <w:lang w:val="uk-UA"/>
        </w:rPr>
        <w:t>Амікацин</w:t>
      </w:r>
      <w:proofErr w:type="spellEnd"/>
      <w:r w:rsidRPr="00ED35A9">
        <w:rPr>
          <w:sz w:val="22"/>
          <w:lang w:val="uk-UA"/>
        </w:rPr>
        <w:t xml:space="preserve"> – </w:t>
      </w:r>
      <w:proofErr w:type="spellStart"/>
      <w:r w:rsidRPr="00ED35A9">
        <w:rPr>
          <w:sz w:val="22"/>
          <w:lang w:val="uk-UA"/>
        </w:rPr>
        <w:t>Am</w:t>
      </w:r>
      <w:proofErr w:type="spellEnd"/>
      <w:r w:rsidRPr="00ED35A9">
        <w:rPr>
          <w:sz w:val="22"/>
          <w:lang w:val="uk-UA"/>
        </w:rPr>
        <w:t xml:space="preserve">; </w:t>
      </w:r>
      <w:proofErr w:type="spellStart"/>
      <w:r w:rsidRPr="00ED35A9">
        <w:rPr>
          <w:sz w:val="22"/>
          <w:lang w:val="uk-UA"/>
        </w:rPr>
        <w:t>капреоміцин</w:t>
      </w:r>
      <w:proofErr w:type="spellEnd"/>
      <w:r w:rsidRPr="00ED35A9">
        <w:rPr>
          <w:sz w:val="22"/>
          <w:lang w:val="uk-UA"/>
        </w:rPr>
        <w:t xml:space="preserve"> – </w:t>
      </w:r>
      <w:proofErr w:type="spellStart"/>
      <w:r w:rsidRPr="00ED35A9">
        <w:rPr>
          <w:sz w:val="22"/>
          <w:lang w:val="uk-UA"/>
        </w:rPr>
        <w:t>Cm</w:t>
      </w:r>
      <w:proofErr w:type="spellEnd"/>
      <w:r w:rsidRPr="00ED35A9">
        <w:rPr>
          <w:sz w:val="22"/>
          <w:lang w:val="uk-UA"/>
        </w:rPr>
        <w:t xml:space="preserve">; </w:t>
      </w:r>
      <w:proofErr w:type="spellStart"/>
      <w:r w:rsidRPr="00ED35A9">
        <w:rPr>
          <w:sz w:val="22"/>
          <w:lang w:val="uk-UA"/>
        </w:rPr>
        <w:t>ципрофлоксацин</w:t>
      </w:r>
      <w:proofErr w:type="spellEnd"/>
      <w:r w:rsidRPr="00ED35A9">
        <w:rPr>
          <w:sz w:val="22"/>
          <w:lang w:val="uk-UA"/>
        </w:rPr>
        <w:t xml:space="preserve"> – </w:t>
      </w:r>
      <w:proofErr w:type="spellStart"/>
      <w:r w:rsidRPr="00ED35A9">
        <w:rPr>
          <w:sz w:val="22"/>
          <w:lang w:val="uk-UA"/>
        </w:rPr>
        <w:t>Cpx</w:t>
      </w:r>
      <w:proofErr w:type="spellEnd"/>
      <w:r w:rsidRPr="00ED35A9">
        <w:rPr>
          <w:sz w:val="22"/>
          <w:lang w:val="uk-UA"/>
        </w:rPr>
        <w:t xml:space="preserve">; </w:t>
      </w:r>
      <w:proofErr w:type="spellStart"/>
      <w:r w:rsidRPr="00ED35A9">
        <w:rPr>
          <w:sz w:val="22"/>
          <w:lang w:val="uk-UA"/>
        </w:rPr>
        <w:t>етіонамід</w:t>
      </w:r>
      <w:proofErr w:type="spellEnd"/>
      <w:r w:rsidRPr="00ED35A9">
        <w:rPr>
          <w:sz w:val="22"/>
          <w:lang w:val="uk-UA"/>
        </w:rPr>
        <w:t xml:space="preserve"> – </w:t>
      </w:r>
      <w:proofErr w:type="spellStart"/>
      <w:r w:rsidRPr="00ED35A9">
        <w:rPr>
          <w:sz w:val="22"/>
          <w:lang w:val="uk-UA"/>
        </w:rPr>
        <w:t>Eto</w:t>
      </w:r>
      <w:proofErr w:type="spellEnd"/>
      <w:r w:rsidRPr="00ED35A9">
        <w:rPr>
          <w:sz w:val="22"/>
          <w:lang w:val="uk-UA"/>
        </w:rPr>
        <w:t xml:space="preserve">; </w:t>
      </w:r>
      <w:proofErr w:type="spellStart"/>
      <w:r w:rsidRPr="00ED35A9">
        <w:rPr>
          <w:sz w:val="22"/>
          <w:lang w:val="uk-UA"/>
        </w:rPr>
        <w:t>ізоніазид</w:t>
      </w:r>
      <w:proofErr w:type="spellEnd"/>
      <w:r w:rsidRPr="00ED35A9">
        <w:rPr>
          <w:sz w:val="22"/>
          <w:lang w:val="uk-UA"/>
        </w:rPr>
        <w:t xml:space="preserve"> – H; </w:t>
      </w:r>
      <w:proofErr w:type="spellStart"/>
      <w:r w:rsidRPr="00ED35A9">
        <w:rPr>
          <w:sz w:val="22"/>
          <w:lang w:val="uk-UA"/>
        </w:rPr>
        <w:t>гатіфлоксацин</w:t>
      </w:r>
      <w:proofErr w:type="spellEnd"/>
      <w:r w:rsidRPr="00ED35A9">
        <w:rPr>
          <w:sz w:val="22"/>
          <w:lang w:val="uk-UA"/>
        </w:rPr>
        <w:t xml:space="preserve"> – </w:t>
      </w:r>
      <w:proofErr w:type="spellStart"/>
      <w:r w:rsidRPr="00ED35A9">
        <w:rPr>
          <w:sz w:val="22"/>
          <w:lang w:val="uk-UA"/>
        </w:rPr>
        <w:t>Gfx</w:t>
      </w:r>
      <w:proofErr w:type="spellEnd"/>
      <w:r w:rsidRPr="00ED35A9">
        <w:rPr>
          <w:sz w:val="22"/>
          <w:lang w:val="uk-UA"/>
        </w:rPr>
        <w:t xml:space="preserve">; </w:t>
      </w:r>
      <w:proofErr w:type="spellStart"/>
      <w:r w:rsidRPr="00ED35A9">
        <w:rPr>
          <w:sz w:val="22"/>
          <w:lang w:val="uk-UA"/>
        </w:rPr>
        <w:t>канаміцин</w:t>
      </w:r>
      <w:proofErr w:type="spellEnd"/>
      <w:r w:rsidRPr="00ED35A9">
        <w:rPr>
          <w:sz w:val="22"/>
          <w:lang w:val="uk-UA"/>
        </w:rPr>
        <w:t xml:space="preserve"> – </w:t>
      </w:r>
      <w:proofErr w:type="spellStart"/>
      <w:r w:rsidRPr="00ED35A9">
        <w:rPr>
          <w:sz w:val="22"/>
          <w:lang w:val="uk-UA"/>
        </w:rPr>
        <w:t>Km</w:t>
      </w:r>
      <w:proofErr w:type="spellEnd"/>
      <w:r w:rsidRPr="00ED35A9">
        <w:rPr>
          <w:sz w:val="22"/>
          <w:lang w:val="uk-UA"/>
        </w:rPr>
        <w:t xml:space="preserve">; </w:t>
      </w:r>
      <w:proofErr w:type="spellStart"/>
      <w:r w:rsidRPr="00ED35A9">
        <w:rPr>
          <w:sz w:val="22"/>
          <w:lang w:val="uk-UA"/>
        </w:rPr>
        <w:t>левофлоксацин</w:t>
      </w:r>
      <w:proofErr w:type="spellEnd"/>
      <w:r w:rsidRPr="00ED35A9">
        <w:rPr>
          <w:sz w:val="22"/>
          <w:lang w:val="uk-UA"/>
        </w:rPr>
        <w:t xml:space="preserve">– </w:t>
      </w:r>
      <w:proofErr w:type="spellStart"/>
      <w:r w:rsidRPr="00ED35A9">
        <w:rPr>
          <w:sz w:val="22"/>
          <w:lang w:val="uk-UA"/>
        </w:rPr>
        <w:t>Lfx</w:t>
      </w:r>
      <w:proofErr w:type="spellEnd"/>
      <w:r w:rsidRPr="00ED35A9">
        <w:rPr>
          <w:sz w:val="22"/>
          <w:lang w:val="uk-UA"/>
        </w:rPr>
        <w:t xml:space="preserve">; </w:t>
      </w:r>
      <w:proofErr w:type="spellStart"/>
      <w:r w:rsidRPr="00ED35A9">
        <w:rPr>
          <w:sz w:val="22"/>
          <w:lang w:val="uk-UA"/>
        </w:rPr>
        <w:t>моксіфлоксацин</w:t>
      </w:r>
      <w:proofErr w:type="spellEnd"/>
      <w:r w:rsidRPr="00ED35A9">
        <w:rPr>
          <w:sz w:val="22"/>
          <w:lang w:val="uk-UA"/>
        </w:rPr>
        <w:t xml:space="preserve"> – </w:t>
      </w:r>
      <w:proofErr w:type="spellStart"/>
      <w:r w:rsidRPr="00ED35A9">
        <w:rPr>
          <w:sz w:val="22"/>
          <w:lang w:val="uk-UA"/>
        </w:rPr>
        <w:t>Mfx</w:t>
      </w:r>
      <w:proofErr w:type="spellEnd"/>
      <w:r w:rsidRPr="00ED35A9">
        <w:rPr>
          <w:sz w:val="22"/>
          <w:lang w:val="uk-UA"/>
        </w:rPr>
        <w:t xml:space="preserve">; </w:t>
      </w:r>
      <w:proofErr w:type="spellStart"/>
      <w:r w:rsidRPr="00ED35A9">
        <w:rPr>
          <w:sz w:val="22"/>
          <w:lang w:val="uk-UA"/>
        </w:rPr>
        <w:t>офлоксацин</w:t>
      </w:r>
      <w:proofErr w:type="spellEnd"/>
      <w:r w:rsidRPr="00ED35A9">
        <w:rPr>
          <w:sz w:val="22"/>
          <w:lang w:val="uk-UA"/>
        </w:rPr>
        <w:t xml:space="preserve"> – </w:t>
      </w:r>
      <w:proofErr w:type="spellStart"/>
      <w:r w:rsidRPr="00ED35A9">
        <w:rPr>
          <w:sz w:val="22"/>
          <w:lang w:val="uk-UA"/>
        </w:rPr>
        <w:t>Ofx</w:t>
      </w:r>
      <w:proofErr w:type="spellEnd"/>
      <w:r w:rsidRPr="00ED35A9">
        <w:rPr>
          <w:sz w:val="22"/>
          <w:lang w:val="uk-UA"/>
        </w:rPr>
        <w:t xml:space="preserve">; </w:t>
      </w:r>
      <w:proofErr w:type="spellStart"/>
      <w:r w:rsidRPr="00ED35A9">
        <w:rPr>
          <w:sz w:val="22"/>
          <w:lang w:val="uk-UA"/>
        </w:rPr>
        <w:t>піразинамід</w:t>
      </w:r>
      <w:proofErr w:type="spellEnd"/>
      <w:r w:rsidRPr="00ED35A9">
        <w:rPr>
          <w:sz w:val="22"/>
          <w:lang w:val="uk-UA"/>
        </w:rPr>
        <w:t xml:space="preserve"> – Z.</w:t>
      </w:r>
    </w:p>
    <w:p w:rsidR="001A0A35" w:rsidRPr="00ED35A9" w:rsidRDefault="001A0A35" w:rsidP="001A0A35">
      <w:pPr>
        <w:spacing w:line="228" w:lineRule="auto"/>
        <w:ind w:firstLine="0"/>
        <w:rPr>
          <w:sz w:val="22"/>
          <w:lang w:val="uk-UA"/>
        </w:rPr>
        <w:sectPr w:rsidR="001A0A35" w:rsidRPr="00ED35A9" w:rsidSect="001A0A35">
          <w:type w:val="nextColumn"/>
          <w:pgSz w:w="16840" w:h="11907" w:orient="landscape" w:code="9"/>
          <w:pgMar w:top="1134" w:right="1134" w:bottom="1134" w:left="1134" w:header="0" w:footer="6" w:gutter="0"/>
          <w:cols w:space="720"/>
          <w:noEndnote/>
          <w:docGrid w:linePitch="360"/>
        </w:sectPr>
      </w:pPr>
    </w:p>
    <w:p w:rsidR="001A0A35" w:rsidRPr="00ED35A9" w:rsidRDefault="001A0A35" w:rsidP="001A0A35">
      <w:pPr>
        <w:spacing w:after="120"/>
        <w:ind w:firstLine="0"/>
        <w:rPr>
          <w:szCs w:val="28"/>
          <w:lang w:val="uk-UA"/>
        </w:rPr>
      </w:pPr>
      <w:r w:rsidRPr="00ED35A9">
        <w:rPr>
          <w:b/>
          <w:i/>
          <w:szCs w:val="28"/>
          <w:lang w:val="uk-UA"/>
        </w:rPr>
        <w:lastRenderedPageBreak/>
        <w:t>Запитання 3.</w:t>
      </w:r>
      <w:r w:rsidRPr="00ED35A9">
        <w:rPr>
          <w:szCs w:val="28"/>
          <w:lang w:val="uk-UA"/>
        </w:rPr>
        <w:t xml:space="preserve"> </w:t>
      </w:r>
      <w:r w:rsidRPr="00ED35A9">
        <w:rPr>
          <w:lang w:val="uk-UA"/>
        </w:rPr>
        <w:t>Чи буде безпечним покращення результатів лікування у пацієнтів з МР/Риф-ТБ на довгострокових схемах, складених відповідно до рекомендацій ВООЗ, коли ефективних препаратів в інтенсивній фазі лікування менше або більше п’яти</w:t>
      </w:r>
      <w:r w:rsidRPr="00ED35A9">
        <w:rPr>
          <w:rStyle w:val="ac"/>
          <w:lang w:val="uk-UA"/>
        </w:rPr>
        <w:footnoteReference w:id="45"/>
      </w:r>
      <w:r w:rsidRPr="00ED35A9">
        <w:rPr>
          <w:lang w:val="uk-UA"/>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0"/>
        <w:gridCol w:w="3902"/>
        <w:gridCol w:w="2552"/>
        <w:gridCol w:w="4678"/>
      </w:tblGrid>
      <w:tr w:rsidR="001A0A35" w:rsidRPr="00ED35A9" w:rsidTr="001A0A35">
        <w:tc>
          <w:tcPr>
            <w:tcW w:w="118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336"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874"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 (поточні рекомендації ВООЗ)</w:t>
            </w:r>
          </w:p>
        </w:tc>
        <w:tc>
          <w:tcPr>
            <w:tcW w:w="1602"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rPr>
          <w:trHeight w:val="5510"/>
        </w:trPr>
        <w:tc>
          <w:tcPr>
            <w:tcW w:w="1188" w:type="pct"/>
            <w:tcBorders>
              <w:bottom w:val="single" w:sz="4" w:space="0" w:color="auto"/>
            </w:tcBorders>
          </w:tcPr>
          <w:p w:rsidR="001A0A35" w:rsidRPr="00ED35A9" w:rsidRDefault="001A0A35" w:rsidP="001A0A35">
            <w:pPr>
              <w:ind w:firstLine="0"/>
              <w:rPr>
                <w:sz w:val="24"/>
                <w:szCs w:val="24"/>
                <w:lang w:val="uk-UA"/>
              </w:rPr>
            </w:pPr>
            <w:bookmarkStart w:id="90" w:name="bookmark103"/>
            <w:r w:rsidRPr="00ED35A9">
              <w:rPr>
                <w:sz w:val="24"/>
                <w:szCs w:val="24"/>
                <w:lang w:val="uk-UA"/>
              </w:rPr>
              <w:t>Пацієнти з МР/Риф-ТБ</w:t>
            </w:r>
            <w:bookmarkEnd w:id="90"/>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w:t>
            </w:r>
            <w:r w:rsidRPr="00ED35A9">
              <w:rPr>
                <w:sz w:val="24"/>
                <w:szCs w:val="24"/>
                <w:lang w:val="uk-UA"/>
              </w:rPr>
              <w:br/>
              <w:t>ТБ-ШМР;</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тяжкою формою захворювання (наявність каверни на рентгені або SS+);</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застосування </w:t>
            </w:r>
            <w:proofErr w:type="spellStart"/>
            <w:r w:rsidRPr="00ED35A9">
              <w:rPr>
                <w:sz w:val="24"/>
                <w:szCs w:val="24"/>
                <w:lang w:val="uk-UA"/>
              </w:rPr>
              <w:t>бедаквіліну</w:t>
            </w:r>
            <w:proofErr w:type="spellEnd"/>
            <w:r w:rsidRPr="00ED35A9">
              <w:rPr>
                <w:sz w:val="24"/>
                <w:szCs w:val="24"/>
                <w:lang w:val="uk-UA"/>
              </w:rPr>
              <w:t xml:space="preserve">, </w:t>
            </w:r>
            <w:proofErr w:type="spellStart"/>
            <w:r w:rsidRPr="00ED35A9">
              <w:rPr>
                <w:sz w:val="24"/>
                <w:szCs w:val="24"/>
                <w:lang w:val="uk-UA"/>
              </w:rPr>
              <w:t>деламаніду</w:t>
            </w:r>
            <w:proofErr w:type="spellEnd"/>
            <w:r w:rsidRPr="00ED35A9">
              <w:rPr>
                <w:sz w:val="24"/>
                <w:szCs w:val="24"/>
                <w:lang w:val="uk-UA"/>
              </w:rPr>
              <w:t xml:space="preserve"> або інших окремих препаратів понад 6 міс;</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діти (0–14 років) та дорослі (зокрема підлітки віком 10–19 років);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вагітні жінки;</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цукровим діабетом;</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особи з </w:t>
            </w:r>
            <w:proofErr w:type="spellStart"/>
            <w:r w:rsidRPr="00ED35A9">
              <w:rPr>
                <w:sz w:val="24"/>
                <w:szCs w:val="24"/>
                <w:lang w:val="uk-UA"/>
              </w:rPr>
              <w:t>позалегеневим</w:t>
            </w:r>
            <w:proofErr w:type="spellEnd"/>
            <w:r w:rsidRPr="00ED35A9">
              <w:rPr>
                <w:sz w:val="24"/>
                <w:szCs w:val="24"/>
                <w:lang w:val="uk-UA"/>
              </w:rPr>
              <w:t xml:space="preserve"> 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недостатністю харчування.</w:t>
            </w:r>
          </w:p>
        </w:tc>
        <w:tc>
          <w:tcPr>
            <w:tcW w:w="1336" w:type="pct"/>
          </w:tcPr>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Більше препаратів: інтенсивна фаза з &gt;5 ПТП імовірно буде ефективною; фаза продовження є ефективною; фаза продовження з 4 або більше препаратів ймовірно буде ефективною.</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Менше препаратів: інтенсивна фаза з 4 препаратів; фаза продовження з 3 препаратів.</w:t>
            </w:r>
          </w:p>
          <w:p w:rsidR="001A0A35" w:rsidRPr="00ED35A9" w:rsidRDefault="001A0A35" w:rsidP="001A0A35">
            <w:pPr>
              <w:spacing w:before="120"/>
              <w:ind w:firstLine="0"/>
              <w:jc w:val="left"/>
              <w:rPr>
                <w:sz w:val="24"/>
                <w:szCs w:val="24"/>
                <w:lang w:val="uk-UA"/>
              </w:rPr>
            </w:pPr>
            <w:r w:rsidRPr="00ED35A9">
              <w:rPr>
                <w:sz w:val="24"/>
                <w:szCs w:val="24"/>
                <w:lang w:val="uk-UA"/>
              </w:rPr>
              <w:t>Зазначення групи ПТП (А, В, C, D1, D2, D3) та ймовірної ефективності.</w:t>
            </w:r>
          </w:p>
        </w:tc>
        <w:tc>
          <w:tcPr>
            <w:tcW w:w="874" w:type="pct"/>
            <w:tcBorders>
              <w:bottom w:val="single" w:sz="4" w:space="0" w:color="auto"/>
            </w:tcBorders>
          </w:tcPr>
          <w:p w:rsidR="001A0A35" w:rsidRPr="00ED35A9" w:rsidRDefault="001A0A35" w:rsidP="001A0A35">
            <w:pPr>
              <w:ind w:firstLine="0"/>
              <w:jc w:val="left"/>
              <w:rPr>
                <w:sz w:val="24"/>
                <w:szCs w:val="24"/>
                <w:lang w:val="uk-UA"/>
              </w:rPr>
            </w:pPr>
            <w:r w:rsidRPr="00ED35A9">
              <w:rPr>
                <w:sz w:val="24"/>
                <w:szCs w:val="24"/>
                <w:lang w:val="uk-UA"/>
              </w:rPr>
              <w:t>Інтенсивна фаза з 5 препаратів ймовірно буде ефективною; фаза продовження з 4 препаратів ймовірно буде ефективною.</w:t>
            </w:r>
          </w:p>
        </w:tc>
        <w:tc>
          <w:tcPr>
            <w:tcW w:w="1602" w:type="pct"/>
            <w:tcBorders>
              <w:bottom w:val="single" w:sz="4" w:space="0" w:color="auto"/>
            </w:tcBorders>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міс.</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Виникнення побічних реакцій при застосуванні ПТП.</w:t>
            </w:r>
          </w:p>
          <w:p w:rsidR="001A0A35" w:rsidRPr="00ED35A9" w:rsidRDefault="001A0A35" w:rsidP="001A0A35">
            <w:pPr>
              <w:spacing w:before="120"/>
              <w:ind w:firstLine="0"/>
              <w:jc w:val="left"/>
              <w:rPr>
                <w:sz w:val="24"/>
                <w:szCs w:val="24"/>
                <w:lang w:val="uk-UA"/>
              </w:rPr>
            </w:pPr>
            <w:r w:rsidRPr="00ED35A9">
              <w:rPr>
                <w:sz w:val="24"/>
                <w:szCs w:val="24"/>
                <w:lang w:val="uk-UA"/>
              </w:rPr>
              <w:t>Набуття (посилення) медикаментозної резистентності.</w:t>
            </w:r>
          </w:p>
        </w:tc>
      </w:tr>
    </w:tbl>
    <w:p w:rsidR="001A0A35" w:rsidRPr="00ED35A9" w:rsidRDefault="001A0A35" w:rsidP="001A0A35">
      <w:pPr>
        <w:ind w:firstLine="0"/>
        <w:rPr>
          <w:sz w:val="24"/>
          <w:szCs w:val="24"/>
          <w:lang w:val="uk-UA"/>
        </w:rPr>
      </w:pPr>
      <w:r w:rsidRPr="00ED35A9">
        <w:rPr>
          <w:b/>
          <w:sz w:val="24"/>
          <w:szCs w:val="24"/>
          <w:lang w:val="uk-UA"/>
        </w:rPr>
        <w:t>Примітка.</w:t>
      </w:r>
      <w:r w:rsidRPr="00ED35A9">
        <w:rPr>
          <w:sz w:val="24"/>
          <w:szCs w:val="24"/>
          <w:lang w:val="uk-UA"/>
        </w:rPr>
        <w:t xml:space="preserve"> SS+ – позитивний результат мікроскопії мокротиння; препарати групи A: </w:t>
      </w:r>
      <w:proofErr w:type="spellStart"/>
      <w:r w:rsidRPr="00ED35A9">
        <w:rPr>
          <w:sz w:val="24"/>
          <w:szCs w:val="24"/>
          <w:lang w:val="uk-UA"/>
        </w:rPr>
        <w:t>левофлоксацин</w:t>
      </w:r>
      <w:proofErr w:type="spellEnd"/>
      <w:r w:rsidRPr="00ED35A9">
        <w:rPr>
          <w:sz w:val="24"/>
          <w:szCs w:val="24"/>
          <w:lang w:val="uk-UA"/>
        </w:rPr>
        <w:t xml:space="preserve">, </w:t>
      </w:r>
      <w:proofErr w:type="spellStart"/>
      <w:r w:rsidRPr="00ED35A9">
        <w:rPr>
          <w:sz w:val="24"/>
          <w:szCs w:val="24"/>
          <w:lang w:val="uk-UA"/>
        </w:rPr>
        <w:t>моксіфлоксацин</w:t>
      </w:r>
      <w:proofErr w:type="spellEnd"/>
      <w:r w:rsidRPr="00ED35A9">
        <w:rPr>
          <w:sz w:val="24"/>
          <w:szCs w:val="24"/>
          <w:lang w:val="uk-UA"/>
        </w:rPr>
        <w:t xml:space="preserve">, </w:t>
      </w:r>
      <w:proofErr w:type="spellStart"/>
      <w:r w:rsidRPr="00ED35A9">
        <w:rPr>
          <w:sz w:val="24"/>
          <w:szCs w:val="24"/>
          <w:lang w:val="uk-UA"/>
        </w:rPr>
        <w:t>гатіфлоксацин</w:t>
      </w:r>
      <w:proofErr w:type="spellEnd"/>
      <w:r w:rsidRPr="00ED35A9">
        <w:rPr>
          <w:sz w:val="24"/>
          <w:szCs w:val="24"/>
          <w:lang w:val="uk-UA"/>
        </w:rPr>
        <w:t xml:space="preserve">; препарати групи В: </w:t>
      </w:r>
      <w:proofErr w:type="spellStart"/>
      <w:r w:rsidRPr="00ED35A9">
        <w:rPr>
          <w:sz w:val="24"/>
          <w:szCs w:val="24"/>
          <w:lang w:val="uk-UA"/>
        </w:rPr>
        <w:t>амікацин</w:t>
      </w:r>
      <w:proofErr w:type="spellEnd"/>
      <w:r w:rsidRPr="00ED35A9">
        <w:rPr>
          <w:sz w:val="24"/>
          <w:szCs w:val="24"/>
          <w:lang w:val="uk-UA"/>
        </w:rPr>
        <w:t xml:space="preserve">, </w:t>
      </w:r>
      <w:proofErr w:type="spellStart"/>
      <w:r w:rsidRPr="00ED35A9">
        <w:rPr>
          <w:sz w:val="24"/>
          <w:szCs w:val="24"/>
          <w:lang w:val="uk-UA"/>
        </w:rPr>
        <w:t>капреоміцин</w:t>
      </w:r>
      <w:proofErr w:type="spellEnd"/>
      <w:r w:rsidRPr="00ED35A9">
        <w:rPr>
          <w:sz w:val="24"/>
          <w:szCs w:val="24"/>
          <w:lang w:val="uk-UA"/>
        </w:rPr>
        <w:t xml:space="preserve">, </w:t>
      </w:r>
      <w:proofErr w:type="spellStart"/>
      <w:r w:rsidRPr="00ED35A9">
        <w:rPr>
          <w:sz w:val="24"/>
          <w:szCs w:val="24"/>
          <w:lang w:val="uk-UA"/>
        </w:rPr>
        <w:t>канаміцин</w:t>
      </w:r>
      <w:proofErr w:type="spellEnd"/>
      <w:r w:rsidRPr="00ED35A9">
        <w:rPr>
          <w:sz w:val="24"/>
          <w:szCs w:val="24"/>
          <w:lang w:val="uk-UA"/>
        </w:rPr>
        <w:t xml:space="preserve">, (стрептоміцин); препарати групи C: </w:t>
      </w:r>
      <w:proofErr w:type="spellStart"/>
      <w:r w:rsidRPr="00ED35A9">
        <w:rPr>
          <w:sz w:val="24"/>
          <w:szCs w:val="24"/>
          <w:lang w:val="uk-UA"/>
        </w:rPr>
        <w:t>етіонамід</w:t>
      </w:r>
      <w:proofErr w:type="spellEnd"/>
      <w:r w:rsidRPr="00ED35A9">
        <w:rPr>
          <w:sz w:val="24"/>
          <w:szCs w:val="24"/>
          <w:lang w:val="uk-UA"/>
        </w:rPr>
        <w:t>/</w:t>
      </w:r>
      <w:proofErr w:type="spellStart"/>
      <w:r w:rsidRPr="00ED35A9">
        <w:rPr>
          <w:sz w:val="24"/>
          <w:szCs w:val="24"/>
          <w:lang w:val="uk-UA"/>
        </w:rPr>
        <w:t>протіонамід</w:t>
      </w:r>
      <w:proofErr w:type="spellEnd"/>
      <w:r w:rsidRPr="00ED35A9">
        <w:rPr>
          <w:sz w:val="24"/>
          <w:szCs w:val="24"/>
          <w:lang w:val="uk-UA"/>
        </w:rPr>
        <w:t xml:space="preserve">, </w:t>
      </w:r>
      <w:proofErr w:type="spellStart"/>
      <w:r w:rsidRPr="00ED35A9">
        <w:rPr>
          <w:sz w:val="24"/>
          <w:szCs w:val="24"/>
          <w:lang w:val="uk-UA"/>
        </w:rPr>
        <w:t>циклосерін</w:t>
      </w:r>
      <w:proofErr w:type="spellEnd"/>
      <w:r w:rsidRPr="00ED35A9">
        <w:rPr>
          <w:sz w:val="24"/>
          <w:szCs w:val="24"/>
          <w:lang w:val="uk-UA"/>
        </w:rPr>
        <w:t>/</w:t>
      </w:r>
      <w:proofErr w:type="spellStart"/>
      <w:r w:rsidRPr="00ED35A9">
        <w:rPr>
          <w:sz w:val="24"/>
          <w:szCs w:val="24"/>
          <w:lang w:val="uk-UA"/>
        </w:rPr>
        <w:t>теризидон</w:t>
      </w:r>
      <w:proofErr w:type="spellEnd"/>
      <w:r w:rsidRPr="00ED35A9">
        <w:rPr>
          <w:sz w:val="24"/>
          <w:szCs w:val="24"/>
          <w:lang w:val="uk-UA"/>
        </w:rPr>
        <w:t xml:space="preserve">, </w:t>
      </w:r>
      <w:proofErr w:type="spellStart"/>
      <w:r w:rsidRPr="00ED35A9">
        <w:rPr>
          <w:sz w:val="24"/>
          <w:szCs w:val="24"/>
          <w:lang w:val="uk-UA"/>
        </w:rPr>
        <w:t>лінезолід</w:t>
      </w:r>
      <w:proofErr w:type="spellEnd"/>
      <w:r w:rsidRPr="00ED35A9">
        <w:rPr>
          <w:sz w:val="24"/>
          <w:szCs w:val="24"/>
          <w:lang w:val="uk-UA"/>
        </w:rPr>
        <w:t xml:space="preserve">, </w:t>
      </w:r>
      <w:proofErr w:type="spellStart"/>
      <w:r w:rsidRPr="00ED35A9">
        <w:rPr>
          <w:sz w:val="24"/>
          <w:szCs w:val="24"/>
          <w:lang w:val="uk-UA"/>
        </w:rPr>
        <w:t>клофазимін</w:t>
      </w:r>
      <w:proofErr w:type="spellEnd"/>
      <w:r w:rsidRPr="00ED35A9">
        <w:rPr>
          <w:sz w:val="24"/>
          <w:szCs w:val="24"/>
          <w:lang w:val="uk-UA"/>
        </w:rPr>
        <w:t xml:space="preserve">; препарати групи D1: </w:t>
      </w:r>
      <w:proofErr w:type="spellStart"/>
      <w:r w:rsidRPr="00ED35A9">
        <w:rPr>
          <w:sz w:val="24"/>
          <w:szCs w:val="24"/>
          <w:lang w:val="uk-UA"/>
        </w:rPr>
        <w:t>піразинамід</w:t>
      </w:r>
      <w:proofErr w:type="spellEnd"/>
      <w:r w:rsidRPr="00ED35A9">
        <w:rPr>
          <w:sz w:val="24"/>
          <w:szCs w:val="24"/>
          <w:lang w:val="uk-UA"/>
        </w:rPr>
        <w:t xml:space="preserve">, </w:t>
      </w:r>
      <w:proofErr w:type="spellStart"/>
      <w:r w:rsidRPr="00ED35A9">
        <w:rPr>
          <w:sz w:val="24"/>
          <w:szCs w:val="24"/>
          <w:lang w:val="uk-UA"/>
        </w:rPr>
        <w:t>етамбутол</w:t>
      </w:r>
      <w:proofErr w:type="spellEnd"/>
      <w:r w:rsidRPr="00ED35A9">
        <w:rPr>
          <w:sz w:val="24"/>
          <w:szCs w:val="24"/>
          <w:lang w:val="uk-UA"/>
        </w:rPr>
        <w:t xml:space="preserve">, </w:t>
      </w:r>
      <w:proofErr w:type="spellStart"/>
      <w:r w:rsidRPr="00ED35A9">
        <w:rPr>
          <w:sz w:val="24"/>
          <w:szCs w:val="24"/>
          <w:lang w:val="uk-UA"/>
        </w:rPr>
        <w:t>ізоніазид</w:t>
      </w:r>
      <w:proofErr w:type="spellEnd"/>
      <w:r w:rsidRPr="00ED35A9">
        <w:rPr>
          <w:sz w:val="24"/>
          <w:szCs w:val="24"/>
          <w:lang w:val="uk-UA"/>
        </w:rPr>
        <w:t xml:space="preserve"> у високих дозах; препарати групи D2: </w:t>
      </w:r>
      <w:proofErr w:type="spellStart"/>
      <w:r w:rsidRPr="00ED35A9">
        <w:rPr>
          <w:sz w:val="24"/>
          <w:szCs w:val="24"/>
          <w:lang w:val="uk-UA"/>
        </w:rPr>
        <w:t>бедаквілін</w:t>
      </w:r>
      <w:proofErr w:type="spellEnd"/>
      <w:r w:rsidRPr="00ED35A9">
        <w:rPr>
          <w:sz w:val="24"/>
          <w:szCs w:val="24"/>
          <w:lang w:val="uk-UA"/>
        </w:rPr>
        <w:t xml:space="preserve">, </w:t>
      </w:r>
      <w:proofErr w:type="spellStart"/>
      <w:r w:rsidRPr="00ED35A9">
        <w:rPr>
          <w:sz w:val="24"/>
          <w:szCs w:val="24"/>
          <w:lang w:val="uk-UA"/>
        </w:rPr>
        <w:t>деламанід</w:t>
      </w:r>
      <w:proofErr w:type="spellEnd"/>
      <w:r w:rsidRPr="00ED35A9">
        <w:rPr>
          <w:sz w:val="24"/>
          <w:szCs w:val="24"/>
          <w:lang w:val="uk-UA"/>
        </w:rPr>
        <w:t xml:space="preserve">; препарати групи D3: </w:t>
      </w:r>
      <w:proofErr w:type="spellStart"/>
      <w:r w:rsidRPr="00ED35A9">
        <w:rPr>
          <w:sz w:val="24"/>
          <w:szCs w:val="24"/>
          <w:lang w:val="uk-UA"/>
        </w:rPr>
        <w:t>парааміносаліцилова</w:t>
      </w:r>
      <w:proofErr w:type="spellEnd"/>
      <w:r w:rsidRPr="00ED35A9">
        <w:rPr>
          <w:sz w:val="24"/>
          <w:szCs w:val="24"/>
          <w:lang w:val="uk-UA"/>
        </w:rPr>
        <w:t xml:space="preserve"> кислота, </w:t>
      </w:r>
      <w:proofErr w:type="spellStart"/>
      <w:r w:rsidRPr="00ED35A9">
        <w:rPr>
          <w:sz w:val="24"/>
          <w:szCs w:val="24"/>
          <w:lang w:val="uk-UA"/>
        </w:rPr>
        <w:t>іміпенем-циластатин</w:t>
      </w:r>
      <w:proofErr w:type="spellEnd"/>
      <w:r w:rsidRPr="00ED35A9">
        <w:rPr>
          <w:sz w:val="24"/>
          <w:szCs w:val="24"/>
          <w:lang w:val="uk-UA"/>
        </w:rPr>
        <w:t xml:space="preserve">, </w:t>
      </w:r>
      <w:proofErr w:type="spellStart"/>
      <w:r w:rsidRPr="00ED35A9">
        <w:rPr>
          <w:sz w:val="24"/>
          <w:szCs w:val="24"/>
          <w:lang w:val="uk-UA"/>
        </w:rPr>
        <w:t>меропенем</w:t>
      </w:r>
      <w:proofErr w:type="spellEnd"/>
      <w:r w:rsidRPr="00ED35A9">
        <w:rPr>
          <w:sz w:val="24"/>
          <w:szCs w:val="24"/>
          <w:lang w:val="uk-UA"/>
        </w:rPr>
        <w:t xml:space="preserve">, </w:t>
      </w:r>
      <w:proofErr w:type="spellStart"/>
      <w:r w:rsidRPr="00ED35A9">
        <w:rPr>
          <w:sz w:val="24"/>
          <w:szCs w:val="24"/>
          <w:lang w:val="uk-UA"/>
        </w:rPr>
        <w:t>амоксіцилін-клавуланова</w:t>
      </w:r>
      <w:proofErr w:type="spellEnd"/>
      <w:r w:rsidRPr="00ED35A9">
        <w:rPr>
          <w:sz w:val="24"/>
          <w:szCs w:val="24"/>
          <w:lang w:val="uk-UA"/>
        </w:rPr>
        <w:t xml:space="preserve"> кислота, (</w:t>
      </w:r>
      <w:proofErr w:type="spellStart"/>
      <w:r w:rsidRPr="00ED35A9">
        <w:rPr>
          <w:sz w:val="24"/>
          <w:szCs w:val="24"/>
          <w:lang w:val="uk-UA"/>
        </w:rPr>
        <w:t>тіоацетазон</w:t>
      </w:r>
      <w:proofErr w:type="spellEnd"/>
      <w:r w:rsidRPr="00ED35A9">
        <w:rPr>
          <w:sz w:val="24"/>
          <w:szCs w:val="24"/>
          <w:lang w:val="uk-UA"/>
        </w:rPr>
        <w:t>).</w:t>
      </w:r>
    </w:p>
    <w:p w:rsidR="001A0A35" w:rsidRPr="00ED35A9" w:rsidRDefault="001A0A35" w:rsidP="001A0A35">
      <w:pPr>
        <w:ind w:firstLine="0"/>
        <w:rPr>
          <w:szCs w:val="28"/>
          <w:lang w:val="uk-UA"/>
        </w:rPr>
      </w:pPr>
      <w:r w:rsidRPr="00ED35A9">
        <w:rPr>
          <w:noProof/>
          <w:szCs w:val="28"/>
          <w:lang w:val="uk-UA" w:eastAsia="uk-UA"/>
        </w:rPr>
        <mc:AlternateContent>
          <mc:Choice Requires="wps">
            <w:drawing>
              <wp:anchor distT="0" distB="0" distL="63500" distR="63500" simplePos="0" relativeHeight="251687936" behindDoc="0" locked="0" layoutInCell="1" allowOverlap="1" wp14:anchorId="76A9A389" wp14:editId="64F3AAE4">
                <wp:simplePos x="0" y="0"/>
                <wp:positionH relativeFrom="margin">
                  <wp:posOffset>570230</wp:posOffset>
                </wp:positionH>
                <wp:positionV relativeFrom="paragraph">
                  <wp:posOffset>3816350</wp:posOffset>
                </wp:positionV>
                <wp:extent cx="6321425" cy="88900"/>
                <wp:effectExtent l="0" t="0" r="3175" b="63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E3" w:rsidRPr="004B5B7F" w:rsidRDefault="008F4BE3" w:rsidP="001A0A3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A9A389" id="Text Box 131" o:spid="_x0000_s1027" type="#_x0000_t202" style="position:absolute;left:0;text-align:left;margin-left:44.9pt;margin-top:300.5pt;width:497.75pt;height:7pt;z-index:251687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" filled="f" stroked="f">
                <v:textbox style="mso-fit-shape-to-text:t" inset="0,0,0,0">
                  <w:txbxContent>
                    <w:p w:rsidR="008F4BE3" w:rsidRPr="004B5B7F" w:rsidRDefault="008F4BE3" w:rsidP="001A0A35"/>
                  </w:txbxContent>
                </v:textbox>
                <w10:wrap anchorx="margin"/>
              </v:shape>
            </w:pict>
          </mc:Fallback>
        </mc:AlternateContent>
      </w:r>
      <w:r w:rsidRPr="00ED35A9">
        <w:rPr>
          <w:szCs w:val="28"/>
          <w:lang w:val="uk-UA"/>
        </w:rPr>
        <w:br w:type="page"/>
      </w:r>
    </w:p>
    <w:p w:rsidR="001A0A35" w:rsidRPr="00ED35A9" w:rsidRDefault="001A0A35" w:rsidP="001A0A35">
      <w:pPr>
        <w:spacing w:after="120"/>
        <w:ind w:firstLine="0"/>
        <w:rPr>
          <w:szCs w:val="28"/>
          <w:lang w:val="uk-UA"/>
        </w:rPr>
      </w:pPr>
      <w:r w:rsidRPr="00ED35A9">
        <w:rPr>
          <w:b/>
          <w:i/>
          <w:szCs w:val="28"/>
          <w:lang w:val="uk-UA"/>
        </w:rPr>
        <w:lastRenderedPageBreak/>
        <w:t>Запитання 4.</w:t>
      </w:r>
      <w:r w:rsidRPr="00ED35A9">
        <w:rPr>
          <w:szCs w:val="28"/>
          <w:lang w:val="uk-UA"/>
        </w:rPr>
        <w:t xml:space="preserve"> Чи безпечним є покращення результатів лікування у пацієнтів з МР/Риф-ТБ на довгострокових схемах, складених відповідно до рекомендацій ВООЗ, при тривалості інтенсивної фази менше або більше восьми місяців?</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3402"/>
        <w:gridCol w:w="2979"/>
        <w:gridCol w:w="3969"/>
      </w:tblGrid>
      <w:tr w:rsidR="001A0A35" w:rsidRPr="00ED35A9" w:rsidTr="001A0A35">
        <w:tc>
          <w:tcPr>
            <w:tcW w:w="1456"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16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020"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359"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456" w:type="pct"/>
          </w:tcPr>
          <w:p w:rsidR="001A0A35" w:rsidRPr="00ED35A9" w:rsidRDefault="001A0A35" w:rsidP="001A0A35">
            <w:pPr>
              <w:ind w:firstLine="0"/>
              <w:jc w:val="left"/>
              <w:rPr>
                <w:sz w:val="24"/>
                <w:szCs w:val="24"/>
                <w:lang w:val="uk-UA"/>
              </w:rPr>
            </w:pPr>
            <w:bookmarkStart w:id="91" w:name="bookmark108"/>
            <w:r w:rsidRPr="00ED35A9">
              <w:rPr>
                <w:sz w:val="24"/>
                <w:szCs w:val="24"/>
                <w:lang w:val="uk-UA"/>
              </w:rPr>
              <w:t>Пацієнти з МР/Риф-ТБ</w:t>
            </w:r>
            <w:bookmarkEnd w:id="91"/>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застосуванням схеми першого ряду (вперше виявлений випадок або повторне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лікуванням МРТБ;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ТБ-ШМР;</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 тяжкою формою захворювання (наявність каверни на рентгені </w:t>
            </w:r>
            <w:r w:rsidRPr="00ED35A9">
              <w:rPr>
                <w:sz w:val="24"/>
                <w:szCs w:val="24"/>
                <w:lang w:val="uk-UA"/>
              </w:rPr>
              <w:br/>
              <w:t>або SS+);</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застосування </w:t>
            </w:r>
            <w:proofErr w:type="spellStart"/>
            <w:r w:rsidRPr="00ED35A9">
              <w:rPr>
                <w:sz w:val="24"/>
                <w:szCs w:val="24"/>
                <w:lang w:val="uk-UA"/>
              </w:rPr>
              <w:t>бедаквіліну</w:t>
            </w:r>
            <w:proofErr w:type="spellEnd"/>
            <w:r w:rsidRPr="00ED35A9">
              <w:rPr>
                <w:sz w:val="24"/>
                <w:szCs w:val="24"/>
                <w:lang w:val="uk-UA"/>
              </w:rPr>
              <w:t xml:space="preserve">, </w:t>
            </w:r>
            <w:proofErr w:type="spellStart"/>
            <w:r w:rsidRPr="00ED35A9">
              <w:rPr>
                <w:sz w:val="24"/>
                <w:szCs w:val="24"/>
                <w:lang w:val="uk-UA"/>
              </w:rPr>
              <w:t>деламаніду</w:t>
            </w:r>
            <w:proofErr w:type="spellEnd"/>
            <w:r w:rsidRPr="00ED35A9">
              <w:rPr>
                <w:sz w:val="24"/>
                <w:szCs w:val="24"/>
                <w:lang w:val="uk-UA"/>
              </w:rPr>
              <w:t xml:space="preserve"> або інших окремих препаратів понад 6 міс;</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діти (0–14 років) та дорослі (зокрема підлітки віком </w:t>
            </w:r>
            <w:r w:rsidRPr="00ED35A9">
              <w:rPr>
                <w:sz w:val="24"/>
                <w:szCs w:val="24"/>
                <w:lang w:val="uk-UA"/>
              </w:rPr>
              <w:br/>
              <w:t>10–19 років);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особи з </w:t>
            </w:r>
            <w:proofErr w:type="spellStart"/>
            <w:r w:rsidRPr="00ED35A9">
              <w:rPr>
                <w:sz w:val="24"/>
                <w:szCs w:val="24"/>
                <w:lang w:val="uk-UA"/>
              </w:rPr>
              <w:t>позалегеневим</w:t>
            </w:r>
            <w:proofErr w:type="spellEnd"/>
            <w:r w:rsidRPr="00ED35A9">
              <w:rPr>
                <w:sz w:val="24"/>
                <w:szCs w:val="24"/>
                <w:lang w:val="uk-UA"/>
              </w:rPr>
              <w:t xml:space="preserve"> ТБ.</w:t>
            </w:r>
          </w:p>
        </w:tc>
        <w:tc>
          <w:tcPr>
            <w:tcW w:w="1165" w:type="pct"/>
          </w:tcPr>
          <w:p w:rsidR="001A0A35" w:rsidRPr="00ED35A9" w:rsidRDefault="001A0A35" w:rsidP="001A0A35">
            <w:pPr>
              <w:ind w:firstLine="0"/>
              <w:jc w:val="left"/>
              <w:rPr>
                <w:sz w:val="24"/>
                <w:szCs w:val="24"/>
                <w:lang w:val="uk-UA"/>
              </w:rPr>
            </w:pPr>
            <w:r w:rsidRPr="00ED35A9">
              <w:rPr>
                <w:sz w:val="24"/>
                <w:szCs w:val="24"/>
                <w:lang w:val="uk-UA"/>
              </w:rPr>
              <w:t>Тривалість інтенсивної фази 8 міс або більше (залежно від групи).</w:t>
            </w:r>
          </w:p>
          <w:p w:rsidR="001A0A35" w:rsidRPr="00ED35A9" w:rsidRDefault="001A0A35" w:rsidP="001A0A35">
            <w:pPr>
              <w:spacing w:before="120"/>
              <w:ind w:firstLine="0"/>
              <w:jc w:val="left"/>
              <w:rPr>
                <w:sz w:val="24"/>
                <w:szCs w:val="24"/>
                <w:lang w:val="uk-UA"/>
              </w:rPr>
            </w:pPr>
            <w:r w:rsidRPr="00ED35A9">
              <w:rPr>
                <w:sz w:val="24"/>
                <w:szCs w:val="24"/>
                <w:lang w:val="uk-UA"/>
              </w:rPr>
              <w:t>Зіставлення за кількістю ймовірно ефективних препаратів.</w:t>
            </w:r>
          </w:p>
        </w:tc>
        <w:tc>
          <w:tcPr>
            <w:tcW w:w="1020" w:type="pct"/>
          </w:tcPr>
          <w:p w:rsidR="001A0A35" w:rsidRPr="00ED35A9" w:rsidRDefault="001A0A35" w:rsidP="001A0A35">
            <w:pPr>
              <w:ind w:firstLine="0"/>
              <w:jc w:val="left"/>
              <w:rPr>
                <w:sz w:val="24"/>
                <w:szCs w:val="24"/>
                <w:lang w:val="uk-UA"/>
              </w:rPr>
            </w:pPr>
            <w:r w:rsidRPr="00ED35A9">
              <w:rPr>
                <w:sz w:val="24"/>
                <w:szCs w:val="24"/>
                <w:lang w:val="uk-UA"/>
              </w:rPr>
              <w:t>Загальна тривалість інтенсивної фази &lt;8 міс (залежно від щомісячного групування).</w:t>
            </w:r>
          </w:p>
        </w:tc>
        <w:tc>
          <w:tcPr>
            <w:tcW w:w="1359"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міс.</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Виникнення побічних реакцій при застосуванні ПТП.</w:t>
            </w:r>
          </w:p>
          <w:p w:rsidR="001A0A35" w:rsidRPr="00ED35A9" w:rsidRDefault="001A0A35" w:rsidP="001A0A35">
            <w:pPr>
              <w:spacing w:before="120"/>
              <w:ind w:firstLine="0"/>
              <w:jc w:val="left"/>
              <w:rPr>
                <w:sz w:val="24"/>
                <w:szCs w:val="24"/>
                <w:lang w:val="uk-UA"/>
              </w:rPr>
            </w:pPr>
            <w:r w:rsidRPr="00ED35A9">
              <w:rPr>
                <w:sz w:val="24"/>
                <w:szCs w:val="24"/>
                <w:lang w:val="uk-UA"/>
              </w:rPr>
              <w:t>Набуття (посилення) медикаментозної резистентності.</w:t>
            </w:r>
          </w:p>
        </w:tc>
      </w:tr>
    </w:tbl>
    <w:p w:rsidR="001A0A35" w:rsidRPr="00ED35A9" w:rsidRDefault="001A0A35" w:rsidP="001A0A35">
      <w:pPr>
        <w:ind w:firstLine="0"/>
        <w:rPr>
          <w:b/>
          <w:sz w:val="24"/>
          <w:szCs w:val="24"/>
          <w:lang w:val="uk-UA"/>
        </w:rPr>
      </w:pPr>
      <w:r w:rsidRPr="00ED35A9">
        <w:rPr>
          <w:b/>
          <w:sz w:val="24"/>
          <w:szCs w:val="24"/>
          <w:lang w:val="uk-UA"/>
        </w:rPr>
        <w:t>Примітка. </w:t>
      </w:r>
      <w:r w:rsidRPr="00ED35A9">
        <w:rPr>
          <w:sz w:val="24"/>
          <w:szCs w:val="24"/>
          <w:lang w:val="uk-UA"/>
        </w:rPr>
        <w:t>SS+ – позитивний результат мікроскопії мокротиння.</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spacing w:after="120"/>
        <w:ind w:firstLine="0"/>
        <w:rPr>
          <w:szCs w:val="28"/>
          <w:lang w:val="uk-UA"/>
        </w:rPr>
      </w:pPr>
      <w:r w:rsidRPr="00ED35A9">
        <w:rPr>
          <w:b/>
          <w:i/>
          <w:szCs w:val="28"/>
          <w:lang w:val="uk-UA"/>
        </w:rPr>
        <w:lastRenderedPageBreak/>
        <w:t>Запитання 5.</w:t>
      </w:r>
      <w:r w:rsidRPr="00ED35A9">
        <w:rPr>
          <w:szCs w:val="28"/>
          <w:lang w:val="uk-UA"/>
        </w:rPr>
        <w:t> Якою повинна бути загальна тривалість лікування у пацієнтів з МР/Риф-ТБ на довгострокових схемах, складених відповідно до рекомендацій ВООЗ, для досягнення безпечного покращення результатів лікування – коротше чи довше двадцяти місяців?</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3820"/>
        <w:gridCol w:w="3820"/>
        <w:gridCol w:w="3490"/>
      </w:tblGrid>
      <w:tr w:rsidR="001A0A35" w:rsidRPr="00ED35A9" w:rsidTr="001A0A35">
        <w:tc>
          <w:tcPr>
            <w:tcW w:w="1189"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189" w:type="pct"/>
          </w:tcPr>
          <w:p w:rsidR="001A0A35" w:rsidRPr="00ED35A9" w:rsidRDefault="001A0A35" w:rsidP="001A0A35">
            <w:pPr>
              <w:ind w:firstLine="0"/>
              <w:jc w:val="left"/>
              <w:rPr>
                <w:sz w:val="24"/>
                <w:szCs w:val="24"/>
                <w:lang w:val="uk-UA"/>
              </w:rPr>
            </w:pPr>
            <w:bookmarkStart w:id="92" w:name="bookmark113"/>
            <w:r w:rsidRPr="00ED35A9">
              <w:rPr>
                <w:sz w:val="24"/>
                <w:szCs w:val="24"/>
                <w:lang w:val="uk-UA"/>
              </w:rPr>
              <w:t>Пацієнти з МР/Риф-ТБ</w:t>
            </w:r>
            <w:bookmarkEnd w:id="92"/>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застосуванням схеми першого ряду (вперше виявлений випадок або повторне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лікуванням МРТБ;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ТБ-ШМР;</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 тяжкою формою захворювання (наявність каверни на рентгені </w:t>
            </w:r>
            <w:r w:rsidRPr="00ED35A9">
              <w:rPr>
                <w:sz w:val="24"/>
                <w:szCs w:val="24"/>
                <w:lang w:val="uk-UA"/>
              </w:rPr>
              <w:br/>
              <w:t>або SS+);</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застосування </w:t>
            </w:r>
            <w:proofErr w:type="spellStart"/>
            <w:r w:rsidRPr="00ED35A9">
              <w:rPr>
                <w:sz w:val="24"/>
                <w:szCs w:val="24"/>
                <w:lang w:val="uk-UA"/>
              </w:rPr>
              <w:t>бедаквіліну</w:t>
            </w:r>
            <w:proofErr w:type="spellEnd"/>
            <w:r w:rsidRPr="00ED35A9">
              <w:rPr>
                <w:sz w:val="24"/>
                <w:szCs w:val="24"/>
                <w:lang w:val="uk-UA"/>
              </w:rPr>
              <w:t xml:space="preserve">, </w:t>
            </w:r>
            <w:proofErr w:type="spellStart"/>
            <w:r w:rsidRPr="00ED35A9">
              <w:rPr>
                <w:sz w:val="24"/>
                <w:szCs w:val="24"/>
                <w:lang w:val="uk-UA"/>
              </w:rPr>
              <w:t>деламаніду</w:t>
            </w:r>
            <w:proofErr w:type="spellEnd"/>
            <w:r w:rsidRPr="00ED35A9">
              <w:rPr>
                <w:sz w:val="24"/>
                <w:szCs w:val="24"/>
                <w:lang w:val="uk-UA"/>
              </w:rPr>
              <w:t xml:space="preserve"> або інших окремих препаратів понад 6 міс;</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діти (0–14 років) та дорослі (зокрема підлітки віком </w:t>
            </w:r>
            <w:r w:rsidRPr="00ED35A9">
              <w:rPr>
                <w:sz w:val="24"/>
                <w:szCs w:val="24"/>
                <w:lang w:val="uk-UA"/>
              </w:rPr>
              <w:br/>
              <w:t>10–19 років);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особи з </w:t>
            </w:r>
            <w:proofErr w:type="spellStart"/>
            <w:r w:rsidRPr="00ED35A9">
              <w:rPr>
                <w:sz w:val="24"/>
                <w:szCs w:val="24"/>
                <w:lang w:val="uk-UA"/>
              </w:rPr>
              <w:t>позалегеневим</w:t>
            </w:r>
            <w:proofErr w:type="spellEnd"/>
            <w:r w:rsidRPr="00ED35A9">
              <w:rPr>
                <w:sz w:val="24"/>
                <w:szCs w:val="24"/>
                <w:lang w:val="uk-UA"/>
              </w:rPr>
              <w:t xml:space="preserve"> ТБ.</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Загальна тривалість лікування до 20 міс.</w:t>
            </w:r>
          </w:p>
          <w:p w:rsidR="001A0A35" w:rsidRPr="00ED35A9" w:rsidRDefault="001A0A35" w:rsidP="001A0A35">
            <w:pPr>
              <w:spacing w:before="120"/>
              <w:ind w:firstLine="0"/>
              <w:jc w:val="left"/>
              <w:rPr>
                <w:sz w:val="24"/>
                <w:szCs w:val="24"/>
                <w:lang w:val="uk-UA"/>
              </w:rPr>
            </w:pPr>
            <w:r w:rsidRPr="00ED35A9">
              <w:rPr>
                <w:sz w:val="24"/>
                <w:szCs w:val="24"/>
                <w:lang w:val="uk-UA"/>
              </w:rPr>
              <w:t>Зіставлення за кількістю ймовірно ефективних препаратів.</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Загальна тривалість лікування понад 20 міс (залежно від щомісячного групування)</w:t>
            </w:r>
          </w:p>
        </w:tc>
        <w:tc>
          <w:tcPr>
            <w:tcW w:w="1195"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міс.</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Виникнення побічних реакцій при застосуванні ПТП.</w:t>
            </w:r>
          </w:p>
          <w:p w:rsidR="001A0A35" w:rsidRPr="00ED35A9" w:rsidRDefault="001A0A35" w:rsidP="001A0A35">
            <w:pPr>
              <w:spacing w:before="120"/>
              <w:ind w:firstLine="0"/>
              <w:jc w:val="left"/>
              <w:rPr>
                <w:sz w:val="24"/>
                <w:szCs w:val="24"/>
                <w:lang w:val="uk-UA"/>
              </w:rPr>
            </w:pPr>
            <w:r w:rsidRPr="00ED35A9">
              <w:rPr>
                <w:sz w:val="24"/>
                <w:szCs w:val="24"/>
                <w:lang w:val="uk-UA"/>
              </w:rPr>
              <w:t>Набуття (посилення) медикаментозної резистентності.</w:t>
            </w:r>
          </w:p>
        </w:tc>
      </w:tr>
    </w:tbl>
    <w:p w:rsidR="001A0A35" w:rsidRPr="00ED35A9" w:rsidRDefault="001A0A35" w:rsidP="001A0A35">
      <w:pPr>
        <w:ind w:firstLine="0"/>
        <w:rPr>
          <w:b/>
          <w:sz w:val="24"/>
          <w:szCs w:val="24"/>
          <w:lang w:val="uk-UA"/>
        </w:rPr>
      </w:pPr>
      <w:r w:rsidRPr="00ED35A9">
        <w:rPr>
          <w:b/>
          <w:sz w:val="24"/>
          <w:szCs w:val="24"/>
          <w:lang w:val="uk-UA"/>
        </w:rPr>
        <w:t>Примітка. </w:t>
      </w:r>
      <w:r w:rsidRPr="00ED35A9">
        <w:rPr>
          <w:sz w:val="24"/>
          <w:szCs w:val="24"/>
          <w:lang w:val="uk-UA"/>
        </w:rPr>
        <w:t>SS+ – позитивний результат мікроскопії мокротиння.</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spacing w:after="120"/>
        <w:ind w:firstLine="0"/>
        <w:rPr>
          <w:szCs w:val="28"/>
          <w:lang w:val="uk-UA"/>
        </w:rPr>
      </w:pPr>
      <w:r w:rsidRPr="00ED35A9">
        <w:rPr>
          <w:b/>
          <w:i/>
          <w:szCs w:val="28"/>
          <w:lang w:val="uk-UA"/>
        </w:rPr>
        <w:lastRenderedPageBreak/>
        <w:t>Запитання 6.</w:t>
      </w:r>
      <w:r w:rsidRPr="00ED35A9">
        <w:rPr>
          <w:szCs w:val="28"/>
          <w:lang w:val="uk-UA"/>
        </w:rPr>
        <w:t xml:space="preserve"> Якою повинна бути мінімальна тривалість лікування після </w:t>
      </w:r>
      <w:proofErr w:type="spellStart"/>
      <w:r w:rsidRPr="00ED35A9">
        <w:rPr>
          <w:szCs w:val="28"/>
          <w:lang w:val="uk-UA"/>
        </w:rPr>
        <w:t>культуральної</w:t>
      </w:r>
      <w:proofErr w:type="spellEnd"/>
      <w:r w:rsidRPr="00ED35A9">
        <w:rPr>
          <w:szCs w:val="28"/>
          <w:lang w:val="uk-UA"/>
        </w:rPr>
        <w:t xml:space="preserve"> конверсії у пацієнтів з МР/Риф-ТБ на довгострокових схемах, складених відповідно до рекомендацій ВООЗ, для отримання найкращих результатів лікування?</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3820"/>
        <w:gridCol w:w="3820"/>
        <w:gridCol w:w="3490"/>
      </w:tblGrid>
      <w:tr w:rsidR="001A0A35" w:rsidRPr="00ED35A9" w:rsidTr="001A0A35">
        <w:tc>
          <w:tcPr>
            <w:tcW w:w="1189"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189" w:type="pct"/>
          </w:tcPr>
          <w:p w:rsidR="001A0A35" w:rsidRPr="00ED35A9" w:rsidRDefault="001A0A35" w:rsidP="001A0A35">
            <w:pPr>
              <w:ind w:firstLine="0"/>
              <w:jc w:val="left"/>
              <w:rPr>
                <w:sz w:val="24"/>
                <w:szCs w:val="24"/>
                <w:lang w:val="uk-UA"/>
              </w:rPr>
            </w:pPr>
            <w:bookmarkStart w:id="93" w:name="bookmark118"/>
            <w:r w:rsidRPr="00ED35A9">
              <w:rPr>
                <w:sz w:val="24"/>
                <w:szCs w:val="24"/>
                <w:lang w:val="uk-UA"/>
              </w:rPr>
              <w:t>Пацієнти з МР/Риф-ТБ</w:t>
            </w:r>
            <w:bookmarkEnd w:id="93"/>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конверсії мокротиння через 6 міс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застосуванням схеми першого ряду (вперше виявлений випадок або повторне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лікуванням МРТБ;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ТБ-ШМР;</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 тяжкою формою захворювання (наявність каверни на рентгені </w:t>
            </w:r>
            <w:r w:rsidRPr="00ED35A9">
              <w:rPr>
                <w:sz w:val="24"/>
                <w:szCs w:val="24"/>
                <w:lang w:val="uk-UA"/>
              </w:rPr>
              <w:br/>
              <w:t>або SS+);</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застосування </w:t>
            </w:r>
            <w:proofErr w:type="spellStart"/>
            <w:r w:rsidRPr="00ED35A9">
              <w:rPr>
                <w:sz w:val="24"/>
                <w:szCs w:val="24"/>
                <w:lang w:val="uk-UA"/>
              </w:rPr>
              <w:t>бедаквіліну</w:t>
            </w:r>
            <w:proofErr w:type="spellEnd"/>
            <w:r w:rsidRPr="00ED35A9">
              <w:rPr>
                <w:sz w:val="24"/>
                <w:szCs w:val="24"/>
                <w:lang w:val="uk-UA"/>
              </w:rPr>
              <w:t xml:space="preserve">, </w:t>
            </w:r>
            <w:proofErr w:type="spellStart"/>
            <w:r w:rsidRPr="00ED35A9">
              <w:rPr>
                <w:sz w:val="24"/>
                <w:szCs w:val="24"/>
                <w:lang w:val="uk-UA"/>
              </w:rPr>
              <w:t>деламаніду</w:t>
            </w:r>
            <w:proofErr w:type="spellEnd"/>
            <w:r w:rsidRPr="00ED35A9">
              <w:rPr>
                <w:sz w:val="24"/>
                <w:szCs w:val="24"/>
                <w:lang w:val="uk-UA"/>
              </w:rPr>
              <w:t xml:space="preserve"> або інших окремих препаратів </w:t>
            </w:r>
            <w:r w:rsidRPr="00ED35A9">
              <w:rPr>
                <w:sz w:val="24"/>
                <w:szCs w:val="24"/>
                <w:lang w:val="uk-UA"/>
              </w:rPr>
              <w:br/>
              <w:t>понад 6 міс;</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діти (0–14 років) та дорослі (зокрема підлітки віком 10–19 років);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особи з </w:t>
            </w:r>
            <w:proofErr w:type="spellStart"/>
            <w:r w:rsidRPr="00ED35A9">
              <w:rPr>
                <w:sz w:val="24"/>
                <w:szCs w:val="24"/>
                <w:lang w:val="uk-UA"/>
              </w:rPr>
              <w:t>позалегеневим</w:t>
            </w:r>
            <w:proofErr w:type="spellEnd"/>
            <w:r w:rsidRPr="00ED35A9">
              <w:rPr>
                <w:sz w:val="24"/>
                <w:szCs w:val="24"/>
                <w:lang w:val="uk-UA"/>
              </w:rPr>
              <w:t xml:space="preserve"> ТБ.</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 xml:space="preserve">Тривалість лікування після 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до 12 міс (залежно від групи).</w:t>
            </w:r>
          </w:p>
          <w:p w:rsidR="001A0A35" w:rsidRPr="00ED35A9" w:rsidRDefault="001A0A35" w:rsidP="001A0A35">
            <w:pPr>
              <w:spacing w:before="120"/>
              <w:ind w:firstLine="0"/>
              <w:jc w:val="left"/>
              <w:rPr>
                <w:sz w:val="24"/>
                <w:szCs w:val="24"/>
                <w:lang w:val="uk-UA"/>
              </w:rPr>
            </w:pPr>
            <w:r w:rsidRPr="00ED35A9">
              <w:rPr>
                <w:sz w:val="24"/>
                <w:szCs w:val="24"/>
                <w:lang w:val="uk-UA"/>
              </w:rPr>
              <w:t>Зіставлення за:</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тривалістю інтенсивної фази;</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кількістю ймовірно ефективних препаратів.</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 xml:space="preserve">Тривалість лікування після 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&gt;12 міс (залежно від щомісячного групування)</w:t>
            </w:r>
          </w:p>
        </w:tc>
        <w:tc>
          <w:tcPr>
            <w:tcW w:w="1195"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міс.</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Успішне завершення лікування (або відсутність конверсії мокротиння).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 xml:space="preserve">Отримання негативних результатів </w:t>
            </w:r>
            <w:proofErr w:type="spellStart"/>
            <w:r w:rsidRPr="00ED35A9">
              <w:rPr>
                <w:sz w:val="24"/>
                <w:szCs w:val="24"/>
                <w:lang w:val="uk-UA"/>
              </w:rPr>
              <w:t>культурального</w:t>
            </w:r>
            <w:proofErr w:type="spellEnd"/>
            <w:r w:rsidRPr="00ED35A9">
              <w:rPr>
                <w:sz w:val="24"/>
                <w:szCs w:val="24"/>
                <w:lang w:val="uk-UA"/>
              </w:rPr>
              <w:t xml:space="preserve"> дослідження наприкінці лікування.</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00" w:beforeAutospacing="1"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Виникнення побічних реакцій при застосуванні ПТП.</w:t>
            </w:r>
          </w:p>
          <w:p w:rsidR="001A0A35" w:rsidRPr="00ED35A9" w:rsidRDefault="001A0A35" w:rsidP="001A0A35">
            <w:pPr>
              <w:spacing w:before="120"/>
              <w:ind w:firstLine="0"/>
              <w:jc w:val="left"/>
              <w:rPr>
                <w:sz w:val="24"/>
                <w:szCs w:val="24"/>
                <w:lang w:val="uk-UA"/>
              </w:rPr>
            </w:pPr>
            <w:r w:rsidRPr="00ED35A9">
              <w:rPr>
                <w:sz w:val="24"/>
                <w:szCs w:val="24"/>
                <w:lang w:val="uk-UA"/>
              </w:rPr>
              <w:t>Набуття (посилення) медикаментозної резистентності.</w:t>
            </w:r>
          </w:p>
        </w:tc>
      </w:tr>
    </w:tbl>
    <w:p w:rsidR="001A0A35" w:rsidRPr="00ED35A9" w:rsidRDefault="001A0A35" w:rsidP="001A0A35">
      <w:pPr>
        <w:ind w:firstLine="0"/>
        <w:rPr>
          <w:b/>
          <w:sz w:val="24"/>
          <w:szCs w:val="24"/>
          <w:lang w:val="uk-UA"/>
        </w:rPr>
      </w:pPr>
      <w:r w:rsidRPr="00ED35A9">
        <w:rPr>
          <w:b/>
          <w:sz w:val="24"/>
          <w:szCs w:val="24"/>
          <w:lang w:val="uk-UA"/>
        </w:rPr>
        <w:t>Примітка. </w:t>
      </w:r>
      <w:r w:rsidRPr="00ED35A9">
        <w:rPr>
          <w:sz w:val="24"/>
          <w:szCs w:val="24"/>
          <w:lang w:val="uk-UA"/>
        </w:rPr>
        <w:t>SS+ – позитивний результат мікроскопії мокротиння.</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spacing w:after="120"/>
        <w:ind w:firstLine="0"/>
        <w:rPr>
          <w:szCs w:val="28"/>
          <w:lang w:val="uk-UA"/>
        </w:rPr>
      </w:pPr>
      <w:r w:rsidRPr="00ED35A9">
        <w:rPr>
          <w:b/>
          <w:i/>
          <w:szCs w:val="28"/>
          <w:lang w:val="uk-UA"/>
        </w:rPr>
        <w:lastRenderedPageBreak/>
        <w:t>Запитання 7.</w:t>
      </w:r>
      <w:r w:rsidRPr="00ED35A9">
        <w:rPr>
          <w:szCs w:val="28"/>
          <w:lang w:val="uk-UA"/>
        </w:rPr>
        <w:t xml:space="preserve"> Чи підвищить рівень виявлення відсутності відповіді на лікування у пацієнтів з МР/Риф-ТБ, які проходили курс лікування із застосуванням довгострокових або короткострокових схем, складених відповідно до настанов ВООЗ, проведення моніторингу з використанням </w:t>
      </w:r>
      <w:proofErr w:type="spellStart"/>
      <w:r w:rsidRPr="00ED35A9">
        <w:rPr>
          <w:szCs w:val="28"/>
          <w:lang w:val="uk-UA"/>
        </w:rPr>
        <w:t>культурального</w:t>
      </w:r>
      <w:proofErr w:type="spellEnd"/>
      <w:r w:rsidRPr="00ED35A9">
        <w:rPr>
          <w:szCs w:val="28"/>
          <w:lang w:val="uk-UA"/>
        </w:rPr>
        <w:t xml:space="preserve"> дослідження щомісяця, на додачу до мікроскопії мокротиння?</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3820"/>
        <w:gridCol w:w="3820"/>
        <w:gridCol w:w="3490"/>
      </w:tblGrid>
      <w:tr w:rsidR="001A0A35" w:rsidRPr="00ED35A9" w:rsidTr="001A0A35">
        <w:tc>
          <w:tcPr>
            <w:tcW w:w="1189"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r w:rsidRPr="00ED35A9">
              <w:rPr>
                <w:b/>
                <w:sz w:val="24"/>
                <w:szCs w:val="24"/>
                <w:lang w:val="uk-UA"/>
              </w:rPr>
              <w:br/>
              <w:t>(поточні рекомендації ВООЗ)</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189" w:type="pct"/>
          </w:tcPr>
          <w:p w:rsidR="001A0A35" w:rsidRPr="00ED35A9" w:rsidRDefault="001A0A35" w:rsidP="001A0A35">
            <w:pPr>
              <w:ind w:firstLine="0"/>
              <w:jc w:val="left"/>
              <w:rPr>
                <w:sz w:val="24"/>
                <w:szCs w:val="24"/>
                <w:lang w:val="uk-UA"/>
              </w:rPr>
            </w:pPr>
            <w:bookmarkStart w:id="94" w:name="bookmark122"/>
            <w:r w:rsidRPr="00ED35A9">
              <w:rPr>
                <w:sz w:val="24"/>
                <w:szCs w:val="24"/>
                <w:lang w:val="uk-UA"/>
              </w:rPr>
              <w:t>Пацієнти з МР/Риф-ТБ</w:t>
            </w:r>
            <w:bookmarkEnd w:id="94"/>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на довгострокових схемах лікування порівняно з короткостроковими;</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застосуванням схеми першого ряду (вперше виявлений випадок або повторне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попереднім лікуванням МРТБ;</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 наявністю/відсутністю ТБ-ШМР;</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з тяжкою формою захворювання (наявність каверни на рентгені </w:t>
            </w:r>
            <w:r w:rsidRPr="00ED35A9">
              <w:rPr>
                <w:sz w:val="24"/>
                <w:szCs w:val="24"/>
                <w:lang w:val="uk-UA"/>
              </w:rPr>
              <w:br/>
              <w:t>або SS+);</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кількість ймовірно ефективних препаратів;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особи з ВІЛ (±АРТ).</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Варіації:</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конверсії/кількості місяців з негативним </w:t>
            </w:r>
            <w:proofErr w:type="spellStart"/>
            <w:r w:rsidRPr="00ED35A9">
              <w:rPr>
                <w:sz w:val="24"/>
                <w:szCs w:val="24"/>
                <w:lang w:val="uk-UA"/>
              </w:rPr>
              <w:t>бакпосівом</w:t>
            </w:r>
            <w:proofErr w:type="spellEnd"/>
            <w:r w:rsidRPr="00ED35A9">
              <w:rPr>
                <w:sz w:val="24"/>
                <w:szCs w:val="24"/>
                <w:lang w:val="uk-UA"/>
              </w:rPr>
              <w: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сукупність індикаторів </w:t>
            </w:r>
            <w:proofErr w:type="spellStart"/>
            <w:r w:rsidRPr="00ED35A9">
              <w:rPr>
                <w:sz w:val="24"/>
                <w:szCs w:val="24"/>
                <w:lang w:val="uk-UA"/>
              </w:rPr>
              <w:t>культуральної</w:t>
            </w:r>
            <w:proofErr w:type="spellEnd"/>
            <w:r w:rsidRPr="00ED35A9">
              <w:rPr>
                <w:sz w:val="24"/>
                <w:szCs w:val="24"/>
                <w:lang w:val="uk-UA"/>
              </w:rPr>
              <w:t xml:space="preserve"> конверсії та інших індикаторів реакції на лікування (наприклад, зміни на рентгені, необхідність зміні схеми лікування).</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 xml:space="preserve">Щомісячне </w:t>
            </w:r>
            <w:proofErr w:type="spellStart"/>
            <w:r w:rsidRPr="00ED35A9">
              <w:rPr>
                <w:sz w:val="24"/>
                <w:szCs w:val="24"/>
                <w:lang w:val="uk-UA"/>
              </w:rPr>
              <w:t>культуральне</w:t>
            </w:r>
            <w:proofErr w:type="spellEnd"/>
            <w:r w:rsidRPr="00ED35A9">
              <w:rPr>
                <w:sz w:val="24"/>
                <w:szCs w:val="24"/>
                <w:lang w:val="uk-UA"/>
              </w:rPr>
              <w:t xml:space="preserve"> дослідження та мікроскопія мокротиння</w:t>
            </w:r>
            <w:r w:rsidRPr="00ED35A9">
              <w:rPr>
                <w:rStyle w:val="ac"/>
                <w:sz w:val="24"/>
                <w:szCs w:val="24"/>
                <w:lang w:val="uk-UA"/>
              </w:rPr>
              <w:footnoteReference w:id="46"/>
            </w:r>
          </w:p>
        </w:tc>
        <w:tc>
          <w:tcPr>
            <w:tcW w:w="1195" w:type="pct"/>
          </w:tcPr>
          <w:p w:rsidR="001A0A35" w:rsidRPr="00ED35A9" w:rsidRDefault="001A0A35" w:rsidP="001A0A35">
            <w:pPr>
              <w:spacing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міс.</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Невдача лікування або виникнення рецидиву.</w:t>
            </w:r>
          </w:p>
          <w:p w:rsidR="001A0A35" w:rsidRPr="00ED35A9" w:rsidRDefault="001A0A35" w:rsidP="001A0A35">
            <w:pPr>
              <w:spacing w:before="120"/>
              <w:ind w:firstLine="0"/>
              <w:jc w:val="left"/>
              <w:rPr>
                <w:sz w:val="24"/>
                <w:szCs w:val="24"/>
                <w:lang w:val="uk-UA"/>
              </w:rPr>
            </w:pPr>
            <w:r w:rsidRPr="00ED35A9">
              <w:rPr>
                <w:sz w:val="24"/>
                <w:szCs w:val="24"/>
                <w:lang w:val="uk-UA"/>
              </w:rPr>
              <w:t>Набуття (посилення) медикаментозної резистентності.</w:t>
            </w:r>
          </w:p>
        </w:tc>
      </w:tr>
    </w:tbl>
    <w:p w:rsidR="001A0A35" w:rsidRPr="00ED35A9" w:rsidRDefault="001A0A35" w:rsidP="001A0A35">
      <w:pPr>
        <w:ind w:firstLine="0"/>
        <w:rPr>
          <w:b/>
          <w:sz w:val="24"/>
          <w:szCs w:val="24"/>
          <w:lang w:val="uk-UA"/>
        </w:rPr>
      </w:pPr>
      <w:r w:rsidRPr="00ED35A9">
        <w:rPr>
          <w:b/>
          <w:sz w:val="24"/>
          <w:szCs w:val="24"/>
          <w:lang w:val="uk-UA"/>
        </w:rPr>
        <w:t>Примітка. </w:t>
      </w:r>
      <w:r w:rsidRPr="00ED35A9">
        <w:rPr>
          <w:sz w:val="24"/>
          <w:szCs w:val="24"/>
          <w:lang w:val="uk-UA"/>
        </w:rPr>
        <w:t>SS+ – позитивний результат мікроскопії мокротиння.</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ind w:firstLine="0"/>
        <w:rPr>
          <w:b/>
          <w:szCs w:val="28"/>
          <w:lang w:val="uk-UA"/>
        </w:rPr>
      </w:pPr>
      <w:r w:rsidRPr="00ED35A9">
        <w:rPr>
          <w:b/>
          <w:szCs w:val="28"/>
          <w:lang w:val="uk-UA"/>
        </w:rPr>
        <w:lastRenderedPageBreak/>
        <w:t>1c. Запитання PICO з Настанови з програмного менеджменту лікарсько-стійкого туберкульозу, оновлення 2011 р.</w:t>
      </w:r>
    </w:p>
    <w:p w:rsidR="001A0A35" w:rsidRPr="00ED35A9" w:rsidRDefault="001A0A35" w:rsidP="001A0A35">
      <w:pPr>
        <w:ind w:firstLine="0"/>
        <w:rPr>
          <w:b/>
          <w:i/>
          <w:szCs w:val="28"/>
          <w:lang w:val="uk-UA"/>
        </w:rPr>
      </w:pPr>
      <w:r w:rsidRPr="00ED35A9">
        <w:rPr>
          <w:b/>
          <w:i/>
          <w:szCs w:val="28"/>
          <w:lang w:val="uk-UA"/>
        </w:rPr>
        <w:t>Запитання 6.</w:t>
      </w:r>
      <w:r w:rsidRPr="00ED35A9">
        <w:rPr>
          <w:szCs w:val="28"/>
          <w:lang w:val="uk-UA"/>
        </w:rPr>
        <w:t xml:space="preserve"> Чи застосування препаратів із перехресною токсичністю та потенційно адитивним ефектом у пацієнтів з ВІЛ-інфекцією та ЛС-ТБ, що отримують АРТ, призведе до підвищення чи зниження показників одужання або інших результатів лікування, наведених у таблиці 2, порівняно до уникнення застосування таких препаратів?</w:t>
      </w:r>
    </w:p>
    <w:p w:rsidR="001A0A35" w:rsidRPr="00ED35A9" w:rsidRDefault="001A0A35" w:rsidP="001A0A35">
      <w:pPr>
        <w:ind w:firstLine="0"/>
        <w:rPr>
          <w:szCs w:val="28"/>
          <w:lang w:val="uk-UA"/>
        </w:rPr>
      </w:pPr>
      <w:r w:rsidRPr="00ED35A9">
        <w:rPr>
          <w:b/>
          <w:i/>
          <w:szCs w:val="28"/>
          <w:lang w:val="uk-UA"/>
        </w:rPr>
        <w:t>Запитання 7.</w:t>
      </w:r>
      <w:r w:rsidRPr="00ED35A9">
        <w:rPr>
          <w:szCs w:val="28"/>
          <w:lang w:val="uk-UA"/>
        </w:rPr>
        <w:t xml:space="preserve"> Чи проведення амбулаторного лікування у пацієнтів з МРТБ призведе до наведених у таблиці 2 результатів порівняно зі стаціонарним лікуванням?</w:t>
      </w:r>
    </w:p>
    <w:p w:rsidR="001A0A35" w:rsidRPr="00ED35A9" w:rsidRDefault="001A0A35" w:rsidP="001A0A35">
      <w:pPr>
        <w:spacing w:before="120" w:after="120"/>
        <w:ind w:firstLine="0"/>
        <w:jc w:val="center"/>
        <w:rPr>
          <w:b/>
          <w:szCs w:val="28"/>
          <w:lang w:val="uk-UA"/>
        </w:rPr>
      </w:pPr>
      <w:r w:rsidRPr="00ED35A9">
        <w:rPr>
          <w:b/>
          <w:szCs w:val="28"/>
          <w:lang w:val="uk-UA"/>
        </w:rPr>
        <w:t>Таблиця 2. Найважливіші можливі результати, які необхідно врахувати</w:t>
      </w:r>
      <w:r w:rsidRPr="00ED35A9">
        <w:rPr>
          <w:b/>
          <w:szCs w:val="28"/>
          <w:lang w:val="uk-UA"/>
        </w:rPr>
        <w:br/>
        <w:t>при виборі стратегій тестування та лікування ЛС-ТБ</w:t>
      </w:r>
    </w:p>
    <w:tbl>
      <w:tblPr>
        <w:tblStyle w:val="a8"/>
        <w:tblW w:w="0" w:type="auto"/>
        <w:tblInd w:w="108" w:type="dxa"/>
        <w:tblLook w:val="04A0" w:firstRow="1" w:lastRow="0" w:firstColumn="1" w:lastColumn="0" w:noHBand="0" w:noVBand="1"/>
      </w:tblPr>
      <w:tblGrid>
        <w:gridCol w:w="9588"/>
        <w:gridCol w:w="2582"/>
        <w:gridCol w:w="2408"/>
      </w:tblGrid>
      <w:tr w:rsidR="001A0A35" w:rsidRPr="00ED35A9" w:rsidTr="001A0A35">
        <w:trPr>
          <w:tblHeader/>
        </w:trPr>
        <w:tc>
          <w:tcPr>
            <w:tcW w:w="9588" w:type="dxa"/>
            <w:tcMar>
              <w:left w:w="57" w:type="dxa"/>
              <w:right w:w="57" w:type="dxa"/>
            </w:tcMar>
            <w:vAlign w:val="center"/>
          </w:tcPr>
          <w:p w:rsidR="001A0A35" w:rsidRPr="00ED35A9" w:rsidRDefault="001A0A35" w:rsidP="001A0A35">
            <w:pPr>
              <w:spacing w:line="233" w:lineRule="auto"/>
              <w:ind w:firstLine="0"/>
              <w:jc w:val="center"/>
              <w:rPr>
                <w:b/>
                <w:szCs w:val="28"/>
                <w:lang w:val="uk-UA"/>
              </w:rPr>
            </w:pPr>
            <w:r w:rsidRPr="00ED35A9">
              <w:rPr>
                <w:b/>
                <w:szCs w:val="28"/>
                <w:lang w:val="uk-UA"/>
              </w:rPr>
              <w:t>Результати (у дужках наведено негативний результат)</w:t>
            </w:r>
          </w:p>
        </w:tc>
        <w:tc>
          <w:tcPr>
            <w:tcW w:w="2582" w:type="dxa"/>
            <w:tcMar>
              <w:left w:w="57" w:type="dxa"/>
              <w:right w:w="57" w:type="dxa"/>
            </w:tcMar>
            <w:vAlign w:val="center"/>
          </w:tcPr>
          <w:p w:rsidR="001A0A35" w:rsidRPr="00ED35A9" w:rsidRDefault="001A0A35" w:rsidP="001A0A35">
            <w:pPr>
              <w:spacing w:line="233" w:lineRule="auto"/>
              <w:ind w:firstLine="0"/>
              <w:jc w:val="center"/>
              <w:rPr>
                <w:b/>
                <w:szCs w:val="28"/>
                <w:lang w:val="uk-UA"/>
              </w:rPr>
            </w:pPr>
            <w:r w:rsidRPr="00ED35A9">
              <w:rPr>
                <w:b/>
                <w:szCs w:val="28"/>
                <w:lang w:val="uk-UA"/>
              </w:rPr>
              <w:t>Середній показник</w:t>
            </w:r>
          </w:p>
        </w:tc>
        <w:tc>
          <w:tcPr>
            <w:tcW w:w="2408" w:type="dxa"/>
            <w:tcMar>
              <w:left w:w="57" w:type="dxa"/>
              <w:right w:w="57" w:type="dxa"/>
            </w:tcMar>
            <w:vAlign w:val="bottom"/>
          </w:tcPr>
          <w:p w:rsidR="001A0A35" w:rsidRPr="00ED35A9" w:rsidRDefault="001A0A35" w:rsidP="001A0A35">
            <w:pPr>
              <w:spacing w:line="233" w:lineRule="auto"/>
              <w:ind w:firstLine="0"/>
              <w:jc w:val="center"/>
              <w:rPr>
                <w:b/>
                <w:szCs w:val="28"/>
                <w:lang w:val="uk-UA"/>
              </w:rPr>
            </w:pPr>
            <w:r w:rsidRPr="00ED35A9">
              <w:rPr>
                <w:b/>
                <w:szCs w:val="28"/>
                <w:lang w:val="uk-UA"/>
              </w:rPr>
              <w:t>Відносна</w:t>
            </w:r>
          </w:p>
          <w:p w:rsidR="001A0A35" w:rsidRPr="00ED35A9" w:rsidRDefault="001A0A35" w:rsidP="001A0A35">
            <w:pPr>
              <w:spacing w:line="233" w:lineRule="auto"/>
              <w:ind w:firstLine="0"/>
              <w:jc w:val="center"/>
              <w:rPr>
                <w:b/>
                <w:szCs w:val="28"/>
                <w:lang w:val="uk-UA"/>
              </w:rPr>
            </w:pPr>
            <w:r w:rsidRPr="00ED35A9">
              <w:rPr>
                <w:b/>
                <w:szCs w:val="28"/>
                <w:lang w:val="uk-UA"/>
              </w:rPr>
              <w:t>важливість</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1. Одужання (невдача лікування)</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8,7</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2. Своєчасний початок відповідного лікування</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8,3</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3. Попередження набуття або посилення медикаментозної резистентності</w:t>
            </w:r>
          </w:p>
        </w:tc>
        <w:tc>
          <w:tcPr>
            <w:tcW w:w="2582" w:type="dxa"/>
            <w:tcMar>
              <w:left w:w="57" w:type="dxa"/>
              <w:right w:w="57" w:type="dxa"/>
            </w:tcMar>
            <w:vAlign w:val="center"/>
          </w:tcPr>
          <w:p w:rsidR="001A0A35" w:rsidRPr="00ED35A9" w:rsidRDefault="001A0A35" w:rsidP="001A0A35">
            <w:pPr>
              <w:spacing w:line="233" w:lineRule="auto"/>
              <w:ind w:firstLine="0"/>
              <w:jc w:val="center"/>
              <w:rPr>
                <w:szCs w:val="28"/>
                <w:lang w:val="uk-UA"/>
              </w:rPr>
            </w:pPr>
            <w:r w:rsidRPr="00ED35A9">
              <w:rPr>
                <w:szCs w:val="28"/>
                <w:lang w:val="uk-UA"/>
              </w:rPr>
              <w:t>8,1</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4. Виживаність (смертність від ТБ)</w:t>
            </w:r>
          </w:p>
        </w:tc>
        <w:tc>
          <w:tcPr>
            <w:tcW w:w="2582" w:type="dxa"/>
            <w:tcMar>
              <w:left w:w="57" w:type="dxa"/>
              <w:right w:w="57" w:type="dxa"/>
            </w:tcMar>
            <w:vAlign w:val="center"/>
          </w:tcPr>
          <w:p w:rsidR="001A0A35" w:rsidRPr="00ED35A9" w:rsidRDefault="001A0A35" w:rsidP="001A0A35">
            <w:pPr>
              <w:spacing w:line="233" w:lineRule="auto"/>
              <w:ind w:firstLine="0"/>
              <w:jc w:val="center"/>
              <w:rPr>
                <w:szCs w:val="28"/>
                <w:lang w:val="uk-UA"/>
              </w:rPr>
            </w:pPr>
            <w:r w:rsidRPr="00ED35A9">
              <w:rPr>
                <w:szCs w:val="28"/>
                <w:lang w:val="uk-UA"/>
              </w:rPr>
              <w:t>7,9</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5. Період ремісії після завершення курсу лікування; тривале одужання (рецидив)</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7,6</w:t>
            </w:r>
          </w:p>
        </w:tc>
        <w:tc>
          <w:tcPr>
            <w:tcW w:w="2408" w:type="dxa"/>
            <w:tcMar>
              <w:left w:w="57" w:type="dxa"/>
              <w:right w:w="57" w:type="dxa"/>
            </w:tcMar>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6. Підтримання належного рівня прихильності до лікування (відмова або переривання лікування через відсутність прихильності)</w:t>
            </w:r>
          </w:p>
        </w:tc>
        <w:tc>
          <w:tcPr>
            <w:tcW w:w="2582" w:type="dxa"/>
            <w:tcMar>
              <w:left w:w="57" w:type="dxa"/>
              <w:right w:w="57" w:type="dxa"/>
            </w:tcMar>
          </w:tcPr>
          <w:p w:rsidR="001A0A35" w:rsidRPr="00ED35A9" w:rsidRDefault="001A0A35" w:rsidP="001A0A35">
            <w:pPr>
              <w:spacing w:line="233" w:lineRule="auto"/>
              <w:ind w:firstLine="0"/>
              <w:jc w:val="center"/>
              <w:rPr>
                <w:szCs w:val="28"/>
                <w:lang w:val="uk-UA"/>
              </w:rPr>
            </w:pPr>
            <w:r w:rsidRPr="00ED35A9">
              <w:rPr>
                <w:szCs w:val="28"/>
                <w:lang w:val="uk-UA"/>
              </w:rPr>
              <w:t>7,6</w:t>
            </w:r>
          </w:p>
        </w:tc>
        <w:tc>
          <w:tcPr>
            <w:tcW w:w="2408" w:type="dxa"/>
            <w:tcMar>
              <w:left w:w="57" w:type="dxa"/>
              <w:right w:w="57" w:type="dxa"/>
            </w:tcMar>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7. Охоплення популяції або надання доступу до відповідного лікування ЛС-ТБ</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7,5</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 xml:space="preserve">8. Конверсія мазку або </w:t>
            </w:r>
            <w:proofErr w:type="spellStart"/>
            <w:r w:rsidRPr="00ED35A9">
              <w:rPr>
                <w:szCs w:val="28"/>
                <w:lang w:val="uk-UA"/>
              </w:rPr>
              <w:t>культурального</w:t>
            </w:r>
            <w:proofErr w:type="spellEnd"/>
            <w:r w:rsidRPr="00ED35A9">
              <w:rPr>
                <w:szCs w:val="28"/>
                <w:lang w:val="uk-UA"/>
              </w:rPr>
              <w:t xml:space="preserve"> дослідження під час лікування</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7,4</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9. Прискорене виявлення медикаментозної резистентності</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7,4</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10. Уникнення непотрібного лікування МРТБ</w:t>
            </w:r>
          </w:p>
        </w:tc>
        <w:tc>
          <w:tcPr>
            <w:tcW w:w="2582" w:type="dxa"/>
            <w:tcMar>
              <w:left w:w="57" w:type="dxa"/>
              <w:right w:w="57" w:type="dxa"/>
            </w:tcMar>
            <w:vAlign w:val="center"/>
          </w:tcPr>
          <w:p w:rsidR="001A0A35" w:rsidRPr="00ED35A9" w:rsidRDefault="001A0A35" w:rsidP="001A0A35">
            <w:pPr>
              <w:spacing w:line="233" w:lineRule="auto"/>
              <w:ind w:firstLine="0"/>
              <w:jc w:val="center"/>
              <w:rPr>
                <w:szCs w:val="28"/>
                <w:lang w:val="uk-UA"/>
              </w:rPr>
            </w:pPr>
            <w:r w:rsidRPr="00ED35A9">
              <w:rPr>
                <w:szCs w:val="28"/>
                <w:lang w:val="uk-UA"/>
              </w:rPr>
              <w:t>7,2</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11. Охоплення популяції або надання доступу до діагностики ЛС-ТБ</w:t>
            </w:r>
          </w:p>
        </w:tc>
        <w:tc>
          <w:tcPr>
            <w:tcW w:w="2582" w:type="dxa"/>
            <w:tcMar>
              <w:left w:w="57" w:type="dxa"/>
              <w:right w:w="57" w:type="dxa"/>
            </w:tcMar>
            <w:vAlign w:val="bottom"/>
          </w:tcPr>
          <w:p w:rsidR="001A0A35" w:rsidRPr="00ED35A9" w:rsidRDefault="001A0A35" w:rsidP="001A0A35">
            <w:pPr>
              <w:spacing w:line="233" w:lineRule="auto"/>
              <w:ind w:firstLine="0"/>
              <w:jc w:val="center"/>
              <w:rPr>
                <w:szCs w:val="28"/>
                <w:lang w:val="uk-UA"/>
              </w:rPr>
            </w:pPr>
            <w:r w:rsidRPr="00ED35A9">
              <w:rPr>
                <w:szCs w:val="28"/>
                <w:lang w:val="uk-UA"/>
              </w:rPr>
              <w:t>7,1</w:t>
            </w:r>
          </w:p>
        </w:tc>
        <w:tc>
          <w:tcPr>
            <w:tcW w:w="2408" w:type="dxa"/>
            <w:tcMar>
              <w:left w:w="57" w:type="dxa"/>
              <w:right w:w="57" w:type="dxa"/>
            </w:tcMar>
            <w:vAlign w:val="bottom"/>
          </w:tcPr>
          <w:p w:rsidR="001A0A35" w:rsidRPr="00ED35A9" w:rsidRDefault="001A0A35" w:rsidP="001A0A35">
            <w:pPr>
              <w:spacing w:line="233" w:lineRule="auto"/>
              <w:ind w:firstLine="0"/>
              <w:jc w:val="left"/>
              <w:rPr>
                <w:szCs w:val="28"/>
                <w:lang w:val="uk-UA"/>
              </w:rPr>
            </w:pPr>
            <w:r w:rsidRPr="00ED35A9">
              <w:rPr>
                <w:szCs w:val="28"/>
                <w:lang w:val="uk-UA"/>
              </w:rPr>
              <w:t>Критично важливо</w:t>
            </w:r>
          </w:p>
        </w:tc>
      </w:tr>
      <w:tr w:rsidR="001A0A35" w:rsidRPr="00ED35A9" w:rsidTr="001A0A35">
        <w:tc>
          <w:tcPr>
            <w:tcW w:w="958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12. Профілактика або запобігання передачі ЛС-ТБ іншим людям, зокрема іншим пацієнтам та медпрацівникам</w:t>
            </w:r>
          </w:p>
        </w:tc>
        <w:tc>
          <w:tcPr>
            <w:tcW w:w="2582" w:type="dxa"/>
            <w:tcMar>
              <w:left w:w="57" w:type="dxa"/>
              <w:right w:w="57" w:type="dxa"/>
            </w:tcMar>
          </w:tcPr>
          <w:p w:rsidR="001A0A35" w:rsidRPr="00ED35A9" w:rsidRDefault="001A0A35" w:rsidP="001A0A35">
            <w:pPr>
              <w:spacing w:line="233" w:lineRule="auto"/>
              <w:ind w:firstLine="0"/>
              <w:jc w:val="center"/>
              <w:rPr>
                <w:szCs w:val="28"/>
                <w:lang w:val="uk-UA"/>
              </w:rPr>
            </w:pPr>
            <w:r w:rsidRPr="00ED35A9">
              <w:rPr>
                <w:szCs w:val="28"/>
                <w:lang w:val="uk-UA"/>
              </w:rPr>
              <w:t>6,9</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tcPr>
          <w:p w:rsidR="001A0A35" w:rsidRPr="00ED35A9" w:rsidRDefault="001A0A35" w:rsidP="001A0A35">
            <w:pPr>
              <w:spacing w:line="233" w:lineRule="auto"/>
              <w:ind w:firstLine="0"/>
              <w:jc w:val="left"/>
              <w:rPr>
                <w:szCs w:val="28"/>
                <w:lang w:val="uk-UA"/>
              </w:rPr>
            </w:pPr>
            <w:r w:rsidRPr="00ED35A9">
              <w:rPr>
                <w:szCs w:val="28"/>
                <w:lang w:val="uk-UA"/>
              </w:rPr>
              <w:t>13. Найкоротша можлива тривалість лікування</w:t>
            </w:r>
          </w:p>
        </w:tc>
        <w:tc>
          <w:tcPr>
            <w:tcW w:w="2582" w:type="dxa"/>
            <w:tcMar>
              <w:left w:w="57" w:type="dxa"/>
              <w:right w:w="57" w:type="dxa"/>
            </w:tcMar>
            <w:vAlign w:val="center"/>
          </w:tcPr>
          <w:p w:rsidR="001A0A35" w:rsidRPr="00ED35A9" w:rsidRDefault="001A0A35" w:rsidP="001A0A35">
            <w:pPr>
              <w:spacing w:line="233" w:lineRule="auto"/>
              <w:ind w:firstLine="0"/>
              <w:jc w:val="center"/>
              <w:rPr>
                <w:szCs w:val="28"/>
                <w:lang w:val="uk-UA"/>
              </w:rPr>
            </w:pPr>
            <w:r w:rsidRPr="00ED35A9">
              <w:rPr>
                <w:szCs w:val="28"/>
                <w:lang w:val="uk-UA"/>
              </w:rPr>
              <w:t>6,7</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14. Уникнення побічних реакцій та небажаних явищ при застосуванні ПТП</w:t>
            </w:r>
          </w:p>
        </w:tc>
        <w:tc>
          <w:tcPr>
            <w:tcW w:w="2582" w:type="dxa"/>
            <w:tcMar>
              <w:left w:w="57" w:type="dxa"/>
              <w:right w:w="57" w:type="dxa"/>
            </w:tcMar>
            <w:vAlign w:val="center"/>
          </w:tcPr>
          <w:p w:rsidR="001A0A35" w:rsidRPr="00ED35A9" w:rsidRDefault="001A0A35" w:rsidP="001A0A35">
            <w:pPr>
              <w:spacing w:line="233" w:lineRule="auto"/>
              <w:ind w:firstLine="0"/>
              <w:jc w:val="center"/>
              <w:rPr>
                <w:szCs w:val="28"/>
                <w:lang w:val="uk-UA"/>
              </w:rPr>
            </w:pPr>
            <w:r w:rsidRPr="00ED35A9">
              <w:rPr>
                <w:szCs w:val="28"/>
                <w:lang w:val="uk-UA"/>
              </w:rPr>
              <w:t>6,5</w:t>
            </w:r>
          </w:p>
        </w:tc>
        <w:tc>
          <w:tcPr>
            <w:tcW w:w="2408" w:type="dxa"/>
            <w:tcMar>
              <w:left w:w="57" w:type="dxa"/>
              <w:right w:w="57" w:type="dxa"/>
            </w:tcMar>
            <w:vAlign w:val="center"/>
          </w:tcPr>
          <w:p w:rsidR="001A0A35" w:rsidRPr="00ED35A9" w:rsidRDefault="001A0A35" w:rsidP="001A0A35">
            <w:pPr>
              <w:spacing w:line="233" w:lineRule="auto"/>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vAlign w:val="bottom"/>
          </w:tcPr>
          <w:p w:rsidR="001A0A35" w:rsidRPr="00ED35A9" w:rsidRDefault="001A0A35" w:rsidP="001A0A35">
            <w:pPr>
              <w:ind w:firstLine="0"/>
              <w:jc w:val="left"/>
              <w:rPr>
                <w:szCs w:val="28"/>
                <w:lang w:val="uk-UA"/>
              </w:rPr>
            </w:pPr>
            <w:r w:rsidRPr="00ED35A9">
              <w:rPr>
                <w:szCs w:val="28"/>
                <w:lang w:val="uk-UA"/>
              </w:rPr>
              <w:lastRenderedPageBreak/>
              <w:t xml:space="preserve">15. Вартість для пацієнта, зокрема прямі медичні витрати та інші витрати </w:t>
            </w:r>
            <w:r w:rsidRPr="00ED35A9">
              <w:rPr>
                <w:szCs w:val="28"/>
                <w:lang w:val="uk-UA"/>
              </w:rPr>
              <w:br/>
              <w:t>(на транспорт, втрата заробітку через непрацездатність)</w:t>
            </w:r>
          </w:p>
        </w:tc>
        <w:tc>
          <w:tcPr>
            <w:tcW w:w="2582" w:type="dxa"/>
            <w:tcMar>
              <w:left w:w="57" w:type="dxa"/>
              <w:right w:w="57" w:type="dxa"/>
            </w:tcMar>
          </w:tcPr>
          <w:p w:rsidR="001A0A35" w:rsidRPr="00ED35A9" w:rsidRDefault="001A0A35" w:rsidP="001A0A35">
            <w:pPr>
              <w:ind w:firstLine="0"/>
              <w:jc w:val="center"/>
              <w:rPr>
                <w:szCs w:val="28"/>
                <w:lang w:val="uk-UA"/>
              </w:rPr>
            </w:pPr>
            <w:r w:rsidRPr="00ED35A9">
              <w:rPr>
                <w:szCs w:val="28"/>
                <w:lang w:val="uk-UA"/>
              </w:rPr>
              <w:t>6,4</w:t>
            </w:r>
          </w:p>
        </w:tc>
        <w:tc>
          <w:tcPr>
            <w:tcW w:w="2408" w:type="dxa"/>
            <w:tcMar>
              <w:left w:w="57" w:type="dxa"/>
              <w:right w:w="57" w:type="dxa"/>
            </w:tcMar>
            <w:vAlign w:val="bottom"/>
          </w:tcPr>
          <w:p w:rsidR="001A0A35" w:rsidRPr="00ED35A9" w:rsidRDefault="001A0A35" w:rsidP="001A0A35">
            <w:pPr>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tcPr>
          <w:p w:rsidR="001A0A35" w:rsidRPr="00ED35A9" w:rsidRDefault="001A0A35" w:rsidP="001A0A35">
            <w:pPr>
              <w:ind w:firstLine="0"/>
              <w:jc w:val="left"/>
              <w:rPr>
                <w:szCs w:val="28"/>
                <w:lang w:val="uk-UA"/>
              </w:rPr>
            </w:pPr>
            <w:r w:rsidRPr="00ED35A9">
              <w:rPr>
                <w:szCs w:val="28"/>
                <w:lang w:val="uk-UA"/>
              </w:rPr>
              <w:t>16. Зникнення ознак та симптомів ТБ; здатність продовжувати звичайну життєдіяльність</w:t>
            </w:r>
          </w:p>
        </w:tc>
        <w:tc>
          <w:tcPr>
            <w:tcW w:w="2582" w:type="dxa"/>
            <w:tcMar>
              <w:left w:w="57" w:type="dxa"/>
              <w:right w:w="57" w:type="dxa"/>
            </w:tcMar>
          </w:tcPr>
          <w:p w:rsidR="001A0A35" w:rsidRPr="00ED35A9" w:rsidRDefault="001A0A35" w:rsidP="001A0A35">
            <w:pPr>
              <w:ind w:firstLine="0"/>
              <w:jc w:val="center"/>
              <w:rPr>
                <w:szCs w:val="28"/>
                <w:lang w:val="uk-UA"/>
              </w:rPr>
            </w:pPr>
            <w:r w:rsidRPr="00ED35A9">
              <w:rPr>
                <w:szCs w:val="28"/>
                <w:lang w:val="uk-UA"/>
              </w:rPr>
              <w:t>6,3</w:t>
            </w:r>
          </w:p>
        </w:tc>
        <w:tc>
          <w:tcPr>
            <w:tcW w:w="2408" w:type="dxa"/>
            <w:tcMar>
              <w:left w:w="57" w:type="dxa"/>
              <w:right w:w="57" w:type="dxa"/>
            </w:tcMar>
            <w:vAlign w:val="center"/>
          </w:tcPr>
          <w:p w:rsidR="001A0A35" w:rsidRPr="00ED35A9" w:rsidRDefault="001A0A35" w:rsidP="001A0A35">
            <w:pPr>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vAlign w:val="center"/>
          </w:tcPr>
          <w:p w:rsidR="001A0A35" w:rsidRPr="00ED35A9" w:rsidRDefault="001A0A35" w:rsidP="001A0A35">
            <w:pPr>
              <w:ind w:firstLine="0"/>
              <w:jc w:val="left"/>
              <w:rPr>
                <w:szCs w:val="28"/>
                <w:lang w:val="uk-UA"/>
              </w:rPr>
            </w:pPr>
            <w:r w:rsidRPr="00ED35A9">
              <w:rPr>
                <w:szCs w:val="28"/>
                <w:lang w:val="uk-UA"/>
              </w:rPr>
              <w:t>17. Взаємодія ПТП з іншими препаратами</w:t>
            </w:r>
          </w:p>
        </w:tc>
        <w:tc>
          <w:tcPr>
            <w:tcW w:w="2582" w:type="dxa"/>
            <w:tcMar>
              <w:left w:w="57" w:type="dxa"/>
              <w:right w:w="57" w:type="dxa"/>
            </w:tcMar>
            <w:vAlign w:val="center"/>
          </w:tcPr>
          <w:p w:rsidR="001A0A35" w:rsidRPr="00ED35A9" w:rsidRDefault="001A0A35" w:rsidP="001A0A35">
            <w:pPr>
              <w:ind w:firstLine="0"/>
              <w:jc w:val="center"/>
              <w:rPr>
                <w:szCs w:val="28"/>
                <w:lang w:val="uk-UA"/>
              </w:rPr>
            </w:pPr>
            <w:r w:rsidRPr="00ED35A9">
              <w:rPr>
                <w:szCs w:val="28"/>
                <w:lang w:val="uk-UA"/>
              </w:rPr>
              <w:t>5,6</w:t>
            </w:r>
          </w:p>
        </w:tc>
        <w:tc>
          <w:tcPr>
            <w:tcW w:w="2408" w:type="dxa"/>
            <w:tcMar>
              <w:left w:w="57" w:type="dxa"/>
              <w:right w:w="57" w:type="dxa"/>
            </w:tcMar>
            <w:vAlign w:val="center"/>
          </w:tcPr>
          <w:p w:rsidR="001A0A35" w:rsidRPr="00ED35A9" w:rsidRDefault="001A0A35" w:rsidP="001A0A35">
            <w:pPr>
              <w:ind w:firstLine="0"/>
              <w:jc w:val="left"/>
              <w:rPr>
                <w:szCs w:val="28"/>
                <w:lang w:val="uk-UA"/>
              </w:rPr>
            </w:pPr>
            <w:r w:rsidRPr="00ED35A9">
              <w:rPr>
                <w:szCs w:val="28"/>
                <w:lang w:val="uk-UA"/>
              </w:rPr>
              <w:t>Важливо, але не критично</w:t>
            </w:r>
          </w:p>
        </w:tc>
      </w:tr>
      <w:tr w:rsidR="001A0A35" w:rsidRPr="00ED35A9" w:rsidTr="001A0A35">
        <w:tc>
          <w:tcPr>
            <w:tcW w:w="9588" w:type="dxa"/>
            <w:tcMar>
              <w:left w:w="57" w:type="dxa"/>
              <w:right w:w="57" w:type="dxa"/>
            </w:tcMar>
          </w:tcPr>
          <w:p w:rsidR="001A0A35" w:rsidRPr="00ED35A9" w:rsidRDefault="001A0A35" w:rsidP="001A0A35">
            <w:pPr>
              <w:ind w:firstLine="0"/>
              <w:jc w:val="left"/>
              <w:rPr>
                <w:szCs w:val="28"/>
                <w:lang w:val="uk-UA"/>
              </w:rPr>
            </w:pPr>
            <w:r w:rsidRPr="00ED35A9">
              <w:rPr>
                <w:szCs w:val="28"/>
                <w:lang w:val="uk-UA"/>
              </w:rPr>
              <w:t>18.Витрати для програми контролю ТБ</w:t>
            </w:r>
          </w:p>
        </w:tc>
        <w:tc>
          <w:tcPr>
            <w:tcW w:w="2582" w:type="dxa"/>
            <w:tcMar>
              <w:left w:w="57" w:type="dxa"/>
              <w:right w:w="57" w:type="dxa"/>
            </w:tcMar>
          </w:tcPr>
          <w:p w:rsidR="001A0A35" w:rsidRPr="00ED35A9" w:rsidRDefault="001A0A35" w:rsidP="001A0A35">
            <w:pPr>
              <w:ind w:firstLine="0"/>
              <w:jc w:val="center"/>
              <w:rPr>
                <w:szCs w:val="28"/>
                <w:lang w:val="uk-UA"/>
              </w:rPr>
            </w:pPr>
            <w:r w:rsidRPr="00ED35A9">
              <w:rPr>
                <w:szCs w:val="28"/>
                <w:lang w:val="uk-UA"/>
              </w:rPr>
              <w:t>5,4</w:t>
            </w:r>
          </w:p>
        </w:tc>
        <w:tc>
          <w:tcPr>
            <w:tcW w:w="2408" w:type="dxa"/>
            <w:tcMar>
              <w:left w:w="57" w:type="dxa"/>
              <w:right w:w="57" w:type="dxa"/>
            </w:tcMar>
            <w:vAlign w:val="center"/>
          </w:tcPr>
          <w:p w:rsidR="001A0A35" w:rsidRPr="00ED35A9" w:rsidRDefault="001A0A35" w:rsidP="001A0A35">
            <w:pPr>
              <w:ind w:firstLine="0"/>
              <w:jc w:val="left"/>
              <w:rPr>
                <w:szCs w:val="28"/>
                <w:lang w:val="uk-UA"/>
              </w:rPr>
            </w:pPr>
            <w:r w:rsidRPr="00ED35A9">
              <w:rPr>
                <w:szCs w:val="28"/>
                <w:lang w:val="uk-UA"/>
              </w:rPr>
              <w:t>Важливо, але не критично</w:t>
            </w:r>
          </w:p>
        </w:tc>
      </w:tr>
    </w:tbl>
    <w:p w:rsidR="001A0A35" w:rsidRPr="00ED35A9" w:rsidRDefault="001A0A35" w:rsidP="001A0A35">
      <w:pPr>
        <w:spacing w:before="120"/>
        <w:ind w:firstLine="0"/>
        <w:rPr>
          <w:szCs w:val="28"/>
          <w:lang w:val="uk-UA"/>
        </w:rPr>
      </w:pPr>
      <w:r w:rsidRPr="00ED35A9">
        <w:rPr>
          <w:szCs w:val="28"/>
          <w:lang w:val="uk-UA"/>
        </w:rPr>
        <w:t>У таблиці 2 підсумовано показники результатів, відібраних ГРН. Чотирнадцять членів оцінили результати, які вони визначили як найбільш критично важливі у прийнятті рішення щодо стратегії тестування та лікування. Члени ГРН оцінювати результати з точки зору суспільства за шкалою:</w:t>
      </w:r>
    </w:p>
    <w:p w:rsidR="001A0A35" w:rsidRPr="00ED35A9" w:rsidRDefault="001A0A35" w:rsidP="001A0A35">
      <w:pPr>
        <w:ind w:left="426" w:hanging="142"/>
        <w:rPr>
          <w:szCs w:val="28"/>
          <w:lang w:val="uk-UA"/>
        </w:rPr>
      </w:pPr>
      <w:r w:rsidRPr="00ED35A9">
        <w:rPr>
          <w:szCs w:val="28"/>
          <w:lang w:val="uk-UA"/>
        </w:rPr>
        <w:t>1–3 бали: неважливо для надання рекомендацій щодо вибору стратегій тестування та лікування ЛС-TБ</w:t>
      </w:r>
      <w:r w:rsidRPr="00ED35A9">
        <w:rPr>
          <w:rStyle w:val="ac"/>
          <w:szCs w:val="28"/>
          <w:lang w:val="uk-UA"/>
        </w:rPr>
        <w:footnoteReference w:id="47"/>
      </w:r>
    </w:p>
    <w:p w:rsidR="001A0A35" w:rsidRPr="00ED35A9" w:rsidRDefault="001A0A35" w:rsidP="001A0A35">
      <w:pPr>
        <w:ind w:left="426" w:hanging="142"/>
        <w:rPr>
          <w:szCs w:val="28"/>
          <w:lang w:val="uk-UA"/>
        </w:rPr>
      </w:pPr>
      <w:r w:rsidRPr="00ED35A9">
        <w:rPr>
          <w:szCs w:val="28"/>
          <w:lang w:val="uk-UA"/>
        </w:rPr>
        <w:t>4–6 балів: важливо, але не критично для надання рекомендацій щодо вибору стратегій тестування та лікування ЛС-TБ.</w:t>
      </w:r>
    </w:p>
    <w:p w:rsidR="001A0A35" w:rsidRPr="00ED35A9" w:rsidRDefault="001A0A35" w:rsidP="001A0A35">
      <w:pPr>
        <w:ind w:left="426" w:hanging="142"/>
        <w:rPr>
          <w:szCs w:val="28"/>
          <w:lang w:val="uk-UA"/>
        </w:rPr>
      </w:pPr>
      <w:r w:rsidRPr="00ED35A9">
        <w:rPr>
          <w:szCs w:val="28"/>
          <w:lang w:val="uk-UA"/>
        </w:rPr>
        <w:t>7–9 балів: критично важливо для надання рекомендацій щодо вибору стратегій тестування та лікування ЛС-TБ.</w:t>
      </w:r>
    </w:p>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ind w:firstLine="0"/>
        <w:rPr>
          <w:b/>
          <w:szCs w:val="28"/>
          <w:lang w:val="uk-UA"/>
        </w:rPr>
      </w:pPr>
      <w:r w:rsidRPr="00ED35A9">
        <w:rPr>
          <w:b/>
          <w:szCs w:val="28"/>
          <w:lang w:val="uk-UA"/>
        </w:rPr>
        <w:lastRenderedPageBreak/>
        <w:t>1d. Запитання PICO з Настанови ВООЗ із лікування лікарсько-стійкого туберкульозу, оновлення 2016 р.</w:t>
      </w:r>
    </w:p>
    <w:p w:rsidR="001A0A35" w:rsidRPr="00ED35A9" w:rsidRDefault="001A0A35" w:rsidP="001A0A35">
      <w:pPr>
        <w:spacing w:after="120"/>
        <w:ind w:firstLine="0"/>
        <w:rPr>
          <w:szCs w:val="28"/>
          <w:lang w:val="uk-UA"/>
        </w:rPr>
      </w:pPr>
      <w:r w:rsidRPr="00ED35A9">
        <w:rPr>
          <w:b/>
          <w:i/>
          <w:szCs w:val="28"/>
          <w:lang w:val="uk-UA"/>
        </w:rPr>
        <w:t>Запитання 4.</w:t>
      </w:r>
      <w:r w:rsidRPr="00ED35A9">
        <w:rPr>
          <w:szCs w:val="28"/>
          <w:lang w:val="uk-UA"/>
        </w:rPr>
        <w:t xml:space="preserve"> Чи призведе до одужання або інших наслідків застосування наступних двох </w:t>
      </w:r>
      <w:proofErr w:type="spellStart"/>
      <w:r w:rsidRPr="00ED35A9">
        <w:rPr>
          <w:szCs w:val="28"/>
          <w:lang w:val="uk-UA"/>
        </w:rPr>
        <w:t>втручань</w:t>
      </w:r>
      <w:proofErr w:type="spellEnd"/>
      <w:r w:rsidRPr="00ED35A9">
        <w:rPr>
          <w:szCs w:val="28"/>
          <w:lang w:val="uk-UA"/>
        </w:rPr>
        <w:t xml:space="preserve"> – затримка початку лікування та вибіркове хірургічне втручання – при лікуванні пацієнтів з МРТБ?</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607"/>
        <w:gridCol w:w="3820"/>
        <w:gridCol w:w="3490"/>
      </w:tblGrid>
      <w:tr w:rsidR="001A0A35" w:rsidRPr="00ED35A9" w:rsidTr="001A0A35">
        <w:tc>
          <w:tcPr>
            <w:tcW w:w="1262"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r w:rsidRPr="00ED35A9">
              <w:rPr>
                <w:rStyle w:val="ac"/>
                <w:b/>
                <w:sz w:val="24"/>
                <w:szCs w:val="24"/>
                <w:lang w:val="uk-UA"/>
              </w:rPr>
              <w:footnoteReference w:id="48"/>
            </w:r>
          </w:p>
        </w:tc>
        <w:tc>
          <w:tcPr>
            <w:tcW w:w="123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262" w:type="pct"/>
          </w:tcPr>
          <w:p w:rsidR="001A0A35" w:rsidRPr="00ED35A9" w:rsidRDefault="001A0A35" w:rsidP="001A0A35">
            <w:pPr>
              <w:spacing w:after="120"/>
              <w:ind w:firstLine="0"/>
              <w:jc w:val="left"/>
              <w:rPr>
                <w:sz w:val="24"/>
                <w:szCs w:val="24"/>
                <w:lang w:val="uk-UA"/>
              </w:rPr>
            </w:pPr>
            <w:r w:rsidRPr="00ED35A9">
              <w:rPr>
                <w:sz w:val="24"/>
                <w:szCs w:val="24"/>
                <w:lang w:val="uk-UA"/>
              </w:rPr>
              <w:t xml:space="preserve">Пацієнти на лікуванні МРТБ. </w:t>
            </w:r>
          </w:p>
          <w:p w:rsidR="001A0A35" w:rsidRPr="00ED35A9" w:rsidRDefault="001A0A35" w:rsidP="001A0A35">
            <w:pPr>
              <w:spacing w:after="120"/>
              <w:ind w:firstLine="0"/>
              <w:jc w:val="left"/>
              <w:rPr>
                <w:sz w:val="24"/>
                <w:szCs w:val="24"/>
                <w:lang w:val="uk-UA"/>
              </w:rPr>
            </w:pPr>
            <w:r w:rsidRPr="00ED35A9">
              <w:rPr>
                <w:sz w:val="24"/>
                <w:szCs w:val="24"/>
                <w:lang w:val="uk-UA"/>
              </w:rPr>
              <w:t>Пацієнти на лікуванні ТБ-ШМР.</w:t>
            </w:r>
          </w:p>
          <w:p w:rsidR="001A0A35" w:rsidRPr="00ED35A9" w:rsidRDefault="001A0A35" w:rsidP="001A0A35">
            <w:pPr>
              <w:spacing w:after="120"/>
              <w:ind w:firstLine="0"/>
              <w:jc w:val="left"/>
              <w:rPr>
                <w:sz w:val="24"/>
                <w:szCs w:val="24"/>
                <w:lang w:val="uk-UA"/>
              </w:rPr>
            </w:pPr>
            <w:r w:rsidRPr="00ED35A9">
              <w:rPr>
                <w:sz w:val="24"/>
                <w:szCs w:val="24"/>
                <w:lang w:val="uk-UA"/>
              </w:rPr>
              <w:t>Діти (0–14 років) у порівнянні з дорослими.</w:t>
            </w:r>
          </w:p>
          <w:p w:rsidR="001A0A35" w:rsidRPr="00ED35A9" w:rsidRDefault="001A0A35" w:rsidP="001A0A35">
            <w:pPr>
              <w:spacing w:after="120"/>
              <w:ind w:firstLine="0"/>
              <w:jc w:val="left"/>
              <w:rPr>
                <w:sz w:val="24"/>
                <w:szCs w:val="24"/>
                <w:lang w:val="uk-UA"/>
              </w:rPr>
            </w:pPr>
            <w:r w:rsidRPr="00ED35A9">
              <w:rPr>
                <w:sz w:val="24"/>
                <w:szCs w:val="24"/>
                <w:lang w:val="uk-UA"/>
              </w:rPr>
              <w:t>Особи з ВІЛ (на АРТ).</w:t>
            </w:r>
          </w:p>
          <w:p w:rsidR="001A0A35" w:rsidRPr="00ED35A9" w:rsidRDefault="001A0A35" w:rsidP="001A0A35">
            <w:pPr>
              <w:spacing w:after="120"/>
              <w:ind w:firstLine="0"/>
              <w:jc w:val="left"/>
              <w:rPr>
                <w:sz w:val="24"/>
                <w:szCs w:val="24"/>
                <w:lang w:val="uk-UA"/>
              </w:rPr>
            </w:pPr>
            <w:r w:rsidRPr="00ED35A9">
              <w:rPr>
                <w:sz w:val="24"/>
                <w:szCs w:val="24"/>
                <w:lang w:val="uk-UA"/>
              </w:rPr>
              <w:t>Вагітні жінки та пацієнти з цукровим діабетом.</w:t>
            </w:r>
          </w:p>
        </w:tc>
        <w:tc>
          <w:tcPr>
            <w:tcW w:w="1235" w:type="pct"/>
          </w:tcPr>
          <w:p w:rsidR="001A0A35" w:rsidRPr="00ED35A9" w:rsidRDefault="001A0A35" w:rsidP="001A0A35">
            <w:pPr>
              <w:spacing w:after="120"/>
              <w:ind w:firstLine="0"/>
              <w:jc w:val="left"/>
              <w:rPr>
                <w:sz w:val="24"/>
                <w:szCs w:val="24"/>
                <w:lang w:val="uk-UA"/>
              </w:rPr>
            </w:pPr>
            <w:r w:rsidRPr="00ED35A9">
              <w:rPr>
                <w:sz w:val="24"/>
                <w:szCs w:val="24"/>
                <w:lang w:val="uk-UA"/>
              </w:rPr>
              <w:t>Початок відповідного лікування протягом 4 </w:t>
            </w:r>
            <w:proofErr w:type="spellStart"/>
            <w:r w:rsidRPr="00ED35A9">
              <w:rPr>
                <w:sz w:val="24"/>
                <w:szCs w:val="24"/>
                <w:lang w:val="uk-UA"/>
              </w:rPr>
              <w:t>тиж</w:t>
            </w:r>
            <w:proofErr w:type="spellEnd"/>
            <w:r w:rsidRPr="00ED35A9">
              <w:rPr>
                <w:sz w:val="24"/>
                <w:szCs w:val="24"/>
                <w:lang w:val="uk-UA"/>
              </w:rPr>
              <w:t xml:space="preserve"> від проведення діагностики (або вагоме припущення).</w:t>
            </w:r>
          </w:p>
          <w:p w:rsidR="001A0A35" w:rsidRPr="00ED35A9" w:rsidRDefault="001A0A35" w:rsidP="001A0A35">
            <w:pPr>
              <w:ind w:firstLine="0"/>
              <w:jc w:val="left"/>
              <w:rPr>
                <w:sz w:val="24"/>
                <w:szCs w:val="24"/>
                <w:lang w:val="uk-UA"/>
              </w:rPr>
            </w:pPr>
            <w:r w:rsidRPr="00ED35A9">
              <w:rPr>
                <w:sz w:val="24"/>
                <w:szCs w:val="24"/>
                <w:lang w:val="uk-UA"/>
              </w:rPr>
              <w:t>Вибіркове хірургічне втручання (різні типи/стадії захворювання).</w:t>
            </w:r>
          </w:p>
        </w:tc>
        <w:tc>
          <w:tcPr>
            <w:tcW w:w="1308" w:type="pct"/>
          </w:tcPr>
          <w:p w:rsidR="001A0A35" w:rsidRPr="00ED35A9" w:rsidRDefault="001A0A35" w:rsidP="001A0A35">
            <w:pPr>
              <w:spacing w:after="120"/>
              <w:ind w:firstLine="0"/>
              <w:jc w:val="left"/>
              <w:rPr>
                <w:sz w:val="24"/>
                <w:szCs w:val="24"/>
                <w:lang w:val="uk-UA"/>
              </w:rPr>
            </w:pPr>
            <w:r w:rsidRPr="00ED35A9">
              <w:rPr>
                <w:sz w:val="24"/>
                <w:szCs w:val="24"/>
                <w:lang w:val="uk-UA"/>
              </w:rPr>
              <w:t>Затримка початку лікування довше ніж на 4 </w:t>
            </w:r>
            <w:proofErr w:type="spellStart"/>
            <w:r w:rsidRPr="00ED35A9">
              <w:rPr>
                <w:sz w:val="24"/>
                <w:szCs w:val="24"/>
                <w:lang w:val="uk-UA"/>
              </w:rPr>
              <w:t>тиж</w:t>
            </w:r>
            <w:proofErr w:type="spellEnd"/>
            <w:r w:rsidRPr="00ED35A9">
              <w:rPr>
                <w:sz w:val="24"/>
                <w:szCs w:val="24"/>
                <w:lang w:val="uk-UA"/>
              </w:rPr>
              <w:t xml:space="preserve"> з моменту діагностики (або вагоме припущення).</w:t>
            </w:r>
          </w:p>
          <w:p w:rsidR="001A0A35" w:rsidRPr="00ED35A9" w:rsidRDefault="001A0A35" w:rsidP="001A0A35">
            <w:pPr>
              <w:ind w:firstLine="0"/>
              <w:jc w:val="left"/>
              <w:rPr>
                <w:sz w:val="24"/>
                <w:szCs w:val="24"/>
                <w:lang w:val="uk-UA"/>
              </w:rPr>
            </w:pPr>
            <w:r w:rsidRPr="00ED35A9">
              <w:rPr>
                <w:sz w:val="24"/>
                <w:szCs w:val="24"/>
                <w:lang w:val="uk-UA"/>
              </w:rPr>
              <w:t>Без проведення вибіркового хірургічного втручання.</w:t>
            </w:r>
          </w:p>
        </w:tc>
        <w:tc>
          <w:tcPr>
            <w:tcW w:w="1195" w:type="pct"/>
          </w:tcPr>
          <w:p w:rsidR="001A0A35" w:rsidRPr="00ED35A9" w:rsidRDefault="001A0A35" w:rsidP="001A0A35">
            <w:pPr>
              <w:spacing w:after="120"/>
              <w:ind w:firstLine="0"/>
              <w:jc w:val="left"/>
              <w:rPr>
                <w:sz w:val="24"/>
                <w:szCs w:val="24"/>
                <w:lang w:val="uk-UA"/>
              </w:rPr>
            </w:pPr>
            <w:r w:rsidRPr="00ED35A9">
              <w:rPr>
                <w:sz w:val="24"/>
                <w:szCs w:val="24"/>
                <w:lang w:val="uk-UA"/>
              </w:rPr>
              <w:t>Одужання на кінець лікування/ завершення курсу лікування.</w:t>
            </w:r>
          </w:p>
          <w:p w:rsidR="001A0A35" w:rsidRPr="00ED35A9" w:rsidRDefault="001A0A35" w:rsidP="001A0A35">
            <w:pPr>
              <w:spacing w:after="120" w:line="228" w:lineRule="auto"/>
              <w:ind w:firstLine="0"/>
              <w:jc w:val="left"/>
              <w:rPr>
                <w:sz w:val="24"/>
                <w:szCs w:val="24"/>
                <w:lang w:val="uk-UA"/>
              </w:rPr>
            </w:pPr>
            <w:r w:rsidRPr="00ED35A9">
              <w:rPr>
                <w:sz w:val="24"/>
                <w:szCs w:val="24"/>
                <w:lang w:val="uk-UA"/>
              </w:rPr>
              <w:t xml:space="preserve">Визначення </w:t>
            </w:r>
            <w:proofErr w:type="spellStart"/>
            <w:r w:rsidRPr="00ED35A9">
              <w:rPr>
                <w:sz w:val="24"/>
                <w:szCs w:val="24"/>
                <w:lang w:val="uk-UA"/>
              </w:rPr>
              <w:t>культуральної</w:t>
            </w:r>
            <w:proofErr w:type="spellEnd"/>
            <w:r w:rsidRPr="00ED35A9">
              <w:rPr>
                <w:sz w:val="24"/>
                <w:szCs w:val="24"/>
                <w:lang w:val="uk-UA"/>
              </w:rPr>
              <w:t xml:space="preserve"> конверсії через 6 міс.</w:t>
            </w:r>
          </w:p>
          <w:p w:rsidR="001A0A35" w:rsidRPr="00ED35A9" w:rsidRDefault="001A0A35" w:rsidP="001A0A35">
            <w:pPr>
              <w:spacing w:after="120"/>
              <w:ind w:firstLine="0"/>
              <w:jc w:val="left"/>
              <w:rPr>
                <w:sz w:val="24"/>
                <w:szCs w:val="24"/>
                <w:lang w:val="uk-UA"/>
              </w:rPr>
            </w:pPr>
            <w:r w:rsidRPr="00ED35A9">
              <w:rPr>
                <w:sz w:val="24"/>
                <w:szCs w:val="24"/>
                <w:lang w:val="uk-UA"/>
              </w:rPr>
              <w:t>Невдача лікування.</w:t>
            </w:r>
          </w:p>
          <w:p w:rsidR="001A0A35" w:rsidRPr="00ED35A9" w:rsidRDefault="001A0A35" w:rsidP="001A0A35">
            <w:pPr>
              <w:spacing w:after="120"/>
              <w:ind w:firstLine="0"/>
              <w:jc w:val="left"/>
              <w:rPr>
                <w:sz w:val="24"/>
                <w:szCs w:val="24"/>
                <w:lang w:val="uk-UA"/>
              </w:rPr>
            </w:pPr>
            <w:r w:rsidRPr="00ED35A9">
              <w:rPr>
                <w:sz w:val="24"/>
                <w:szCs w:val="24"/>
                <w:lang w:val="uk-UA"/>
              </w:rPr>
              <w:t>Виникнення рецидиву.</w:t>
            </w:r>
          </w:p>
          <w:p w:rsidR="001A0A35" w:rsidRPr="00ED35A9" w:rsidRDefault="001A0A35" w:rsidP="001A0A35">
            <w:pPr>
              <w:spacing w:after="120" w:line="228" w:lineRule="auto"/>
              <w:ind w:firstLine="0"/>
              <w:jc w:val="left"/>
              <w:rPr>
                <w:sz w:val="24"/>
                <w:szCs w:val="24"/>
                <w:lang w:val="uk-UA"/>
              </w:rPr>
            </w:pPr>
            <w:r w:rsidRPr="00ED35A9">
              <w:rPr>
                <w:sz w:val="24"/>
                <w:szCs w:val="24"/>
                <w:lang w:val="uk-UA"/>
              </w:rPr>
              <w:t>Виживаність (або смертельний наслідок).</w:t>
            </w:r>
          </w:p>
          <w:p w:rsidR="001A0A35" w:rsidRPr="00ED35A9" w:rsidRDefault="001A0A35" w:rsidP="001A0A35">
            <w:pPr>
              <w:spacing w:after="120"/>
              <w:ind w:firstLine="0"/>
              <w:jc w:val="left"/>
              <w:rPr>
                <w:sz w:val="24"/>
                <w:szCs w:val="24"/>
                <w:lang w:val="uk-UA"/>
              </w:rPr>
            </w:pPr>
            <w:r w:rsidRPr="00ED35A9">
              <w:rPr>
                <w:sz w:val="24"/>
                <w:szCs w:val="24"/>
                <w:lang w:val="uk-UA"/>
              </w:rPr>
              <w:t>Небажані явища (тяжкість, тип, клас органів).</w:t>
            </w:r>
          </w:p>
          <w:p w:rsidR="001A0A35" w:rsidRPr="00ED35A9" w:rsidRDefault="001A0A35" w:rsidP="001A0A35">
            <w:pPr>
              <w:spacing w:before="120" w:line="228" w:lineRule="auto"/>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tc>
      </w:tr>
    </w:tbl>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ind w:firstLine="0"/>
        <w:rPr>
          <w:b/>
          <w:szCs w:val="28"/>
          <w:lang w:val="uk-UA"/>
        </w:rPr>
      </w:pPr>
      <w:r w:rsidRPr="00ED35A9">
        <w:rPr>
          <w:b/>
          <w:szCs w:val="28"/>
          <w:lang w:val="uk-UA"/>
        </w:rPr>
        <w:lastRenderedPageBreak/>
        <w:t>1e. Запитання PICO з Настанови з лікування та догляду пацієнтів з лікарсько-чутливим туберкульозом, оновлення 2017 р.</w:t>
      </w:r>
    </w:p>
    <w:p w:rsidR="001A0A35" w:rsidRPr="00ED35A9" w:rsidRDefault="001A0A35" w:rsidP="001A0A35">
      <w:pPr>
        <w:spacing w:after="120"/>
        <w:ind w:firstLine="0"/>
        <w:rPr>
          <w:szCs w:val="28"/>
          <w:lang w:val="uk-UA"/>
        </w:rPr>
      </w:pPr>
      <w:r w:rsidRPr="00ED35A9">
        <w:rPr>
          <w:b/>
          <w:i/>
          <w:szCs w:val="28"/>
          <w:lang w:val="uk-UA"/>
        </w:rPr>
        <w:t>Запитання 10.</w:t>
      </w:r>
      <w:r w:rsidRPr="00ED35A9">
        <w:rPr>
          <w:szCs w:val="28"/>
          <w:lang w:val="uk-UA"/>
        </w:rPr>
        <w:t xml:space="preserve"> Чи сприятиме підвищення прихильності до лікування отриманню наведених нижче результатів у пацієнтів з ТБ?</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3820"/>
        <w:gridCol w:w="3820"/>
        <w:gridCol w:w="3490"/>
      </w:tblGrid>
      <w:tr w:rsidR="001A0A35" w:rsidRPr="00ED35A9" w:rsidTr="001A0A35">
        <w:tc>
          <w:tcPr>
            <w:tcW w:w="1189"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308"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189" w:type="pct"/>
          </w:tcPr>
          <w:p w:rsidR="001A0A35" w:rsidRPr="00ED35A9" w:rsidRDefault="001A0A35" w:rsidP="001A0A35">
            <w:pPr>
              <w:spacing w:after="120"/>
              <w:ind w:firstLine="0"/>
              <w:jc w:val="left"/>
              <w:rPr>
                <w:sz w:val="24"/>
                <w:szCs w:val="24"/>
                <w:lang w:val="uk-UA"/>
              </w:rPr>
            </w:pPr>
            <w:r w:rsidRPr="00ED35A9">
              <w:rPr>
                <w:sz w:val="24"/>
                <w:szCs w:val="24"/>
                <w:lang w:val="uk-UA"/>
              </w:rPr>
              <w:t>Пацієнти на лікуванні ЛС-ТБ або чутливого ТБ.</w:t>
            </w:r>
          </w:p>
          <w:p w:rsidR="001A0A35" w:rsidRPr="00ED35A9" w:rsidRDefault="001A0A35" w:rsidP="001A0A35">
            <w:pPr>
              <w:spacing w:after="120"/>
              <w:ind w:firstLine="0"/>
              <w:jc w:val="left"/>
              <w:rPr>
                <w:sz w:val="24"/>
                <w:szCs w:val="24"/>
                <w:lang w:val="uk-UA"/>
              </w:rPr>
            </w:pPr>
            <w:r w:rsidRPr="00ED35A9">
              <w:rPr>
                <w:sz w:val="24"/>
                <w:szCs w:val="24"/>
                <w:lang w:val="uk-UA"/>
              </w:rPr>
              <w:t>Пацієнти на лікуванні МРТБ.</w:t>
            </w:r>
          </w:p>
          <w:p w:rsidR="001A0A35" w:rsidRPr="00ED35A9" w:rsidRDefault="001A0A35" w:rsidP="001A0A35">
            <w:pPr>
              <w:spacing w:after="120"/>
              <w:ind w:firstLine="0"/>
              <w:jc w:val="left"/>
              <w:rPr>
                <w:sz w:val="24"/>
                <w:szCs w:val="24"/>
                <w:lang w:val="uk-UA"/>
              </w:rPr>
            </w:pPr>
            <w:r w:rsidRPr="00ED35A9">
              <w:rPr>
                <w:sz w:val="24"/>
                <w:szCs w:val="24"/>
                <w:lang w:val="uk-UA"/>
              </w:rPr>
              <w:t>Діти (0–14 років) та дорослі.</w:t>
            </w:r>
          </w:p>
          <w:p w:rsidR="001A0A35" w:rsidRPr="00ED35A9" w:rsidRDefault="001A0A35" w:rsidP="001A0A35">
            <w:pPr>
              <w:spacing w:after="120"/>
              <w:ind w:firstLine="0"/>
              <w:jc w:val="left"/>
              <w:rPr>
                <w:sz w:val="24"/>
                <w:szCs w:val="24"/>
                <w:lang w:val="uk-UA"/>
              </w:rPr>
            </w:pPr>
            <w:r w:rsidRPr="00ED35A9">
              <w:rPr>
                <w:sz w:val="24"/>
                <w:szCs w:val="24"/>
                <w:lang w:val="uk-UA"/>
              </w:rPr>
              <w:t>Пацієнти з ВІЛ-позитивним та ВІЛ-негативним статусом.</w:t>
            </w:r>
          </w:p>
          <w:p w:rsidR="001A0A35" w:rsidRPr="00ED35A9" w:rsidRDefault="001A0A35" w:rsidP="001A0A35">
            <w:pPr>
              <w:spacing w:after="120"/>
              <w:ind w:firstLine="0"/>
              <w:jc w:val="left"/>
              <w:rPr>
                <w:sz w:val="24"/>
                <w:szCs w:val="24"/>
                <w:lang w:val="uk-UA"/>
              </w:rPr>
            </w:pPr>
            <w:r w:rsidRPr="00ED35A9">
              <w:rPr>
                <w:sz w:val="24"/>
                <w:szCs w:val="24"/>
                <w:lang w:val="uk-UA"/>
              </w:rPr>
              <w:t>Пацієнти з ТБ.</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Будь-які втручання для підвищення прихильності до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спостереження за лікуванням (DOT, VOT);</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заходи з покращення прихильності (наприклад, застосування цифрових приладів для контролю прийому препаратів; SMS або голосові нагадування);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соціальна підтримка (освітня, психологічна, матеріальна);</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комбінація наведених вище </w:t>
            </w:r>
            <w:proofErr w:type="spellStart"/>
            <w:r w:rsidRPr="00ED35A9">
              <w:rPr>
                <w:sz w:val="24"/>
                <w:szCs w:val="24"/>
                <w:lang w:val="uk-UA"/>
              </w:rPr>
              <w:t>втручань</w:t>
            </w:r>
            <w:proofErr w:type="spellEnd"/>
            <w:r w:rsidRPr="00ED35A9">
              <w:rPr>
                <w:sz w:val="24"/>
                <w:szCs w:val="24"/>
                <w:lang w:val="uk-UA"/>
              </w:rPr>
              <w:t>.</w:t>
            </w:r>
          </w:p>
        </w:tc>
        <w:tc>
          <w:tcPr>
            <w:tcW w:w="1308" w:type="pct"/>
          </w:tcPr>
          <w:p w:rsidR="001A0A35" w:rsidRPr="00ED35A9" w:rsidRDefault="001A0A35" w:rsidP="001A0A35">
            <w:pPr>
              <w:ind w:firstLine="0"/>
              <w:jc w:val="left"/>
              <w:rPr>
                <w:sz w:val="24"/>
                <w:szCs w:val="24"/>
                <w:lang w:val="uk-UA"/>
              </w:rPr>
            </w:pPr>
            <w:r w:rsidRPr="00ED35A9">
              <w:rPr>
                <w:sz w:val="24"/>
                <w:szCs w:val="24"/>
                <w:lang w:val="uk-UA"/>
              </w:rPr>
              <w:t>Стандартні практики</w:t>
            </w:r>
            <w:r w:rsidRPr="00ED35A9">
              <w:rPr>
                <w:rStyle w:val="ac"/>
                <w:sz w:val="24"/>
                <w:szCs w:val="24"/>
                <w:lang w:val="uk-UA"/>
              </w:rPr>
              <w:footnoteReference w:id="49"/>
            </w:r>
            <w:r w:rsidRPr="00ED35A9">
              <w:rPr>
                <w:sz w:val="24"/>
                <w:szCs w:val="24"/>
                <w:lang w:val="uk-UA"/>
              </w:rPr>
              <w:t>.</w:t>
            </w:r>
          </w:p>
        </w:tc>
        <w:tc>
          <w:tcPr>
            <w:tcW w:w="1195" w:type="pct"/>
          </w:tcPr>
          <w:p w:rsidR="001A0A35" w:rsidRPr="00ED35A9" w:rsidRDefault="001A0A35" w:rsidP="001A0A35">
            <w:pPr>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ind w:firstLine="0"/>
              <w:jc w:val="left"/>
              <w:rPr>
                <w:sz w:val="24"/>
                <w:szCs w:val="24"/>
                <w:lang w:val="uk-UA"/>
              </w:rPr>
            </w:pPr>
            <w:r w:rsidRPr="00ED35A9">
              <w:rPr>
                <w:sz w:val="24"/>
                <w:szCs w:val="24"/>
                <w:lang w:val="uk-UA"/>
              </w:rPr>
              <w:t>Результати стандартного лікування ТБ: одужання або завершення лікування, невдача лікування, рецидив, виживаність/смертельний наслідок.</w:t>
            </w:r>
          </w:p>
          <w:p w:rsidR="001A0A35" w:rsidRPr="00ED35A9" w:rsidRDefault="001A0A35" w:rsidP="001A0A35">
            <w:pPr>
              <w:spacing w:before="120"/>
              <w:ind w:firstLine="0"/>
              <w:jc w:val="left"/>
              <w:rPr>
                <w:sz w:val="24"/>
                <w:szCs w:val="24"/>
                <w:lang w:val="uk-UA"/>
              </w:rPr>
            </w:pPr>
            <w:r w:rsidRPr="00ED35A9">
              <w:rPr>
                <w:sz w:val="24"/>
                <w:szCs w:val="24"/>
                <w:lang w:val="uk-UA"/>
              </w:rPr>
              <w:t>Виникнення побічних реакцій при застосуванні ПТП (тяжкість, тип, клас органів).</w:t>
            </w:r>
          </w:p>
          <w:p w:rsidR="001A0A35" w:rsidRPr="00ED35A9" w:rsidRDefault="001A0A35" w:rsidP="001A0A35">
            <w:pPr>
              <w:spacing w:before="120"/>
              <w:ind w:firstLine="0"/>
              <w:jc w:val="left"/>
              <w:rPr>
                <w:sz w:val="24"/>
                <w:szCs w:val="24"/>
                <w:lang w:val="uk-UA"/>
              </w:rPr>
            </w:pPr>
            <w:r w:rsidRPr="00ED35A9">
              <w:rPr>
                <w:sz w:val="24"/>
                <w:szCs w:val="24"/>
                <w:lang w:val="uk-UA"/>
              </w:rPr>
              <w:t>Вартість для пацієнта (зокрема прямі медичні витрати та інше – проїзд, втрата заробітку через непрацездатність).</w:t>
            </w:r>
          </w:p>
          <w:p w:rsidR="001A0A35" w:rsidRPr="00ED35A9" w:rsidRDefault="001A0A35" w:rsidP="001A0A35">
            <w:pPr>
              <w:spacing w:before="120"/>
              <w:ind w:firstLine="0"/>
              <w:jc w:val="left"/>
              <w:rPr>
                <w:sz w:val="24"/>
                <w:szCs w:val="24"/>
                <w:lang w:val="uk-UA"/>
              </w:rPr>
            </w:pPr>
            <w:r w:rsidRPr="00ED35A9">
              <w:rPr>
                <w:sz w:val="24"/>
                <w:szCs w:val="24"/>
                <w:lang w:val="uk-UA"/>
              </w:rPr>
              <w:t>Вартість для служб охорони здоров’я.</w:t>
            </w:r>
          </w:p>
        </w:tc>
      </w:tr>
    </w:tbl>
    <w:p w:rsidR="001A0A35" w:rsidRPr="00ED35A9" w:rsidRDefault="001A0A35" w:rsidP="001A0A35">
      <w:pPr>
        <w:ind w:firstLine="0"/>
        <w:rPr>
          <w:szCs w:val="28"/>
          <w:lang w:val="uk-UA"/>
        </w:rPr>
      </w:pPr>
      <w:r w:rsidRPr="00ED35A9">
        <w:rPr>
          <w:szCs w:val="28"/>
          <w:lang w:val="uk-UA"/>
        </w:rPr>
        <w:br w:type="page"/>
      </w:r>
    </w:p>
    <w:p w:rsidR="001A0A35" w:rsidRPr="00ED35A9" w:rsidRDefault="001A0A35" w:rsidP="001A0A35">
      <w:pPr>
        <w:spacing w:after="120"/>
        <w:ind w:right="57" w:firstLine="0"/>
        <w:rPr>
          <w:szCs w:val="28"/>
          <w:lang w:val="uk-UA"/>
        </w:rPr>
      </w:pPr>
      <w:r w:rsidRPr="00ED35A9">
        <w:rPr>
          <w:b/>
          <w:i/>
          <w:szCs w:val="28"/>
          <w:lang w:val="uk-UA"/>
        </w:rPr>
        <w:lastRenderedPageBreak/>
        <w:t>Запитання 11.</w:t>
      </w:r>
      <w:r w:rsidRPr="00ED35A9">
        <w:rPr>
          <w:szCs w:val="28"/>
          <w:lang w:val="uk-UA"/>
        </w:rPr>
        <w:t xml:space="preserve"> Чи надання децентралізованих послуг з лікування та догляду у пацієнтів з МРТБ призведе до наведених нижче результатів?</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4252"/>
        <w:gridCol w:w="3598"/>
        <w:gridCol w:w="3490"/>
      </w:tblGrid>
      <w:tr w:rsidR="001A0A35" w:rsidRPr="00ED35A9" w:rsidTr="001A0A35">
        <w:tc>
          <w:tcPr>
            <w:tcW w:w="1117"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Населення</w:t>
            </w:r>
          </w:p>
        </w:tc>
        <w:tc>
          <w:tcPr>
            <w:tcW w:w="1456"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Втручання</w:t>
            </w:r>
          </w:p>
        </w:tc>
        <w:tc>
          <w:tcPr>
            <w:tcW w:w="1232"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Компаратор</w:t>
            </w:r>
          </w:p>
        </w:tc>
        <w:tc>
          <w:tcPr>
            <w:tcW w:w="1195" w:type="pct"/>
          </w:tcPr>
          <w:p w:rsidR="001A0A35" w:rsidRPr="00ED35A9" w:rsidRDefault="001A0A35" w:rsidP="001A0A35">
            <w:pPr>
              <w:spacing w:line="228" w:lineRule="auto"/>
              <w:ind w:firstLine="0"/>
              <w:jc w:val="center"/>
              <w:rPr>
                <w:b/>
                <w:sz w:val="24"/>
                <w:szCs w:val="24"/>
                <w:lang w:val="uk-UA"/>
              </w:rPr>
            </w:pPr>
            <w:r w:rsidRPr="00ED35A9">
              <w:rPr>
                <w:b/>
                <w:sz w:val="24"/>
                <w:szCs w:val="24"/>
                <w:lang w:val="uk-UA"/>
              </w:rPr>
              <w:t>Результати</w:t>
            </w:r>
          </w:p>
        </w:tc>
      </w:tr>
      <w:tr w:rsidR="001A0A35" w:rsidRPr="00ED35A9" w:rsidTr="001A0A35">
        <w:tc>
          <w:tcPr>
            <w:tcW w:w="1117" w:type="pct"/>
          </w:tcPr>
          <w:p w:rsidR="001A0A35" w:rsidRPr="00ED35A9" w:rsidRDefault="001A0A35" w:rsidP="001A0A35">
            <w:pPr>
              <w:ind w:firstLine="0"/>
              <w:jc w:val="left"/>
              <w:rPr>
                <w:sz w:val="24"/>
                <w:szCs w:val="24"/>
                <w:lang w:val="uk-UA"/>
              </w:rPr>
            </w:pPr>
            <w:r w:rsidRPr="00ED35A9">
              <w:rPr>
                <w:sz w:val="24"/>
                <w:szCs w:val="24"/>
                <w:lang w:val="uk-UA"/>
              </w:rPr>
              <w:t>Пацієнти на лікуванні МРТБ.</w:t>
            </w:r>
          </w:p>
        </w:tc>
        <w:tc>
          <w:tcPr>
            <w:tcW w:w="1456" w:type="pct"/>
          </w:tcPr>
          <w:p w:rsidR="001A0A35" w:rsidRPr="00ED35A9" w:rsidRDefault="001A0A35" w:rsidP="001A0A35">
            <w:pPr>
              <w:ind w:firstLine="0"/>
              <w:jc w:val="left"/>
              <w:rPr>
                <w:sz w:val="24"/>
                <w:szCs w:val="24"/>
                <w:lang w:val="uk-UA"/>
              </w:rPr>
            </w:pPr>
            <w:r w:rsidRPr="00ED35A9">
              <w:rPr>
                <w:sz w:val="24"/>
                <w:szCs w:val="24"/>
                <w:lang w:val="uk-UA"/>
              </w:rPr>
              <w:t>Децентралізоване лікування та догляд (послуги надають у неспеціалізованих або периферійних центрах охорони здоров’я із залученням медико-санітарних працівників з громади, волонтерів з громади або інших осіб для підтримання прихильності до лікування):</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DOT та підтримка пацієнтів;</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ін’єкції під час інтенсивної фази;</w:t>
            </w:r>
          </w:p>
          <w:p w:rsidR="001A0A35" w:rsidRPr="00ED35A9" w:rsidRDefault="001A0A35" w:rsidP="001A0A35">
            <w:pPr>
              <w:pStyle w:val="a7"/>
              <w:numPr>
                <w:ilvl w:val="0"/>
                <w:numId w:val="13"/>
              </w:numPr>
              <w:spacing w:line="228" w:lineRule="auto"/>
              <w:ind w:left="459" w:hanging="283"/>
              <w:jc w:val="left"/>
              <w:rPr>
                <w:sz w:val="24"/>
                <w:szCs w:val="24"/>
                <w:lang w:val="uk-UA"/>
              </w:rPr>
            </w:pPr>
            <w:r w:rsidRPr="00ED35A9">
              <w:rPr>
                <w:sz w:val="24"/>
                <w:szCs w:val="24"/>
                <w:lang w:val="uk-UA"/>
              </w:rPr>
              <w:t xml:space="preserve">надання допомоги щодо супутніх захворювань (наприклад, ВІЛ, цукровий діабет, хронічне захворювання </w:t>
            </w:r>
            <w:proofErr w:type="spellStart"/>
            <w:r w:rsidRPr="00ED35A9">
              <w:rPr>
                <w:sz w:val="24"/>
                <w:szCs w:val="24"/>
                <w:lang w:val="uk-UA"/>
              </w:rPr>
              <w:t>легенів</w:t>
            </w:r>
            <w:proofErr w:type="spellEnd"/>
            <w:r w:rsidRPr="00ED35A9">
              <w:rPr>
                <w:sz w:val="24"/>
                <w:szCs w:val="24"/>
                <w:lang w:val="uk-UA"/>
              </w:rPr>
              <w:t>; моніторинг щодо функції слуху, нирок, печінки; виявлення неврологічних та офтальмологічних ускладнень).</w:t>
            </w:r>
          </w:p>
        </w:tc>
        <w:tc>
          <w:tcPr>
            <w:tcW w:w="1232" w:type="pct"/>
          </w:tcPr>
          <w:p w:rsidR="001A0A35" w:rsidRPr="00ED35A9" w:rsidRDefault="001A0A35" w:rsidP="001A0A35">
            <w:pPr>
              <w:ind w:firstLine="0"/>
              <w:jc w:val="left"/>
              <w:rPr>
                <w:sz w:val="24"/>
                <w:szCs w:val="24"/>
                <w:lang w:val="uk-UA"/>
              </w:rPr>
            </w:pPr>
            <w:r w:rsidRPr="00ED35A9">
              <w:rPr>
                <w:sz w:val="24"/>
                <w:szCs w:val="24"/>
                <w:lang w:val="uk-UA"/>
              </w:rPr>
              <w:t>Послуги з лікування та догляду надають лише у спеціалізованих центрах лікування ЛС-ТБ.</w:t>
            </w:r>
          </w:p>
        </w:tc>
        <w:tc>
          <w:tcPr>
            <w:tcW w:w="1195" w:type="pct"/>
          </w:tcPr>
          <w:p w:rsidR="001A0A35" w:rsidRPr="00ED35A9" w:rsidRDefault="001A0A35" w:rsidP="001A0A35">
            <w:pPr>
              <w:ind w:firstLine="0"/>
              <w:jc w:val="left"/>
              <w:rPr>
                <w:sz w:val="24"/>
                <w:szCs w:val="24"/>
                <w:lang w:val="uk-UA"/>
              </w:rPr>
            </w:pPr>
            <w:r w:rsidRPr="00ED35A9">
              <w:rPr>
                <w:sz w:val="24"/>
                <w:szCs w:val="24"/>
                <w:lang w:val="uk-UA"/>
              </w:rPr>
              <w:t>Прихильність до лікування (або переривання лікування через відсутність прихильності).</w:t>
            </w:r>
          </w:p>
          <w:p w:rsidR="001A0A35" w:rsidRPr="00ED35A9" w:rsidRDefault="001A0A35" w:rsidP="001A0A35">
            <w:pPr>
              <w:spacing w:before="120"/>
              <w:ind w:firstLine="0"/>
              <w:jc w:val="left"/>
              <w:rPr>
                <w:sz w:val="24"/>
                <w:szCs w:val="24"/>
                <w:lang w:val="uk-UA"/>
              </w:rPr>
            </w:pPr>
            <w:r w:rsidRPr="00ED35A9">
              <w:rPr>
                <w:sz w:val="24"/>
                <w:szCs w:val="24"/>
                <w:lang w:val="uk-UA"/>
              </w:rPr>
              <w:t>Результати стандартного лікування ТБ: одужання або завершення лікування, невдача лікування, рецидив, виживаність/смертельний наслідок.</w:t>
            </w:r>
          </w:p>
          <w:p w:rsidR="001A0A35" w:rsidRPr="00ED35A9" w:rsidRDefault="001A0A35" w:rsidP="001A0A35">
            <w:pPr>
              <w:spacing w:before="120"/>
              <w:ind w:firstLine="0"/>
              <w:jc w:val="left"/>
              <w:rPr>
                <w:sz w:val="24"/>
                <w:szCs w:val="24"/>
                <w:lang w:val="uk-UA"/>
              </w:rPr>
            </w:pPr>
            <w:r w:rsidRPr="00ED35A9">
              <w:rPr>
                <w:sz w:val="24"/>
                <w:szCs w:val="24"/>
                <w:lang w:val="uk-UA"/>
              </w:rPr>
              <w:t>Виникнення побічних реакцій при застосуванні ПТП (тяжкість, тип, клас органів).</w:t>
            </w:r>
          </w:p>
          <w:p w:rsidR="001A0A35" w:rsidRPr="00ED35A9" w:rsidRDefault="001A0A35" w:rsidP="001A0A35">
            <w:pPr>
              <w:spacing w:before="120"/>
              <w:ind w:firstLine="0"/>
              <w:jc w:val="left"/>
              <w:rPr>
                <w:sz w:val="24"/>
                <w:szCs w:val="24"/>
                <w:lang w:val="uk-UA"/>
              </w:rPr>
            </w:pPr>
            <w:r w:rsidRPr="00ED35A9">
              <w:rPr>
                <w:sz w:val="24"/>
                <w:szCs w:val="24"/>
                <w:lang w:val="uk-UA"/>
              </w:rPr>
              <w:t>Набуття (посилення) медикаментозної резистентності.</w:t>
            </w:r>
          </w:p>
          <w:p w:rsidR="001A0A35" w:rsidRPr="00ED35A9" w:rsidRDefault="001A0A35" w:rsidP="001A0A35">
            <w:pPr>
              <w:spacing w:before="120"/>
              <w:ind w:firstLine="0"/>
              <w:jc w:val="left"/>
              <w:rPr>
                <w:sz w:val="24"/>
                <w:szCs w:val="24"/>
                <w:lang w:val="uk-UA"/>
              </w:rPr>
            </w:pPr>
            <w:r w:rsidRPr="00ED35A9">
              <w:rPr>
                <w:sz w:val="24"/>
                <w:szCs w:val="24"/>
                <w:lang w:val="uk-UA"/>
              </w:rPr>
              <w:t>Вартість для пацієнта (зокрема прямі медичні витрати та інше – проїзд, втрата заробітку через непрацездатність).</w:t>
            </w:r>
          </w:p>
          <w:p w:rsidR="001A0A35" w:rsidRPr="00ED35A9" w:rsidRDefault="001A0A35" w:rsidP="001A0A35">
            <w:pPr>
              <w:spacing w:before="120"/>
              <w:ind w:firstLine="0"/>
              <w:jc w:val="left"/>
              <w:rPr>
                <w:sz w:val="24"/>
                <w:szCs w:val="24"/>
                <w:lang w:val="uk-UA"/>
              </w:rPr>
            </w:pPr>
            <w:r w:rsidRPr="00ED35A9">
              <w:rPr>
                <w:sz w:val="24"/>
                <w:szCs w:val="24"/>
                <w:lang w:val="uk-UA"/>
              </w:rPr>
              <w:t>Вартість для служб охорони здоров’я.</w:t>
            </w:r>
          </w:p>
        </w:tc>
      </w:tr>
    </w:tbl>
    <w:p w:rsidR="001A0A35" w:rsidRPr="00ED35A9" w:rsidRDefault="001A0A35" w:rsidP="001A0A35">
      <w:pPr>
        <w:rPr>
          <w:lang w:val="uk-UA"/>
        </w:rPr>
      </w:pPr>
    </w:p>
    <w:p w:rsidR="00707BA4" w:rsidRPr="00ED35A9" w:rsidRDefault="00707BA4">
      <w:pPr>
        <w:spacing w:after="160" w:line="259" w:lineRule="auto"/>
        <w:ind w:firstLine="0"/>
        <w:jc w:val="left"/>
        <w:rPr>
          <w:rFonts w:cs="Times New Roman"/>
          <w:szCs w:val="28"/>
          <w:lang w:val="uk-UA"/>
        </w:rPr>
      </w:pPr>
      <w:r w:rsidRPr="00ED35A9">
        <w:rPr>
          <w:rFonts w:cs="Times New Roman"/>
          <w:szCs w:val="28"/>
          <w:lang w:val="uk-UA"/>
        </w:rPr>
        <w:br w:type="page"/>
      </w:r>
    </w:p>
    <w:p w:rsidR="009A0B83" w:rsidRPr="00ED35A9" w:rsidRDefault="00CB3BEE" w:rsidP="00CB3BEE">
      <w:pPr>
        <w:pStyle w:val="1"/>
        <w:rPr>
          <w:lang w:val="uk-UA"/>
        </w:rPr>
      </w:pPr>
      <w:bookmarkStart w:id="95" w:name="_Toc18416331"/>
      <w:r w:rsidRPr="00ED35A9">
        <w:rPr>
          <w:caps w:val="0"/>
          <w:lang w:val="uk-UA"/>
        </w:rPr>
        <w:lastRenderedPageBreak/>
        <w:t>Додаток </w:t>
      </w:r>
      <w:r w:rsidR="009A0B83" w:rsidRPr="00ED35A9">
        <w:rPr>
          <w:lang w:val="uk-UA"/>
        </w:rPr>
        <w:t xml:space="preserve">2. </w:t>
      </w:r>
      <w:r w:rsidRPr="00ED35A9">
        <w:rPr>
          <w:caps w:val="0"/>
          <w:lang w:val="uk-UA"/>
        </w:rPr>
        <w:t xml:space="preserve">Дозування </w:t>
      </w:r>
      <w:r w:rsidRPr="00CB3BEE">
        <w:rPr>
          <w:caps w:val="0"/>
          <w:lang w:val="uk-UA"/>
        </w:rPr>
        <w:t>препаратів</w:t>
      </w:r>
      <w:r w:rsidRPr="00ED35A9">
        <w:rPr>
          <w:caps w:val="0"/>
          <w:lang w:val="uk-UA"/>
        </w:rPr>
        <w:t xml:space="preserve"> для лікування </w:t>
      </w:r>
      <w:r w:rsidR="009A0B83" w:rsidRPr="00ED35A9">
        <w:rPr>
          <w:lang w:val="uk-UA"/>
        </w:rPr>
        <w:t xml:space="preserve">МРТБ </w:t>
      </w:r>
      <w:r w:rsidRPr="00ED35A9">
        <w:rPr>
          <w:caps w:val="0"/>
          <w:lang w:val="uk-UA"/>
        </w:rPr>
        <w:t>у дорослих та дітей із врахуванням діапазону маси тіла</w:t>
      </w:r>
      <w:bookmarkEnd w:id="95"/>
    </w:p>
    <w:p w:rsidR="009A0B83" w:rsidRPr="00ED35A9" w:rsidRDefault="009A0B83" w:rsidP="009A0B83">
      <w:pPr>
        <w:spacing w:after="120" w:line="252" w:lineRule="auto"/>
        <w:ind w:right="57" w:firstLine="0"/>
        <w:jc w:val="center"/>
        <w:rPr>
          <w:b/>
          <w:szCs w:val="28"/>
          <w:lang w:val="uk-UA"/>
        </w:rPr>
      </w:pPr>
      <w:r w:rsidRPr="00ED35A9">
        <w:rPr>
          <w:b/>
          <w:szCs w:val="28"/>
          <w:lang w:val="uk-UA"/>
        </w:rPr>
        <w:t xml:space="preserve">Дозування </w:t>
      </w:r>
      <w:r w:rsidRPr="00ED35A9">
        <w:rPr>
          <w:b/>
          <w:lang w:val="uk-UA"/>
        </w:rPr>
        <w:t>препаратів із врахуванням діапазону маси тіла для схем другого ряду</w:t>
      </w:r>
      <w:r w:rsidRPr="00ED35A9">
        <w:rPr>
          <w:b/>
          <w:lang w:val="uk-UA"/>
        </w:rPr>
        <w:br/>
        <w:t>при лікуванні МРТБ у</w:t>
      </w:r>
      <w:r w:rsidRPr="00ED35A9">
        <w:rPr>
          <w:b/>
          <w:szCs w:val="28"/>
          <w:lang w:val="uk-UA"/>
        </w:rPr>
        <w:t xml:space="preserve"> пацієнтів старше 14 років</w:t>
      </w:r>
    </w:p>
    <w:tbl>
      <w:tblPr>
        <w:tblW w:w="149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1659"/>
        <w:gridCol w:w="1034"/>
        <w:gridCol w:w="992"/>
        <w:gridCol w:w="993"/>
        <w:gridCol w:w="992"/>
        <w:gridCol w:w="992"/>
        <w:gridCol w:w="851"/>
        <w:gridCol w:w="1842"/>
        <w:gridCol w:w="2886"/>
      </w:tblGrid>
      <w:tr w:rsidR="009A0B83" w:rsidRPr="00ED35A9" w:rsidTr="009A0B83">
        <w:trPr>
          <w:trHeight w:val="20"/>
        </w:trPr>
        <w:tc>
          <w:tcPr>
            <w:tcW w:w="284" w:type="dxa"/>
            <w:vMerge w:val="restart"/>
            <w:shd w:val="clear" w:color="auto" w:fill="auto"/>
            <w:tcMar>
              <w:left w:w="57" w:type="dxa"/>
              <w:right w:w="57" w:type="dxa"/>
            </w:tcMar>
            <w:textDirection w:val="btLr"/>
            <w:vAlign w:val="center"/>
          </w:tcPr>
          <w:p w:rsidR="009A0B83" w:rsidRPr="00ED35A9" w:rsidRDefault="009A0B83" w:rsidP="009A0B83">
            <w:pPr>
              <w:spacing w:line="252" w:lineRule="auto"/>
              <w:ind w:left="113" w:right="113" w:firstLine="0"/>
              <w:jc w:val="center"/>
              <w:rPr>
                <w:sz w:val="24"/>
                <w:szCs w:val="24"/>
                <w:lang w:val="uk-UA"/>
              </w:rPr>
            </w:pPr>
            <w:r w:rsidRPr="00ED35A9">
              <w:rPr>
                <w:b/>
                <w:sz w:val="24"/>
                <w:szCs w:val="24"/>
                <w:lang w:val="uk-UA"/>
              </w:rPr>
              <w:t>Група</w:t>
            </w:r>
          </w:p>
        </w:tc>
        <w:tc>
          <w:tcPr>
            <w:tcW w:w="2410"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Препарат</w:t>
            </w:r>
          </w:p>
        </w:tc>
        <w:tc>
          <w:tcPr>
            <w:tcW w:w="1659"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Щоденна доза залежно від маси тіла</w:t>
            </w:r>
          </w:p>
        </w:tc>
        <w:tc>
          <w:tcPr>
            <w:tcW w:w="1034"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Форма випуску</w:t>
            </w:r>
          </w:p>
        </w:tc>
        <w:tc>
          <w:tcPr>
            <w:tcW w:w="4820" w:type="dxa"/>
            <w:gridSpan w:val="5"/>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старше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842"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2886"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400"/>
        </w:trPr>
        <w:tc>
          <w:tcPr>
            <w:tcW w:w="284" w:type="dxa"/>
            <w:vMerge/>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p>
        </w:tc>
        <w:tc>
          <w:tcPr>
            <w:tcW w:w="2410"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16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10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30–35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36–45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46–55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56–70 кг</w:t>
            </w:r>
          </w:p>
        </w:tc>
        <w:tc>
          <w:tcPr>
            <w:tcW w:w="851"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&gt;70 кг</w:t>
            </w:r>
          </w:p>
        </w:tc>
        <w:tc>
          <w:tcPr>
            <w:tcW w:w="1842"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2886"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val="restart"/>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A</w:t>
            </w:r>
          </w:p>
        </w:tc>
        <w:tc>
          <w:tcPr>
            <w:tcW w:w="2410" w:type="dxa"/>
            <w:tcBorders>
              <w:bottom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i/>
                <w:sz w:val="24"/>
                <w:szCs w:val="24"/>
                <w:lang w:val="uk-UA"/>
              </w:rPr>
              <w:t>Фторхінолони</w:t>
            </w:r>
            <w:proofErr w:type="spellEnd"/>
            <w:r w:rsidRPr="00ED35A9">
              <w:rPr>
                <w:i/>
                <w:sz w:val="24"/>
                <w:szCs w:val="24"/>
                <w:lang w:val="uk-UA"/>
              </w:rPr>
              <w:t>:</w:t>
            </w:r>
          </w:p>
        </w:tc>
        <w:tc>
          <w:tcPr>
            <w:tcW w:w="1659"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1034"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992"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993"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992"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992"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851"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1842"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2886" w:type="dxa"/>
            <w:tcBorders>
              <w:bottom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val="restart"/>
            <w:tcBorders>
              <w:top w:val="nil"/>
            </w:tcBorders>
            <w:shd w:val="clear" w:color="auto" w:fill="auto"/>
            <w:tcMar>
              <w:left w:w="57" w:type="dxa"/>
              <w:right w:w="57" w:type="dxa"/>
            </w:tcMar>
            <w:hideMark/>
          </w:tcPr>
          <w:p w:rsidR="009A0B83" w:rsidRPr="00ED35A9" w:rsidRDefault="009A0B83" w:rsidP="009A0B83">
            <w:pPr>
              <w:spacing w:line="252" w:lineRule="auto"/>
              <w:ind w:left="227" w:firstLine="0"/>
              <w:jc w:val="left"/>
              <w:rPr>
                <w:sz w:val="24"/>
                <w:szCs w:val="24"/>
                <w:lang w:val="uk-UA"/>
              </w:rPr>
            </w:pPr>
            <w:proofErr w:type="spellStart"/>
            <w:r w:rsidRPr="00ED35A9">
              <w:rPr>
                <w:sz w:val="24"/>
                <w:szCs w:val="24"/>
                <w:lang w:val="uk-UA"/>
              </w:rPr>
              <w:t>Левофлоксацин</w:t>
            </w:r>
            <w:proofErr w:type="spellEnd"/>
          </w:p>
        </w:tc>
        <w:tc>
          <w:tcPr>
            <w:tcW w:w="1659"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табл. 250 мг</w:t>
            </w:r>
          </w:p>
        </w:tc>
        <w:tc>
          <w:tcPr>
            <w:tcW w:w="992"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3</w:t>
            </w:r>
          </w:p>
        </w:tc>
        <w:tc>
          <w:tcPr>
            <w:tcW w:w="993"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3</w:t>
            </w:r>
          </w:p>
        </w:tc>
        <w:tc>
          <w:tcPr>
            <w:tcW w:w="992"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4</w:t>
            </w:r>
          </w:p>
        </w:tc>
        <w:tc>
          <w:tcPr>
            <w:tcW w:w="992"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4</w:t>
            </w:r>
          </w:p>
        </w:tc>
        <w:tc>
          <w:tcPr>
            <w:tcW w:w="851" w:type="dxa"/>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4</w:t>
            </w:r>
          </w:p>
        </w:tc>
        <w:tc>
          <w:tcPr>
            <w:tcW w:w="1842" w:type="dxa"/>
            <w:vMerge w:val="restart"/>
            <w:tcBorders>
              <w:top w:val="nil"/>
            </w:tcBorders>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 г</w:t>
            </w:r>
          </w:p>
        </w:tc>
        <w:tc>
          <w:tcPr>
            <w:tcW w:w="2886" w:type="dxa"/>
            <w:vMerge w:val="restart"/>
            <w:tcBorders>
              <w:top w:val="nil"/>
            </w:tcBorders>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shd w:val="clear" w:color="auto" w:fill="auto"/>
            <w:tcMar>
              <w:left w:w="57" w:type="dxa"/>
              <w:right w:w="57" w:type="dxa"/>
            </w:tcMar>
          </w:tcPr>
          <w:p w:rsidR="009A0B83" w:rsidRPr="00ED35A9" w:rsidRDefault="009A0B83" w:rsidP="009A0B83">
            <w:pPr>
              <w:spacing w:line="252" w:lineRule="auto"/>
              <w:ind w:left="227" w:firstLine="0"/>
              <w:jc w:val="left"/>
              <w:rPr>
                <w:sz w:val="24"/>
                <w:szCs w:val="24"/>
                <w:lang w:val="uk-UA"/>
              </w:rPr>
            </w:pPr>
          </w:p>
        </w:tc>
        <w:tc>
          <w:tcPr>
            <w:tcW w:w="1659"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табл. 500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1842" w:type="dxa"/>
            <w:vMerge/>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
        </w:tc>
        <w:tc>
          <w:tcPr>
            <w:tcW w:w="2886" w:type="dxa"/>
            <w:vMerge/>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tcBorders>
              <w:bottom w:val="nil"/>
            </w:tcBorders>
            <w:shd w:val="clear" w:color="auto" w:fill="auto"/>
            <w:tcMar>
              <w:left w:w="57" w:type="dxa"/>
              <w:right w:w="57" w:type="dxa"/>
            </w:tcMar>
          </w:tcPr>
          <w:p w:rsidR="009A0B83" w:rsidRPr="00ED35A9" w:rsidRDefault="009A0B83" w:rsidP="009A0B83">
            <w:pPr>
              <w:spacing w:line="252" w:lineRule="auto"/>
              <w:ind w:left="227" w:firstLine="0"/>
              <w:jc w:val="left"/>
              <w:rPr>
                <w:sz w:val="24"/>
                <w:szCs w:val="24"/>
                <w:lang w:val="uk-UA"/>
              </w:rPr>
            </w:pPr>
          </w:p>
        </w:tc>
        <w:tc>
          <w:tcPr>
            <w:tcW w:w="1659"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табл. 750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1842" w:type="dxa"/>
            <w:vMerge/>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
        </w:tc>
        <w:tc>
          <w:tcPr>
            <w:tcW w:w="2886" w:type="dxa"/>
            <w:vMerge/>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val="restart"/>
            <w:tcBorders>
              <w:top w:val="nil"/>
            </w:tcBorders>
            <w:shd w:val="clear" w:color="auto" w:fill="auto"/>
            <w:tcMar>
              <w:left w:w="57" w:type="dxa"/>
              <w:right w:w="57" w:type="dxa"/>
            </w:tcMar>
            <w:hideMark/>
          </w:tcPr>
          <w:p w:rsidR="009A0B83" w:rsidRPr="00ED35A9" w:rsidRDefault="009A0B83" w:rsidP="009A0B83">
            <w:pPr>
              <w:spacing w:line="252" w:lineRule="auto"/>
              <w:ind w:left="227" w:firstLine="0"/>
              <w:jc w:val="left"/>
              <w:rPr>
                <w:sz w:val="24"/>
                <w:szCs w:val="24"/>
                <w:lang w:val="uk-UA"/>
              </w:rPr>
            </w:pPr>
            <w:proofErr w:type="spellStart"/>
            <w:r w:rsidRPr="00ED35A9">
              <w:rPr>
                <w:sz w:val="24"/>
                <w:szCs w:val="24"/>
                <w:lang w:val="uk-UA"/>
              </w:rPr>
              <w:t>Моксіфлоксацин</w:t>
            </w:r>
            <w:proofErr w:type="spellEnd"/>
          </w:p>
        </w:tc>
        <w:tc>
          <w:tcPr>
            <w:tcW w:w="1659"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стандартна </w:t>
            </w:r>
            <w:proofErr w:type="spellStart"/>
            <w:r w:rsidRPr="00ED35A9">
              <w:rPr>
                <w:sz w:val="24"/>
                <w:szCs w:val="24"/>
                <w:lang w:val="uk-UA"/>
              </w:rPr>
              <w:t>доза</w:t>
            </w:r>
            <w:r w:rsidRPr="00ED35A9">
              <w:rPr>
                <w:sz w:val="24"/>
                <w:szCs w:val="24"/>
                <w:vertAlign w:val="superscript"/>
                <w:lang w:val="uk-UA"/>
              </w:rPr>
              <w:t>в,г</w:t>
            </w:r>
            <w:proofErr w:type="spellEnd"/>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табл. 400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400 мг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
        </w:tc>
        <w:tc>
          <w:tcPr>
            <w:tcW w:w="1659"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висока </w:t>
            </w:r>
            <w:proofErr w:type="spellStart"/>
            <w:r w:rsidRPr="00ED35A9">
              <w:rPr>
                <w:sz w:val="24"/>
                <w:szCs w:val="24"/>
                <w:lang w:val="uk-UA"/>
              </w:rPr>
              <w:t>доза</w:t>
            </w:r>
            <w:r w:rsidRPr="00ED35A9">
              <w:rPr>
                <w:sz w:val="24"/>
                <w:szCs w:val="24"/>
                <w:vertAlign w:val="superscript"/>
                <w:lang w:val="uk-UA"/>
              </w:rPr>
              <w:t>в,г</w:t>
            </w:r>
            <w:proofErr w:type="spellEnd"/>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 xml:space="preserve">табл. 400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 або 1,5</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1,5 або 2</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800 мг</w:t>
            </w:r>
          </w:p>
        </w:tc>
        <w:tc>
          <w:tcPr>
            <w:tcW w:w="2886"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При застосуванні у стандартизованій короткостроковій схемі лікування МРТБ</w:t>
            </w: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Бедаквілін</w:t>
            </w:r>
            <w:proofErr w:type="spellEnd"/>
          </w:p>
        </w:tc>
        <w:tc>
          <w:tcPr>
            <w:tcW w:w="1659"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табл. 100 мг</w:t>
            </w:r>
          </w:p>
        </w:tc>
        <w:tc>
          <w:tcPr>
            <w:tcW w:w="4820" w:type="dxa"/>
            <w:gridSpan w:val="5"/>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перші два тижні – по 4 табл.; далі – по 2 табл. пн/ср/пт протягом 22 тижнів</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400 мг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Лінезолід</w:t>
            </w:r>
            <w:proofErr w:type="spellEnd"/>
          </w:p>
        </w:tc>
        <w:tc>
          <w:tcPr>
            <w:tcW w:w="1659"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табл. 600 мг</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(&lt;15 р.)</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(&lt;15 р.)</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1,2 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val="restart"/>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B</w:t>
            </w:r>
          </w:p>
        </w:tc>
        <w:tc>
          <w:tcPr>
            <w:tcW w:w="2410" w:type="dxa"/>
            <w:vMerge w:val="restart"/>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Клофазимін</w:t>
            </w:r>
            <w:proofErr w:type="spellEnd"/>
          </w:p>
        </w:tc>
        <w:tc>
          <w:tcPr>
            <w:tcW w:w="1659" w:type="dxa"/>
            <w:vMerge w:val="restart"/>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капс</w:t>
            </w:r>
            <w:proofErr w:type="spellEnd"/>
            <w:r w:rsidRPr="00ED35A9">
              <w:rPr>
                <w:sz w:val="24"/>
                <w:szCs w:val="24"/>
                <w:lang w:val="uk-UA"/>
              </w:rPr>
              <w:t xml:space="preserve">. 50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100 мг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vMerge/>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
        </w:tc>
        <w:tc>
          <w:tcPr>
            <w:tcW w:w="1659" w:type="dxa"/>
            <w:vMerge/>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капс</w:t>
            </w:r>
            <w:proofErr w:type="spellEnd"/>
            <w:r w:rsidRPr="00ED35A9">
              <w:rPr>
                <w:sz w:val="24"/>
                <w:szCs w:val="24"/>
                <w:lang w:val="uk-UA"/>
              </w:rPr>
              <w:t xml:space="preserve">. 100 мг </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100 мг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r w:rsidR="009A0B83" w:rsidRPr="00ED35A9" w:rsidTr="009A0B83">
        <w:trPr>
          <w:trHeight w:val="20"/>
        </w:trPr>
        <w:tc>
          <w:tcPr>
            <w:tcW w:w="284" w:type="dxa"/>
            <w:vMerge/>
            <w:shd w:val="clear" w:color="auto" w:fill="auto"/>
            <w:tcMar>
              <w:left w:w="57" w:type="dxa"/>
              <w:right w:w="57" w:type="dxa"/>
            </w:tcMar>
            <w:vAlign w:val="center"/>
            <w:hideMark/>
          </w:tcPr>
          <w:p w:rsidR="009A0B83" w:rsidRPr="00ED35A9" w:rsidRDefault="009A0B83" w:rsidP="009A0B83">
            <w:pPr>
              <w:spacing w:line="252" w:lineRule="auto"/>
              <w:ind w:firstLine="0"/>
              <w:jc w:val="left"/>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Циклосерін</w:t>
            </w:r>
            <w:proofErr w:type="spellEnd"/>
            <w:r w:rsidRPr="00ED35A9">
              <w:rPr>
                <w:sz w:val="24"/>
                <w:szCs w:val="24"/>
                <w:lang w:val="uk-UA"/>
              </w:rPr>
              <w:t xml:space="preserve"> або </w:t>
            </w:r>
            <w:proofErr w:type="spellStart"/>
            <w:r w:rsidRPr="00ED35A9">
              <w:rPr>
                <w:sz w:val="24"/>
                <w:szCs w:val="24"/>
                <w:lang w:val="uk-UA"/>
              </w:rPr>
              <w:t>теризидон</w:t>
            </w:r>
            <w:proofErr w:type="spellEnd"/>
          </w:p>
        </w:tc>
        <w:tc>
          <w:tcPr>
            <w:tcW w:w="1659"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10–15 мг/кг</w:t>
            </w:r>
          </w:p>
        </w:tc>
        <w:tc>
          <w:tcPr>
            <w:tcW w:w="1034"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proofErr w:type="spellStart"/>
            <w:r w:rsidRPr="00ED35A9">
              <w:rPr>
                <w:sz w:val="24"/>
                <w:szCs w:val="24"/>
                <w:lang w:val="uk-UA"/>
              </w:rPr>
              <w:t>капс</w:t>
            </w:r>
            <w:proofErr w:type="spellEnd"/>
            <w:r w:rsidRPr="00ED35A9">
              <w:rPr>
                <w:sz w:val="24"/>
                <w:szCs w:val="24"/>
                <w:lang w:val="uk-UA"/>
              </w:rPr>
              <w:t>. 250 мг</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3</w:t>
            </w:r>
          </w:p>
        </w:tc>
        <w:tc>
          <w:tcPr>
            <w:tcW w:w="851"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3</w:t>
            </w:r>
          </w:p>
        </w:tc>
        <w:tc>
          <w:tcPr>
            <w:tcW w:w="1842" w:type="dxa"/>
            <w:shd w:val="clear" w:color="auto" w:fill="auto"/>
            <w:tcMar>
              <w:left w:w="57" w:type="dxa"/>
              <w:right w:w="57" w:type="dxa"/>
            </w:tcMar>
            <w:hideMark/>
          </w:tcPr>
          <w:p w:rsidR="009A0B83" w:rsidRPr="00ED35A9" w:rsidRDefault="009A0B83" w:rsidP="009A0B83">
            <w:pPr>
              <w:spacing w:line="252" w:lineRule="auto"/>
              <w:ind w:firstLine="0"/>
              <w:jc w:val="left"/>
              <w:rPr>
                <w:sz w:val="24"/>
                <w:szCs w:val="24"/>
                <w:lang w:val="uk-UA"/>
              </w:rPr>
            </w:pPr>
            <w:r w:rsidRPr="00ED35A9">
              <w:rPr>
                <w:sz w:val="24"/>
                <w:szCs w:val="24"/>
                <w:lang w:val="uk-UA"/>
              </w:rPr>
              <w:t>1 г</w:t>
            </w:r>
          </w:p>
        </w:tc>
        <w:tc>
          <w:tcPr>
            <w:tcW w:w="2886" w:type="dxa"/>
            <w:shd w:val="clear" w:color="auto" w:fill="auto"/>
            <w:tcMar>
              <w:left w:w="57" w:type="dxa"/>
              <w:right w:w="57" w:type="dxa"/>
            </w:tcMar>
          </w:tcPr>
          <w:p w:rsidR="009A0B83" w:rsidRPr="00ED35A9" w:rsidRDefault="009A0B83" w:rsidP="009A0B83">
            <w:pPr>
              <w:spacing w:line="252" w:lineRule="auto"/>
              <w:ind w:firstLine="0"/>
              <w:jc w:val="left"/>
              <w:rPr>
                <w:sz w:val="24"/>
                <w:szCs w:val="24"/>
                <w:lang w:val="uk-UA"/>
              </w:rPr>
            </w:pPr>
          </w:p>
        </w:tc>
      </w:tr>
    </w:tbl>
    <w:p w:rsidR="009A0B83" w:rsidRPr="00ED35A9" w:rsidRDefault="009A0B83" w:rsidP="009A0B83">
      <w:pPr>
        <w:rPr>
          <w:lang w:val="uk-UA"/>
        </w:rPr>
      </w:pPr>
      <w:r w:rsidRPr="00ED35A9">
        <w:rPr>
          <w:lang w:val="uk-UA"/>
        </w:rPr>
        <w:br w:type="page"/>
      </w:r>
    </w:p>
    <w:tbl>
      <w:tblPr>
        <w:tblW w:w="149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1659"/>
        <w:gridCol w:w="1034"/>
        <w:gridCol w:w="992"/>
        <w:gridCol w:w="993"/>
        <w:gridCol w:w="992"/>
        <w:gridCol w:w="992"/>
        <w:gridCol w:w="851"/>
        <w:gridCol w:w="1842"/>
        <w:gridCol w:w="2886"/>
      </w:tblGrid>
      <w:tr w:rsidR="009A0B83" w:rsidRPr="00ED35A9" w:rsidTr="009A0B83">
        <w:trPr>
          <w:trHeight w:val="20"/>
        </w:trPr>
        <w:tc>
          <w:tcPr>
            <w:tcW w:w="284" w:type="dxa"/>
            <w:vMerge w:val="restart"/>
            <w:shd w:val="clear" w:color="auto" w:fill="auto"/>
            <w:tcMar>
              <w:left w:w="57" w:type="dxa"/>
              <w:right w:w="57" w:type="dxa"/>
            </w:tcMar>
            <w:textDirection w:val="btLr"/>
            <w:vAlign w:val="center"/>
          </w:tcPr>
          <w:p w:rsidR="009A0B83" w:rsidRPr="00ED35A9" w:rsidRDefault="009A0B83" w:rsidP="009A0B83">
            <w:pPr>
              <w:spacing w:line="228" w:lineRule="auto"/>
              <w:ind w:left="113" w:right="113" w:firstLine="0"/>
              <w:jc w:val="center"/>
              <w:rPr>
                <w:sz w:val="24"/>
                <w:szCs w:val="24"/>
                <w:lang w:val="uk-UA"/>
              </w:rPr>
            </w:pPr>
            <w:r w:rsidRPr="00ED35A9">
              <w:rPr>
                <w:b/>
                <w:sz w:val="24"/>
                <w:szCs w:val="24"/>
                <w:lang w:val="uk-UA"/>
              </w:rPr>
              <w:lastRenderedPageBreak/>
              <w:t>Група</w:t>
            </w:r>
          </w:p>
        </w:tc>
        <w:tc>
          <w:tcPr>
            <w:tcW w:w="2410"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Препарат</w:t>
            </w:r>
          </w:p>
        </w:tc>
        <w:tc>
          <w:tcPr>
            <w:tcW w:w="1659"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Щоденна доза залежно від маси тіла</w:t>
            </w:r>
          </w:p>
        </w:tc>
        <w:tc>
          <w:tcPr>
            <w:tcW w:w="103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Форма випуску</w:t>
            </w:r>
          </w:p>
        </w:tc>
        <w:tc>
          <w:tcPr>
            <w:tcW w:w="4820" w:type="dxa"/>
            <w:gridSpan w:val="5"/>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старше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842"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2886"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400"/>
        </w:trPr>
        <w:tc>
          <w:tcPr>
            <w:tcW w:w="284" w:type="dxa"/>
            <w:vMerge/>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2410"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6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0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30–35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36–45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46–55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56–70 кг</w:t>
            </w:r>
          </w:p>
        </w:tc>
        <w:tc>
          <w:tcPr>
            <w:tcW w:w="851"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&gt;70 кг</w:t>
            </w:r>
          </w:p>
        </w:tc>
        <w:tc>
          <w:tcPr>
            <w:tcW w:w="1842"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2886"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val="restart"/>
            <w:shd w:val="clear" w:color="auto" w:fill="auto"/>
            <w:tcMar>
              <w:left w:w="57" w:type="dxa"/>
              <w:right w:w="57" w:type="dxa"/>
            </w:tcMar>
            <w:vAlign w:val="center"/>
            <w:hideMark/>
          </w:tcPr>
          <w:p w:rsidR="009A0B83" w:rsidRPr="00ED35A9" w:rsidRDefault="009A0B83" w:rsidP="009A0B83">
            <w:pPr>
              <w:spacing w:line="228" w:lineRule="auto"/>
              <w:ind w:firstLine="0"/>
              <w:rPr>
                <w:sz w:val="24"/>
                <w:szCs w:val="24"/>
                <w:lang w:val="uk-UA"/>
              </w:rPr>
            </w:pPr>
            <w:r w:rsidRPr="00ED35A9">
              <w:rPr>
                <w:sz w:val="24"/>
                <w:szCs w:val="24"/>
                <w:lang w:val="uk-UA"/>
              </w:rPr>
              <w:t>C</w:t>
            </w: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Етамбутол</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15–25 мг/кг</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400 мг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Деламанід</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50 мг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рази/</w:t>
            </w:r>
            <w:r w:rsidRPr="00ED35A9">
              <w:rPr>
                <w:sz w:val="24"/>
                <w:szCs w:val="24"/>
                <w:lang w:val="uk-UA"/>
              </w:rPr>
              <w:br/>
              <w:t>добу</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рази/</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рази/</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рази/</w:t>
            </w:r>
            <w:r w:rsidRPr="00ED35A9">
              <w:rPr>
                <w:sz w:val="24"/>
                <w:szCs w:val="24"/>
                <w:lang w:val="uk-UA"/>
              </w:rPr>
              <w:br/>
              <w:t>добу</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рази/</w:t>
            </w:r>
            <w:r w:rsidRPr="00ED35A9">
              <w:rPr>
                <w:sz w:val="24"/>
                <w:szCs w:val="24"/>
                <w:lang w:val="uk-UA"/>
              </w:rPr>
              <w:br/>
              <w:t>добу</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200 мг</w:t>
            </w:r>
          </w:p>
        </w:tc>
        <w:tc>
          <w:tcPr>
            <w:tcW w:w="2886" w:type="dxa"/>
            <w:shd w:val="clear" w:color="auto" w:fill="auto"/>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Піразинамід</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20–30 мг/кг</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400 мг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5</w:t>
            </w:r>
          </w:p>
        </w:tc>
        <w:tc>
          <w:tcPr>
            <w:tcW w:w="1842"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vMerge/>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500 мг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1842" w:type="dxa"/>
            <w:vMerge/>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Іміпенем-циластатин</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ампули 0,5+0,5 г</w:t>
            </w:r>
          </w:p>
        </w:tc>
        <w:tc>
          <w:tcPr>
            <w:tcW w:w="4820" w:type="dxa"/>
            <w:gridSpan w:val="5"/>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 ампули (1 г+1 г) 2 рази/добу</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Для застосування із </w:t>
            </w:r>
            <w:proofErr w:type="spellStart"/>
            <w:r w:rsidRPr="00ED35A9">
              <w:rPr>
                <w:sz w:val="24"/>
                <w:szCs w:val="24"/>
                <w:lang w:val="uk-UA"/>
              </w:rPr>
              <w:t>клавулановою</w:t>
            </w:r>
            <w:proofErr w:type="spellEnd"/>
            <w:r w:rsidRPr="00ED35A9">
              <w:rPr>
                <w:sz w:val="24"/>
                <w:szCs w:val="24"/>
                <w:lang w:val="uk-UA"/>
              </w:rPr>
              <w:t xml:space="preserve"> кислотою</w:t>
            </w: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Меропенем</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pacing w:val="-2"/>
                <w:sz w:val="24"/>
                <w:szCs w:val="24"/>
                <w:lang w:val="uk-UA"/>
              </w:rPr>
            </w:pPr>
            <w:r w:rsidRPr="00ED35A9">
              <w:rPr>
                <w:spacing w:val="-2"/>
                <w:sz w:val="24"/>
                <w:szCs w:val="24"/>
                <w:lang w:val="uk-UA"/>
              </w:rPr>
              <w:t>ампули 1 г (20 мл)</w:t>
            </w:r>
          </w:p>
        </w:tc>
        <w:tc>
          <w:tcPr>
            <w:tcW w:w="4820" w:type="dxa"/>
            <w:gridSpan w:val="5"/>
            <w:shd w:val="clear" w:color="auto" w:fill="auto"/>
            <w:tcMar>
              <w:left w:w="57" w:type="dxa"/>
              <w:right w:w="57" w:type="dxa"/>
            </w:tcMar>
            <w:hideMark/>
          </w:tcPr>
          <w:p w:rsidR="009A0B83" w:rsidRPr="00ED35A9" w:rsidRDefault="009A0B83" w:rsidP="009A0B83">
            <w:pPr>
              <w:spacing w:line="228" w:lineRule="auto"/>
              <w:ind w:firstLine="0"/>
              <w:jc w:val="left"/>
              <w:rPr>
                <w:spacing w:val="-3"/>
                <w:sz w:val="24"/>
                <w:szCs w:val="24"/>
                <w:lang w:val="uk-UA"/>
              </w:rPr>
            </w:pPr>
            <w:r w:rsidRPr="00ED35A9">
              <w:rPr>
                <w:spacing w:val="-3"/>
                <w:sz w:val="24"/>
                <w:szCs w:val="24"/>
                <w:lang w:val="uk-UA"/>
              </w:rPr>
              <w:t>1 ампула 3 рази/добу або 2 ампули 2 рази/добу</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Для застосування із </w:t>
            </w:r>
            <w:proofErr w:type="spellStart"/>
            <w:r w:rsidRPr="00ED35A9">
              <w:rPr>
                <w:sz w:val="24"/>
                <w:szCs w:val="24"/>
                <w:lang w:val="uk-UA"/>
              </w:rPr>
              <w:t>клавулановою</w:t>
            </w:r>
            <w:proofErr w:type="spellEnd"/>
            <w:r w:rsidRPr="00ED35A9">
              <w:rPr>
                <w:sz w:val="24"/>
                <w:szCs w:val="24"/>
                <w:lang w:val="uk-UA"/>
              </w:rPr>
              <w:t xml:space="preserve"> кислотою</w:t>
            </w: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Амікацин</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15–20 мг/кг</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500 мг/</w:t>
            </w:r>
            <w:r w:rsidRPr="00ED35A9">
              <w:rPr>
                <w:sz w:val="24"/>
                <w:szCs w:val="24"/>
                <w:lang w:val="uk-UA"/>
              </w:rPr>
              <w:br/>
              <w:t xml:space="preserve">ампули 2 </w:t>
            </w:r>
            <w:proofErr w:type="spellStart"/>
            <w:r w:rsidRPr="00ED35A9">
              <w:rPr>
                <w:sz w:val="24"/>
                <w:szCs w:val="24"/>
                <w:lang w:val="uk-UA"/>
              </w:rPr>
              <w:t>мл</w:t>
            </w:r>
            <w:r w:rsidRPr="00ED35A9">
              <w:rPr>
                <w:sz w:val="24"/>
                <w:szCs w:val="24"/>
                <w:vertAlign w:val="superscript"/>
                <w:lang w:val="uk-UA"/>
              </w:rPr>
              <w:t>д</w:t>
            </w:r>
            <w:proofErr w:type="spellEnd"/>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2,5 мл</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3–4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 мл</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 мл</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г</w:t>
            </w: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Стрептоміцин</w:t>
            </w:r>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12–18 мг/кг</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ампули 1 </w:t>
            </w:r>
            <w:proofErr w:type="spellStart"/>
            <w:r w:rsidRPr="00ED35A9">
              <w:rPr>
                <w:sz w:val="24"/>
                <w:szCs w:val="24"/>
                <w:lang w:val="uk-UA"/>
              </w:rPr>
              <w:t>г</w:t>
            </w:r>
            <w:r w:rsidRPr="00ED35A9">
              <w:rPr>
                <w:sz w:val="24"/>
                <w:szCs w:val="24"/>
                <w:vertAlign w:val="superscript"/>
                <w:lang w:val="uk-UA"/>
              </w:rPr>
              <w:t>д</w:t>
            </w:r>
            <w:proofErr w:type="spellEnd"/>
          </w:p>
        </w:tc>
        <w:tc>
          <w:tcPr>
            <w:tcW w:w="4820" w:type="dxa"/>
            <w:gridSpan w:val="5"/>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Розрахування відповідно до розведення</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г</w:t>
            </w:r>
          </w:p>
        </w:tc>
        <w:tc>
          <w:tcPr>
            <w:tcW w:w="2886" w:type="dxa"/>
            <w:shd w:val="clear" w:color="auto" w:fill="auto"/>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Етіонамід</w:t>
            </w:r>
            <w:proofErr w:type="spellEnd"/>
            <w:r w:rsidRPr="00ED35A9">
              <w:rPr>
                <w:sz w:val="24"/>
                <w:szCs w:val="24"/>
                <w:lang w:val="uk-UA"/>
              </w:rPr>
              <w:t xml:space="preserve"> або </w:t>
            </w:r>
            <w:proofErr w:type="spellStart"/>
            <w:r w:rsidRPr="00ED35A9">
              <w:rPr>
                <w:sz w:val="24"/>
                <w:szCs w:val="24"/>
                <w:lang w:val="uk-UA"/>
              </w:rPr>
              <w:t>протіонамід</w:t>
            </w:r>
            <w:proofErr w:type="spellEnd"/>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15–20 мг/кг</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250 мг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3</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184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г</w:t>
            </w: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Рекомендовано застосування однієї дози на добу, але можна почати з розподілу на 2 дози, поки не покращиться переносність</w:t>
            </w: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Парааміносаліцилова</w:t>
            </w:r>
            <w:proofErr w:type="spellEnd"/>
            <w:r w:rsidRPr="00ED35A9">
              <w:rPr>
                <w:sz w:val="24"/>
                <w:szCs w:val="24"/>
                <w:lang w:val="uk-UA"/>
              </w:rPr>
              <w:t xml:space="preserve"> кислота</w:t>
            </w:r>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8–12 г/добу </w:t>
            </w:r>
            <w:proofErr w:type="spellStart"/>
            <w:r w:rsidRPr="00ED35A9">
              <w:rPr>
                <w:sz w:val="24"/>
                <w:szCs w:val="24"/>
                <w:lang w:val="uk-UA"/>
              </w:rPr>
              <w:t>розподілено</w:t>
            </w:r>
            <w:proofErr w:type="spellEnd"/>
            <w:r w:rsidRPr="00ED35A9">
              <w:rPr>
                <w:sz w:val="24"/>
                <w:szCs w:val="24"/>
                <w:lang w:val="uk-UA"/>
              </w:rPr>
              <w:t xml:space="preserve"> на 2–3 дози</w:t>
            </w: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pacing w:val="-2"/>
                <w:sz w:val="24"/>
                <w:szCs w:val="24"/>
                <w:lang w:val="uk-UA"/>
              </w:rPr>
            </w:pPr>
            <w:r w:rsidRPr="00ED35A9">
              <w:rPr>
                <w:spacing w:val="-2"/>
                <w:sz w:val="24"/>
                <w:szCs w:val="24"/>
                <w:lang w:val="uk-UA"/>
              </w:rPr>
              <w:t>саше натрієвої солі PAS (4 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1–1,5 рази/</w:t>
            </w:r>
            <w:r w:rsidRPr="00ED35A9">
              <w:rPr>
                <w:sz w:val="24"/>
                <w:szCs w:val="24"/>
                <w:lang w:val="uk-UA"/>
              </w:rPr>
              <w:br/>
              <w:t>добу</w:t>
            </w:r>
          </w:p>
        </w:tc>
        <w:tc>
          <w:tcPr>
            <w:tcW w:w="1842"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12 г</w:t>
            </w: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w:t>
            </w: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spacing w:line="228" w:lineRule="auto"/>
              <w:ind w:firstLine="0"/>
              <w:rPr>
                <w:sz w:val="24"/>
                <w:szCs w:val="24"/>
                <w:lang w:val="uk-UA"/>
              </w:rPr>
            </w:pPr>
          </w:p>
        </w:tc>
        <w:tc>
          <w:tcPr>
            <w:tcW w:w="2410" w:type="dxa"/>
            <w:vMerge/>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1659"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1034" w:type="dxa"/>
            <w:shd w:val="clear" w:color="auto" w:fill="auto"/>
            <w:tcMar>
              <w:left w:w="57" w:type="dxa"/>
              <w:right w:w="57" w:type="dxa"/>
            </w:tcMar>
            <w:hideMark/>
          </w:tcPr>
          <w:p w:rsidR="009A0B83" w:rsidRPr="00ED35A9" w:rsidRDefault="009A0B83" w:rsidP="009A0B83">
            <w:pPr>
              <w:spacing w:line="228" w:lineRule="auto"/>
              <w:ind w:firstLine="0"/>
              <w:jc w:val="left"/>
              <w:rPr>
                <w:spacing w:val="-2"/>
                <w:sz w:val="24"/>
                <w:szCs w:val="24"/>
                <w:lang w:val="uk-UA"/>
              </w:rPr>
            </w:pPr>
            <w:r w:rsidRPr="00ED35A9">
              <w:rPr>
                <w:spacing w:val="-2"/>
                <w:sz w:val="24"/>
                <w:szCs w:val="24"/>
                <w:lang w:val="uk-UA"/>
              </w:rPr>
              <w:t>саше натрієвої солі PAS (4 г)</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851"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1–1,5 рази/</w:t>
            </w:r>
            <w:r w:rsidRPr="00ED35A9">
              <w:rPr>
                <w:sz w:val="24"/>
                <w:szCs w:val="24"/>
                <w:lang w:val="uk-UA"/>
              </w:rPr>
              <w:br/>
              <w:t>добу</w:t>
            </w:r>
          </w:p>
        </w:tc>
        <w:tc>
          <w:tcPr>
            <w:tcW w:w="1842" w:type="dxa"/>
            <w:vMerge/>
            <w:tcMar>
              <w:left w:w="57" w:type="dxa"/>
              <w:right w:w="57" w:type="dxa"/>
            </w:tcMar>
            <w:hideMark/>
          </w:tcPr>
          <w:p w:rsidR="009A0B83" w:rsidRPr="00ED35A9" w:rsidRDefault="009A0B83" w:rsidP="009A0B83">
            <w:pPr>
              <w:spacing w:line="228" w:lineRule="auto"/>
              <w:ind w:firstLine="0"/>
              <w:jc w:val="left"/>
              <w:rPr>
                <w:sz w:val="24"/>
                <w:szCs w:val="24"/>
                <w:lang w:val="uk-UA"/>
              </w:rPr>
            </w:pPr>
          </w:p>
        </w:tc>
        <w:tc>
          <w:tcPr>
            <w:tcW w:w="2886" w:type="dxa"/>
            <w:shd w:val="clear" w:color="auto" w:fill="auto"/>
            <w:tcMar>
              <w:left w:w="57" w:type="dxa"/>
              <w:right w:w="57" w:type="dxa"/>
            </w:tcMar>
            <w:hideMark/>
          </w:tcPr>
          <w:p w:rsidR="009A0B83" w:rsidRPr="00ED35A9" w:rsidRDefault="009A0B83" w:rsidP="009A0B83">
            <w:pPr>
              <w:spacing w:line="228" w:lineRule="auto"/>
              <w:ind w:firstLine="0"/>
              <w:jc w:val="left"/>
              <w:rPr>
                <w:sz w:val="24"/>
                <w:szCs w:val="24"/>
                <w:lang w:val="uk-UA"/>
              </w:rPr>
            </w:pPr>
            <w:r w:rsidRPr="00ED35A9">
              <w:rPr>
                <w:sz w:val="24"/>
                <w:szCs w:val="24"/>
                <w:lang w:val="uk-UA"/>
              </w:rPr>
              <w:t> </w:t>
            </w:r>
          </w:p>
        </w:tc>
      </w:tr>
      <w:tr w:rsidR="009A0B83" w:rsidRPr="00ED35A9" w:rsidTr="009A0B83">
        <w:trPr>
          <w:trHeight w:val="20"/>
        </w:trPr>
        <w:tc>
          <w:tcPr>
            <w:tcW w:w="284" w:type="dxa"/>
            <w:vMerge w:val="restart"/>
            <w:shd w:val="clear" w:color="auto" w:fill="auto"/>
            <w:tcMar>
              <w:left w:w="57" w:type="dxa"/>
              <w:right w:w="57" w:type="dxa"/>
            </w:tcMar>
            <w:textDirection w:val="btLr"/>
            <w:vAlign w:val="center"/>
          </w:tcPr>
          <w:p w:rsidR="009A0B83" w:rsidRPr="00ED35A9" w:rsidRDefault="009A0B83" w:rsidP="009A0B83">
            <w:pPr>
              <w:spacing w:line="228" w:lineRule="auto"/>
              <w:ind w:left="113" w:right="113" w:firstLine="0"/>
              <w:jc w:val="center"/>
              <w:rPr>
                <w:sz w:val="24"/>
                <w:szCs w:val="24"/>
                <w:lang w:val="uk-UA"/>
              </w:rPr>
            </w:pPr>
            <w:r w:rsidRPr="00ED35A9">
              <w:rPr>
                <w:b/>
                <w:sz w:val="24"/>
                <w:szCs w:val="24"/>
                <w:lang w:val="uk-UA"/>
              </w:rPr>
              <w:lastRenderedPageBreak/>
              <w:t>Група</w:t>
            </w:r>
          </w:p>
        </w:tc>
        <w:tc>
          <w:tcPr>
            <w:tcW w:w="2410"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Препарат</w:t>
            </w:r>
          </w:p>
        </w:tc>
        <w:tc>
          <w:tcPr>
            <w:tcW w:w="1659"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Щоденна доза залежно від маси тіла</w:t>
            </w:r>
          </w:p>
        </w:tc>
        <w:tc>
          <w:tcPr>
            <w:tcW w:w="103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Форма випуску</w:t>
            </w:r>
          </w:p>
        </w:tc>
        <w:tc>
          <w:tcPr>
            <w:tcW w:w="4820" w:type="dxa"/>
            <w:gridSpan w:val="5"/>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старше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842"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2886"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400"/>
        </w:trPr>
        <w:tc>
          <w:tcPr>
            <w:tcW w:w="284" w:type="dxa"/>
            <w:vMerge/>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2410"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6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0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30–35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36–45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46–55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56–70 кг</w:t>
            </w:r>
          </w:p>
        </w:tc>
        <w:tc>
          <w:tcPr>
            <w:tcW w:w="851"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&gt;70 кг</w:t>
            </w:r>
          </w:p>
        </w:tc>
        <w:tc>
          <w:tcPr>
            <w:tcW w:w="1842"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2886"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850C2F" w:rsidTr="009A0B83">
        <w:trPr>
          <w:trHeight w:val="20"/>
        </w:trPr>
        <w:tc>
          <w:tcPr>
            <w:tcW w:w="284" w:type="dxa"/>
            <w:vMerge w:val="restart"/>
            <w:shd w:val="clear" w:color="auto" w:fill="auto"/>
            <w:tcMar>
              <w:left w:w="57" w:type="dxa"/>
              <w:right w:w="57" w:type="dxa"/>
            </w:tcMar>
            <w:textDirection w:val="btLr"/>
            <w:vAlign w:val="center"/>
            <w:hideMark/>
          </w:tcPr>
          <w:p w:rsidR="009A0B83" w:rsidRPr="00ED35A9" w:rsidRDefault="009A0B83" w:rsidP="009A0B83">
            <w:pPr>
              <w:jc w:val="center"/>
              <w:rPr>
                <w:sz w:val="24"/>
                <w:szCs w:val="24"/>
                <w:vertAlign w:val="superscript"/>
                <w:lang w:val="uk-UA"/>
              </w:rPr>
            </w:pPr>
            <w:r w:rsidRPr="00ED35A9">
              <w:rPr>
                <w:sz w:val="24"/>
                <w:szCs w:val="24"/>
                <w:lang w:val="uk-UA"/>
              </w:rPr>
              <w:t xml:space="preserve">Інші </w:t>
            </w:r>
            <w:proofErr w:type="spellStart"/>
            <w:r w:rsidRPr="00ED35A9">
              <w:rPr>
                <w:sz w:val="24"/>
                <w:szCs w:val="24"/>
                <w:lang w:val="uk-UA"/>
              </w:rPr>
              <w:t>препарати</w:t>
            </w:r>
            <w:r w:rsidRPr="00ED35A9">
              <w:rPr>
                <w:sz w:val="24"/>
                <w:szCs w:val="24"/>
                <w:vertAlign w:val="superscript"/>
                <w:lang w:val="uk-UA"/>
              </w:rPr>
              <w:t>е</w:t>
            </w:r>
            <w:proofErr w:type="spellEnd"/>
          </w:p>
        </w:tc>
        <w:tc>
          <w:tcPr>
            <w:tcW w:w="2410" w:type="dxa"/>
            <w:vMerge w:val="restart"/>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Ізоніазид</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4–6 мг/кг (стандартна доза)</w:t>
            </w:r>
            <w:r w:rsidRPr="00ED35A9">
              <w:rPr>
                <w:sz w:val="24"/>
                <w:szCs w:val="24"/>
                <w:vertAlign w:val="superscript"/>
                <w:lang w:val="uk-UA"/>
              </w:rPr>
              <w:t>г</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табл. 300 мг </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2/3</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1842" w:type="dxa"/>
            <w:vMerge w:val="restart"/>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w:t>
            </w:r>
          </w:p>
        </w:tc>
        <w:tc>
          <w:tcPr>
            <w:tcW w:w="2886" w:type="dxa"/>
            <w:vMerge w:val="restart"/>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Таблетка </w:t>
            </w:r>
            <w:proofErr w:type="spellStart"/>
            <w:r w:rsidRPr="00ED35A9">
              <w:rPr>
                <w:sz w:val="24"/>
                <w:szCs w:val="24"/>
                <w:lang w:val="uk-UA"/>
              </w:rPr>
              <w:t>ізоніазиду</w:t>
            </w:r>
            <w:proofErr w:type="spellEnd"/>
            <w:r w:rsidRPr="00ED35A9">
              <w:rPr>
                <w:sz w:val="24"/>
                <w:szCs w:val="24"/>
                <w:lang w:val="uk-UA"/>
              </w:rPr>
              <w:t xml:space="preserve"> 100 мг може полегшити прийом певних доз піридоксину у пацієнтів з груп ризику</w:t>
            </w:r>
            <w:r w:rsidRPr="00ED35A9">
              <w:rPr>
                <w:sz w:val="24"/>
                <w:szCs w:val="24"/>
                <w:lang w:val="uk-UA"/>
              </w:rPr>
              <w:br/>
              <w:t>(особи з ВІЛ, харчовою недостатністю)</w:t>
            </w: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rPr>
                <w:sz w:val="24"/>
                <w:szCs w:val="24"/>
                <w:lang w:val="uk-UA"/>
              </w:rPr>
            </w:pPr>
          </w:p>
        </w:tc>
        <w:tc>
          <w:tcPr>
            <w:tcW w:w="2410" w:type="dxa"/>
            <w:vMerge/>
            <w:shd w:val="clear" w:color="auto" w:fill="auto"/>
            <w:tcMar>
              <w:left w:w="57" w:type="dxa"/>
              <w:right w:w="57" w:type="dxa"/>
            </w:tcMar>
            <w:hideMark/>
          </w:tcPr>
          <w:p w:rsidR="009A0B83" w:rsidRPr="00ED35A9" w:rsidRDefault="009A0B83" w:rsidP="009A0B83">
            <w:pPr>
              <w:ind w:firstLine="0"/>
              <w:jc w:val="left"/>
              <w:rPr>
                <w:sz w:val="24"/>
                <w:szCs w:val="24"/>
                <w:lang w:val="uk-UA"/>
              </w:rPr>
            </w:pPr>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10–15 мг/кг (висока доза)</w:t>
            </w:r>
            <w:r w:rsidRPr="00ED35A9">
              <w:rPr>
                <w:sz w:val="24"/>
                <w:szCs w:val="24"/>
                <w:vertAlign w:val="superscript"/>
                <w:lang w:val="uk-UA"/>
              </w:rPr>
              <w:t>г</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табл. 300 мг </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1,5</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1,5</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1842" w:type="dxa"/>
            <w:vMerge/>
            <w:tcMar>
              <w:left w:w="57" w:type="dxa"/>
              <w:right w:w="57" w:type="dxa"/>
            </w:tcMar>
            <w:hideMark/>
          </w:tcPr>
          <w:p w:rsidR="009A0B83" w:rsidRPr="00ED35A9" w:rsidRDefault="009A0B83" w:rsidP="009A0B83">
            <w:pPr>
              <w:ind w:firstLine="0"/>
              <w:jc w:val="left"/>
              <w:rPr>
                <w:sz w:val="24"/>
                <w:szCs w:val="24"/>
                <w:lang w:val="uk-UA"/>
              </w:rPr>
            </w:pPr>
          </w:p>
        </w:tc>
        <w:tc>
          <w:tcPr>
            <w:tcW w:w="2886" w:type="dxa"/>
            <w:vMerge/>
            <w:tcMar>
              <w:left w:w="57" w:type="dxa"/>
              <w:right w:w="57" w:type="dxa"/>
            </w:tcMar>
            <w:hideMark/>
          </w:tcPr>
          <w:p w:rsidR="009A0B83" w:rsidRPr="00ED35A9" w:rsidRDefault="009A0B83" w:rsidP="009A0B83">
            <w:pPr>
              <w:ind w:firstLine="0"/>
              <w:jc w:val="left"/>
              <w:rPr>
                <w:sz w:val="24"/>
                <w:szCs w:val="24"/>
                <w:lang w:val="uk-UA"/>
              </w:rPr>
            </w:pPr>
          </w:p>
        </w:tc>
      </w:tr>
      <w:tr w:rsidR="009A0B83" w:rsidRPr="00ED35A9" w:rsidTr="009A0B83">
        <w:trPr>
          <w:trHeight w:val="20"/>
        </w:trPr>
        <w:tc>
          <w:tcPr>
            <w:tcW w:w="284" w:type="dxa"/>
            <w:vMerge/>
            <w:tcMar>
              <w:left w:w="57" w:type="dxa"/>
              <w:right w:w="57" w:type="dxa"/>
            </w:tcMar>
            <w:vAlign w:val="center"/>
            <w:hideMark/>
          </w:tcPr>
          <w:p w:rsidR="009A0B83" w:rsidRPr="00ED35A9" w:rsidRDefault="009A0B83" w:rsidP="009A0B83">
            <w:pPr>
              <w:rPr>
                <w:sz w:val="24"/>
                <w:szCs w:val="24"/>
                <w:lang w:val="uk-UA"/>
              </w:rPr>
            </w:pPr>
          </w:p>
        </w:tc>
        <w:tc>
          <w:tcPr>
            <w:tcW w:w="2410" w:type="dxa"/>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Клавулонова</w:t>
            </w:r>
            <w:proofErr w:type="spellEnd"/>
            <w:r w:rsidRPr="00ED35A9">
              <w:rPr>
                <w:sz w:val="24"/>
                <w:szCs w:val="24"/>
                <w:lang w:val="uk-UA"/>
              </w:rPr>
              <w:t xml:space="preserve"> </w:t>
            </w:r>
            <w:proofErr w:type="spellStart"/>
            <w:r w:rsidRPr="00ED35A9">
              <w:rPr>
                <w:sz w:val="24"/>
                <w:szCs w:val="24"/>
                <w:lang w:val="uk-UA"/>
              </w:rPr>
              <w:t>кислота</w:t>
            </w:r>
            <w:r w:rsidRPr="00ED35A9">
              <w:rPr>
                <w:sz w:val="24"/>
                <w:szCs w:val="24"/>
                <w:vertAlign w:val="superscript"/>
                <w:lang w:val="uk-UA"/>
              </w:rPr>
              <w:t>ж</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vertAlign w:val="superscript"/>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табл. 125 </w:t>
            </w:r>
            <w:proofErr w:type="spellStart"/>
            <w:r w:rsidRPr="00ED35A9">
              <w:rPr>
                <w:sz w:val="24"/>
                <w:szCs w:val="24"/>
                <w:lang w:val="uk-UA"/>
              </w:rPr>
              <w:t>мг</w:t>
            </w:r>
            <w:r w:rsidRPr="00ED35A9">
              <w:rPr>
                <w:sz w:val="24"/>
                <w:szCs w:val="24"/>
                <w:vertAlign w:val="superscript"/>
                <w:lang w:val="uk-UA"/>
              </w:rPr>
              <w:t>ж</w:t>
            </w:r>
            <w:proofErr w:type="spellEnd"/>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раз/</w:t>
            </w:r>
            <w:r w:rsidRPr="00ED35A9">
              <w:rPr>
                <w:sz w:val="24"/>
                <w:szCs w:val="24"/>
                <w:lang w:val="uk-UA"/>
              </w:rPr>
              <w:br/>
              <w:t>добу</w:t>
            </w:r>
          </w:p>
        </w:tc>
        <w:tc>
          <w:tcPr>
            <w:tcW w:w="184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Для прийому лише з </w:t>
            </w:r>
            <w:proofErr w:type="spellStart"/>
            <w:r w:rsidRPr="00ED35A9">
              <w:rPr>
                <w:sz w:val="24"/>
                <w:szCs w:val="24"/>
                <w:lang w:val="uk-UA"/>
              </w:rPr>
              <w:t>карбапенемами</w:t>
            </w:r>
            <w:proofErr w:type="spellEnd"/>
          </w:p>
        </w:tc>
      </w:tr>
      <w:tr w:rsidR="009A0B83" w:rsidRPr="00850C2F" w:rsidTr="009A0B83">
        <w:trPr>
          <w:trHeight w:val="20"/>
        </w:trPr>
        <w:tc>
          <w:tcPr>
            <w:tcW w:w="284" w:type="dxa"/>
            <w:vMerge/>
            <w:tcMar>
              <w:left w:w="57" w:type="dxa"/>
              <w:right w:w="57" w:type="dxa"/>
            </w:tcMar>
            <w:textDirection w:val="btLr"/>
          </w:tcPr>
          <w:p w:rsidR="009A0B83" w:rsidRPr="00ED35A9" w:rsidRDefault="009A0B83" w:rsidP="009A0B83">
            <w:pPr>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Канаміцин</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15–20 мг/кг </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ампули 500 мг/</w:t>
            </w:r>
            <w:r w:rsidRPr="00ED35A9">
              <w:rPr>
                <w:sz w:val="24"/>
                <w:szCs w:val="24"/>
                <w:lang w:val="uk-UA"/>
              </w:rPr>
              <w:br/>
              <w:t xml:space="preserve">2 </w:t>
            </w:r>
            <w:proofErr w:type="spellStart"/>
            <w:r w:rsidRPr="00ED35A9">
              <w:rPr>
                <w:sz w:val="24"/>
                <w:szCs w:val="24"/>
                <w:lang w:val="uk-UA"/>
              </w:rPr>
              <w:t>мл</w:t>
            </w:r>
            <w:r w:rsidRPr="00ED35A9">
              <w:rPr>
                <w:sz w:val="24"/>
                <w:szCs w:val="24"/>
                <w:vertAlign w:val="superscript"/>
                <w:lang w:val="uk-UA"/>
              </w:rPr>
              <w:t>д</w:t>
            </w:r>
            <w:proofErr w:type="spellEnd"/>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2–2,5 мл</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2,5–3 мл</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3–4 мл</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4 мл</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4 мл</w:t>
            </w:r>
          </w:p>
        </w:tc>
        <w:tc>
          <w:tcPr>
            <w:tcW w:w="184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г</w:t>
            </w:r>
          </w:p>
        </w:tc>
        <w:tc>
          <w:tcPr>
            <w:tcW w:w="2886" w:type="dxa"/>
            <w:vMerge w:val="restart"/>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 xml:space="preserve">Пн/ср/пт, застосування </w:t>
            </w:r>
            <w:proofErr w:type="spellStart"/>
            <w:r w:rsidRPr="00ED35A9">
              <w:rPr>
                <w:sz w:val="24"/>
                <w:szCs w:val="24"/>
                <w:lang w:val="uk-UA"/>
              </w:rPr>
              <w:t>аміноглікозидів</w:t>
            </w:r>
            <w:proofErr w:type="spellEnd"/>
            <w:r w:rsidRPr="00ED35A9">
              <w:rPr>
                <w:sz w:val="24"/>
                <w:szCs w:val="24"/>
                <w:lang w:val="uk-UA"/>
              </w:rPr>
              <w:t xml:space="preserve"> в дозі 25 мг/кг/добу може обмежити токсичність та незручність, пов’язану із застосуванням у довгострокових схемах лікування МРТБ ін’єкційних препаратів</w:t>
            </w:r>
          </w:p>
        </w:tc>
      </w:tr>
      <w:tr w:rsidR="009A0B83" w:rsidRPr="00ED35A9" w:rsidTr="009A0B83">
        <w:trPr>
          <w:trHeight w:val="20"/>
        </w:trPr>
        <w:tc>
          <w:tcPr>
            <w:tcW w:w="284" w:type="dxa"/>
            <w:vMerge/>
            <w:tcMar>
              <w:left w:w="57" w:type="dxa"/>
              <w:right w:w="57" w:type="dxa"/>
            </w:tcMar>
          </w:tcPr>
          <w:p w:rsidR="009A0B83" w:rsidRPr="00ED35A9" w:rsidRDefault="009A0B83" w:rsidP="009A0B83">
            <w:pPr>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Капреоміцин</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15–20 мг/кг</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ампули 500 мг/</w:t>
            </w:r>
            <w:r w:rsidRPr="00ED35A9">
              <w:rPr>
                <w:sz w:val="24"/>
                <w:szCs w:val="24"/>
                <w:lang w:val="uk-UA"/>
              </w:rPr>
              <w:br/>
              <w:t xml:space="preserve">2 </w:t>
            </w:r>
            <w:proofErr w:type="spellStart"/>
            <w:r w:rsidRPr="00ED35A9">
              <w:rPr>
                <w:sz w:val="24"/>
                <w:szCs w:val="24"/>
                <w:lang w:val="uk-UA"/>
              </w:rPr>
              <w:t>мл</w:t>
            </w:r>
            <w:r w:rsidRPr="00ED35A9">
              <w:rPr>
                <w:sz w:val="24"/>
                <w:szCs w:val="24"/>
                <w:vertAlign w:val="superscript"/>
                <w:lang w:val="uk-UA"/>
              </w:rPr>
              <w:t>д</w:t>
            </w:r>
            <w:proofErr w:type="spellEnd"/>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2,5 мл</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3 мл</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3–4 мл</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4 мл</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4 мл</w:t>
            </w:r>
          </w:p>
        </w:tc>
        <w:tc>
          <w:tcPr>
            <w:tcW w:w="184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 г</w:t>
            </w:r>
          </w:p>
        </w:tc>
        <w:tc>
          <w:tcPr>
            <w:tcW w:w="2886" w:type="dxa"/>
            <w:vMerge/>
            <w:tcMar>
              <w:left w:w="57" w:type="dxa"/>
              <w:right w:w="57" w:type="dxa"/>
            </w:tcMar>
            <w:hideMark/>
          </w:tcPr>
          <w:p w:rsidR="009A0B83" w:rsidRPr="00ED35A9" w:rsidRDefault="009A0B83" w:rsidP="009A0B83">
            <w:pPr>
              <w:ind w:firstLine="0"/>
              <w:jc w:val="left"/>
              <w:rPr>
                <w:sz w:val="24"/>
                <w:szCs w:val="24"/>
                <w:lang w:val="uk-UA"/>
              </w:rPr>
            </w:pPr>
          </w:p>
        </w:tc>
      </w:tr>
      <w:tr w:rsidR="009A0B83" w:rsidRPr="00ED35A9" w:rsidTr="009A0B83">
        <w:trPr>
          <w:trHeight w:val="20"/>
        </w:trPr>
        <w:tc>
          <w:tcPr>
            <w:tcW w:w="284" w:type="dxa"/>
            <w:vMerge/>
            <w:tcMar>
              <w:left w:w="57" w:type="dxa"/>
              <w:right w:w="57" w:type="dxa"/>
            </w:tcMar>
          </w:tcPr>
          <w:p w:rsidR="009A0B83" w:rsidRPr="00ED35A9" w:rsidRDefault="009A0B83" w:rsidP="009A0B83">
            <w:pPr>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Гатіфлоксацин</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табл. 400 мг</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2</w:t>
            </w:r>
          </w:p>
        </w:tc>
        <w:tc>
          <w:tcPr>
            <w:tcW w:w="184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800 мг</w:t>
            </w:r>
          </w:p>
        </w:tc>
        <w:tc>
          <w:tcPr>
            <w:tcW w:w="2886"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Не застосовується у пацієнтів віком &lt;18 років (зараз відсутній продукт гарантованої якості)</w:t>
            </w:r>
          </w:p>
        </w:tc>
      </w:tr>
      <w:tr w:rsidR="009A0B83" w:rsidRPr="00ED35A9" w:rsidTr="009A0B83">
        <w:trPr>
          <w:trHeight w:val="20"/>
        </w:trPr>
        <w:tc>
          <w:tcPr>
            <w:tcW w:w="284" w:type="dxa"/>
            <w:vMerge/>
            <w:tcMar>
              <w:left w:w="57" w:type="dxa"/>
              <w:right w:w="57" w:type="dxa"/>
            </w:tcMar>
          </w:tcPr>
          <w:p w:rsidR="009A0B83" w:rsidRPr="00ED35A9" w:rsidRDefault="009A0B83" w:rsidP="009A0B83">
            <w:pPr>
              <w:ind w:firstLine="0"/>
              <w:rPr>
                <w:sz w:val="24"/>
                <w:szCs w:val="24"/>
                <w:lang w:val="uk-UA"/>
              </w:rPr>
            </w:pPr>
          </w:p>
        </w:tc>
        <w:tc>
          <w:tcPr>
            <w:tcW w:w="2410" w:type="dxa"/>
            <w:shd w:val="clear" w:color="auto" w:fill="auto"/>
            <w:tcMar>
              <w:left w:w="57" w:type="dxa"/>
              <w:right w:w="57" w:type="dxa"/>
            </w:tcMar>
            <w:hideMark/>
          </w:tcPr>
          <w:p w:rsidR="009A0B83" w:rsidRPr="00ED35A9" w:rsidRDefault="009A0B83" w:rsidP="009A0B83">
            <w:pPr>
              <w:ind w:firstLine="0"/>
              <w:jc w:val="left"/>
              <w:rPr>
                <w:sz w:val="24"/>
                <w:szCs w:val="24"/>
                <w:lang w:val="uk-UA"/>
              </w:rPr>
            </w:pPr>
            <w:proofErr w:type="spellStart"/>
            <w:r w:rsidRPr="00ED35A9">
              <w:rPr>
                <w:sz w:val="24"/>
                <w:szCs w:val="24"/>
                <w:lang w:val="uk-UA"/>
              </w:rPr>
              <w:t>Тіоацетазон</w:t>
            </w:r>
            <w:proofErr w:type="spellEnd"/>
          </w:p>
        </w:tc>
        <w:tc>
          <w:tcPr>
            <w:tcW w:w="1659"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w:t>
            </w:r>
            <w:r w:rsidRPr="00ED35A9">
              <w:rPr>
                <w:sz w:val="24"/>
                <w:szCs w:val="24"/>
                <w:vertAlign w:val="superscript"/>
                <w:lang w:val="uk-UA"/>
              </w:rPr>
              <w:t>в</w:t>
            </w:r>
          </w:p>
        </w:tc>
        <w:tc>
          <w:tcPr>
            <w:tcW w:w="1034"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табл. 150 мг</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993"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851"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1</w:t>
            </w:r>
          </w:p>
        </w:tc>
        <w:tc>
          <w:tcPr>
            <w:tcW w:w="1842"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w:t>
            </w:r>
          </w:p>
        </w:tc>
        <w:tc>
          <w:tcPr>
            <w:tcW w:w="2886" w:type="dxa"/>
            <w:shd w:val="clear" w:color="auto" w:fill="auto"/>
            <w:tcMar>
              <w:left w:w="57" w:type="dxa"/>
              <w:right w:w="57" w:type="dxa"/>
            </w:tcMar>
            <w:hideMark/>
          </w:tcPr>
          <w:p w:rsidR="009A0B83" w:rsidRPr="00ED35A9" w:rsidRDefault="009A0B83" w:rsidP="009A0B83">
            <w:pPr>
              <w:ind w:firstLine="0"/>
              <w:jc w:val="left"/>
              <w:rPr>
                <w:sz w:val="24"/>
                <w:szCs w:val="24"/>
                <w:lang w:val="uk-UA"/>
              </w:rPr>
            </w:pPr>
            <w:r w:rsidRPr="00ED35A9">
              <w:rPr>
                <w:sz w:val="24"/>
                <w:szCs w:val="24"/>
                <w:lang w:val="uk-UA"/>
              </w:rPr>
              <w:t>Не застосовується у пацієнтів віком &lt;18 років (зараз відсутній продукт гарантованої якості)</w:t>
            </w:r>
          </w:p>
        </w:tc>
      </w:tr>
    </w:tbl>
    <w:p w:rsidR="009A0B83" w:rsidRPr="00ED35A9" w:rsidRDefault="009A0B83" w:rsidP="009A0B83">
      <w:pPr>
        <w:ind w:firstLine="0"/>
        <w:rPr>
          <w:sz w:val="24"/>
          <w:szCs w:val="24"/>
          <w:lang w:val="uk-UA"/>
        </w:rPr>
      </w:pPr>
      <w:r w:rsidRPr="00ED35A9">
        <w:rPr>
          <w:b/>
          <w:sz w:val="24"/>
          <w:szCs w:val="24"/>
          <w:lang w:val="uk-UA"/>
        </w:rPr>
        <w:t>Примітка.</w:t>
      </w:r>
      <w:r w:rsidRPr="00ED35A9">
        <w:rPr>
          <w:sz w:val="24"/>
          <w:szCs w:val="24"/>
          <w:lang w:val="uk-UA"/>
        </w:rPr>
        <w:t xml:space="preserve"> Скорочення: &lt;15 р. – застосування окремих схем дозування для пацієнтів віком до 15 років; </w:t>
      </w:r>
      <w:proofErr w:type="spellStart"/>
      <w:r w:rsidRPr="00ED35A9">
        <w:rPr>
          <w:sz w:val="24"/>
          <w:szCs w:val="24"/>
          <w:lang w:val="uk-UA"/>
        </w:rPr>
        <w:t>капс</w:t>
      </w:r>
      <w:proofErr w:type="spellEnd"/>
      <w:r w:rsidRPr="00ED35A9">
        <w:rPr>
          <w:sz w:val="24"/>
          <w:szCs w:val="24"/>
          <w:lang w:val="uk-UA"/>
        </w:rPr>
        <w:t>. – капсули; пн/ср/пт – понеділок, середа, п’ятниця; табл. – таблетки.</w:t>
      </w:r>
    </w:p>
    <w:p w:rsidR="009A0B83" w:rsidRPr="00ED35A9" w:rsidRDefault="009A0B83" w:rsidP="009A0B83">
      <w:pPr>
        <w:spacing w:before="120" w:after="120"/>
        <w:ind w:firstLine="0"/>
        <w:rPr>
          <w:sz w:val="24"/>
          <w:szCs w:val="24"/>
          <w:lang w:val="uk-UA"/>
        </w:rPr>
      </w:pPr>
      <w:proofErr w:type="spellStart"/>
      <w:r w:rsidRPr="00ED35A9">
        <w:rPr>
          <w:sz w:val="24"/>
          <w:szCs w:val="24"/>
          <w:vertAlign w:val="superscript"/>
          <w:lang w:val="uk-UA"/>
        </w:rPr>
        <w:t>a</w:t>
      </w:r>
      <w:r w:rsidRPr="00ED35A9">
        <w:rPr>
          <w:sz w:val="24"/>
          <w:szCs w:val="24"/>
          <w:lang w:val="uk-UA"/>
        </w:rPr>
        <w:t>Дозування</w:t>
      </w:r>
      <w:proofErr w:type="spellEnd"/>
      <w:r w:rsidRPr="00ED35A9">
        <w:rPr>
          <w:sz w:val="24"/>
          <w:szCs w:val="24"/>
          <w:lang w:val="uk-UA"/>
        </w:rPr>
        <w:t xml:space="preserve"> були визначені ГРН для Настанови ВООЗ із лікування </w:t>
      </w:r>
      <w:proofErr w:type="spellStart"/>
      <w:r w:rsidRPr="00ED35A9">
        <w:rPr>
          <w:sz w:val="24"/>
          <w:szCs w:val="24"/>
          <w:lang w:val="uk-UA"/>
        </w:rPr>
        <w:t>мультирезистентного</w:t>
      </w:r>
      <w:proofErr w:type="spellEnd"/>
      <w:r w:rsidRPr="00ED35A9">
        <w:rPr>
          <w:sz w:val="24"/>
          <w:szCs w:val="24"/>
          <w:lang w:val="uk-UA"/>
        </w:rPr>
        <w:t xml:space="preserve"> та </w:t>
      </w:r>
      <w:proofErr w:type="spellStart"/>
      <w:r w:rsidRPr="00ED35A9">
        <w:rPr>
          <w:sz w:val="24"/>
          <w:szCs w:val="24"/>
          <w:lang w:val="uk-UA"/>
        </w:rPr>
        <w:t>рифампіцин</w:t>
      </w:r>
      <w:proofErr w:type="spellEnd"/>
      <w:r w:rsidRPr="00ED35A9">
        <w:rPr>
          <w:sz w:val="24"/>
          <w:szCs w:val="24"/>
          <w:lang w:val="uk-UA"/>
        </w:rPr>
        <w:t xml:space="preserve">-резистентного туберкульозу (оновлення 2018 р.) та Глобальною робочою групою ВООЗ із ФК/ФД ПТП, а також іншими експертами. Вони ґрунтуються на новіших оглядах та передових практиках у лікуванні МР/Риф-ТБ. Для певних препаратів дозування було визначено за результатами </w:t>
      </w:r>
      <w:proofErr w:type="spellStart"/>
      <w:r w:rsidRPr="00ED35A9">
        <w:rPr>
          <w:sz w:val="24"/>
          <w:szCs w:val="24"/>
          <w:lang w:val="uk-UA"/>
        </w:rPr>
        <w:lastRenderedPageBreak/>
        <w:t>фармакокінетичного</w:t>
      </w:r>
      <w:proofErr w:type="spellEnd"/>
      <w:r w:rsidRPr="00ED35A9">
        <w:rPr>
          <w:sz w:val="24"/>
          <w:szCs w:val="24"/>
          <w:lang w:val="uk-UA"/>
        </w:rPr>
        <w:t xml:space="preserve"> моделювання на основі принципів </w:t>
      </w:r>
      <w:proofErr w:type="spellStart"/>
      <w:r w:rsidRPr="00ED35A9">
        <w:rPr>
          <w:sz w:val="24"/>
          <w:szCs w:val="24"/>
          <w:lang w:val="uk-UA"/>
        </w:rPr>
        <w:t>алометричного</w:t>
      </w:r>
      <w:proofErr w:type="spellEnd"/>
      <w:r w:rsidRPr="00ED35A9">
        <w:rPr>
          <w:sz w:val="24"/>
          <w:szCs w:val="24"/>
          <w:lang w:val="uk-UA"/>
        </w:rPr>
        <w:t xml:space="preserve"> масштабування (</w:t>
      </w:r>
      <w:proofErr w:type="spellStart"/>
      <w:r w:rsidRPr="00ED35A9">
        <w:rPr>
          <w:sz w:val="24"/>
          <w:szCs w:val="24"/>
          <w:lang w:val="uk-UA"/>
        </w:rPr>
        <w:t>Anderson</w:t>
      </w:r>
      <w:proofErr w:type="spellEnd"/>
      <w:r w:rsidRPr="00ED35A9">
        <w:rPr>
          <w:sz w:val="24"/>
          <w:szCs w:val="24"/>
          <w:lang w:val="uk-UA"/>
        </w:rPr>
        <w:t xml:space="preserve"> BJ, </w:t>
      </w:r>
      <w:proofErr w:type="spellStart"/>
      <w:r w:rsidRPr="00ED35A9">
        <w:rPr>
          <w:sz w:val="24"/>
          <w:szCs w:val="24"/>
          <w:lang w:val="uk-UA"/>
        </w:rPr>
        <w:t>Holford</w:t>
      </w:r>
      <w:proofErr w:type="spellEnd"/>
      <w:r w:rsidRPr="00ED35A9">
        <w:rPr>
          <w:sz w:val="24"/>
          <w:szCs w:val="24"/>
          <w:lang w:val="uk-UA"/>
        </w:rPr>
        <w:t xml:space="preserve"> NH. </w:t>
      </w:r>
      <w:proofErr w:type="spellStart"/>
      <w:r w:rsidRPr="00ED35A9">
        <w:rPr>
          <w:sz w:val="24"/>
          <w:szCs w:val="24"/>
          <w:lang w:val="uk-UA"/>
        </w:rPr>
        <w:t>Mechanism-based</w:t>
      </w:r>
      <w:proofErr w:type="spellEnd"/>
      <w:r w:rsidRPr="00ED35A9">
        <w:rPr>
          <w:sz w:val="24"/>
          <w:szCs w:val="24"/>
          <w:lang w:val="uk-UA"/>
        </w:rPr>
        <w:t xml:space="preserve"> </w:t>
      </w:r>
      <w:proofErr w:type="spellStart"/>
      <w:r w:rsidRPr="00ED35A9">
        <w:rPr>
          <w:sz w:val="24"/>
          <w:szCs w:val="24"/>
          <w:lang w:val="uk-UA"/>
        </w:rPr>
        <w:t>concepts</w:t>
      </w:r>
      <w:proofErr w:type="spellEnd"/>
      <w:r w:rsidRPr="00ED35A9">
        <w:rPr>
          <w:sz w:val="24"/>
          <w:szCs w:val="24"/>
          <w:lang w:val="uk-UA"/>
        </w:rPr>
        <w:t xml:space="preserve"> </w:t>
      </w:r>
      <w:proofErr w:type="spellStart"/>
      <w:r w:rsidRPr="00ED35A9">
        <w:rPr>
          <w:sz w:val="24"/>
          <w:szCs w:val="24"/>
          <w:lang w:val="uk-UA"/>
        </w:rPr>
        <w:t>of</w:t>
      </w:r>
      <w:proofErr w:type="spellEnd"/>
      <w:r w:rsidRPr="00ED35A9">
        <w:rPr>
          <w:sz w:val="24"/>
          <w:szCs w:val="24"/>
          <w:lang w:val="uk-UA"/>
        </w:rPr>
        <w:t xml:space="preserve"> </w:t>
      </w:r>
      <w:proofErr w:type="spellStart"/>
      <w:r w:rsidRPr="00ED35A9">
        <w:rPr>
          <w:sz w:val="24"/>
          <w:szCs w:val="24"/>
          <w:lang w:val="uk-UA"/>
        </w:rPr>
        <w:t>size</w:t>
      </w:r>
      <w:proofErr w:type="spellEnd"/>
      <w:r w:rsidRPr="00ED35A9">
        <w:rPr>
          <w:sz w:val="24"/>
          <w:szCs w:val="24"/>
          <w:lang w:val="uk-UA"/>
        </w:rPr>
        <w:t xml:space="preserve"> </w:t>
      </w:r>
      <w:proofErr w:type="spellStart"/>
      <w:r w:rsidRPr="00ED35A9">
        <w:rPr>
          <w:sz w:val="24"/>
          <w:szCs w:val="24"/>
          <w:lang w:val="uk-UA"/>
        </w:rPr>
        <w:t>and</w:t>
      </w:r>
      <w:proofErr w:type="spellEnd"/>
      <w:r w:rsidRPr="00ED35A9">
        <w:rPr>
          <w:sz w:val="24"/>
          <w:szCs w:val="24"/>
          <w:lang w:val="uk-UA"/>
        </w:rPr>
        <w:t xml:space="preserve"> </w:t>
      </w:r>
      <w:proofErr w:type="spellStart"/>
      <w:r w:rsidRPr="00ED35A9">
        <w:rPr>
          <w:sz w:val="24"/>
          <w:szCs w:val="24"/>
          <w:lang w:val="uk-UA"/>
        </w:rPr>
        <w:t>maturity</w:t>
      </w:r>
      <w:proofErr w:type="spellEnd"/>
      <w:r w:rsidRPr="00ED35A9">
        <w:rPr>
          <w:sz w:val="24"/>
          <w:szCs w:val="24"/>
          <w:lang w:val="uk-UA"/>
        </w:rPr>
        <w:t xml:space="preserve"> </w:t>
      </w:r>
      <w:proofErr w:type="spellStart"/>
      <w:r w:rsidRPr="00ED35A9">
        <w:rPr>
          <w:sz w:val="24"/>
          <w:szCs w:val="24"/>
          <w:lang w:val="uk-UA"/>
        </w:rPr>
        <w:t>in</w:t>
      </w:r>
      <w:proofErr w:type="spellEnd"/>
      <w:r w:rsidRPr="00ED35A9">
        <w:rPr>
          <w:sz w:val="24"/>
          <w:szCs w:val="24"/>
          <w:lang w:val="uk-UA"/>
        </w:rPr>
        <w:t xml:space="preserve"> </w:t>
      </w:r>
      <w:proofErr w:type="spellStart"/>
      <w:r w:rsidRPr="00ED35A9">
        <w:rPr>
          <w:sz w:val="24"/>
          <w:szCs w:val="24"/>
          <w:lang w:val="uk-UA"/>
        </w:rPr>
        <w:t>pharmacokinetics</w:t>
      </w:r>
      <w:proofErr w:type="spellEnd"/>
      <w:r w:rsidRPr="00ED35A9">
        <w:rPr>
          <w:sz w:val="24"/>
          <w:szCs w:val="24"/>
          <w:lang w:val="uk-UA"/>
        </w:rPr>
        <w:t xml:space="preserve">. </w:t>
      </w:r>
      <w:proofErr w:type="spellStart"/>
      <w:r w:rsidRPr="00ED35A9">
        <w:rPr>
          <w:i/>
          <w:sz w:val="24"/>
          <w:szCs w:val="24"/>
          <w:lang w:val="uk-UA"/>
        </w:rPr>
        <w:t>Annu</w:t>
      </w:r>
      <w:proofErr w:type="spellEnd"/>
      <w:r w:rsidRPr="00ED35A9">
        <w:rPr>
          <w:i/>
          <w:sz w:val="24"/>
          <w:szCs w:val="24"/>
          <w:lang w:val="uk-UA"/>
        </w:rPr>
        <w:t xml:space="preserve"> </w:t>
      </w:r>
      <w:proofErr w:type="spellStart"/>
      <w:r w:rsidRPr="00ED35A9">
        <w:rPr>
          <w:i/>
          <w:sz w:val="24"/>
          <w:szCs w:val="24"/>
          <w:lang w:val="uk-UA"/>
        </w:rPr>
        <w:t>Rev</w:t>
      </w:r>
      <w:proofErr w:type="spellEnd"/>
      <w:r w:rsidRPr="00ED35A9">
        <w:rPr>
          <w:i/>
          <w:sz w:val="24"/>
          <w:szCs w:val="24"/>
          <w:lang w:val="uk-UA"/>
        </w:rPr>
        <w:t xml:space="preserve"> </w:t>
      </w:r>
      <w:proofErr w:type="spellStart"/>
      <w:r w:rsidRPr="00ED35A9">
        <w:rPr>
          <w:i/>
          <w:sz w:val="24"/>
          <w:szCs w:val="24"/>
          <w:lang w:val="uk-UA"/>
        </w:rPr>
        <w:t>Pharmacol</w:t>
      </w:r>
      <w:proofErr w:type="spellEnd"/>
      <w:r w:rsidRPr="00ED35A9">
        <w:rPr>
          <w:i/>
          <w:sz w:val="24"/>
          <w:szCs w:val="24"/>
          <w:lang w:val="uk-UA"/>
        </w:rPr>
        <w:t xml:space="preserve"> </w:t>
      </w:r>
      <w:proofErr w:type="spellStart"/>
      <w:r w:rsidRPr="00ED35A9">
        <w:rPr>
          <w:i/>
          <w:sz w:val="24"/>
          <w:szCs w:val="24"/>
          <w:lang w:val="uk-UA"/>
        </w:rPr>
        <w:t>Toxicol</w:t>
      </w:r>
      <w:proofErr w:type="spellEnd"/>
      <w:r w:rsidRPr="00ED35A9">
        <w:rPr>
          <w:sz w:val="24"/>
          <w:szCs w:val="24"/>
          <w:lang w:val="uk-UA"/>
        </w:rPr>
        <w:t xml:space="preserve">, 2008, 48: 303–332). Через </w:t>
      </w:r>
      <w:proofErr w:type="spellStart"/>
      <w:r w:rsidRPr="00ED35A9">
        <w:rPr>
          <w:sz w:val="24"/>
          <w:szCs w:val="24"/>
          <w:lang w:val="uk-UA"/>
        </w:rPr>
        <w:t>фармакокінетичні</w:t>
      </w:r>
      <w:proofErr w:type="spellEnd"/>
      <w:r w:rsidRPr="00ED35A9">
        <w:rPr>
          <w:sz w:val="24"/>
          <w:szCs w:val="24"/>
          <w:lang w:val="uk-UA"/>
        </w:rPr>
        <w:t xml:space="preserve"> властивості певних препаратів запропоновані дози можуть перевищувати наведені в таблиці діапазони (мг/кг/день) для досягнення у крові концентрації, подібної до цільових рівнів у середнього здорового пацієнта. У пацієнтів з масою тіла &lt;30 кг слід застосовувати дозування для пацієнтів віком &lt;15 років, якщо не зазначено інше. Якщо для одного діапазону маси тіла вказано декілька варіантів дозування, слід обирати нижчий або вищий варіант залежно від того, чи пацієнт ближчий до нижнього чи верхнього діапазону маси тіла. Слід застосовувати найближче до цільового показника дозування (мг/кг/день), що є зручнішим при використанні пероральної або парентеральної рідини, а також доступних твердих форм різного дозування. За можливості слід уникати поділу таблеток. Рекомендовано проводити фармакологічний моніторинг у випадках, коли дозування наближується до нижчої або верхньої межі діапазону, щоб мінімізувати небажані наслідки лікування через надмірну чи недостатню дію препарату (особливо при застосуванні ін’єкційних препаратів, </w:t>
      </w:r>
      <w:proofErr w:type="spellStart"/>
      <w:r w:rsidRPr="00ED35A9">
        <w:rPr>
          <w:sz w:val="24"/>
          <w:szCs w:val="24"/>
          <w:lang w:val="uk-UA"/>
        </w:rPr>
        <w:t>лінезоліду</w:t>
      </w:r>
      <w:proofErr w:type="spellEnd"/>
      <w:r w:rsidRPr="00ED35A9">
        <w:rPr>
          <w:sz w:val="24"/>
          <w:szCs w:val="24"/>
          <w:lang w:val="uk-UA"/>
        </w:rPr>
        <w:t xml:space="preserve"> та </w:t>
      </w:r>
      <w:proofErr w:type="spellStart"/>
      <w:r w:rsidRPr="00ED35A9">
        <w:rPr>
          <w:sz w:val="24"/>
          <w:szCs w:val="24"/>
          <w:lang w:val="uk-UA"/>
        </w:rPr>
        <w:t>фторхінолонів</w:t>
      </w:r>
      <w:proofErr w:type="spellEnd"/>
      <w:r w:rsidRPr="00ED35A9">
        <w:rPr>
          <w:sz w:val="24"/>
          <w:szCs w:val="24"/>
          <w:lang w:val="uk-UA"/>
        </w:rPr>
        <w:t>).</w:t>
      </w:r>
    </w:p>
    <w:p w:rsidR="009A0B83" w:rsidRPr="00ED35A9" w:rsidRDefault="009A0B83" w:rsidP="009A0B83">
      <w:pPr>
        <w:spacing w:after="120"/>
        <w:ind w:firstLine="0"/>
        <w:rPr>
          <w:sz w:val="24"/>
          <w:szCs w:val="24"/>
          <w:lang w:val="uk-UA"/>
        </w:rPr>
      </w:pPr>
      <w:proofErr w:type="spellStart"/>
      <w:r w:rsidRPr="00ED35A9">
        <w:rPr>
          <w:sz w:val="24"/>
          <w:szCs w:val="24"/>
          <w:vertAlign w:val="superscript"/>
          <w:lang w:val="uk-UA"/>
        </w:rPr>
        <w:t>б</w:t>
      </w:r>
      <w:r w:rsidRPr="00ED35A9">
        <w:rPr>
          <w:sz w:val="24"/>
          <w:szCs w:val="24"/>
          <w:lang w:val="uk-UA"/>
        </w:rPr>
        <w:t>Клініцисти</w:t>
      </w:r>
      <w:proofErr w:type="spellEnd"/>
      <w:r w:rsidRPr="00ED35A9">
        <w:rPr>
          <w:sz w:val="24"/>
          <w:szCs w:val="24"/>
          <w:lang w:val="uk-UA"/>
        </w:rPr>
        <w:t xml:space="preserve"> можуть прийняти рішення про перевищення цих значень в окремих випадках для покращення терапевтичного ефекту.</w:t>
      </w:r>
    </w:p>
    <w:p w:rsidR="009A0B83" w:rsidRPr="00ED35A9" w:rsidRDefault="009A0B83" w:rsidP="009A0B83">
      <w:pPr>
        <w:spacing w:after="120"/>
        <w:ind w:firstLine="0"/>
        <w:rPr>
          <w:sz w:val="24"/>
          <w:szCs w:val="24"/>
          <w:lang w:val="uk-UA"/>
        </w:rPr>
      </w:pPr>
      <w:proofErr w:type="spellStart"/>
      <w:r w:rsidRPr="00ED35A9">
        <w:rPr>
          <w:sz w:val="24"/>
          <w:szCs w:val="24"/>
          <w:vertAlign w:val="superscript"/>
          <w:lang w:val="uk-UA"/>
        </w:rPr>
        <w:t>в</w:t>
      </w:r>
      <w:r w:rsidRPr="00ED35A9">
        <w:rPr>
          <w:sz w:val="24"/>
          <w:szCs w:val="24"/>
          <w:lang w:val="uk-UA"/>
        </w:rPr>
        <w:t>Дозування</w:t>
      </w:r>
      <w:proofErr w:type="spellEnd"/>
      <w:r w:rsidRPr="00ED35A9">
        <w:rPr>
          <w:sz w:val="24"/>
          <w:szCs w:val="24"/>
          <w:lang w:val="uk-UA"/>
        </w:rPr>
        <w:t xml:space="preserve"> із врахуванням показників маси тіла відсутнє.</w:t>
      </w:r>
    </w:p>
    <w:p w:rsidR="009A0B83" w:rsidRPr="00ED35A9" w:rsidRDefault="009A0B83" w:rsidP="009A0B83">
      <w:pPr>
        <w:spacing w:after="120"/>
        <w:ind w:firstLine="0"/>
        <w:rPr>
          <w:sz w:val="24"/>
          <w:szCs w:val="24"/>
          <w:lang w:val="uk-UA"/>
        </w:rPr>
      </w:pPr>
      <w:proofErr w:type="spellStart"/>
      <w:r w:rsidRPr="00ED35A9">
        <w:rPr>
          <w:sz w:val="24"/>
          <w:szCs w:val="24"/>
          <w:vertAlign w:val="superscript"/>
          <w:lang w:val="uk-UA"/>
        </w:rPr>
        <w:t>г</w:t>
      </w:r>
      <w:r w:rsidRPr="00ED35A9">
        <w:rPr>
          <w:sz w:val="24"/>
          <w:szCs w:val="24"/>
          <w:lang w:val="uk-UA"/>
        </w:rPr>
        <w:t>За</w:t>
      </w:r>
      <w:proofErr w:type="spellEnd"/>
      <w:r w:rsidRPr="00ED35A9">
        <w:rPr>
          <w:sz w:val="24"/>
          <w:szCs w:val="24"/>
          <w:lang w:val="uk-UA"/>
        </w:rPr>
        <w:t xml:space="preserve"> відсутності ризику виникнення токсичності високу дозу можна використовувати, якщо рівні антимікробних препаратів можуть бути знижені внаслідок </w:t>
      </w:r>
      <w:proofErr w:type="spellStart"/>
      <w:r w:rsidRPr="00ED35A9">
        <w:rPr>
          <w:sz w:val="24"/>
          <w:szCs w:val="24"/>
          <w:lang w:val="uk-UA"/>
        </w:rPr>
        <w:t>фармакокінетичної</w:t>
      </w:r>
      <w:proofErr w:type="spellEnd"/>
      <w:r w:rsidRPr="00ED35A9">
        <w:rPr>
          <w:sz w:val="24"/>
          <w:szCs w:val="24"/>
          <w:lang w:val="uk-UA"/>
        </w:rPr>
        <w:t xml:space="preserve"> взаємодії, </w:t>
      </w:r>
      <w:proofErr w:type="spellStart"/>
      <w:r w:rsidRPr="00ED35A9">
        <w:rPr>
          <w:sz w:val="24"/>
          <w:szCs w:val="24"/>
          <w:lang w:val="uk-UA"/>
        </w:rPr>
        <w:t>мальабсорбції</w:t>
      </w:r>
      <w:proofErr w:type="spellEnd"/>
      <w:r w:rsidRPr="00ED35A9">
        <w:rPr>
          <w:sz w:val="24"/>
          <w:szCs w:val="24"/>
          <w:lang w:val="uk-UA"/>
        </w:rPr>
        <w:t xml:space="preserve"> чи інших метаболічних причин або якщо штам має низький рівень медикаментозної резистентності.</w:t>
      </w:r>
    </w:p>
    <w:p w:rsidR="009A0B83" w:rsidRPr="00ED35A9" w:rsidRDefault="009A0B83" w:rsidP="009A0B83">
      <w:pPr>
        <w:spacing w:after="120"/>
        <w:ind w:firstLine="0"/>
        <w:rPr>
          <w:sz w:val="24"/>
          <w:szCs w:val="24"/>
          <w:lang w:val="uk-UA"/>
        </w:rPr>
      </w:pPr>
      <w:proofErr w:type="spellStart"/>
      <w:r w:rsidRPr="00ED35A9">
        <w:rPr>
          <w:sz w:val="24"/>
          <w:szCs w:val="24"/>
          <w:vertAlign w:val="superscript"/>
          <w:lang w:val="uk-UA"/>
        </w:rPr>
        <w:t>д</w:t>
      </w:r>
      <w:r w:rsidRPr="00ED35A9">
        <w:rPr>
          <w:sz w:val="24"/>
          <w:szCs w:val="24"/>
          <w:lang w:val="uk-UA"/>
        </w:rPr>
        <w:t>Щоденна</w:t>
      </w:r>
      <w:proofErr w:type="spellEnd"/>
      <w:r w:rsidRPr="00ED35A9">
        <w:rPr>
          <w:sz w:val="24"/>
          <w:szCs w:val="24"/>
          <w:lang w:val="uk-UA"/>
        </w:rPr>
        <w:t xml:space="preserve"> доза із врахуванням показників маси тіла для прийому протягом 6 або 7 днів на тиждень (у розкладах пн/ср/пт дозування може бути вищим). Наведені об’єми дозування можуть відрізнятися залежно від приготування. Стрептоміцин можна розводити трьома різними способами. Для внутрішньовенного застосування об’єм може бути збільшено.</w:t>
      </w:r>
    </w:p>
    <w:p w:rsidR="009A0B83" w:rsidRPr="00ED35A9" w:rsidRDefault="009A0B83" w:rsidP="009A0B83">
      <w:pPr>
        <w:spacing w:after="120"/>
        <w:ind w:firstLine="0"/>
        <w:rPr>
          <w:sz w:val="24"/>
          <w:szCs w:val="24"/>
          <w:lang w:val="uk-UA"/>
        </w:rPr>
      </w:pPr>
      <w:proofErr w:type="spellStart"/>
      <w:r w:rsidRPr="00ED35A9">
        <w:rPr>
          <w:sz w:val="24"/>
          <w:szCs w:val="24"/>
          <w:vertAlign w:val="superscript"/>
          <w:lang w:val="uk-UA"/>
        </w:rPr>
        <w:t>е</w:t>
      </w:r>
      <w:r w:rsidRPr="00ED35A9">
        <w:rPr>
          <w:sz w:val="24"/>
          <w:szCs w:val="24"/>
          <w:lang w:val="uk-UA"/>
        </w:rPr>
        <w:t>У</w:t>
      </w:r>
      <w:proofErr w:type="spellEnd"/>
      <w:r w:rsidRPr="00ED35A9">
        <w:rPr>
          <w:sz w:val="24"/>
          <w:szCs w:val="24"/>
          <w:lang w:val="uk-UA"/>
        </w:rPr>
        <w:t xml:space="preserve"> настановах ВООЗ 2018 р. застосування цих препаратів більше не рекомендовано (</w:t>
      </w:r>
      <w:proofErr w:type="spellStart"/>
      <w:r w:rsidRPr="00ED35A9">
        <w:rPr>
          <w:sz w:val="24"/>
          <w:szCs w:val="24"/>
          <w:lang w:val="uk-UA"/>
        </w:rPr>
        <w:t>канаміцин</w:t>
      </w:r>
      <w:proofErr w:type="spellEnd"/>
      <w:r w:rsidRPr="00ED35A9">
        <w:rPr>
          <w:sz w:val="24"/>
          <w:szCs w:val="24"/>
          <w:lang w:val="uk-UA"/>
        </w:rPr>
        <w:t xml:space="preserve">, </w:t>
      </w:r>
      <w:proofErr w:type="spellStart"/>
      <w:r w:rsidRPr="00ED35A9">
        <w:rPr>
          <w:sz w:val="24"/>
          <w:szCs w:val="24"/>
          <w:lang w:val="uk-UA"/>
        </w:rPr>
        <w:t>капреоміцин</w:t>
      </w:r>
      <w:proofErr w:type="spellEnd"/>
      <w:r w:rsidRPr="00ED35A9">
        <w:rPr>
          <w:sz w:val="24"/>
          <w:szCs w:val="24"/>
          <w:lang w:val="uk-UA"/>
        </w:rPr>
        <w:t>), рекомендовано лише як супутній препарат (</w:t>
      </w:r>
      <w:proofErr w:type="spellStart"/>
      <w:r w:rsidRPr="00ED35A9">
        <w:rPr>
          <w:sz w:val="24"/>
          <w:szCs w:val="24"/>
          <w:lang w:val="uk-UA"/>
        </w:rPr>
        <w:t>амоксіцилін-клавуланова</w:t>
      </w:r>
      <w:proofErr w:type="spellEnd"/>
      <w:r w:rsidRPr="00ED35A9">
        <w:rPr>
          <w:sz w:val="24"/>
          <w:szCs w:val="24"/>
          <w:lang w:val="uk-UA"/>
        </w:rPr>
        <w:t xml:space="preserve"> кислота) або не включено через недостатню кількість даних з останнього аналізу довгострокових схем лікування МРТБ у дорослих (</w:t>
      </w:r>
      <w:proofErr w:type="spellStart"/>
      <w:r w:rsidRPr="00ED35A9">
        <w:rPr>
          <w:sz w:val="24"/>
          <w:szCs w:val="24"/>
          <w:lang w:val="uk-UA"/>
        </w:rPr>
        <w:t>гатіфлоксацин</w:t>
      </w:r>
      <w:proofErr w:type="spellEnd"/>
      <w:r w:rsidRPr="00ED35A9">
        <w:rPr>
          <w:sz w:val="24"/>
          <w:szCs w:val="24"/>
          <w:lang w:val="uk-UA"/>
        </w:rPr>
        <w:t xml:space="preserve">, </w:t>
      </w:r>
      <w:proofErr w:type="spellStart"/>
      <w:r w:rsidRPr="00ED35A9">
        <w:rPr>
          <w:sz w:val="24"/>
          <w:szCs w:val="24"/>
          <w:lang w:val="uk-UA"/>
        </w:rPr>
        <w:t>ізоніазид</w:t>
      </w:r>
      <w:proofErr w:type="spellEnd"/>
      <w:r w:rsidRPr="00ED35A9">
        <w:rPr>
          <w:sz w:val="24"/>
          <w:szCs w:val="24"/>
          <w:lang w:val="uk-UA"/>
        </w:rPr>
        <w:t xml:space="preserve"> та </w:t>
      </w:r>
      <w:proofErr w:type="spellStart"/>
      <w:r w:rsidRPr="00ED35A9">
        <w:rPr>
          <w:sz w:val="24"/>
          <w:szCs w:val="24"/>
          <w:lang w:val="uk-UA"/>
        </w:rPr>
        <w:t>тіоацетазон</w:t>
      </w:r>
      <w:proofErr w:type="spellEnd"/>
      <w:r w:rsidRPr="00ED35A9">
        <w:rPr>
          <w:sz w:val="24"/>
          <w:szCs w:val="24"/>
          <w:lang w:val="uk-UA"/>
        </w:rPr>
        <w:t>).</w:t>
      </w:r>
    </w:p>
    <w:p w:rsidR="009A0B83" w:rsidRPr="00ED35A9" w:rsidRDefault="009A0B83" w:rsidP="009A0B83">
      <w:pPr>
        <w:ind w:firstLine="0"/>
        <w:rPr>
          <w:sz w:val="24"/>
          <w:szCs w:val="24"/>
          <w:lang w:val="uk-UA"/>
        </w:rPr>
      </w:pPr>
      <w:proofErr w:type="spellStart"/>
      <w:r w:rsidRPr="00ED35A9">
        <w:rPr>
          <w:sz w:val="24"/>
          <w:szCs w:val="24"/>
          <w:vertAlign w:val="superscript"/>
          <w:lang w:val="uk-UA"/>
        </w:rPr>
        <w:t>ж</w:t>
      </w:r>
      <w:r w:rsidRPr="00ED35A9">
        <w:rPr>
          <w:sz w:val="24"/>
          <w:szCs w:val="24"/>
          <w:lang w:val="uk-UA"/>
        </w:rPr>
        <w:t>Доступний</w:t>
      </w:r>
      <w:proofErr w:type="spellEnd"/>
      <w:r w:rsidRPr="00ED35A9">
        <w:rPr>
          <w:sz w:val="24"/>
          <w:szCs w:val="24"/>
          <w:lang w:val="uk-UA"/>
        </w:rPr>
        <w:t xml:space="preserve"> лише у комбінації з </w:t>
      </w:r>
      <w:proofErr w:type="spellStart"/>
      <w:r w:rsidRPr="00ED35A9">
        <w:rPr>
          <w:sz w:val="24"/>
          <w:szCs w:val="24"/>
          <w:lang w:val="uk-UA"/>
        </w:rPr>
        <w:t>амоксіциліном</w:t>
      </w:r>
      <w:proofErr w:type="spellEnd"/>
      <w:r w:rsidRPr="00ED35A9">
        <w:rPr>
          <w:sz w:val="24"/>
          <w:szCs w:val="24"/>
          <w:lang w:val="uk-UA"/>
        </w:rPr>
        <w:t xml:space="preserve"> як ко-</w:t>
      </w:r>
      <w:proofErr w:type="spellStart"/>
      <w:r w:rsidRPr="00ED35A9">
        <w:rPr>
          <w:sz w:val="24"/>
          <w:szCs w:val="24"/>
          <w:lang w:val="uk-UA"/>
        </w:rPr>
        <w:t>амоксіклав</w:t>
      </w:r>
      <w:proofErr w:type="spellEnd"/>
      <w:r w:rsidRPr="00ED35A9">
        <w:rPr>
          <w:sz w:val="24"/>
          <w:szCs w:val="24"/>
          <w:lang w:val="uk-UA"/>
        </w:rPr>
        <w:t xml:space="preserve"> (наприклад, 500 мг </w:t>
      </w:r>
      <w:proofErr w:type="spellStart"/>
      <w:r w:rsidRPr="00ED35A9">
        <w:rPr>
          <w:sz w:val="24"/>
          <w:szCs w:val="24"/>
          <w:lang w:val="uk-UA"/>
        </w:rPr>
        <w:t>амоксіциліну</w:t>
      </w:r>
      <w:proofErr w:type="spellEnd"/>
      <w:r w:rsidRPr="00ED35A9">
        <w:rPr>
          <w:sz w:val="24"/>
          <w:szCs w:val="24"/>
          <w:lang w:val="uk-UA"/>
        </w:rPr>
        <w:t xml:space="preserve">/125 мг </w:t>
      </w:r>
      <w:proofErr w:type="spellStart"/>
      <w:r w:rsidRPr="00ED35A9">
        <w:rPr>
          <w:sz w:val="24"/>
          <w:szCs w:val="24"/>
          <w:lang w:val="uk-UA"/>
        </w:rPr>
        <w:t>клавуланової</w:t>
      </w:r>
      <w:proofErr w:type="spellEnd"/>
      <w:r w:rsidRPr="00ED35A9">
        <w:rPr>
          <w:sz w:val="24"/>
          <w:szCs w:val="24"/>
          <w:lang w:val="uk-UA"/>
        </w:rPr>
        <w:t xml:space="preserve"> кислоти у фіксованій комбінації). Призначається в дозі 125 мг 2 рази/добу або 125 мг 3 рази/добу із кожною дозою </w:t>
      </w:r>
      <w:proofErr w:type="spellStart"/>
      <w:r w:rsidRPr="00ED35A9">
        <w:rPr>
          <w:sz w:val="24"/>
          <w:szCs w:val="24"/>
          <w:lang w:val="uk-UA"/>
        </w:rPr>
        <w:t>карбапенему</w:t>
      </w:r>
      <w:proofErr w:type="spellEnd"/>
      <w:r w:rsidRPr="00ED35A9">
        <w:rPr>
          <w:sz w:val="24"/>
          <w:szCs w:val="24"/>
          <w:lang w:val="uk-UA"/>
        </w:rPr>
        <w:t>.</w:t>
      </w:r>
    </w:p>
    <w:p w:rsidR="009A0B83" w:rsidRPr="00ED35A9" w:rsidRDefault="009A0B83" w:rsidP="009A0B83">
      <w:pPr>
        <w:ind w:firstLine="0"/>
        <w:rPr>
          <w:sz w:val="24"/>
          <w:szCs w:val="24"/>
          <w:lang w:val="uk-UA"/>
        </w:rPr>
      </w:pPr>
      <w:r w:rsidRPr="00ED35A9">
        <w:rPr>
          <w:sz w:val="24"/>
          <w:szCs w:val="24"/>
          <w:lang w:val="uk-UA"/>
        </w:rPr>
        <w:t xml:space="preserve">Для більш детального застосування препаратів </w:t>
      </w:r>
      <w:r w:rsidRPr="00ED35A9">
        <w:rPr>
          <w:i/>
          <w:sz w:val="24"/>
          <w:szCs w:val="24"/>
          <w:lang w:val="uk-UA"/>
        </w:rPr>
        <w:t xml:space="preserve">див. </w:t>
      </w:r>
      <w:r w:rsidRPr="00ED35A9">
        <w:rPr>
          <w:sz w:val="24"/>
          <w:szCs w:val="24"/>
          <w:lang w:val="uk-UA"/>
        </w:rPr>
        <w:t xml:space="preserve">текст настанови. </w:t>
      </w:r>
      <w:r w:rsidRPr="00ED35A9">
        <w:rPr>
          <w:sz w:val="24"/>
          <w:szCs w:val="24"/>
          <w:lang w:val="uk-UA"/>
        </w:rPr>
        <w:br w:type="page"/>
      </w:r>
    </w:p>
    <w:p w:rsidR="009A0B83" w:rsidRPr="00ED35A9" w:rsidRDefault="009A0B83" w:rsidP="009A0B83">
      <w:pPr>
        <w:spacing w:after="120" w:line="228" w:lineRule="auto"/>
        <w:ind w:right="57" w:firstLine="0"/>
        <w:jc w:val="center"/>
        <w:rPr>
          <w:b/>
          <w:szCs w:val="28"/>
          <w:vertAlign w:val="superscript"/>
          <w:lang w:val="uk-UA"/>
        </w:rPr>
      </w:pPr>
      <w:r w:rsidRPr="00ED35A9">
        <w:rPr>
          <w:b/>
          <w:szCs w:val="28"/>
          <w:lang w:val="uk-UA"/>
        </w:rPr>
        <w:lastRenderedPageBreak/>
        <w:t xml:space="preserve">Дозування </w:t>
      </w:r>
      <w:r w:rsidRPr="00ED35A9">
        <w:rPr>
          <w:b/>
          <w:lang w:val="uk-UA"/>
        </w:rPr>
        <w:t>препаратів із врахуванням діапазону маси тіла для схем другого ряду</w:t>
      </w:r>
      <w:r w:rsidRPr="00ED35A9">
        <w:rPr>
          <w:b/>
          <w:lang w:val="uk-UA"/>
        </w:rPr>
        <w:br/>
        <w:t>при лікуванні МРТБ у</w:t>
      </w:r>
      <w:r w:rsidRPr="00ED35A9">
        <w:rPr>
          <w:b/>
          <w:szCs w:val="28"/>
          <w:lang w:val="uk-UA"/>
        </w:rPr>
        <w:t xml:space="preserve"> пацієнтів молодше 15 </w:t>
      </w:r>
      <w:proofErr w:type="spellStart"/>
      <w:r w:rsidRPr="00ED35A9">
        <w:rPr>
          <w:b/>
          <w:szCs w:val="28"/>
          <w:lang w:val="uk-UA"/>
        </w:rPr>
        <w:t>років</w:t>
      </w:r>
      <w:r w:rsidRPr="00ED35A9">
        <w:rPr>
          <w:b/>
          <w:szCs w:val="28"/>
          <w:vertAlign w:val="superscript"/>
          <w:lang w:val="uk-UA"/>
        </w:rPr>
        <w:t>а</w:t>
      </w:r>
      <w:proofErr w:type="spellEnd"/>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125"/>
        <w:gridCol w:w="1560"/>
        <w:gridCol w:w="1134"/>
        <w:gridCol w:w="708"/>
        <w:gridCol w:w="709"/>
        <w:gridCol w:w="992"/>
        <w:gridCol w:w="854"/>
        <w:gridCol w:w="143"/>
        <w:gridCol w:w="850"/>
        <w:gridCol w:w="142"/>
        <w:gridCol w:w="851"/>
        <w:gridCol w:w="994"/>
        <w:gridCol w:w="1558"/>
        <w:gridCol w:w="2125"/>
      </w:tblGrid>
      <w:tr w:rsidR="009A0B83" w:rsidRPr="00ED35A9" w:rsidTr="009A0B83">
        <w:trPr>
          <w:trHeight w:val="20"/>
        </w:trPr>
        <w:tc>
          <w:tcPr>
            <w:tcW w:w="281" w:type="dxa"/>
            <w:vMerge w:val="restart"/>
            <w:shd w:val="clear" w:color="auto" w:fill="auto"/>
            <w:tcMar>
              <w:left w:w="57" w:type="dxa"/>
              <w:right w:w="57" w:type="dxa"/>
            </w:tcMar>
            <w:textDirection w:val="btLr"/>
            <w:vAlign w:val="center"/>
          </w:tcPr>
          <w:p w:rsidR="009A0B83" w:rsidRPr="00ED35A9" w:rsidRDefault="009A0B83" w:rsidP="009A0B83">
            <w:pPr>
              <w:spacing w:line="228" w:lineRule="auto"/>
              <w:ind w:left="113" w:right="113" w:firstLine="0"/>
              <w:jc w:val="center"/>
              <w:rPr>
                <w:sz w:val="24"/>
                <w:szCs w:val="24"/>
                <w:lang w:val="uk-UA"/>
              </w:rPr>
            </w:pPr>
            <w:r w:rsidRPr="00ED35A9">
              <w:rPr>
                <w:b/>
                <w:sz w:val="24"/>
                <w:szCs w:val="24"/>
                <w:lang w:val="uk-UA"/>
              </w:rPr>
              <w:t>Група</w:t>
            </w:r>
          </w:p>
        </w:tc>
        <w:tc>
          <w:tcPr>
            <w:tcW w:w="2125"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Препарат</w:t>
            </w:r>
          </w:p>
        </w:tc>
        <w:tc>
          <w:tcPr>
            <w:tcW w:w="1560"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Щоденна доза залежно від маси тіла</w:t>
            </w:r>
          </w:p>
        </w:tc>
        <w:tc>
          <w:tcPr>
            <w:tcW w:w="113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Форма випуску</w:t>
            </w:r>
          </w:p>
        </w:tc>
        <w:tc>
          <w:tcPr>
            <w:tcW w:w="6243" w:type="dxa"/>
            <w:gridSpan w:val="9"/>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молодше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558"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2125"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20"/>
        </w:trPr>
        <w:tc>
          <w:tcPr>
            <w:tcW w:w="281" w:type="dxa"/>
            <w:vMerge/>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2125"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560"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1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708"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5–6 кг</w:t>
            </w:r>
          </w:p>
        </w:tc>
        <w:tc>
          <w:tcPr>
            <w:tcW w:w="709"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7–8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10–15 кг</w:t>
            </w:r>
          </w:p>
        </w:tc>
        <w:tc>
          <w:tcPr>
            <w:tcW w:w="854"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16-23 кг</w:t>
            </w:r>
          </w:p>
        </w:tc>
        <w:tc>
          <w:tcPr>
            <w:tcW w:w="993" w:type="dxa"/>
            <w:gridSpan w:val="2"/>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24–30 кг</w:t>
            </w:r>
          </w:p>
        </w:tc>
        <w:tc>
          <w:tcPr>
            <w:tcW w:w="993" w:type="dxa"/>
            <w:gridSpan w:val="2"/>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pacing w:val="-3"/>
                <w:sz w:val="20"/>
                <w:szCs w:val="20"/>
                <w:lang w:val="uk-UA"/>
              </w:rPr>
            </w:pPr>
            <w:r w:rsidRPr="00ED35A9">
              <w:rPr>
                <w:b/>
                <w:spacing w:val="-3"/>
                <w:sz w:val="20"/>
                <w:szCs w:val="20"/>
                <w:lang w:val="uk-UA"/>
              </w:rPr>
              <w:t>31–34 кг</w:t>
            </w:r>
          </w:p>
        </w:tc>
        <w:tc>
          <w:tcPr>
            <w:tcW w:w="994"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&gt;34 кг</w:t>
            </w:r>
          </w:p>
        </w:tc>
        <w:tc>
          <w:tcPr>
            <w:tcW w:w="1558"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2125"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1"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sz w:val="24"/>
                <w:szCs w:val="24"/>
                <w:lang w:val="uk-UA"/>
              </w:rPr>
              <w:t>А</w:t>
            </w:r>
          </w:p>
        </w:tc>
        <w:tc>
          <w:tcPr>
            <w:tcW w:w="2125"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roofErr w:type="spellStart"/>
            <w:r w:rsidRPr="00ED35A9">
              <w:rPr>
                <w:i/>
                <w:sz w:val="24"/>
                <w:szCs w:val="24"/>
                <w:lang w:val="uk-UA"/>
              </w:rPr>
              <w:t>Фторхінолони</w:t>
            </w:r>
            <w:proofErr w:type="spellEnd"/>
            <w:r w:rsidRPr="00ED35A9">
              <w:rPr>
                <w:i/>
                <w:sz w:val="24"/>
                <w:szCs w:val="24"/>
                <w:lang w:val="uk-UA"/>
              </w:rPr>
              <w:t>:</w:t>
            </w:r>
          </w:p>
        </w:tc>
        <w:tc>
          <w:tcPr>
            <w:tcW w:w="1560"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134"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708"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709"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992"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854"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993" w:type="dxa"/>
            <w:gridSpan w:val="2"/>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993" w:type="dxa"/>
            <w:gridSpan w:val="2"/>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pacing w:val="-3"/>
                <w:sz w:val="20"/>
                <w:szCs w:val="20"/>
                <w:lang w:val="uk-UA"/>
              </w:rPr>
            </w:pPr>
          </w:p>
        </w:tc>
        <w:tc>
          <w:tcPr>
            <w:tcW w:w="994"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p>
        </w:tc>
        <w:tc>
          <w:tcPr>
            <w:tcW w:w="1558"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2125" w:type="dxa"/>
            <w:tcBorders>
              <w:bottom w:val="nil"/>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2125" w:type="dxa"/>
            <w:vMerge w:val="restart"/>
            <w:tcBorders>
              <w:top w:val="nil"/>
              <w:bottom w:val="nil"/>
            </w:tcBorders>
            <w:shd w:val="clear" w:color="auto" w:fill="FFFFFF"/>
            <w:tcMar>
              <w:left w:w="57" w:type="dxa"/>
              <w:right w:w="57" w:type="dxa"/>
            </w:tcMar>
          </w:tcPr>
          <w:p w:rsidR="009A0B83" w:rsidRPr="00ED35A9" w:rsidRDefault="009A0B83" w:rsidP="009A0B83">
            <w:pPr>
              <w:spacing w:line="228" w:lineRule="auto"/>
              <w:ind w:left="227" w:firstLine="0"/>
              <w:jc w:val="left"/>
              <w:rPr>
                <w:sz w:val="24"/>
                <w:szCs w:val="24"/>
                <w:lang w:val="uk-UA"/>
              </w:rPr>
            </w:pPr>
            <w:proofErr w:type="spellStart"/>
            <w:r w:rsidRPr="00ED35A9">
              <w:rPr>
                <w:sz w:val="24"/>
                <w:szCs w:val="24"/>
                <w:lang w:val="uk-UA"/>
              </w:rPr>
              <w:t>Левофлоксацин</w:t>
            </w:r>
            <w:proofErr w:type="spellEnd"/>
          </w:p>
        </w:tc>
        <w:tc>
          <w:tcPr>
            <w:tcW w:w="1560"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15–20 мг/кг</w:t>
            </w:r>
          </w:p>
        </w:tc>
        <w:tc>
          <w:tcPr>
            <w:tcW w:w="1134"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д.т</w:t>
            </w:r>
            <w:proofErr w:type="spellEnd"/>
            <w:r w:rsidRPr="00ED35A9">
              <w:rPr>
                <w:sz w:val="24"/>
                <w:szCs w:val="24"/>
                <w:lang w:val="uk-UA"/>
              </w:rPr>
              <w:t xml:space="preserve">. </w:t>
            </w:r>
            <w:r w:rsidRPr="00ED35A9">
              <w:rPr>
                <w:sz w:val="24"/>
                <w:szCs w:val="24"/>
                <w:lang w:val="uk-UA"/>
              </w:rPr>
              <w:br/>
              <w:t>100 мг</w:t>
            </w:r>
          </w:p>
        </w:tc>
        <w:tc>
          <w:tcPr>
            <w:tcW w:w="708"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w:t>
            </w:r>
          </w:p>
        </w:tc>
        <w:tc>
          <w:tcPr>
            <w:tcW w:w="709"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w:t>
            </w:r>
          </w:p>
        </w:tc>
        <w:tc>
          <w:tcPr>
            <w:tcW w:w="992"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 або 3</w:t>
            </w:r>
          </w:p>
        </w:tc>
        <w:tc>
          <w:tcPr>
            <w:tcW w:w="854"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3 або 4</w:t>
            </w:r>
          </w:p>
        </w:tc>
        <w:tc>
          <w:tcPr>
            <w:tcW w:w="993" w:type="dxa"/>
            <w:gridSpan w:val="2"/>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993" w:type="dxa"/>
            <w:gridSpan w:val="2"/>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994"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 г</w:t>
            </w:r>
          </w:p>
        </w:tc>
        <w:tc>
          <w:tcPr>
            <w:tcW w:w="2125" w:type="dxa"/>
            <w:tcBorders>
              <w:top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tcBorders>
              <w:bottom w:val="nil"/>
            </w:tcBorders>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250 мг</w:t>
            </w:r>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або 1,5</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 або 2</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 г</w:t>
            </w: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val="restart"/>
            <w:tcBorders>
              <w:top w:val="nil"/>
            </w:tcBorders>
            <w:shd w:val="clear" w:color="auto" w:fill="FFFFFF"/>
            <w:tcMar>
              <w:left w:w="57" w:type="dxa"/>
              <w:right w:w="57" w:type="dxa"/>
            </w:tcMar>
          </w:tcPr>
          <w:p w:rsidR="009A0B83" w:rsidRPr="00ED35A9" w:rsidRDefault="009A0B83" w:rsidP="009A0B83">
            <w:pPr>
              <w:spacing w:line="228" w:lineRule="auto"/>
              <w:ind w:left="227" w:firstLine="0"/>
              <w:jc w:val="left"/>
              <w:rPr>
                <w:sz w:val="24"/>
                <w:szCs w:val="24"/>
                <w:lang w:val="uk-UA"/>
              </w:rPr>
            </w:pPr>
            <w:proofErr w:type="spellStart"/>
            <w:r w:rsidRPr="00ED35A9">
              <w:rPr>
                <w:sz w:val="24"/>
                <w:szCs w:val="24"/>
                <w:lang w:val="uk-UA"/>
              </w:rPr>
              <w:t>Моксіфлоксацин</w:t>
            </w:r>
            <w:proofErr w:type="spellEnd"/>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10–15 мг/кг</w:t>
            </w: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д.т</w:t>
            </w:r>
            <w:proofErr w:type="spellEnd"/>
            <w:r w:rsidRPr="00ED35A9">
              <w:rPr>
                <w:sz w:val="24"/>
                <w:szCs w:val="24"/>
                <w:lang w:val="uk-UA"/>
              </w:rPr>
              <w:t>.</w:t>
            </w:r>
            <w:r w:rsidRPr="00ED35A9">
              <w:rPr>
                <w:sz w:val="24"/>
                <w:szCs w:val="24"/>
                <w:lang w:val="uk-UA"/>
              </w:rPr>
              <w:br/>
              <w:t>100 </w:t>
            </w:r>
            <w:proofErr w:type="spellStart"/>
            <w:r w:rsidRPr="00ED35A9">
              <w:rPr>
                <w:sz w:val="24"/>
                <w:szCs w:val="24"/>
                <w:lang w:val="uk-UA"/>
              </w:rPr>
              <w:t>мг</w:t>
            </w:r>
            <w:r w:rsidRPr="00ED35A9">
              <w:rPr>
                <w:sz w:val="24"/>
                <w:szCs w:val="24"/>
                <w:vertAlign w:val="superscript"/>
                <w:lang w:val="uk-UA"/>
              </w:rPr>
              <w:t>в</w:t>
            </w:r>
            <w:proofErr w:type="spellEnd"/>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0,8</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4</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400 мг</w:t>
            </w: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400 </w:t>
            </w:r>
            <w:proofErr w:type="spellStart"/>
            <w:r w:rsidRPr="00ED35A9">
              <w:rPr>
                <w:sz w:val="24"/>
                <w:szCs w:val="24"/>
                <w:lang w:val="uk-UA"/>
              </w:rPr>
              <w:t>мг</w:t>
            </w:r>
            <w:r w:rsidRPr="00ED35A9">
              <w:rPr>
                <w:sz w:val="24"/>
                <w:szCs w:val="24"/>
                <w:vertAlign w:val="superscript"/>
                <w:lang w:val="uk-UA"/>
              </w:rPr>
              <w:t>в</w:t>
            </w:r>
            <w:proofErr w:type="spellEnd"/>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 мл</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3 мл</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5 мл</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 або 0,75</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400 мг</w:t>
            </w: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Застосування в дозі 10 мг/кг у дітей віком &lt;6 міс</w:t>
            </w:r>
          </w:p>
        </w:tc>
      </w:tr>
      <w:tr w:rsidR="009A0B83" w:rsidRPr="00850C2F"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Бедаквілін</w:t>
            </w:r>
            <w:proofErr w:type="spellEnd"/>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100 мг</w:t>
            </w:r>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1847" w:type="dxa"/>
            <w:gridSpan w:val="3"/>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 табл. 1 раз/ добу протягом 2 </w:t>
            </w:r>
            <w:proofErr w:type="spellStart"/>
            <w:r w:rsidRPr="00ED35A9">
              <w:rPr>
                <w:sz w:val="24"/>
                <w:szCs w:val="24"/>
                <w:lang w:val="uk-UA"/>
              </w:rPr>
              <w:t>тиж</w:t>
            </w:r>
            <w:proofErr w:type="spellEnd"/>
            <w:r w:rsidRPr="00ED35A9">
              <w:rPr>
                <w:sz w:val="24"/>
                <w:szCs w:val="24"/>
                <w:lang w:val="uk-UA"/>
              </w:rPr>
              <w:t xml:space="preserve">; потім – 1 табл. 1 раз/ добу пн/ср/пт протягом 22 </w:t>
            </w:r>
            <w:proofErr w:type="spellStart"/>
            <w:r w:rsidRPr="00ED35A9">
              <w:rPr>
                <w:sz w:val="24"/>
                <w:szCs w:val="24"/>
                <w:lang w:val="uk-UA"/>
              </w:rPr>
              <w:t>тиж</w:t>
            </w:r>
            <w:proofErr w:type="spellEnd"/>
          </w:p>
        </w:tc>
        <w:tc>
          <w:tcPr>
            <w:tcW w:w="1987" w:type="dxa"/>
            <w:gridSpan w:val="3"/>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4 табл. 1 раз/добу протягом 2 </w:t>
            </w:r>
            <w:proofErr w:type="spellStart"/>
            <w:r w:rsidRPr="00ED35A9">
              <w:rPr>
                <w:sz w:val="24"/>
                <w:szCs w:val="24"/>
                <w:lang w:val="uk-UA"/>
              </w:rPr>
              <w:t>тиж</w:t>
            </w:r>
            <w:proofErr w:type="spellEnd"/>
            <w:r w:rsidRPr="00ED35A9">
              <w:rPr>
                <w:sz w:val="24"/>
                <w:szCs w:val="24"/>
                <w:lang w:val="uk-UA"/>
              </w:rPr>
              <w:t xml:space="preserve">; потім – 2 табл. 1 раз/добу пн/ср/пт протягом 22 </w:t>
            </w:r>
            <w:proofErr w:type="spellStart"/>
            <w:r w:rsidRPr="00ED35A9">
              <w:rPr>
                <w:sz w:val="24"/>
                <w:szCs w:val="24"/>
                <w:lang w:val="uk-UA"/>
              </w:rPr>
              <w:t>тиж</w:t>
            </w:r>
            <w:proofErr w:type="spellEnd"/>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w:t>
            </w: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Лише у пацієнтів віком &gt;5 років (нижня доза: від 15–29 кг; верхня доза: від &gt;29 кг)</w:t>
            </w: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val="restart"/>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Лінезолід</w:t>
            </w:r>
            <w:proofErr w:type="spellEnd"/>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&lt;16 кг: 15 мг/ кг 1 раз/добу </w:t>
            </w: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сусп</w:t>
            </w:r>
            <w:proofErr w:type="spellEnd"/>
            <w:r w:rsidRPr="00ED35A9">
              <w:rPr>
                <w:sz w:val="24"/>
                <w:szCs w:val="24"/>
                <w:lang w:val="uk-UA"/>
              </w:rPr>
              <w:t xml:space="preserve">. 20 мг/мл </w:t>
            </w:r>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4 мл</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6 мл</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8 мл</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11 мл</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14 мл</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15 мл</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20 </w:t>
            </w:r>
            <w:proofErr w:type="spellStart"/>
            <w:r w:rsidRPr="00ED35A9">
              <w:rPr>
                <w:sz w:val="24"/>
                <w:szCs w:val="24"/>
                <w:lang w:val="uk-UA"/>
              </w:rPr>
              <w:t>мл</w:t>
            </w:r>
            <w:r w:rsidRPr="00ED35A9">
              <w:rPr>
                <w:sz w:val="24"/>
                <w:szCs w:val="24"/>
                <w:vertAlign w:val="superscript"/>
                <w:lang w:val="uk-UA"/>
              </w:rPr>
              <w:t>г</w:t>
            </w:r>
            <w:proofErr w:type="spellEnd"/>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600 мг</w:t>
            </w: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828"/>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 xml:space="preserve">&gt;15 кг: </w:t>
            </w:r>
            <w:r w:rsidRPr="00ED35A9">
              <w:rPr>
                <w:sz w:val="24"/>
                <w:szCs w:val="24"/>
                <w:lang w:val="uk-UA"/>
              </w:rPr>
              <w:br/>
              <w:t>10–12 мг/кг 1 раз/добу</w:t>
            </w: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табл. 600 </w:t>
            </w:r>
            <w:proofErr w:type="spellStart"/>
            <w:r w:rsidRPr="00ED35A9">
              <w:rPr>
                <w:sz w:val="24"/>
                <w:szCs w:val="24"/>
                <w:lang w:val="uk-UA"/>
              </w:rPr>
              <w:t>мг</w:t>
            </w:r>
            <w:r w:rsidRPr="00ED35A9">
              <w:rPr>
                <w:sz w:val="24"/>
                <w:szCs w:val="24"/>
                <w:vertAlign w:val="superscript"/>
                <w:lang w:val="uk-UA"/>
              </w:rPr>
              <w:t>в</w:t>
            </w:r>
            <w:proofErr w:type="spellEnd"/>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0,25</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0,25</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0,25</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0,5</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0,75</w:t>
            </w:r>
            <w:r w:rsidRPr="00ED35A9">
              <w:rPr>
                <w:sz w:val="24"/>
                <w:szCs w:val="24"/>
                <w:vertAlign w:val="superscript"/>
                <w:lang w:val="uk-UA"/>
              </w:rPr>
              <w:t>г</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val="restart"/>
            <w:shd w:val="clear" w:color="auto" w:fill="FFFFFF"/>
            <w:tcMar>
              <w:left w:w="57" w:type="dxa"/>
              <w:right w:w="57" w:type="dxa"/>
            </w:tcMar>
            <w:vAlign w:val="center"/>
          </w:tcPr>
          <w:p w:rsidR="009A0B83" w:rsidRPr="00ED35A9" w:rsidRDefault="009A0B83" w:rsidP="009A0B83">
            <w:pPr>
              <w:spacing w:line="228" w:lineRule="auto"/>
              <w:ind w:firstLine="0"/>
              <w:jc w:val="left"/>
              <w:rPr>
                <w:sz w:val="24"/>
                <w:szCs w:val="24"/>
                <w:lang w:val="uk-UA"/>
              </w:rPr>
            </w:pPr>
            <w:r w:rsidRPr="00ED35A9">
              <w:rPr>
                <w:sz w:val="24"/>
                <w:szCs w:val="24"/>
                <w:lang w:val="uk-UA"/>
              </w:rPr>
              <w:t>В</w:t>
            </w:r>
          </w:p>
        </w:tc>
        <w:tc>
          <w:tcPr>
            <w:tcW w:w="2125" w:type="dxa"/>
            <w:vMerge w:val="restart"/>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Клофазимін</w:t>
            </w:r>
            <w:proofErr w:type="spellEnd"/>
          </w:p>
        </w:tc>
        <w:tc>
          <w:tcPr>
            <w:tcW w:w="1560" w:type="dxa"/>
            <w:vMerge w:val="restart"/>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2–5 мг/кг</w:t>
            </w: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капс</w:t>
            </w:r>
            <w:proofErr w:type="spellEnd"/>
            <w:r w:rsidRPr="00ED35A9">
              <w:rPr>
                <w:sz w:val="24"/>
                <w:szCs w:val="24"/>
                <w:lang w:val="uk-UA"/>
              </w:rPr>
              <w:t>., табл. 50 мг</w:t>
            </w:r>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раз/ добу через день</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раз/ добу через день</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раз/ добу через день</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2</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100 мг</w:t>
            </w:r>
          </w:p>
        </w:tc>
        <w:tc>
          <w:tcPr>
            <w:tcW w:w="2125" w:type="dxa"/>
            <w:vMerge w:val="restart"/>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Давати через день, якщо доза у мг/кг/добу зависока</w:t>
            </w: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560"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roofErr w:type="spellStart"/>
            <w:r w:rsidRPr="00ED35A9">
              <w:rPr>
                <w:sz w:val="24"/>
                <w:szCs w:val="24"/>
                <w:lang w:val="uk-UA"/>
              </w:rPr>
              <w:t>капс</w:t>
            </w:r>
            <w:proofErr w:type="spellEnd"/>
            <w:r w:rsidRPr="00ED35A9">
              <w:rPr>
                <w:sz w:val="24"/>
                <w:szCs w:val="24"/>
                <w:lang w:val="uk-UA"/>
              </w:rPr>
              <w:t>., табл. 100 мг</w:t>
            </w:r>
          </w:p>
        </w:tc>
        <w:tc>
          <w:tcPr>
            <w:tcW w:w="70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пн/</w:t>
            </w:r>
            <w:r w:rsidRPr="00ED35A9">
              <w:rPr>
                <w:sz w:val="24"/>
                <w:szCs w:val="24"/>
                <w:lang w:val="uk-UA"/>
              </w:rPr>
              <w:br/>
              <w:t>ср/пт</w:t>
            </w:r>
          </w:p>
        </w:tc>
        <w:tc>
          <w:tcPr>
            <w:tcW w:w="709"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пн/</w:t>
            </w:r>
            <w:r w:rsidRPr="00ED35A9">
              <w:rPr>
                <w:sz w:val="24"/>
                <w:szCs w:val="24"/>
                <w:lang w:val="uk-UA"/>
              </w:rPr>
              <w:br/>
              <w:t>ср/пт</w:t>
            </w:r>
          </w:p>
        </w:tc>
        <w:tc>
          <w:tcPr>
            <w:tcW w:w="992"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раз/ добу через день</w:t>
            </w:r>
          </w:p>
        </w:tc>
        <w:tc>
          <w:tcPr>
            <w:tcW w:w="85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 раз/ добу через день</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w:t>
            </w:r>
          </w:p>
        </w:tc>
        <w:tc>
          <w:tcPr>
            <w:tcW w:w="993" w:type="dxa"/>
            <w:gridSpan w:val="2"/>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994"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r w:rsidRPr="00ED35A9">
              <w:rPr>
                <w:sz w:val="24"/>
                <w:szCs w:val="24"/>
                <w:lang w:val="uk-UA"/>
              </w:rPr>
              <w:t>100 мг</w:t>
            </w:r>
          </w:p>
        </w:tc>
        <w:tc>
          <w:tcPr>
            <w:tcW w:w="2125" w:type="dxa"/>
            <w:vMerge/>
            <w:shd w:val="clear" w:color="auto" w:fill="FFFFFF"/>
            <w:tcMar>
              <w:left w:w="57" w:type="dxa"/>
              <w:right w:w="57" w:type="dxa"/>
            </w:tcMa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20"/>
        </w:trPr>
        <w:tc>
          <w:tcPr>
            <w:tcW w:w="281" w:type="dxa"/>
            <w:vMerge w:val="restart"/>
            <w:shd w:val="clear" w:color="auto" w:fill="auto"/>
            <w:tcMar>
              <w:left w:w="57" w:type="dxa"/>
              <w:right w:w="57" w:type="dxa"/>
            </w:tcMar>
            <w:textDirection w:val="btLr"/>
            <w:vAlign w:val="center"/>
          </w:tcPr>
          <w:p w:rsidR="009A0B83" w:rsidRPr="00ED35A9" w:rsidRDefault="009A0B83" w:rsidP="009A0B83">
            <w:pPr>
              <w:ind w:left="113" w:right="113" w:firstLine="0"/>
              <w:jc w:val="center"/>
              <w:rPr>
                <w:sz w:val="24"/>
                <w:szCs w:val="24"/>
                <w:lang w:val="uk-UA"/>
              </w:rPr>
            </w:pPr>
            <w:r w:rsidRPr="00ED35A9">
              <w:rPr>
                <w:b/>
                <w:sz w:val="24"/>
                <w:szCs w:val="24"/>
                <w:lang w:val="uk-UA"/>
              </w:rPr>
              <w:lastRenderedPageBreak/>
              <w:t>Група</w:t>
            </w:r>
          </w:p>
        </w:tc>
        <w:tc>
          <w:tcPr>
            <w:tcW w:w="2125" w:type="dxa"/>
            <w:vMerge w:val="restart"/>
            <w:shd w:val="clear" w:color="auto" w:fill="auto"/>
            <w:tcMar>
              <w:left w:w="57" w:type="dxa"/>
              <w:right w:w="57" w:type="dxa"/>
            </w:tcMar>
            <w:vAlign w:val="center"/>
          </w:tcPr>
          <w:p w:rsidR="009A0B83" w:rsidRPr="00ED35A9" w:rsidRDefault="009A0B83" w:rsidP="009A0B83">
            <w:pPr>
              <w:ind w:firstLine="0"/>
              <w:jc w:val="center"/>
              <w:rPr>
                <w:sz w:val="24"/>
                <w:szCs w:val="24"/>
                <w:lang w:val="uk-UA"/>
              </w:rPr>
            </w:pPr>
            <w:r w:rsidRPr="00ED35A9">
              <w:rPr>
                <w:b/>
                <w:sz w:val="24"/>
                <w:szCs w:val="24"/>
                <w:lang w:val="uk-UA"/>
              </w:rPr>
              <w:t>Препарат</w:t>
            </w:r>
          </w:p>
        </w:tc>
        <w:tc>
          <w:tcPr>
            <w:tcW w:w="1560" w:type="dxa"/>
            <w:vMerge w:val="restart"/>
            <w:shd w:val="clear" w:color="auto" w:fill="auto"/>
            <w:tcMar>
              <w:left w:w="57" w:type="dxa"/>
              <w:right w:w="57" w:type="dxa"/>
            </w:tcMar>
            <w:vAlign w:val="center"/>
          </w:tcPr>
          <w:p w:rsidR="009A0B83" w:rsidRPr="00ED35A9" w:rsidRDefault="009A0B83" w:rsidP="009A0B83">
            <w:pPr>
              <w:ind w:firstLine="0"/>
              <w:jc w:val="center"/>
              <w:rPr>
                <w:b/>
                <w:sz w:val="24"/>
                <w:szCs w:val="24"/>
                <w:lang w:val="uk-UA"/>
              </w:rPr>
            </w:pPr>
            <w:r w:rsidRPr="00ED35A9">
              <w:rPr>
                <w:b/>
                <w:sz w:val="24"/>
                <w:szCs w:val="24"/>
                <w:lang w:val="uk-UA"/>
              </w:rPr>
              <w:t>Щоденна доза залежно від маси тіла</w:t>
            </w:r>
          </w:p>
        </w:tc>
        <w:tc>
          <w:tcPr>
            <w:tcW w:w="1134" w:type="dxa"/>
            <w:vMerge w:val="restart"/>
            <w:shd w:val="clear" w:color="auto" w:fill="auto"/>
            <w:tcMar>
              <w:left w:w="57" w:type="dxa"/>
              <w:right w:w="57" w:type="dxa"/>
            </w:tcMar>
            <w:vAlign w:val="center"/>
          </w:tcPr>
          <w:p w:rsidR="009A0B83" w:rsidRPr="00ED35A9" w:rsidRDefault="009A0B83" w:rsidP="009A0B83">
            <w:pPr>
              <w:ind w:firstLine="0"/>
              <w:jc w:val="center"/>
              <w:rPr>
                <w:b/>
                <w:sz w:val="24"/>
                <w:szCs w:val="24"/>
                <w:lang w:val="uk-UA"/>
              </w:rPr>
            </w:pPr>
            <w:r w:rsidRPr="00ED35A9">
              <w:rPr>
                <w:b/>
                <w:sz w:val="24"/>
                <w:szCs w:val="24"/>
                <w:lang w:val="uk-UA"/>
              </w:rPr>
              <w:t>Форма випуску</w:t>
            </w:r>
          </w:p>
        </w:tc>
        <w:tc>
          <w:tcPr>
            <w:tcW w:w="6243" w:type="dxa"/>
            <w:gridSpan w:val="9"/>
            <w:shd w:val="clear" w:color="auto" w:fill="auto"/>
            <w:tcMar>
              <w:left w:w="57" w:type="dxa"/>
              <w:right w:w="57" w:type="dxa"/>
            </w:tcMar>
            <w:vAlign w:val="center"/>
          </w:tcPr>
          <w:p w:rsidR="009A0B83" w:rsidRPr="00ED35A9" w:rsidRDefault="009A0B83" w:rsidP="009A0B83">
            <w:pPr>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молодше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558" w:type="dxa"/>
            <w:vMerge w:val="restart"/>
            <w:shd w:val="clear" w:color="auto" w:fill="auto"/>
            <w:tcMar>
              <w:left w:w="57" w:type="dxa"/>
              <w:right w:w="57" w:type="dxa"/>
            </w:tcMar>
            <w:vAlign w:val="center"/>
          </w:tcPr>
          <w:p w:rsidR="009A0B83" w:rsidRPr="00ED35A9" w:rsidRDefault="009A0B83" w:rsidP="009A0B83">
            <w:pPr>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2125" w:type="dxa"/>
            <w:vMerge w:val="restart"/>
            <w:shd w:val="clear" w:color="auto" w:fill="auto"/>
            <w:tcMar>
              <w:left w:w="57" w:type="dxa"/>
              <w:right w:w="57" w:type="dxa"/>
            </w:tcMar>
            <w:vAlign w:val="center"/>
          </w:tcPr>
          <w:p w:rsidR="009A0B83" w:rsidRPr="00ED35A9" w:rsidRDefault="009A0B83" w:rsidP="009A0B83">
            <w:pPr>
              <w:ind w:firstLine="0"/>
              <w:jc w:val="center"/>
              <w:rPr>
                <w:sz w:val="24"/>
                <w:szCs w:val="24"/>
                <w:lang w:val="uk-UA"/>
              </w:rPr>
            </w:pPr>
            <w:r w:rsidRPr="00ED35A9">
              <w:rPr>
                <w:b/>
                <w:sz w:val="24"/>
                <w:szCs w:val="24"/>
                <w:lang w:val="uk-UA"/>
              </w:rPr>
              <w:t>Коментарі</w:t>
            </w:r>
          </w:p>
        </w:tc>
      </w:tr>
      <w:tr w:rsidR="009A0B83" w:rsidRPr="00ED35A9" w:rsidTr="009A0B83">
        <w:trPr>
          <w:trHeight w:val="20"/>
        </w:trPr>
        <w:tc>
          <w:tcPr>
            <w:tcW w:w="281" w:type="dxa"/>
            <w:vMerge/>
            <w:shd w:val="clear" w:color="auto" w:fill="auto"/>
            <w:tcMar>
              <w:left w:w="57" w:type="dxa"/>
              <w:right w:w="57" w:type="dxa"/>
            </w:tcMar>
            <w:vAlign w:val="center"/>
          </w:tcPr>
          <w:p w:rsidR="009A0B83" w:rsidRPr="00ED35A9" w:rsidRDefault="009A0B83" w:rsidP="009A0B83">
            <w:pPr>
              <w:ind w:firstLine="0"/>
              <w:jc w:val="center"/>
              <w:rPr>
                <w:sz w:val="24"/>
                <w:szCs w:val="24"/>
                <w:lang w:val="uk-UA"/>
              </w:rPr>
            </w:pPr>
          </w:p>
        </w:tc>
        <w:tc>
          <w:tcPr>
            <w:tcW w:w="2125" w:type="dxa"/>
            <w:vMerge/>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sz w:val="24"/>
                <w:szCs w:val="24"/>
                <w:lang w:val="uk-UA"/>
              </w:rPr>
            </w:pPr>
          </w:p>
        </w:tc>
        <w:tc>
          <w:tcPr>
            <w:tcW w:w="1560" w:type="dxa"/>
            <w:vMerge/>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sz w:val="24"/>
                <w:szCs w:val="24"/>
                <w:lang w:val="uk-UA"/>
              </w:rPr>
            </w:pPr>
          </w:p>
        </w:tc>
        <w:tc>
          <w:tcPr>
            <w:tcW w:w="1134" w:type="dxa"/>
            <w:vMerge/>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sz w:val="24"/>
                <w:szCs w:val="24"/>
                <w:lang w:val="uk-UA"/>
              </w:rPr>
            </w:pPr>
          </w:p>
        </w:tc>
        <w:tc>
          <w:tcPr>
            <w:tcW w:w="708" w:type="dxa"/>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5–6 кг</w:t>
            </w:r>
          </w:p>
        </w:tc>
        <w:tc>
          <w:tcPr>
            <w:tcW w:w="709" w:type="dxa"/>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7–8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10–15 кг</w:t>
            </w:r>
          </w:p>
        </w:tc>
        <w:tc>
          <w:tcPr>
            <w:tcW w:w="997" w:type="dxa"/>
            <w:gridSpan w:val="2"/>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16–23 кг</w:t>
            </w:r>
          </w:p>
        </w:tc>
        <w:tc>
          <w:tcPr>
            <w:tcW w:w="992" w:type="dxa"/>
            <w:gridSpan w:val="2"/>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24–30 кг</w:t>
            </w:r>
          </w:p>
        </w:tc>
        <w:tc>
          <w:tcPr>
            <w:tcW w:w="851" w:type="dxa"/>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pacing w:val="-3"/>
                <w:sz w:val="20"/>
                <w:szCs w:val="20"/>
                <w:lang w:val="uk-UA"/>
              </w:rPr>
            </w:pPr>
            <w:r w:rsidRPr="00ED35A9">
              <w:rPr>
                <w:b/>
                <w:spacing w:val="-3"/>
                <w:sz w:val="20"/>
                <w:szCs w:val="20"/>
                <w:lang w:val="uk-UA"/>
              </w:rPr>
              <w:t>31–34 кг</w:t>
            </w:r>
          </w:p>
        </w:tc>
        <w:tc>
          <w:tcPr>
            <w:tcW w:w="994" w:type="dxa"/>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b/>
                <w:sz w:val="20"/>
                <w:szCs w:val="20"/>
                <w:lang w:val="uk-UA"/>
              </w:rPr>
            </w:pPr>
            <w:r w:rsidRPr="00ED35A9">
              <w:rPr>
                <w:b/>
                <w:sz w:val="20"/>
                <w:szCs w:val="20"/>
                <w:lang w:val="uk-UA"/>
              </w:rPr>
              <w:t>&gt;34 кг</w:t>
            </w:r>
          </w:p>
        </w:tc>
        <w:tc>
          <w:tcPr>
            <w:tcW w:w="1558" w:type="dxa"/>
            <w:vMerge/>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sz w:val="24"/>
                <w:szCs w:val="24"/>
                <w:lang w:val="uk-UA"/>
              </w:rPr>
            </w:pPr>
          </w:p>
        </w:tc>
        <w:tc>
          <w:tcPr>
            <w:tcW w:w="2125" w:type="dxa"/>
            <w:vMerge/>
            <w:tcBorders>
              <w:bottom w:val="single" w:sz="4" w:space="0" w:color="auto"/>
            </w:tcBorders>
            <w:shd w:val="clear" w:color="auto" w:fill="auto"/>
            <w:tcMar>
              <w:left w:w="57" w:type="dxa"/>
              <w:right w:w="57" w:type="dxa"/>
            </w:tcMar>
            <w:vAlign w:val="cente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val="restart"/>
            <w:shd w:val="clear" w:color="auto" w:fill="FFFFFF"/>
            <w:tcMar>
              <w:left w:w="57" w:type="dxa"/>
              <w:right w:w="57" w:type="dxa"/>
            </w:tcMar>
            <w:vAlign w:val="center"/>
          </w:tcPr>
          <w:p w:rsidR="009A0B83" w:rsidRPr="00ED35A9" w:rsidRDefault="009A0B83" w:rsidP="009A0B83">
            <w:pPr>
              <w:ind w:firstLine="0"/>
              <w:jc w:val="center"/>
              <w:rPr>
                <w:sz w:val="24"/>
                <w:szCs w:val="24"/>
                <w:lang w:val="uk-UA"/>
              </w:rPr>
            </w:pPr>
            <w:r w:rsidRPr="00ED35A9">
              <w:rPr>
                <w:sz w:val="24"/>
                <w:szCs w:val="24"/>
                <w:lang w:val="uk-UA"/>
              </w:rPr>
              <w:t>В</w:t>
            </w:r>
          </w:p>
        </w:tc>
        <w:tc>
          <w:tcPr>
            <w:tcW w:w="2125"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Циклосерін</w:t>
            </w:r>
            <w:proofErr w:type="spellEnd"/>
            <w:r w:rsidRPr="00ED35A9">
              <w:rPr>
                <w:sz w:val="24"/>
                <w:szCs w:val="24"/>
                <w:lang w:val="uk-UA"/>
              </w:rPr>
              <w:t xml:space="preserve"> або </w:t>
            </w:r>
            <w:proofErr w:type="spellStart"/>
            <w:r w:rsidRPr="00ED35A9">
              <w:rPr>
                <w:sz w:val="24"/>
                <w:szCs w:val="24"/>
                <w:lang w:val="uk-UA"/>
              </w:rPr>
              <w:t>теризидон</w:t>
            </w:r>
            <w:proofErr w:type="spellEnd"/>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15–20 мг/кг</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міні-</w:t>
            </w:r>
            <w:proofErr w:type="spellStart"/>
            <w:r w:rsidRPr="00ED35A9">
              <w:rPr>
                <w:sz w:val="24"/>
                <w:szCs w:val="24"/>
                <w:lang w:val="uk-UA"/>
              </w:rPr>
              <w:t>капс</w:t>
            </w:r>
            <w:proofErr w:type="spellEnd"/>
            <w:r w:rsidRPr="00ED35A9">
              <w:rPr>
                <w:sz w:val="24"/>
                <w:szCs w:val="24"/>
                <w:lang w:val="uk-UA"/>
              </w:rPr>
              <w:t>. 125 мг (</w:t>
            </w:r>
            <w:proofErr w:type="spellStart"/>
            <w:r w:rsidRPr="00ED35A9">
              <w:rPr>
                <w:rFonts w:cs="Times New Roman"/>
                <w:sz w:val="24"/>
                <w:szCs w:val="24"/>
                <w:lang w:val="uk-UA"/>
              </w:rPr>
              <w:t>Cs</w:t>
            </w:r>
            <w:proofErr w:type="spellEnd"/>
            <w:r w:rsidRPr="00ED35A9">
              <w:rPr>
                <w:sz w:val="24"/>
                <w:szCs w:val="24"/>
                <w:lang w:val="uk-UA"/>
              </w:rPr>
              <w:t>)</w:t>
            </w:r>
            <w:r w:rsidRPr="00ED35A9">
              <w:rPr>
                <w:sz w:val="24"/>
                <w:szCs w:val="24"/>
                <w:vertAlign w:val="superscript"/>
                <w:lang w:val="uk-UA"/>
              </w:rPr>
              <w:t>в</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г</w:t>
            </w: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proofErr w:type="spellStart"/>
            <w:r w:rsidRPr="00ED35A9">
              <w:rPr>
                <w:sz w:val="24"/>
                <w:szCs w:val="24"/>
                <w:lang w:val="uk-UA"/>
              </w:rPr>
              <w:t>капс</w:t>
            </w:r>
            <w:proofErr w:type="spellEnd"/>
            <w:r w:rsidRPr="00ED35A9">
              <w:rPr>
                <w:sz w:val="24"/>
                <w:szCs w:val="24"/>
                <w:lang w:val="uk-UA"/>
              </w:rPr>
              <w:t>. 250 </w:t>
            </w:r>
            <w:proofErr w:type="spellStart"/>
            <w:r w:rsidRPr="00ED35A9">
              <w:rPr>
                <w:sz w:val="24"/>
                <w:szCs w:val="24"/>
                <w:lang w:val="uk-UA"/>
              </w:rPr>
              <w:t>мг</w:t>
            </w:r>
            <w:r w:rsidRPr="00ED35A9">
              <w:rPr>
                <w:sz w:val="24"/>
                <w:szCs w:val="24"/>
                <w:vertAlign w:val="superscript"/>
                <w:lang w:val="uk-UA"/>
              </w:rPr>
              <w:t>в</w:t>
            </w:r>
            <w:proofErr w:type="spellEnd"/>
          </w:p>
        </w:tc>
        <w:tc>
          <w:tcPr>
            <w:tcW w:w="708"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 xml:space="preserve">4–5 </w:t>
            </w:r>
            <w:proofErr w:type="spellStart"/>
            <w:r w:rsidRPr="00ED35A9">
              <w:rPr>
                <w:sz w:val="24"/>
                <w:szCs w:val="24"/>
                <w:lang w:val="uk-UA"/>
              </w:rPr>
              <w:t>мл</w:t>
            </w:r>
            <w:r w:rsidRPr="00ED35A9">
              <w:rPr>
                <w:sz w:val="24"/>
                <w:szCs w:val="24"/>
                <w:vertAlign w:val="superscript"/>
                <w:lang w:val="uk-UA"/>
              </w:rPr>
              <w:t>в</w:t>
            </w:r>
            <w:proofErr w:type="spellEnd"/>
          </w:p>
        </w:tc>
        <w:tc>
          <w:tcPr>
            <w:tcW w:w="709"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 xml:space="preserve">5–6 </w:t>
            </w:r>
            <w:proofErr w:type="spellStart"/>
            <w:r w:rsidRPr="00ED35A9">
              <w:rPr>
                <w:sz w:val="24"/>
                <w:szCs w:val="24"/>
                <w:lang w:val="uk-UA"/>
              </w:rPr>
              <w:t>мл</w:t>
            </w:r>
            <w:r w:rsidRPr="00ED35A9">
              <w:rPr>
                <w:sz w:val="24"/>
                <w:szCs w:val="24"/>
                <w:vertAlign w:val="superscript"/>
                <w:lang w:val="uk-UA"/>
              </w:rPr>
              <w:t>в</w:t>
            </w:r>
            <w:proofErr w:type="spellEnd"/>
          </w:p>
        </w:tc>
        <w:tc>
          <w:tcPr>
            <w:tcW w:w="992"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7–10</w:t>
            </w:r>
            <w:r w:rsidRPr="00ED35A9">
              <w:rPr>
                <w:sz w:val="24"/>
                <w:szCs w:val="24"/>
                <w:lang w:val="uk-UA"/>
              </w:rPr>
              <w:br/>
            </w:r>
            <w:proofErr w:type="spellStart"/>
            <w:r w:rsidRPr="00ED35A9">
              <w:rPr>
                <w:sz w:val="24"/>
                <w:szCs w:val="24"/>
                <w:lang w:val="uk-UA"/>
              </w:rPr>
              <w:t>мл</w:t>
            </w:r>
            <w:r w:rsidRPr="00ED35A9">
              <w:rPr>
                <w:sz w:val="24"/>
                <w:szCs w:val="24"/>
                <w:vertAlign w:val="superscript"/>
                <w:lang w:val="uk-UA"/>
              </w:rPr>
              <w:t>в</w:t>
            </w:r>
            <w:proofErr w:type="spellEnd"/>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г</w:t>
            </w: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val="restart"/>
            <w:shd w:val="clear" w:color="auto" w:fill="FFFFFF"/>
            <w:tcMar>
              <w:left w:w="57" w:type="dxa"/>
              <w:right w:w="57" w:type="dxa"/>
            </w:tcMar>
            <w:vAlign w:val="center"/>
          </w:tcPr>
          <w:p w:rsidR="009A0B83" w:rsidRPr="00ED35A9" w:rsidRDefault="009A0B83" w:rsidP="009A0B83">
            <w:pPr>
              <w:ind w:firstLine="0"/>
              <w:jc w:val="left"/>
              <w:rPr>
                <w:sz w:val="24"/>
                <w:szCs w:val="24"/>
                <w:lang w:val="uk-UA"/>
              </w:rPr>
            </w:pPr>
            <w:r w:rsidRPr="00ED35A9">
              <w:rPr>
                <w:sz w:val="24"/>
                <w:szCs w:val="24"/>
                <w:lang w:val="uk-UA"/>
              </w:rPr>
              <w:t>С</w:t>
            </w:r>
          </w:p>
          <w:p w:rsidR="009A0B83" w:rsidRPr="00ED35A9" w:rsidRDefault="009A0B83" w:rsidP="009A0B83">
            <w:pPr>
              <w:jc w:val="left"/>
              <w:rPr>
                <w:sz w:val="24"/>
                <w:szCs w:val="24"/>
                <w:lang w:val="uk-UA"/>
              </w:rPr>
            </w:pPr>
            <w:r w:rsidRPr="00ED35A9">
              <w:rPr>
                <w:noProof/>
                <w:szCs w:val="28"/>
                <w:lang w:val="uk-UA" w:eastAsia="uk-UA"/>
              </w:rPr>
              <mc:AlternateContent>
                <mc:Choice Requires="wps">
                  <w:drawing>
                    <wp:anchor distT="0" distB="0" distL="63500" distR="63500" simplePos="0" relativeHeight="251689984" behindDoc="0" locked="0" layoutInCell="1" allowOverlap="1" wp14:anchorId="72EFCADC" wp14:editId="7446588C">
                      <wp:simplePos x="0" y="0"/>
                      <wp:positionH relativeFrom="margin">
                        <wp:posOffset>511810</wp:posOffset>
                      </wp:positionH>
                      <wp:positionV relativeFrom="paragraph">
                        <wp:posOffset>4864735</wp:posOffset>
                      </wp:positionV>
                      <wp:extent cx="8930640" cy="861695"/>
                      <wp:effectExtent l="0" t="0" r="0" b="0"/>
                      <wp:wrapNone/>
                      <wp:docPr id="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064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BE3" w:rsidRPr="004B5B7F" w:rsidRDefault="008F4BE3" w:rsidP="009A0B8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EFCADC" id="Text Box 243" o:spid="_x0000_s1028" type="#_x0000_t202" style="position:absolute;left:0;text-align:left;margin-left:40.3pt;margin-top:383.05pt;width:703.2pt;height:67.85pt;z-index:251689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" filled="f" stroked="f">
                      <v:textbox style="mso-fit-shape-to-text:t" inset="0,0,0,0">
                        <w:txbxContent>
                          <w:p w:rsidR="008F4BE3" w:rsidRPr="004B5B7F" w:rsidRDefault="008F4BE3" w:rsidP="009A0B83"/>
                        </w:txbxContent>
                      </v:textbox>
                      <w10:wrap anchorx="margin"/>
                    </v:shape>
                  </w:pict>
                </mc:Fallback>
              </mc:AlternateContent>
            </w:r>
          </w:p>
        </w:tc>
        <w:tc>
          <w:tcPr>
            <w:tcW w:w="2125"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Етамбутол</w:t>
            </w:r>
            <w:proofErr w:type="spellEnd"/>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15–25 мг/кг</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д.т</w:t>
            </w:r>
            <w:proofErr w:type="spellEnd"/>
            <w:r w:rsidRPr="00ED35A9">
              <w:rPr>
                <w:sz w:val="24"/>
                <w:szCs w:val="24"/>
                <w:lang w:val="uk-UA"/>
              </w:rPr>
              <w:t>.</w:t>
            </w:r>
            <w:r w:rsidRPr="00ED35A9">
              <w:rPr>
                <w:sz w:val="24"/>
                <w:szCs w:val="24"/>
                <w:lang w:val="uk-UA"/>
              </w:rPr>
              <w:br/>
              <w:t xml:space="preserve">100 мг </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табл.</w:t>
            </w:r>
            <w:r w:rsidRPr="00ED35A9">
              <w:rPr>
                <w:sz w:val="24"/>
                <w:szCs w:val="24"/>
                <w:lang w:val="uk-UA"/>
              </w:rPr>
              <w:br/>
              <w:t xml:space="preserve">400 </w:t>
            </w:r>
            <w:proofErr w:type="spellStart"/>
            <w:r w:rsidRPr="00ED35A9">
              <w:rPr>
                <w:sz w:val="24"/>
                <w:szCs w:val="24"/>
                <w:lang w:val="uk-UA"/>
              </w:rPr>
              <w:t>мг</w:t>
            </w:r>
            <w:r w:rsidRPr="00ED35A9">
              <w:rPr>
                <w:sz w:val="24"/>
                <w:szCs w:val="24"/>
                <w:vertAlign w:val="superscript"/>
                <w:lang w:val="uk-UA"/>
              </w:rPr>
              <w:t>в</w:t>
            </w:r>
            <w:proofErr w:type="spellEnd"/>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3 </w:t>
            </w:r>
            <w:proofErr w:type="spellStart"/>
            <w:r w:rsidRPr="00ED35A9">
              <w:rPr>
                <w:sz w:val="24"/>
                <w:szCs w:val="24"/>
                <w:lang w:val="uk-UA"/>
              </w:rPr>
              <w:t>мл</w:t>
            </w:r>
            <w:r w:rsidRPr="00ED35A9">
              <w:rPr>
                <w:sz w:val="24"/>
                <w:szCs w:val="24"/>
                <w:vertAlign w:val="superscript"/>
                <w:lang w:val="uk-UA"/>
              </w:rPr>
              <w:t>в</w:t>
            </w:r>
            <w:proofErr w:type="spellEnd"/>
          </w:p>
        </w:tc>
        <w:tc>
          <w:tcPr>
            <w:tcW w:w="709"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 xml:space="preserve">4 </w:t>
            </w:r>
            <w:proofErr w:type="spellStart"/>
            <w:r w:rsidRPr="00ED35A9">
              <w:rPr>
                <w:sz w:val="24"/>
                <w:szCs w:val="24"/>
                <w:lang w:val="uk-UA"/>
              </w:rPr>
              <w:t>мл</w:t>
            </w:r>
            <w:r w:rsidRPr="00ED35A9">
              <w:rPr>
                <w:sz w:val="24"/>
                <w:szCs w:val="24"/>
                <w:vertAlign w:val="superscript"/>
                <w:lang w:val="uk-UA"/>
              </w:rPr>
              <w:t>в</w:t>
            </w:r>
            <w:proofErr w:type="spellEnd"/>
          </w:p>
        </w:tc>
        <w:tc>
          <w:tcPr>
            <w:tcW w:w="992"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 xml:space="preserve">6 </w:t>
            </w:r>
            <w:proofErr w:type="spellStart"/>
            <w:r w:rsidRPr="00ED35A9">
              <w:rPr>
                <w:sz w:val="24"/>
                <w:szCs w:val="24"/>
                <w:lang w:val="uk-UA"/>
              </w:rPr>
              <w:t>мл</w:t>
            </w:r>
            <w:r w:rsidRPr="00ED35A9">
              <w:rPr>
                <w:sz w:val="24"/>
                <w:szCs w:val="24"/>
                <w:vertAlign w:val="superscript"/>
                <w:lang w:val="uk-UA"/>
              </w:rPr>
              <w:t>в</w:t>
            </w:r>
            <w:proofErr w:type="spellEnd"/>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або 1,5</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Деламанід</w:t>
            </w:r>
            <w:proofErr w:type="spellEnd"/>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табл. 50 мг</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709"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w:t>
            </w:r>
            <w:r w:rsidRPr="00ED35A9">
              <w:rPr>
                <w:sz w:val="24"/>
                <w:szCs w:val="24"/>
                <w:vertAlign w:val="superscript"/>
                <w:lang w:val="uk-UA"/>
              </w:rPr>
              <w:t>д</w:t>
            </w:r>
          </w:p>
        </w:tc>
        <w:tc>
          <w:tcPr>
            <w:tcW w:w="992" w:type="dxa"/>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w:t>
            </w:r>
            <w:r w:rsidRPr="00ED35A9">
              <w:rPr>
                <w:sz w:val="24"/>
                <w:szCs w:val="24"/>
                <w:vertAlign w:val="superscript"/>
                <w:lang w:val="uk-UA"/>
              </w:rPr>
              <w:t>д</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vertAlign w:val="superscript"/>
                <w:lang w:val="uk-UA"/>
              </w:rPr>
            </w:pPr>
            <w:r w:rsidRPr="00ED35A9">
              <w:rPr>
                <w:sz w:val="24"/>
                <w:szCs w:val="24"/>
                <w:lang w:val="uk-UA"/>
              </w:rPr>
              <w:t>–</w:t>
            </w:r>
            <w:r w:rsidRPr="00ED35A9">
              <w:rPr>
                <w:sz w:val="24"/>
                <w:szCs w:val="24"/>
                <w:vertAlign w:val="superscript"/>
                <w:lang w:val="uk-UA"/>
              </w:rPr>
              <w:t>д</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табл. 2 рази/ добу</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табл. 2 рази/ добу</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 табл. 2 рази/ добу</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200 мг</w:t>
            </w: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Лише у пацієнтів віком &gt;2 років</w:t>
            </w:r>
            <w:r w:rsidRPr="00ED35A9">
              <w:rPr>
                <w:sz w:val="24"/>
                <w:szCs w:val="24"/>
                <w:lang w:val="uk-UA"/>
              </w:rPr>
              <w:br/>
              <w:t xml:space="preserve">(3–5 років: 25 мг 2 рази/добу; </w:t>
            </w:r>
            <w:r w:rsidRPr="00ED35A9">
              <w:rPr>
                <w:sz w:val="24"/>
                <w:szCs w:val="24"/>
                <w:lang w:val="uk-UA"/>
              </w:rPr>
              <w:br/>
              <w:t xml:space="preserve">6–11 років: 50 мг 2 рази/добу; </w:t>
            </w:r>
            <w:r w:rsidRPr="00ED35A9">
              <w:rPr>
                <w:sz w:val="24"/>
                <w:szCs w:val="24"/>
                <w:lang w:val="uk-UA"/>
              </w:rPr>
              <w:br/>
              <w:t>12–17 років: 100 мг 2 рази/добу)</w:t>
            </w: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Піразинамід</w:t>
            </w:r>
            <w:proofErr w:type="spellEnd"/>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30–40 мг/кг </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д.т</w:t>
            </w:r>
            <w:proofErr w:type="spellEnd"/>
            <w:r w:rsidRPr="00ED35A9">
              <w:rPr>
                <w:sz w:val="24"/>
                <w:szCs w:val="24"/>
                <w:lang w:val="uk-UA"/>
              </w:rPr>
              <w:t xml:space="preserve">. </w:t>
            </w:r>
            <w:r w:rsidRPr="00ED35A9">
              <w:rPr>
                <w:sz w:val="24"/>
                <w:szCs w:val="24"/>
                <w:lang w:val="uk-UA"/>
              </w:rPr>
              <w:br/>
              <w:t xml:space="preserve">150 мг </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 або 5</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табл. </w:t>
            </w:r>
            <w:r w:rsidRPr="00ED35A9">
              <w:rPr>
                <w:sz w:val="24"/>
                <w:szCs w:val="24"/>
                <w:lang w:val="uk-UA"/>
              </w:rPr>
              <w:br/>
              <w:t xml:space="preserve">400 мг </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0,75</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 або 2</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2,5</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табл. </w:t>
            </w:r>
            <w:r w:rsidRPr="00ED35A9">
              <w:rPr>
                <w:sz w:val="24"/>
                <w:szCs w:val="24"/>
                <w:lang w:val="uk-UA"/>
              </w:rPr>
              <w:br/>
              <w:t xml:space="preserve">500 мг </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0,75 або 1</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2,5</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1"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Іміпенем-циластатин</w:t>
            </w:r>
            <w:proofErr w:type="spellEnd"/>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ампули 0,5+0,5 г </w:t>
            </w:r>
          </w:p>
        </w:tc>
        <w:tc>
          <w:tcPr>
            <w:tcW w:w="70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70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7"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2" w:type="dxa"/>
            <w:gridSpan w:val="2"/>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99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558"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2125"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Не застосовується у пацієнтів віком &lt;15 років </w:t>
            </w:r>
            <w:r w:rsidRPr="00ED35A9">
              <w:rPr>
                <w:sz w:val="24"/>
                <w:szCs w:val="24"/>
                <w:lang w:val="uk-UA"/>
              </w:rPr>
              <w:br/>
              <w:t xml:space="preserve">(замість нього – </w:t>
            </w:r>
            <w:proofErr w:type="spellStart"/>
            <w:r w:rsidRPr="00ED35A9">
              <w:rPr>
                <w:sz w:val="24"/>
                <w:szCs w:val="24"/>
                <w:lang w:val="uk-UA"/>
              </w:rPr>
              <w:t>меропенем</w:t>
            </w:r>
            <w:proofErr w:type="spellEnd"/>
            <w:r w:rsidRPr="00ED35A9">
              <w:rPr>
                <w:sz w:val="24"/>
                <w:szCs w:val="24"/>
                <w:lang w:val="uk-UA"/>
              </w:rPr>
              <w:t>)</w:t>
            </w:r>
          </w:p>
        </w:tc>
      </w:tr>
    </w:tbl>
    <w:p w:rsidR="009A0B83" w:rsidRPr="00ED35A9" w:rsidRDefault="009A0B83" w:rsidP="009A0B83">
      <w:pPr>
        <w:rPr>
          <w:lang w:val="uk-UA"/>
        </w:rPr>
      </w:pPr>
      <w:r w:rsidRPr="00ED35A9">
        <w:rPr>
          <w:lang w:val="uk-UA"/>
        </w:rPr>
        <w:br w:type="page"/>
      </w:r>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1845"/>
        <w:gridCol w:w="1559"/>
        <w:gridCol w:w="1134"/>
        <w:gridCol w:w="851"/>
        <w:gridCol w:w="850"/>
        <w:gridCol w:w="992"/>
        <w:gridCol w:w="993"/>
        <w:gridCol w:w="992"/>
        <w:gridCol w:w="992"/>
        <w:gridCol w:w="992"/>
        <w:gridCol w:w="1560"/>
        <w:gridCol w:w="1984"/>
      </w:tblGrid>
      <w:tr w:rsidR="009A0B83" w:rsidRPr="00ED35A9" w:rsidTr="009A0B83">
        <w:trPr>
          <w:trHeight w:val="20"/>
        </w:trPr>
        <w:tc>
          <w:tcPr>
            <w:tcW w:w="282" w:type="dxa"/>
            <w:vMerge w:val="restart"/>
            <w:shd w:val="clear" w:color="auto" w:fill="auto"/>
            <w:tcMar>
              <w:left w:w="57" w:type="dxa"/>
              <w:right w:w="57" w:type="dxa"/>
            </w:tcMar>
            <w:textDirection w:val="btLr"/>
            <w:vAlign w:val="center"/>
          </w:tcPr>
          <w:p w:rsidR="009A0B83" w:rsidRPr="00ED35A9" w:rsidRDefault="009A0B83" w:rsidP="009A0B83">
            <w:pPr>
              <w:spacing w:line="252" w:lineRule="auto"/>
              <w:ind w:left="113" w:right="113" w:firstLine="0"/>
              <w:jc w:val="center"/>
              <w:rPr>
                <w:sz w:val="24"/>
                <w:szCs w:val="24"/>
                <w:lang w:val="uk-UA"/>
              </w:rPr>
            </w:pPr>
            <w:r w:rsidRPr="00ED35A9">
              <w:rPr>
                <w:b/>
                <w:sz w:val="24"/>
                <w:szCs w:val="24"/>
                <w:lang w:val="uk-UA"/>
              </w:rPr>
              <w:lastRenderedPageBreak/>
              <w:t>Група</w:t>
            </w:r>
          </w:p>
        </w:tc>
        <w:tc>
          <w:tcPr>
            <w:tcW w:w="1845"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Препарат</w:t>
            </w:r>
          </w:p>
        </w:tc>
        <w:tc>
          <w:tcPr>
            <w:tcW w:w="1559"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Щоденна доза залежно від маси тіла</w:t>
            </w:r>
          </w:p>
        </w:tc>
        <w:tc>
          <w:tcPr>
            <w:tcW w:w="1134"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Форма випуску</w:t>
            </w:r>
          </w:p>
        </w:tc>
        <w:tc>
          <w:tcPr>
            <w:tcW w:w="6662" w:type="dxa"/>
            <w:gridSpan w:val="7"/>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молодше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560"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1984" w:type="dxa"/>
            <w:vMerge w:val="restart"/>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20"/>
        </w:trPr>
        <w:tc>
          <w:tcPr>
            <w:tcW w:w="282" w:type="dxa"/>
            <w:vMerge/>
            <w:shd w:val="clear" w:color="auto" w:fill="auto"/>
            <w:tcMar>
              <w:left w:w="57" w:type="dxa"/>
              <w:right w:w="57" w:type="dxa"/>
            </w:tcMar>
            <w:vAlign w:val="center"/>
          </w:tcPr>
          <w:p w:rsidR="009A0B83" w:rsidRPr="00ED35A9" w:rsidRDefault="009A0B83" w:rsidP="009A0B83">
            <w:pPr>
              <w:spacing w:line="252" w:lineRule="auto"/>
              <w:ind w:firstLine="0"/>
              <w:jc w:val="center"/>
              <w:rPr>
                <w:sz w:val="24"/>
                <w:szCs w:val="24"/>
                <w:lang w:val="uk-UA"/>
              </w:rPr>
            </w:pPr>
          </w:p>
        </w:tc>
        <w:tc>
          <w:tcPr>
            <w:tcW w:w="1845"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15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11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851"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5–6 кг</w:t>
            </w:r>
          </w:p>
        </w:tc>
        <w:tc>
          <w:tcPr>
            <w:tcW w:w="850"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7–8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10–15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16–23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24–30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pacing w:val="-3"/>
                <w:sz w:val="20"/>
                <w:szCs w:val="20"/>
                <w:lang w:val="uk-UA"/>
              </w:rPr>
            </w:pPr>
            <w:r w:rsidRPr="00ED35A9">
              <w:rPr>
                <w:b/>
                <w:spacing w:val="-3"/>
                <w:sz w:val="20"/>
                <w:szCs w:val="20"/>
                <w:lang w:val="uk-UA"/>
              </w:rPr>
              <w:t>31–34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b/>
                <w:sz w:val="20"/>
                <w:szCs w:val="20"/>
                <w:lang w:val="uk-UA"/>
              </w:rPr>
            </w:pPr>
            <w:r w:rsidRPr="00ED35A9">
              <w:rPr>
                <w:b/>
                <w:sz w:val="20"/>
                <w:szCs w:val="20"/>
                <w:lang w:val="uk-UA"/>
              </w:rPr>
              <w:t>&gt;34 кг</w:t>
            </w:r>
          </w:p>
        </w:tc>
        <w:tc>
          <w:tcPr>
            <w:tcW w:w="1560"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c>
          <w:tcPr>
            <w:tcW w:w="198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52" w:lineRule="auto"/>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val="restart"/>
            <w:shd w:val="clear" w:color="auto" w:fill="FFFFFF"/>
            <w:tcMar>
              <w:left w:w="57" w:type="dxa"/>
              <w:right w:w="57" w:type="dxa"/>
            </w:tcMar>
            <w:vAlign w:val="center"/>
          </w:tcPr>
          <w:p w:rsidR="009A0B83" w:rsidRPr="00ED35A9" w:rsidRDefault="009A0B83" w:rsidP="009A0B83">
            <w:pPr>
              <w:ind w:firstLine="0"/>
              <w:jc w:val="center"/>
              <w:rPr>
                <w:sz w:val="24"/>
                <w:szCs w:val="24"/>
                <w:lang w:val="uk-UA"/>
              </w:rPr>
            </w:pPr>
            <w:r w:rsidRPr="00ED35A9">
              <w:rPr>
                <w:sz w:val="24"/>
                <w:szCs w:val="24"/>
                <w:lang w:val="uk-UA"/>
              </w:rPr>
              <w:t>С</w:t>
            </w:r>
          </w:p>
        </w:tc>
        <w:tc>
          <w:tcPr>
            <w:tcW w:w="1845"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Меропенем</w:t>
            </w:r>
            <w:proofErr w:type="spellEnd"/>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20–40 мг/кг в/в кожні 8 год</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ампули 1 г (20 мл)</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 мл</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6 мл</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8–9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11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Для використання з </w:t>
            </w:r>
            <w:proofErr w:type="spellStart"/>
            <w:r w:rsidRPr="00ED35A9">
              <w:rPr>
                <w:sz w:val="24"/>
                <w:szCs w:val="24"/>
                <w:lang w:val="uk-UA"/>
              </w:rPr>
              <w:t>клавулановою</w:t>
            </w:r>
            <w:proofErr w:type="spellEnd"/>
            <w:r w:rsidRPr="00ED35A9">
              <w:rPr>
                <w:sz w:val="24"/>
                <w:szCs w:val="24"/>
                <w:lang w:val="uk-UA"/>
              </w:rPr>
              <w:t xml:space="preserve"> кислотою</w:t>
            </w: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Амікацин</w:t>
            </w:r>
            <w:proofErr w:type="spellEnd"/>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15–20 мг/кг</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ампули 500 мг/ 2 </w:t>
            </w:r>
            <w:proofErr w:type="spellStart"/>
            <w:r w:rsidRPr="00ED35A9">
              <w:rPr>
                <w:sz w:val="24"/>
                <w:szCs w:val="24"/>
                <w:lang w:val="uk-UA"/>
              </w:rPr>
              <w:t>мл</w:t>
            </w:r>
            <w:r w:rsidRPr="00ED35A9">
              <w:rPr>
                <w:sz w:val="24"/>
                <w:szCs w:val="24"/>
                <w:vertAlign w:val="superscript"/>
                <w:lang w:val="uk-UA"/>
              </w:rPr>
              <w:t>е</w:t>
            </w:r>
            <w:proofErr w:type="spellEnd"/>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0,4 мл</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0,6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pacing w:val="-30"/>
                <w:sz w:val="24"/>
                <w:szCs w:val="24"/>
                <w:lang w:val="uk-UA"/>
              </w:rPr>
              <w:t>0,8–1,0 мл</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pacing w:val="-30"/>
                <w:sz w:val="24"/>
                <w:szCs w:val="24"/>
                <w:lang w:val="uk-UA"/>
              </w:rPr>
              <w:t>1,2–1,5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2,0 мл</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г</w:t>
            </w: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Стрептоміцин</w:t>
            </w:r>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20 40 мг/кг</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ампули </w:t>
            </w:r>
            <w:r w:rsidRPr="00ED35A9">
              <w:rPr>
                <w:sz w:val="24"/>
                <w:szCs w:val="24"/>
                <w:lang w:val="uk-UA"/>
              </w:rPr>
              <w:br/>
              <w:t>1 г</w:t>
            </w:r>
            <w:r w:rsidRPr="00ED35A9">
              <w:rPr>
                <w:sz w:val="24"/>
                <w:szCs w:val="24"/>
                <w:vertAlign w:val="superscript"/>
                <w:lang w:val="uk-UA"/>
              </w:rPr>
              <w:t>е</w:t>
            </w:r>
          </w:p>
        </w:tc>
        <w:tc>
          <w:tcPr>
            <w:tcW w:w="4678" w:type="dxa"/>
            <w:gridSpan w:val="5"/>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Розрахування відповідно до розведення</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Етіонамід</w:t>
            </w:r>
            <w:proofErr w:type="spellEnd"/>
            <w:r w:rsidRPr="00ED35A9">
              <w:rPr>
                <w:sz w:val="24"/>
                <w:szCs w:val="24"/>
                <w:lang w:val="uk-UA"/>
              </w:rPr>
              <w:t xml:space="preserve"> або </w:t>
            </w:r>
            <w:proofErr w:type="spellStart"/>
            <w:r w:rsidRPr="00ED35A9">
              <w:rPr>
                <w:sz w:val="24"/>
                <w:szCs w:val="24"/>
                <w:lang w:val="uk-UA"/>
              </w:rPr>
              <w:t>протіонамід</w:t>
            </w:r>
            <w:proofErr w:type="spellEnd"/>
          </w:p>
        </w:tc>
        <w:tc>
          <w:tcPr>
            <w:tcW w:w="1559"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15–20 мг/кг</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д.т</w:t>
            </w:r>
            <w:proofErr w:type="spellEnd"/>
            <w:r w:rsidRPr="00ED35A9">
              <w:rPr>
                <w:sz w:val="24"/>
                <w:szCs w:val="24"/>
                <w:lang w:val="uk-UA"/>
              </w:rPr>
              <w:t xml:space="preserve">. </w:t>
            </w:r>
            <w:r w:rsidRPr="00ED35A9">
              <w:rPr>
                <w:sz w:val="24"/>
                <w:szCs w:val="24"/>
                <w:lang w:val="uk-UA"/>
              </w:rPr>
              <w:br/>
              <w:t xml:space="preserve">125 мг </w:t>
            </w:r>
            <w:r w:rsidRPr="00ED35A9">
              <w:rPr>
                <w:spacing w:val="-2"/>
                <w:sz w:val="24"/>
                <w:szCs w:val="24"/>
                <w:lang w:val="uk-UA"/>
              </w:rPr>
              <w:t>(</w:t>
            </w:r>
            <w:proofErr w:type="spellStart"/>
            <w:r w:rsidRPr="00ED35A9">
              <w:rPr>
                <w:rFonts w:cs="Times New Roman"/>
                <w:sz w:val="24"/>
                <w:szCs w:val="24"/>
                <w:lang w:val="uk-UA"/>
              </w:rPr>
              <w:t>Eto</w:t>
            </w:r>
            <w:proofErr w:type="spellEnd"/>
            <w:r w:rsidRPr="00ED35A9">
              <w:rPr>
                <w:spacing w:val="-2"/>
                <w:sz w:val="24"/>
                <w:szCs w:val="24"/>
                <w:lang w:val="uk-UA"/>
              </w:rPr>
              <w:t>)</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59"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табл.</w:t>
            </w:r>
            <w:r w:rsidRPr="00ED35A9">
              <w:rPr>
                <w:sz w:val="24"/>
                <w:szCs w:val="24"/>
                <w:lang w:val="uk-UA"/>
              </w:rPr>
              <w:br/>
              <w:t xml:space="preserve">250 мг </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 г</w:t>
            </w: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vMerge w:val="restart"/>
            <w:shd w:val="clear" w:color="auto" w:fill="FFFFFF"/>
            <w:tcMar>
              <w:left w:w="57" w:type="dxa"/>
              <w:right w:w="57" w:type="dxa"/>
            </w:tcMar>
          </w:tcPr>
          <w:p w:rsidR="009A0B83" w:rsidRPr="00ED35A9" w:rsidRDefault="009A0B83" w:rsidP="009A0B83">
            <w:pPr>
              <w:ind w:firstLine="0"/>
              <w:jc w:val="left"/>
              <w:rPr>
                <w:sz w:val="24"/>
                <w:szCs w:val="24"/>
                <w:lang w:val="uk-UA"/>
              </w:rPr>
            </w:pPr>
            <w:proofErr w:type="spellStart"/>
            <w:r w:rsidRPr="00ED35A9">
              <w:rPr>
                <w:sz w:val="24"/>
                <w:szCs w:val="24"/>
                <w:lang w:val="uk-UA"/>
              </w:rPr>
              <w:t>Парааміно</w:t>
            </w:r>
            <w:proofErr w:type="spellEnd"/>
            <w:r w:rsidRPr="00ED35A9">
              <w:rPr>
                <w:sz w:val="24"/>
                <w:szCs w:val="24"/>
                <w:lang w:val="uk-UA"/>
              </w:rPr>
              <w:t>-саліцилова кислота</w:t>
            </w:r>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200–300 мг/кг з поділом на 2 дози</w:t>
            </w: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саше </w:t>
            </w:r>
            <w:r w:rsidRPr="00ED35A9">
              <w:rPr>
                <w:sz w:val="24"/>
                <w:szCs w:val="24"/>
                <w:lang w:val="uk-UA"/>
              </w:rPr>
              <w:br/>
            </w:r>
            <w:r w:rsidRPr="00ED35A9">
              <w:rPr>
                <w:spacing w:val="-2"/>
                <w:sz w:val="24"/>
                <w:szCs w:val="24"/>
                <w:lang w:val="uk-UA"/>
              </w:rPr>
              <w:t xml:space="preserve">PAS з </w:t>
            </w:r>
            <w:r w:rsidRPr="00ED35A9">
              <w:rPr>
                <w:sz w:val="24"/>
                <w:szCs w:val="24"/>
                <w:lang w:val="uk-UA"/>
              </w:rPr>
              <w:t>кислотою (4 г)</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0,5–0,75 г 2 рази/ добу</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0,75–1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1–2 г</w:t>
            </w:r>
            <w:r w:rsidRPr="00ED35A9">
              <w:rPr>
                <w:sz w:val="24"/>
                <w:szCs w:val="24"/>
                <w:lang w:val="uk-UA"/>
              </w:rPr>
              <w:br/>
              <w:t>2 рази/ добу</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2–3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3–3,5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За умови прийнятної переносності, повну дозу можна давати 1 раз/добу</w:t>
            </w: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pacing w:val="-2"/>
                <w:sz w:val="24"/>
                <w:szCs w:val="24"/>
                <w:lang w:val="uk-UA"/>
              </w:rPr>
              <w:t>саше натрієвої солі PAS (4 г)</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0,5–0,75 г</w:t>
            </w:r>
            <w:r w:rsidRPr="00ED35A9">
              <w:rPr>
                <w:sz w:val="24"/>
                <w:szCs w:val="24"/>
                <w:lang w:val="uk-UA"/>
              </w:rPr>
              <w:br/>
              <w:t>2 рази/ добу</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0,75–1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1–2 г</w:t>
            </w:r>
            <w:r w:rsidRPr="00ED35A9">
              <w:rPr>
                <w:sz w:val="24"/>
                <w:szCs w:val="24"/>
                <w:lang w:val="uk-UA"/>
              </w:rPr>
              <w:br/>
              <w:t>2 рази/ добу</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2–3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3–3,5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(&gt;14 р.)</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r w:rsidR="009A0B83" w:rsidRPr="00ED35A9" w:rsidTr="009A0B83">
        <w:tblPrEx>
          <w:tblCellMar>
            <w:left w:w="10" w:type="dxa"/>
            <w:right w:w="10" w:type="dxa"/>
          </w:tblCellMar>
        </w:tblPrEx>
        <w:trPr>
          <w:trHeight w:val="20"/>
        </w:trPr>
        <w:tc>
          <w:tcPr>
            <w:tcW w:w="282"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845" w:type="dxa"/>
            <w:vMerge/>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559" w:type="dxa"/>
            <w:shd w:val="clear" w:color="auto" w:fill="FFFFFF"/>
            <w:tcMar>
              <w:left w:w="57" w:type="dxa"/>
              <w:right w:w="57" w:type="dxa"/>
            </w:tcMar>
          </w:tcPr>
          <w:p w:rsidR="009A0B83" w:rsidRPr="00ED35A9" w:rsidRDefault="009A0B83" w:rsidP="009A0B83">
            <w:pPr>
              <w:ind w:firstLine="0"/>
              <w:jc w:val="left"/>
              <w:rPr>
                <w:sz w:val="24"/>
                <w:szCs w:val="24"/>
                <w:lang w:val="uk-UA"/>
              </w:rPr>
            </w:pPr>
          </w:p>
        </w:tc>
        <w:tc>
          <w:tcPr>
            <w:tcW w:w="1134"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pacing w:val="-2"/>
                <w:sz w:val="24"/>
                <w:szCs w:val="24"/>
                <w:lang w:val="uk-UA"/>
              </w:rPr>
              <w:t>саше натрієвої солі PAS 60% (9,2 г)</w:t>
            </w:r>
          </w:p>
        </w:tc>
        <w:tc>
          <w:tcPr>
            <w:tcW w:w="851"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1,5 г</w:t>
            </w:r>
            <w:r w:rsidRPr="00ED35A9">
              <w:rPr>
                <w:sz w:val="24"/>
                <w:szCs w:val="24"/>
                <w:lang w:val="uk-UA"/>
              </w:rPr>
              <w:br/>
              <w:t>2 рази/ добу</w:t>
            </w:r>
          </w:p>
        </w:tc>
        <w:tc>
          <w:tcPr>
            <w:tcW w:w="85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2–3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 xml:space="preserve">3–4 г </w:t>
            </w:r>
            <w:r w:rsidRPr="00ED35A9">
              <w:rPr>
                <w:sz w:val="24"/>
                <w:szCs w:val="24"/>
                <w:lang w:val="uk-UA"/>
              </w:rPr>
              <w:br/>
              <w:t>2 рази/ добу</w:t>
            </w:r>
          </w:p>
        </w:tc>
        <w:tc>
          <w:tcPr>
            <w:tcW w:w="993"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4 або 6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6 або 8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8–12 г</w:t>
            </w:r>
            <w:r w:rsidRPr="00ED35A9">
              <w:rPr>
                <w:sz w:val="24"/>
                <w:szCs w:val="24"/>
                <w:lang w:val="uk-UA"/>
              </w:rPr>
              <w:br/>
              <w:t>2 рази/ добу</w:t>
            </w:r>
          </w:p>
        </w:tc>
        <w:tc>
          <w:tcPr>
            <w:tcW w:w="992"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8–12 г</w:t>
            </w:r>
          </w:p>
          <w:p w:rsidR="009A0B83" w:rsidRPr="00ED35A9" w:rsidRDefault="009A0B83" w:rsidP="009A0B83">
            <w:pPr>
              <w:ind w:firstLine="0"/>
              <w:jc w:val="left"/>
              <w:rPr>
                <w:sz w:val="24"/>
                <w:szCs w:val="24"/>
                <w:lang w:val="uk-UA"/>
              </w:rPr>
            </w:pPr>
            <w:r w:rsidRPr="00ED35A9">
              <w:rPr>
                <w:sz w:val="24"/>
                <w:szCs w:val="24"/>
                <w:lang w:val="uk-UA"/>
              </w:rPr>
              <w:t>2 рази/ добу</w:t>
            </w:r>
          </w:p>
        </w:tc>
        <w:tc>
          <w:tcPr>
            <w:tcW w:w="1560" w:type="dxa"/>
            <w:shd w:val="clear" w:color="auto" w:fill="FFFFFF"/>
            <w:tcMar>
              <w:left w:w="57" w:type="dxa"/>
              <w:right w:w="57" w:type="dxa"/>
            </w:tcMar>
          </w:tcPr>
          <w:p w:rsidR="009A0B83" w:rsidRPr="00ED35A9" w:rsidRDefault="009A0B83" w:rsidP="009A0B83">
            <w:pPr>
              <w:ind w:firstLine="0"/>
              <w:jc w:val="left"/>
              <w:rPr>
                <w:sz w:val="24"/>
                <w:szCs w:val="24"/>
                <w:lang w:val="uk-UA"/>
              </w:rPr>
            </w:pPr>
            <w:r w:rsidRPr="00ED35A9">
              <w:rPr>
                <w:sz w:val="24"/>
                <w:szCs w:val="24"/>
                <w:lang w:val="uk-UA"/>
              </w:rPr>
              <w:t>–</w:t>
            </w:r>
          </w:p>
        </w:tc>
        <w:tc>
          <w:tcPr>
            <w:tcW w:w="1984" w:type="dxa"/>
            <w:shd w:val="clear" w:color="auto" w:fill="FFFFFF"/>
            <w:tcMar>
              <w:left w:w="57" w:type="dxa"/>
              <w:right w:w="57" w:type="dxa"/>
            </w:tcMar>
          </w:tcPr>
          <w:p w:rsidR="009A0B83" w:rsidRPr="00ED35A9" w:rsidRDefault="009A0B83" w:rsidP="009A0B83">
            <w:pPr>
              <w:ind w:firstLine="0"/>
              <w:jc w:val="left"/>
              <w:rPr>
                <w:sz w:val="24"/>
                <w:szCs w:val="24"/>
                <w:lang w:val="uk-UA"/>
              </w:rPr>
            </w:pPr>
          </w:p>
        </w:tc>
      </w:tr>
    </w:tbl>
    <w:p w:rsidR="009A0B83" w:rsidRPr="00ED35A9" w:rsidRDefault="009A0B83" w:rsidP="009A0B83">
      <w:pPr>
        <w:spacing w:after="160" w:line="259" w:lineRule="auto"/>
        <w:ind w:firstLine="0"/>
        <w:jc w:val="left"/>
        <w:rPr>
          <w:szCs w:val="28"/>
          <w:lang w:val="uk-UA"/>
        </w:rPr>
      </w:pPr>
      <w:r w:rsidRPr="00ED35A9">
        <w:rPr>
          <w:szCs w:val="28"/>
          <w:lang w:val="uk-UA"/>
        </w:rPr>
        <w:br w:type="page"/>
      </w:r>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844"/>
        <w:gridCol w:w="1558"/>
        <w:gridCol w:w="1134"/>
        <w:gridCol w:w="854"/>
        <w:gridCol w:w="850"/>
        <w:gridCol w:w="992"/>
        <w:gridCol w:w="993"/>
        <w:gridCol w:w="992"/>
        <w:gridCol w:w="992"/>
        <w:gridCol w:w="992"/>
        <w:gridCol w:w="1559"/>
        <w:gridCol w:w="1983"/>
      </w:tblGrid>
      <w:tr w:rsidR="009A0B83" w:rsidRPr="00ED35A9" w:rsidTr="009A0B83">
        <w:trPr>
          <w:trHeight w:val="20"/>
        </w:trPr>
        <w:tc>
          <w:tcPr>
            <w:tcW w:w="283" w:type="dxa"/>
            <w:vMerge w:val="restart"/>
            <w:shd w:val="clear" w:color="auto" w:fill="auto"/>
            <w:tcMar>
              <w:left w:w="57" w:type="dxa"/>
              <w:right w:w="57" w:type="dxa"/>
            </w:tcMar>
            <w:textDirection w:val="btLr"/>
            <w:vAlign w:val="center"/>
          </w:tcPr>
          <w:p w:rsidR="009A0B83" w:rsidRPr="00ED35A9" w:rsidRDefault="009A0B83" w:rsidP="009A0B83">
            <w:pPr>
              <w:spacing w:line="228" w:lineRule="auto"/>
              <w:ind w:left="113" w:right="113" w:firstLine="0"/>
              <w:jc w:val="center"/>
              <w:rPr>
                <w:sz w:val="24"/>
                <w:szCs w:val="24"/>
                <w:lang w:val="uk-UA"/>
              </w:rPr>
            </w:pPr>
            <w:r w:rsidRPr="00ED35A9">
              <w:rPr>
                <w:b/>
                <w:sz w:val="24"/>
                <w:szCs w:val="24"/>
                <w:lang w:val="uk-UA"/>
              </w:rPr>
              <w:lastRenderedPageBreak/>
              <w:t>Група</w:t>
            </w:r>
          </w:p>
        </w:tc>
        <w:tc>
          <w:tcPr>
            <w:tcW w:w="184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Препарат</w:t>
            </w:r>
          </w:p>
        </w:tc>
        <w:tc>
          <w:tcPr>
            <w:tcW w:w="1558"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Щоденна доза залежно від маси тіла</w:t>
            </w:r>
          </w:p>
        </w:tc>
        <w:tc>
          <w:tcPr>
            <w:tcW w:w="113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Форма випуску</w:t>
            </w:r>
          </w:p>
        </w:tc>
        <w:tc>
          <w:tcPr>
            <w:tcW w:w="6665" w:type="dxa"/>
            <w:gridSpan w:val="7"/>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молодше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559"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1983"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20"/>
        </w:trPr>
        <w:tc>
          <w:tcPr>
            <w:tcW w:w="283" w:type="dxa"/>
            <w:vMerge/>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184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558"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1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854"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5–6 кг</w:t>
            </w:r>
          </w:p>
        </w:tc>
        <w:tc>
          <w:tcPr>
            <w:tcW w:w="850"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7–8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10–15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16–23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24–30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pacing w:val="-3"/>
                <w:sz w:val="20"/>
                <w:szCs w:val="20"/>
                <w:lang w:val="uk-UA"/>
              </w:rPr>
            </w:pPr>
            <w:r w:rsidRPr="00ED35A9">
              <w:rPr>
                <w:b/>
                <w:spacing w:val="-3"/>
                <w:sz w:val="20"/>
                <w:szCs w:val="20"/>
                <w:lang w:val="uk-UA"/>
              </w:rPr>
              <w:t>31–34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&gt;34 кг</w:t>
            </w:r>
          </w:p>
        </w:tc>
        <w:tc>
          <w:tcPr>
            <w:tcW w:w="15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983"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615"/>
        </w:trPr>
        <w:tc>
          <w:tcPr>
            <w:tcW w:w="283" w:type="dxa"/>
            <w:vMerge w:val="restart"/>
            <w:shd w:val="clear" w:color="auto" w:fill="auto"/>
            <w:tcMar>
              <w:left w:w="57" w:type="dxa"/>
              <w:right w:w="57" w:type="dxa"/>
            </w:tcMar>
            <w:textDirection w:val="btLr"/>
            <w:vAlign w:val="center"/>
            <w:hideMark/>
          </w:tcPr>
          <w:p w:rsidR="009A0B83" w:rsidRPr="00ED35A9" w:rsidRDefault="009A0B83" w:rsidP="009A0B83">
            <w:pPr>
              <w:spacing w:line="228" w:lineRule="auto"/>
              <w:ind w:firstLine="0"/>
              <w:jc w:val="center"/>
              <w:rPr>
                <w:rFonts w:cs="Times New Roman"/>
                <w:sz w:val="24"/>
                <w:szCs w:val="24"/>
                <w:vertAlign w:val="superscript"/>
                <w:lang w:val="uk-UA"/>
              </w:rPr>
            </w:pPr>
            <w:r w:rsidRPr="00ED35A9">
              <w:rPr>
                <w:sz w:val="24"/>
                <w:szCs w:val="24"/>
                <w:lang w:val="uk-UA"/>
              </w:rPr>
              <w:t xml:space="preserve">Інші </w:t>
            </w:r>
            <w:proofErr w:type="spellStart"/>
            <w:r w:rsidRPr="00ED35A9">
              <w:rPr>
                <w:sz w:val="24"/>
                <w:szCs w:val="24"/>
                <w:lang w:val="uk-UA"/>
              </w:rPr>
              <w:t>препарати</w:t>
            </w:r>
            <w:r w:rsidRPr="00ED35A9">
              <w:rPr>
                <w:sz w:val="24"/>
                <w:szCs w:val="24"/>
                <w:vertAlign w:val="superscript"/>
                <w:lang w:val="uk-UA"/>
              </w:rPr>
              <w:t>ж</w:t>
            </w:r>
            <w:proofErr w:type="spellEnd"/>
          </w:p>
        </w:tc>
        <w:tc>
          <w:tcPr>
            <w:tcW w:w="1844"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Ізоніазид</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15–20 мг/кг (висока доза)</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розчин</w:t>
            </w:r>
            <w:r w:rsidRPr="00ED35A9">
              <w:rPr>
                <w:sz w:val="24"/>
                <w:szCs w:val="24"/>
                <w:lang w:val="uk-UA"/>
              </w:rPr>
              <w:t xml:space="preserve"> </w:t>
            </w:r>
            <w:r w:rsidRPr="00ED35A9">
              <w:rPr>
                <w:rFonts w:cs="Times New Roman"/>
                <w:sz w:val="24"/>
                <w:szCs w:val="24"/>
                <w:lang w:val="uk-UA"/>
              </w:rPr>
              <w:t xml:space="preserve">50 мг/5 мл </w:t>
            </w:r>
          </w:p>
        </w:tc>
        <w:tc>
          <w:tcPr>
            <w:tcW w:w="854" w:type="dxa"/>
            <w:shd w:val="clear" w:color="auto" w:fill="auto"/>
            <w:tcMar>
              <w:left w:w="0" w:type="dxa"/>
              <w:right w:w="0"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8–10 мл</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15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20 мл</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559"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983" w:type="dxa"/>
            <w:vMerge w:val="restart"/>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pacing w:val="-2"/>
                <w:kern w:val="24"/>
                <w:sz w:val="24"/>
                <w:szCs w:val="24"/>
                <w:lang w:val="uk-UA"/>
              </w:rPr>
            </w:pPr>
            <w:proofErr w:type="spellStart"/>
            <w:r w:rsidRPr="00ED35A9">
              <w:rPr>
                <w:spacing w:val="-2"/>
                <w:kern w:val="24"/>
                <w:sz w:val="24"/>
                <w:szCs w:val="24"/>
                <w:lang w:val="uk-UA"/>
              </w:rPr>
              <w:t>Ізоніазид</w:t>
            </w:r>
            <w:proofErr w:type="spellEnd"/>
            <w:r w:rsidRPr="00ED35A9">
              <w:rPr>
                <w:spacing w:val="-2"/>
                <w:kern w:val="24"/>
                <w:sz w:val="24"/>
                <w:szCs w:val="24"/>
                <w:lang w:val="uk-UA"/>
              </w:rPr>
              <w:t xml:space="preserve"> у таблетках </w:t>
            </w:r>
            <w:r w:rsidRPr="00ED35A9">
              <w:rPr>
                <w:rFonts w:cs="Times New Roman"/>
                <w:spacing w:val="-2"/>
                <w:kern w:val="24"/>
                <w:sz w:val="24"/>
                <w:szCs w:val="24"/>
                <w:lang w:val="uk-UA"/>
              </w:rPr>
              <w:t>300</w:t>
            </w:r>
            <w:r w:rsidRPr="00ED35A9">
              <w:rPr>
                <w:spacing w:val="-2"/>
                <w:kern w:val="24"/>
                <w:sz w:val="24"/>
                <w:szCs w:val="24"/>
                <w:lang w:val="uk-UA"/>
              </w:rPr>
              <w:t> </w:t>
            </w:r>
            <w:r w:rsidRPr="00ED35A9">
              <w:rPr>
                <w:rFonts w:cs="Times New Roman"/>
                <w:spacing w:val="-2"/>
                <w:kern w:val="24"/>
                <w:sz w:val="24"/>
                <w:szCs w:val="24"/>
                <w:lang w:val="uk-UA"/>
              </w:rPr>
              <w:t xml:space="preserve">мг можна </w:t>
            </w:r>
            <w:r w:rsidRPr="00ED35A9">
              <w:rPr>
                <w:spacing w:val="-2"/>
                <w:kern w:val="24"/>
                <w:sz w:val="24"/>
                <w:szCs w:val="24"/>
                <w:lang w:val="uk-UA"/>
              </w:rPr>
              <w:t xml:space="preserve">призначати </w:t>
            </w:r>
            <w:r w:rsidRPr="00ED35A9">
              <w:rPr>
                <w:rFonts w:cs="Times New Roman"/>
                <w:spacing w:val="-2"/>
                <w:kern w:val="24"/>
                <w:sz w:val="24"/>
                <w:szCs w:val="24"/>
                <w:lang w:val="uk-UA"/>
              </w:rPr>
              <w:t>пацієнт</w:t>
            </w:r>
            <w:r w:rsidRPr="00ED35A9">
              <w:rPr>
                <w:spacing w:val="-2"/>
                <w:kern w:val="24"/>
                <w:sz w:val="24"/>
                <w:szCs w:val="24"/>
                <w:lang w:val="uk-UA"/>
              </w:rPr>
              <w:t xml:space="preserve">ам з масою тіла </w:t>
            </w:r>
            <w:r w:rsidRPr="00ED35A9">
              <w:rPr>
                <w:rFonts w:cs="Times New Roman"/>
                <w:spacing w:val="-2"/>
                <w:kern w:val="24"/>
                <w:sz w:val="24"/>
                <w:szCs w:val="24"/>
                <w:lang w:val="uk-UA"/>
              </w:rPr>
              <w:t>&gt;20</w:t>
            </w:r>
            <w:r w:rsidRPr="00ED35A9">
              <w:rPr>
                <w:spacing w:val="-2"/>
                <w:kern w:val="24"/>
                <w:sz w:val="24"/>
                <w:szCs w:val="24"/>
                <w:lang w:val="uk-UA"/>
              </w:rPr>
              <w:t> </w:t>
            </w:r>
            <w:r w:rsidRPr="00ED35A9">
              <w:rPr>
                <w:rFonts w:cs="Times New Roman"/>
                <w:spacing w:val="-2"/>
                <w:kern w:val="24"/>
                <w:sz w:val="24"/>
                <w:szCs w:val="24"/>
                <w:lang w:val="uk-UA"/>
              </w:rPr>
              <w:t>кг</w:t>
            </w:r>
            <w:r w:rsidRPr="00ED35A9">
              <w:rPr>
                <w:spacing w:val="-2"/>
                <w:kern w:val="24"/>
                <w:sz w:val="24"/>
                <w:szCs w:val="24"/>
                <w:lang w:val="uk-UA"/>
              </w:rPr>
              <w:t>.</w:t>
            </w:r>
          </w:p>
          <w:p w:rsidR="009A0B83" w:rsidRPr="00ED35A9" w:rsidRDefault="009A0B83" w:rsidP="009A0B83">
            <w:pPr>
              <w:spacing w:before="120" w:line="228" w:lineRule="auto"/>
              <w:ind w:firstLine="0"/>
              <w:jc w:val="left"/>
              <w:rPr>
                <w:rFonts w:cs="Times New Roman"/>
                <w:sz w:val="24"/>
                <w:szCs w:val="24"/>
                <w:lang w:val="uk-UA"/>
              </w:rPr>
            </w:pPr>
            <w:r w:rsidRPr="00ED35A9">
              <w:rPr>
                <w:sz w:val="24"/>
                <w:szCs w:val="24"/>
                <w:lang w:val="uk-UA"/>
              </w:rPr>
              <w:t xml:space="preserve">При застосуванні </w:t>
            </w:r>
            <w:proofErr w:type="spellStart"/>
            <w:r w:rsidRPr="00ED35A9">
              <w:rPr>
                <w:rFonts w:cs="Times New Roman"/>
                <w:sz w:val="24"/>
                <w:szCs w:val="24"/>
                <w:lang w:val="uk-UA"/>
              </w:rPr>
              <w:t>ізоніазид</w:t>
            </w:r>
            <w:r w:rsidRPr="00ED35A9">
              <w:rPr>
                <w:sz w:val="24"/>
                <w:szCs w:val="24"/>
                <w:lang w:val="uk-UA"/>
              </w:rPr>
              <w:t>у</w:t>
            </w:r>
            <w:proofErr w:type="spellEnd"/>
            <w:r w:rsidRPr="00ED35A9">
              <w:rPr>
                <w:sz w:val="24"/>
                <w:szCs w:val="24"/>
                <w:lang w:val="uk-UA"/>
              </w:rPr>
              <w:t xml:space="preserve"> </w:t>
            </w:r>
            <w:r w:rsidRPr="00ED35A9">
              <w:rPr>
                <w:rFonts w:cs="Times New Roman"/>
                <w:sz w:val="24"/>
                <w:szCs w:val="24"/>
                <w:lang w:val="uk-UA"/>
              </w:rPr>
              <w:t xml:space="preserve">у високих дозах </w:t>
            </w:r>
            <w:r w:rsidRPr="00ED35A9">
              <w:rPr>
                <w:sz w:val="24"/>
                <w:szCs w:val="24"/>
                <w:lang w:val="uk-UA"/>
              </w:rPr>
              <w:t xml:space="preserve">у </w:t>
            </w:r>
            <w:r w:rsidRPr="00ED35A9">
              <w:rPr>
                <w:rFonts w:cs="Times New Roman"/>
                <w:sz w:val="24"/>
                <w:szCs w:val="24"/>
                <w:lang w:val="uk-UA"/>
              </w:rPr>
              <w:t>діт</w:t>
            </w:r>
            <w:r w:rsidRPr="00ED35A9">
              <w:rPr>
                <w:sz w:val="24"/>
                <w:szCs w:val="24"/>
                <w:lang w:val="uk-UA"/>
              </w:rPr>
              <w:t xml:space="preserve">ей </w:t>
            </w:r>
            <w:r w:rsidRPr="00ED35A9">
              <w:rPr>
                <w:rFonts w:cs="Times New Roman"/>
                <w:sz w:val="24"/>
                <w:szCs w:val="24"/>
                <w:lang w:val="uk-UA"/>
              </w:rPr>
              <w:t xml:space="preserve">завжди </w:t>
            </w:r>
            <w:r w:rsidRPr="00ED35A9">
              <w:rPr>
                <w:sz w:val="24"/>
                <w:szCs w:val="24"/>
                <w:lang w:val="uk-UA"/>
              </w:rPr>
              <w:t>до</w:t>
            </w:r>
            <w:r w:rsidRPr="00ED35A9">
              <w:rPr>
                <w:rFonts w:cs="Times New Roman"/>
                <w:sz w:val="24"/>
                <w:szCs w:val="24"/>
                <w:lang w:val="uk-UA"/>
              </w:rPr>
              <w:t xml:space="preserve">дається </w:t>
            </w:r>
            <w:r w:rsidRPr="00ED35A9">
              <w:rPr>
                <w:sz w:val="24"/>
                <w:szCs w:val="24"/>
                <w:lang w:val="uk-UA"/>
              </w:rPr>
              <w:t xml:space="preserve">піридоксин </w:t>
            </w:r>
            <w:r w:rsidRPr="00ED35A9">
              <w:rPr>
                <w:sz w:val="24"/>
                <w:szCs w:val="24"/>
                <w:lang w:val="uk-UA"/>
              </w:rPr>
              <w:br/>
            </w:r>
            <w:r w:rsidRPr="00ED35A9">
              <w:rPr>
                <w:rFonts w:cs="Times New Roman"/>
                <w:sz w:val="24"/>
                <w:szCs w:val="24"/>
                <w:lang w:val="uk-UA"/>
              </w:rPr>
              <w:t>(&lt;5 р.</w:t>
            </w:r>
            <w:r w:rsidRPr="00ED35A9">
              <w:rPr>
                <w:sz w:val="24"/>
                <w:szCs w:val="24"/>
                <w:lang w:val="uk-UA"/>
              </w:rPr>
              <w:t xml:space="preserve">: </w:t>
            </w:r>
            <w:r w:rsidRPr="00ED35A9">
              <w:rPr>
                <w:rFonts w:cs="Times New Roman"/>
                <w:sz w:val="24"/>
                <w:szCs w:val="24"/>
                <w:lang w:val="uk-UA"/>
              </w:rPr>
              <w:t>12</w:t>
            </w:r>
            <w:r w:rsidRPr="00ED35A9">
              <w:rPr>
                <w:sz w:val="24"/>
                <w:szCs w:val="24"/>
                <w:lang w:val="uk-UA"/>
              </w:rPr>
              <w:t>,</w:t>
            </w:r>
            <w:r w:rsidRPr="00ED35A9">
              <w:rPr>
                <w:rFonts w:cs="Times New Roman"/>
                <w:sz w:val="24"/>
                <w:szCs w:val="24"/>
                <w:lang w:val="uk-UA"/>
              </w:rPr>
              <w:t>5</w:t>
            </w:r>
            <w:r w:rsidRPr="00ED35A9">
              <w:rPr>
                <w:sz w:val="24"/>
                <w:szCs w:val="24"/>
                <w:lang w:val="uk-UA"/>
              </w:rPr>
              <w:t> </w:t>
            </w:r>
            <w:r w:rsidRPr="00ED35A9">
              <w:rPr>
                <w:rFonts w:cs="Times New Roman"/>
                <w:sz w:val="24"/>
                <w:szCs w:val="24"/>
                <w:lang w:val="uk-UA"/>
              </w:rPr>
              <w:t>мг 1</w:t>
            </w:r>
            <w:r w:rsidRPr="00ED35A9">
              <w:rPr>
                <w:sz w:val="24"/>
                <w:szCs w:val="24"/>
                <w:lang w:val="uk-UA"/>
              </w:rPr>
              <w:t> </w:t>
            </w:r>
            <w:r w:rsidRPr="00ED35A9">
              <w:rPr>
                <w:rFonts w:cs="Times New Roman"/>
                <w:sz w:val="24"/>
                <w:szCs w:val="24"/>
                <w:lang w:val="uk-UA"/>
              </w:rPr>
              <w:t>р</w:t>
            </w:r>
            <w:r w:rsidRPr="00ED35A9">
              <w:rPr>
                <w:sz w:val="24"/>
                <w:szCs w:val="24"/>
                <w:lang w:val="uk-UA"/>
              </w:rPr>
              <w:t xml:space="preserve">аз/добу; </w:t>
            </w:r>
            <w:r w:rsidRPr="00ED35A9">
              <w:rPr>
                <w:rFonts w:cs="Times New Roman"/>
                <w:sz w:val="24"/>
                <w:szCs w:val="24"/>
                <w:lang w:val="uk-UA"/>
              </w:rPr>
              <w:t>&gt;4</w:t>
            </w:r>
            <w:r w:rsidRPr="00ED35A9">
              <w:rPr>
                <w:sz w:val="24"/>
                <w:szCs w:val="24"/>
                <w:lang w:val="uk-UA"/>
              </w:rPr>
              <w:t xml:space="preserve"> р.: </w:t>
            </w:r>
            <w:r w:rsidRPr="00ED35A9">
              <w:rPr>
                <w:rFonts w:cs="Times New Roman"/>
                <w:sz w:val="24"/>
                <w:szCs w:val="24"/>
                <w:lang w:val="uk-UA"/>
              </w:rPr>
              <w:t>25</w:t>
            </w:r>
            <w:r w:rsidRPr="00ED35A9">
              <w:rPr>
                <w:sz w:val="24"/>
                <w:szCs w:val="24"/>
                <w:lang w:val="uk-UA"/>
              </w:rPr>
              <w:t> </w:t>
            </w:r>
            <w:r w:rsidRPr="00ED35A9">
              <w:rPr>
                <w:rFonts w:cs="Times New Roman"/>
                <w:sz w:val="24"/>
                <w:szCs w:val="24"/>
                <w:lang w:val="uk-UA"/>
              </w:rPr>
              <w:t>мг 1</w:t>
            </w:r>
            <w:r w:rsidRPr="00ED35A9">
              <w:rPr>
                <w:sz w:val="24"/>
                <w:szCs w:val="24"/>
                <w:lang w:val="uk-UA"/>
              </w:rPr>
              <w:t> раз/добу</w:t>
            </w:r>
            <w:r w:rsidRPr="00ED35A9">
              <w:rPr>
                <w:rFonts w:cs="Times New Roman"/>
                <w:sz w:val="24"/>
                <w:szCs w:val="24"/>
                <w:lang w:val="uk-UA"/>
              </w:rPr>
              <w:t>)</w:t>
            </w:r>
          </w:p>
        </w:tc>
      </w:tr>
      <w:tr w:rsidR="009A0B83" w:rsidRPr="00ED35A9" w:rsidTr="009A0B83">
        <w:trPr>
          <w:trHeight w:val="615"/>
        </w:trPr>
        <w:tc>
          <w:tcPr>
            <w:tcW w:w="2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844"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 </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табл</w:t>
            </w:r>
            <w:r w:rsidRPr="00ED35A9">
              <w:rPr>
                <w:sz w:val="24"/>
                <w:szCs w:val="24"/>
                <w:lang w:val="uk-UA"/>
              </w:rPr>
              <w:t xml:space="preserve">. </w:t>
            </w:r>
            <w:r w:rsidRPr="00ED35A9">
              <w:rPr>
                <w:sz w:val="24"/>
                <w:szCs w:val="24"/>
                <w:lang w:val="uk-UA"/>
              </w:rPr>
              <w:br/>
            </w:r>
            <w:r w:rsidRPr="00ED35A9">
              <w:rPr>
                <w:rFonts w:cs="Times New Roman"/>
                <w:sz w:val="24"/>
                <w:szCs w:val="24"/>
                <w:lang w:val="uk-UA"/>
              </w:rPr>
              <w:t>100</w:t>
            </w:r>
            <w:r w:rsidRPr="00ED35A9">
              <w:rPr>
                <w:sz w:val="24"/>
                <w:szCs w:val="24"/>
                <w:lang w:val="uk-UA"/>
              </w:rPr>
              <w:t> </w:t>
            </w:r>
            <w:r w:rsidRPr="00ED35A9">
              <w:rPr>
                <w:rFonts w:cs="Times New Roman"/>
                <w:sz w:val="24"/>
                <w:szCs w:val="24"/>
                <w:lang w:val="uk-UA"/>
              </w:rPr>
              <w:t xml:space="preserve">мг </w:t>
            </w:r>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1,5</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2</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3</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4</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4</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1559"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9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r>
      <w:tr w:rsidR="009A0B83" w:rsidRPr="00ED35A9" w:rsidTr="009A0B83">
        <w:trPr>
          <w:trHeight w:val="615"/>
        </w:trPr>
        <w:tc>
          <w:tcPr>
            <w:tcW w:w="2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84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Клавулонова</w:t>
            </w:r>
            <w:proofErr w:type="spellEnd"/>
            <w:r w:rsidRPr="00ED35A9">
              <w:rPr>
                <w:rFonts w:cs="Times New Roman"/>
                <w:sz w:val="24"/>
                <w:szCs w:val="24"/>
                <w:lang w:val="uk-UA"/>
              </w:rPr>
              <w:t xml:space="preserve"> </w:t>
            </w:r>
            <w:proofErr w:type="spellStart"/>
            <w:r w:rsidRPr="00ED35A9">
              <w:rPr>
                <w:rFonts w:cs="Times New Roman"/>
                <w:sz w:val="24"/>
                <w:szCs w:val="24"/>
                <w:lang w:val="uk-UA"/>
              </w:rPr>
              <w:t>кислота</w:t>
            </w:r>
            <w:r w:rsidRPr="00ED35A9">
              <w:rPr>
                <w:sz w:val="24"/>
                <w:szCs w:val="24"/>
                <w:vertAlign w:val="superscript"/>
                <w:lang w:val="uk-UA"/>
              </w:rPr>
              <w:t>з</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sz w:val="24"/>
                <w:szCs w:val="24"/>
                <w:lang w:val="uk-UA"/>
              </w:rPr>
              <w:t>сусп</w:t>
            </w:r>
            <w:proofErr w:type="spellEnd"/>
            <w:r w:rsidRPr="00ED35A9">
              <w:rPr>
                <w:sz w:val="24"/>
                <w:szCs w:val="24"/>
                <w:lang w:val="uk-UA"/>
              </w:rPr>
              <w:t xml:space="preserve">. </w:t>
            </w:r>
            <w:r w:rsidRPr="00ED35A9">
              <w:rPr>
                <w:sz w:val="24"/>
                <w:szCs w:val="24"/>
                <w:lang w:val="uk-UA"/>
              </w:rPr>
              <w:br/>
            </w:r>
            <w:r w:rsidRPr="00ED35A9">
              <w:rPr>
                <w:rFonts w:cs="Times New Roman"/>
                <w:sz w:val="24"/>
                <w:szCs w:val="24"/>
                <w:lang w:val="uk-UA"/>
              </w:rPr>
              <w:t>5</w:t>
            </w:r>
            <w:r w:rsidRPr="00ED35A9">
              <w:rPr>
                <w:sz w:val="24"/>
                <w:szCs w:val="24"/>
                <w:lang w:val="uk-UA"/>
              </w:rPr>
              <w:t> </w:t>
            </w:r>
            <w:r w:rsidRPr="00ED35A9">
              <w:rPr>
                <w:rFonts w:cs="Times New Roman"/>
                <w:sz w:val="24"/>
                <w:szCs w:val="24"/>
                <w:lang w:val="uk-UA"/>
              </w:rPr>
              <w:t xml:space="preserve">мл </w:t>
            </w:r>
            <w:r w:rsidRPr="00ED35A9">
              <w:rPr>
                <w:sz w:val="24"/>
                <w:szCs w:val="24"/>
                <w:lang w:val="uk-UA"/>
              </w:rPr>
              <w:t>(250 </w:t>
            </w:r>
            <w:r w:rsidRPr="00ED35A9">
              <w:rPr>
                <w:rFonts w:cs="Times New Roman"/>
                <w:sz w:val="24"/>
                <w:szCs w:val="24"/>
                <w:lang w:val="uk-UA"/>
              </w:rPr>
              <w:t xml:space="preserve">мг </w:t>
            </w:r>
            <w:proofErr w:type="spellStart"/>
            <w:r w:rsidRPr="00ED35A9">
              <w:rPr>
                <w:rFonts w:cs="Times New Roman"/>
                <w:sz w:val="24"/>
                <w:szCs w:val="24"/>
                <w:lang w:val="uk-UA"/>
              </w:rPr>
              <w:t>Amx</w:t>
            </w:r>
            <w:proofErr w:type="spellEnd"/>
            <w:r w:rsidRPr="00ED35A9">
              <w:rPr>
                <w:rFonts w:cs="Times New Roman"/>
                <w:sz w:val="24"/>
                <w:szCs w:val="24"/>
                <w:lang w:val="uk-UA"/>
              </w:rPr>
              <w:t>/</w:t>
            </w:r>
            <w:r w:rsidRPr="00ED35A9">
              <w:rPr>
                <w:sz w:val="24"/>
                <w:szCs w:val="24"/>
                <w:lang w:val="uk-UA"/>
              </w:rPr>
              <w:br/>
            </w:r>
            <w:r w:rsidRPr="00ED35A9">
              <w:rPr>
                <w:rFonts w:cs="Times New Roman"/>
                <w:sz w:val="24"/>
                <w:szCs w:val="24"/>
                <w:lang w:val="uk-UA"/>
              </w:rPr>
              <w:t>62</w:t>
            </w:r>
            <w:r w:rsidRPr="00ED35A9">
              <w:rPr>
                <w:sz w:val="24"/>
                <w:szCs w:val="24"/>
                <w:lang w:val="uk-UA"/>
              </w:rPr>
              <w:t>,</w:t>
            </w:r>
            <w:r w:rsidRPr="00ED35A9">
              <w:rPr>
                <w:rFonts w:cs="Times New Roman"/>
                <w:sz w:val="24"/>
                <w:szCs w:val="24"/>
                <w:lang w:val="uk-UA"/>
              </w:rPr>
              <w:t>5</w:t>
            </w:r>
            <w:r w:rsidRPr="00ED35A9">
              <w:rPr>
                <w:sz w:val="24"/>
                <w:szCs w:val="24"/>
                <w:lang w:val="uk-UA"/>
              </w:rPr>
              <w:t> </w:t>
            </w:r>
            <w:r w:rsidRPr="00ED35A9">
              <w:rPr>
                <w:rFonts w:cs="Times New Roman"/>
                <w:sz w:val="24"/>
                <w:szCs w:val="24"/>
                <w:lang w:val="uk-UA"/>
              </w:rPr>
              <w:t xml:space="preserve">мг </w:t>
            </w:r>
            <w:proofErr w:type="spellStart"/>
            <w:r w:rsidRPr="00ED35A9">
              <w:rPr>
                <w:rFonts w:cs="Times New Roman"/>
                <w:sz w:val="24"/>
                <w:szCs w:val="24"/>
                <w:lang w:val="uk-UA"/>
              </w:rPr>
              <w:t>CIv</w:t>
            </w:r>
            <w:proofErr w:type="spellEnd"/>
            <w:r w:rsidRPr="00ED35A9">
              <w:rPr>
                <w:sz w:val="24"/>
                <w:szCs w:val="24"/>
                <w:lang w:val="uk-UA"/>
              </w:rPr>
              <w:t>)</w:t>
            </w:r>
            <w:r w:rsidRPr="00ED35A9">
              <w:rPr>
                <w:sz w:val="24"/>
                <w:szCs w:val="24"/>
                <w:vertAlign w:val="superscript"/>
                <w:lang w:val="uk-UA"/>
              </w:rPr>
              <w:t>з</w:t>
            </w:r>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2 </w:t>
            </w:r>
            <w:r w:rsidRPr="00ED35A9">
              <w:rPr>
                <w:rFonts w:cs="Times New Roman"/>
                <w:sz w:val="24"/>
                <w:szCs w:val="24"/>
                <w:lang w:val="uk-UA"/>
              </w:rPr>
              <w:t>мл 2</w:t>
            </w:r>
            <w:r w:rsidRPr="00ED35A9">
              <w:rPr>
                <w:sz w:val="24"/>
                <w:szCs w:val="24"/>
                <w:lang w:val="uk-UA"/>
              </w:rPr>
              <w:t> </w:t>
            </w:r>
            <w:r w:rsidRPr="00ED35A9">
              <w:rPr>
                <w:rFonts w:cs="Times New Roman"/>
                <w:sz w:val="24"/>
                <w:szCs w:val="24"/>
                <w:lang w:val="uk-UA"/>
              </w:rPr>
              <w:t>р</w:t>
            </w:r>
            <w:r w:rsidRPr="00ED35A9">
              <w:rPr>
                <w:sz w:val="24"/>
                <w:szCs w:val="24"/>
                <w:lang w:val="uk-UA"/>
              </w:rPr>
              <w:t>ази</w:t>
            </w:r>
            <w:r w:rsidRPr="00ED35A9">
              <w:rPr>
                <w:rFonts w:cs="Times New Roman"/>
                <w:sz w:val="24"/>
                <w:szCs w:val="24"/>
                <w:lang w:val="uk-UA"/>
              </w:rPr>
              <w:t>/</w:t>
            </w:r>
            <w:r w:rsidRPr="00ED35A9">
              <w:rPr>
                <w:sz w:val="24"/>
                <w:szCs w:val="24"/>
                <w:lang w:val="uk-UA"/>
              </w:rPr>
              <w:br/>
            </w:r>
            <w:proofErr w:type="spellStart"/>
            <w:r w:rsidRPr="00ED35A9">
              <w:rPr>
                <w:rFonts w:cs="Times New Roman"/>
                <w:sz w:val="24"/>
                <w:szCs w:val="24"/>
                <w:lang w:val="uk-UA"/>
              </w:rPr>
              <w:t>д</w:t>
            </w:r>
            <w:r w:rsidRPr="00ED35A9">
              <w:rPr>
                <w:sz w:val="24"/>
                <w:szCs w:val="24"/>
                <w:lang w:val="uk-UA"/>
              </w:rPr>
              <w:t>обу</w:t>
            </w:r>
            <w:r w:rsidRPr="00ED35A9">
              <w:rPr>
                <w:sz w:val="24"/>
                <w:szCs w:val="24"/>
                <w:vertAlign w:val="superscript"/>
                <w:lang w:val="uk-UA"/>
              </w:rPr>
              <w:t>з</w:t>
            </w:r>
            <w:proofErr w:type="spellEnd"/>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3 мл 2</w:t>
            </w:r>
            <w:r w:rsidRPr="00ED35A9">
              <w:rPr>
                <w:sz w:val="24"/>
                <w:szCs w:val="24"/>
                <w:lang w:val="uk-UA"/>
              </w:rPr>
              <w:t> </w:t>
            </w:r>
            <w:r w:rsidRPr="00ED35A9">
              <w:rPr>
                <w:rFonts w:cs="Times New Roman"/>
                <w:sz w:val="24"/>
                <w:szCs w:val="24"/>
                <w:lang w:val="uk-UA"/>
              </w:rPr>
              <w:t>р</w:t>
            </w:r>
            <w:r w:rsidRPr="00ED35A9">
              <w:rPr>
                <w:sz w:val="24"/>
                <w:szCs w:val="24"/>
                <w:lang w:val="uk-UA"/>
              </w:rPr>
              <w:t>ази</w:t>
            </w:r>
            <w:r w:rsidRPr="00ED35A9">
              <w:rPr>
                <w:rFonts w:cs="Times New Roman"/>
                <w:sz w:val="24"/>
                <w:szCs w:val="24"/>
                <w:lang w:val="uk-UA"/>
              </w:rPr>
              <w:t>/</w:t>
            </w:r>
            <w:r w:rsidRPr="00ED35A9">
              <w:rPr>
                <w:sz w:val="24"/>
                <w:szCs w:val="24"/>
                <w:lang w:val="uk-UA"/>
              </w:rPr>
              <w:br/>
            </w:r>
            <w:proofErr w:type="spellStart"/>
            <w:r w:rsidRPr="00ED35A9">
              <w:rPr>
                <w:rFonts w:cs="Times New Roman"/>
                <w:sz w:val="24"/>
                <w:szCs w:val="24"/>
                <w:lang w:val="uk-UA"/>
              </w:rPr>
              <w:t>д</w:t>
            </w:r>
            <w:r w:rsidRPr="00ED35A9">
              <w:rPr>
                <w:sz w:val="24"/>
                <w:szCs w:val="24"/>
                <w:lang w:val="uk-UA"/>
              </w:rPr>
              <w:t>обу</w:t>
            </w:r>
            <w:r w:rsidRPr="00ED35A9">
              <w:rPr>
                <w:sz w:val="24"/>
                <w:szCs w:val="24"/>
                <w:vertAlign w:val="superscript"/>
                <w:lang w:val="uk-UA"/>
              </w:rPr>
              <w:t>з</w:t>
            </w:r>
            <w:proofErr w:type="spellEnd"/>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5 мл 2</w:t>
            </w:r>
            <w:r w:rsidRPr="00ED35A9">
              <w:rPr>
                <w:sz w:val="24"/>
                <w:szCs w:val="24"/>
                <w:lang w:val="uk-UA"/>
              </w:rPr>
              <w:t> </w:t>
            </w:r>
            <w:r w:rsidRPr="00ED35A9">
              <w:rPr>
                <w:rFonts w:cs="Times New Roman"/>
                <w:sz w:val="24"/>
                <w:szCs w:val="24"/>
                <w:lang w:val="uk-UA"/>
              </w:rPr>
              <w:t>р</w:t>
            </w:r>
            <w:r w:rsidRPr="00ED35A9">
              <w:rPr>
                <w:sz w:val="24"/>
                <w:szCs w:val="24"/>
                <w:lang w:val="uk-UA"/>
              </w:rPr>
              <w:t>ази</w:t>
            </w:r>
            <w:r w:rsidRPr="00ED35A9">
              <w:rPr>
                <w:rFonts w:cs="Times New Roman"/>
                <w:sz w:val="24"/>
                <w:szCs w:val="24"/>
                <w:lang w:val="uk-UA"/>
              </w:rPr>
              <w:t>/</w:t>
            </w:r>
            <w:r w:rsidRPr="00ED35A9">
              <w:rPr>
                <w:sz w:val="24"/>
                <w:szCs w:val="24"/>
                <w:lang w:val="uk-UA"/>
              </w:rPr>
              <w:br/>
            </w:r>
            <w:proofErr w:type="spellStart"/>
            <w:r w:rsidRPr="00ED35A9">
              <w:rPr>
                <w:rFonts w:cs="Times New Roman"/>
                <w:sz w:val="24"/>
                <w:szCs w:val="24"/>
                <w:lang w:val="uk-UA"/>
              </w:rPr>
              <w:t>д</w:t>
            </w:r>
            <w:r w:rsidRPr="00ED35A9">
              <w:rPr>
                <w:sz w:val="24"/>
                <w:szCs w:val="24"/>
                <w:lang w:val="uk-UA"/>
              </w:rPr>
              <w:t>обу</w:t>
            </w:r>
            <w:r w:rsidRPr="00ED35A9">
              <w:rPr>
                <w:sz w:val="24"/>
                <w:szCs w:val="24"/>
                <w:vertAlign w:val="superscript"/>
                <w:lang w:val="uk-UA"/>
              </w:rPr>
              <w:t>з</w:t>
            </w:r>
            <w:proofErr w:type="spellEnd"/>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8 мл 2</w:t>
            </w:r>
            <w:r w:rsidRPr="00ED35A9">
              <w:rPr>
                <w:sz w:val="24"/>
                <w:szCs w:val="24"/>
                <w:lang w:val="uk-UA"/>
              </w:rPr>
              <w:t> </w:t>
            </w:r>
            <w:r w:rsidRPr="00ED35A9">
              <w:rPr>
                <w:rFonts w:cs="Times New Roman"/>
                <w:sz w:val="24"/>
                <w:szCs w:val="24"/>
                <w:lang w:val="uk-UA"/>
              </w:rPr>
              <w:t>р</w:t>
            </w:r>
            <w:r w:rsidRPr="00ED35A9">
              <w:rPr>
                <w:sz w:val="24"/>
                <w:szCs w:val="24"/>
                <w:lang w:val="uk-UA"/>
              </w:rPr>
              <w:t>ази</w:t>
            </w:r>
            <w:r w:rsidRPr="00ED35A9">
              <w:rPr>
                <w:rFonts w:cs="Times New Roman"/>
                <w:sz w:val="24"/>
                <w:szCs w:val="24"/>
                <w:lang w:val="uk-UA"/>
              </w:rPr>
              <w:t>/</w:t>
            </w:r>
            <w:r w:rsidRPr="00ED35A9">
              <w:rPr>
                <w:sz w:val="24"/>
                <w:szCs w:val="24"/>
                <w:lang w:val="uk-UA"/>
              </w:rPr>
              <w:br/>
            </w:r>
            <w:proofErr w:type="spellStart"/>
            <w:r w:rsidRPr="00ED35A9">
              <w:rPr>
                <w:rFonts w:cs="Times New Roman"/>
                <w:sz w:val="24"/>
                <w:szCs w:val="24"/>
                <w:lang w:val="uk-UA"/>
              </w:rPr>
              <w:t>д</w:t>
            </w:r>
            <w:r w:rsidRPr="00ED35A9">
              <w:rPr>
                <w:sz w:val="24"/>
                <w:szCs w:val="24"/>
                <w:lang w:val="uk-UA"/>
              </w:rPr>
              <w:t>обу</w:t>
            </w:r>
            <w:r w:rsidRPr="00ED35A9">
              <w:rPr>
                <w:sz w:val="24"/>
                <w:szCs w:val="24"/>
                <w:vertAlign w:val="superscript"/>
                <w:lang w:val="uk-UA"/>
              </w:rPr>
              <w:t>з</w:t>
            </w:r>
            <w:proofErr w:type="spellEnd"/>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10 мл 2</w:t>
            </w:r>
            <w:r w:rsidRPr="00ED35A9">
              <w:rPr>
                <w:sz w:val="24"/>
                <w:szCs w:val="24"/>
                <w:lang w:val="uk-UA"/>
              </w:rPr>
              <w:t> </w:t>
            </w:r>
            <w:r w:rsidRPr="00ED35A9">
              <w:rPr>
                <w:rFonts w:cs="Times New Roman"/>
                <w:sz w:val="24"/>
                <w:szCs w:val="24"/>
                <w:lang w:val="uk-UA"/>
              </w:rPr>
              <w:t>р</w:t>
            </w:r>
            <w:r w:rsidRPr="00ED35A9">
              <w:rPr>
                <w:sz w:val="24"/>
                <w:szCs w:val="24"/>
                <w:lang w:val="uk-UA"/>
              </w:rPr>
              <w:t>ази</w:t>
            </w:r>
            <w:r w:rsidRPr="00ED35A9">
              <w:rPr>
                <w:rFonts w:cs="Times New Roman"/>
                <w:sz w:val="24"/>
                <w:szCs w:val="24"/>
                <w:lang w:val="uk-UA"/>
              </w:rPr>
              <w:t>/</w:t>
            </w:r>
            <w:r w:rsidRPr="00ED35A9">
              <w:rPr>
                <w:sz w:val="24"/>
                <w:szCs w:val="24"/>
                <w:lang w:val="uk-UA"/>
              </w:rPr>
              <w:br/>
            </w:r>
            <w:proofErr w:type="spellStart"/>
            <w:r w:rsidRPr="00ED35A9">
              <w:rPr>
                <w:rFonts w:cs="Times New Roman"/>
                <w:sz w:val="24"/>
                <w:szCs w:val="24"/>
                <w:lang w:val="uk-UA"/>
              </w:rPr>
              <w:t>д</w:t>
            </w:r>
            <w:r w:rsidRPr="00ED35A9">
              <w:rPr>
                <w:sz w:val="24"/>
                <w:szCs w:val="24"/>
                <w:lang w:val="uk-UA"/>
              </w:rPr>
              <w:t>обу</w:t>
            </w:r>
            <w:r w:rsidRPr="00ED35A9">
              <w:rPr>
                <w:sz w:val="24"/>
                <w:szCs w:val="24"/>
                <w:vertAlign w:val="superscript"/>
                <w:lang w:val="uk-UA"/>
              </w:rPr>
              <w:t>з</w:t>
            </w:r>
            <w:proofErr w:type="spellEnd"/>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1559"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98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 xml:space="preserve">Для прийому тільки з </w:t>
            </w:r>
            <w:proofErr w:type="spellStart"/>
            <w:r w:rsidRPr="00ED35A9">
              <w:rPr>
                <w:rFonts w:cs="Times New Roman"/>
                <w:sz w:val="24"/>
                <w:szCs w:val="24"/>
                <w:lang w:val="uk-UA"/>
              </w:rPr>
              <w:t>карбапенемами</w:t>
            </w:r>
            <w:proofErr w:type="spellEnd"/>
          </w:p>
        </w:tc>
      </w:tr>
      <w:tr w:rsidR="009A0B83" w:rsidRPr="00ED35A9" w:rsidTr="009A0B83">
        <w:trPr>
          <w:trHeight w:val="615"/>
        </w:trPr>
        <w:tc>
          <w:tcPr>
            <w:tcW w:w="2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84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Канаміцин</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 xml:space="preserve">15–20 мг/кг </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ампули</w:t>
            </w:r>
            <w:r w:rsidRPr="00ED35A9">
              <w:rPr>
                <w:sz w:val="24"/>
                <w:szCs w:val="24"/>
                <w:lang w:val="uk-UA"/>
              </w:rPr>
              <w:br/>
            </w:r>
            <w:r w:rsidRPr="00ED35A9">
              <w:rPr>
                <w:rFonts w:cs="Times New Roman"/>
                <w:sz w:val="24"/>
                <w:szCs w:val="24"/>
                <w:lang w:val="uk-UA"/>
              </w:rPr>
              <w:t>500 мг/</w:t>
            </w:r>
            <w:r w:rsidRPr="00ED35A9">
              <w:rPr>
                <w:sz w:val="24"/>
                <w:szCs w:val="24"/>
                <w:lang w:val="uk-UA"/>
              </w:rPr>
              <w:br/>
              <w:t xml:space="preserve">2 </w:t>
            </w:r>
            <w:proofErr w:type="spellStart"/>
            <w:r w:rsidRPr="00ED35A9">
              <w:rPr>
                <w:sz w:val="24"/>
                <w:szCs w:val="24"/>
                <w:lang w:val="uk-UA"/>
              </w:rPr>
              <w:t>мл</w:t>
            </w:r>
            <w:r w:rsidRPr="00ED35A9">
              <w:rPr>
                <w:sz w:val="24"/>
                <w:szCs w:val="24"/>
                <w:vertAlign w:val="superscript"/>
                <w:lang w:val="uk-UA"/>
              </w:rPr>
              <w:t>е</w:t>
            </w:r>
            <w:proofErr w:type="spellEnd"/>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4 мл</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6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8–</w:t>
            </w:r>
            <w:r w:rsidRPr="00ED35A9">
              <w:rPr>
                <w:sz w:val="24"/>
                <w:szCs w:val="24"/>
                <w:lang w:val="uk-UA"/>
              </w:rPr>
              <w:br/>
            </w: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0 мл</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2–</w:t>
            </w:r>
            <w:r w:rsidRPr="00ED35A9">
              <w:rPr>
                <w:sz w:val="24"/>
                <w:szCs w:val="24"/>
                <w:lang w:val="uk-UA"/>
              </w:rPr>
              <w:br/>
            </w: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5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2</w:t>
            </w:r>
            <w:r w:rsidRPr="00ED35A9">
              <w:rPr>
                <w:sz w:val="24"/>
                <w:szCs w:val="24"/>
                <w:lang w:val="uk-UA"/>
              </w:rPr>
              <w:t>,</w:t>
            </w:r>
            <w:r w:rsidRPr="00ED35A9">
              <w:rPr>
                <w:rFonts w:cs="Times New Roman"/>
                <w:sz w:val="24"/>
                <w:szCs w:val="24"/>
                <w:lang w:val="uk-UA"/>
              </w:rPr>
              <w:t>0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1559"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 г</w:t>
            </w:r>
          </w:p>
        </w:tc>
        <w:tc>
          <w:tcPr>
            <w:tcW w:w="198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 xml:space="preserve">Також </w:t>
            </w:r>
            <w:r w:rsidRPr="00ED35A9">
              <w:rPr>
                <w:rFonts w:cs="Times New Roman"/>
                <w:sz w:val="24"/>
                <w:szCs w:val="24"/>
                <w:lang w:val="uk-UA"/>
              </w:rPr>
              <w:t xml:space="preserve">доступні </w:t>
            </w:r>
            <w:r w:rsidRPr="00ED35A9">
              <w:rPr>
                <w:sz w:val="24"/>
                <w:szCs w:val="24"/>
                <w:lang w:val="uk-UA"/>
              </w:rPr>
              <w:br/>
            </w:r>
            <w:r w:rsidRPr="00ED35A9">
              <w:rPr>
                <w:rFonts w:cs="Times New Roman"/>
                <w:sz w:val="24"/>
                <w:szCs w:val="24"/>
                <w:lang w:val="uk-UA"/>
              </w:rPr>
              <w:t>ампули 1</w:t>
            </w:r>
            <w:r w:rsidRPr="00ED35A9">
              <w:rPr>
                <w:sz w:val="24"/>
                <w:szCs w:val="24"/>
                <w:lang w:val="uk-UA"/>
              </w:rPr>
              <w:t> </w:t>
            </w:r>
            <w:r w:rsidRPr="00ED35A9">
              <w:rPr>
                <w:rFonts w:cs="Times New Roman"/>
                <w:sz w:val="24"/>
                <w:szCs w:val="24"/>
                <w:lang w:val="uk-UA"/>
              </w:rPr>
              <w:t>г (3</w:t>
            </w:r>
            <w:r w:rsidRPr="00ED35A9">
              <w:rPr>
                <w:sz w:val="24"/>
                <w:szCs w:val="24"/>
                <w:lang w:val="uk-UA"/>
              </w:rPr>
              <w:t> </w:t>
            </w:r>
            <w:r w:rsidRPr="00ED35A9">
              <w:rPr>
                <w:rFonts w:cs="Times New Roman"/>
                <w:sz w:val="24"/>
                <w:szCs w:val="24"/>
                <w:lang w:val="uk-UA"/>
              </w:rPr>
              <w:t>мл)</w:t>
            </w:r>
          </w:p>
        </w:tc>
      </w:tr>
      <w:tr w:rsidR="009A0B83" w:rsidRPr="00ED35A9" w:rsidTr="009A0B83">
        <w:trPr>
          <w:trHeight w:val="615"/>
        </w:trPr>
        <w:tc>
          <w:tcPr>
            <w:tcW w:w="2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84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Капреоміцин</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15–20 мг/кг</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ампули</w:t>
            </w:r>
            <w:r w:rsidRPr="00ED35A9">
              <w:rPr>
                <w:sz w:val="24"/>
                <w:szCs w:val="24"/>
                <w:lang w:val="uk-UA"/>
              </w:rPr>
              <w:br/>
            </w:r>
            <w:r w:rsidRPr="00ED35A9">
              <w:rPr>
                <w:rFonts w:cs="Times New Roman"/>
                <w:sz w:val="24"/>
                <w:szCs w:val="24"/>
                <w:lang w:val="uk-UA"/>
              </w:rPr>
              <w:t>500 мг/</w:t>
            </w:r>
            <w:r w:rsidRPr="00ED35A9">
              <w:rPr>
                <w:sz w:val="24"/>
                <w:szCs w:val="24"/>
                <w:lang w:val="uk-UA"/>
              </w:rPr>
              <w:br/>
            </w:r>
            <w:r w:rsidRPr="00ED35A9">
              <w:rPr>
                <w:rFonts w:cs="Times New Roman"/>
                <w:sz w:val="24"/>
                <w:szCs w:val="24"/>
                <w:lang w:val="uk-UA"/>
              </w:rPr>
              <w:t xml:space="preserve">2 </w:t>
            </w:r>
            <w:proofErr w:type="spellStart"/>
            <w:r w:rsidRPr="00ED35A9">
              <w:rPr>
                <w:rFonts w:cs="Times New Roman"/>
                <w:sz w:val="24"/>
                <w:szCs w:val="24"/>
                <w:lang w:val="uk-UA"/>
              </w:rPr>
              <w:t>мл</w:t>
            </w:r>
            <w:r w:rsidRPr="00ED35A9">
              <w:rPr>
                <w:sz w:val="24"/>
                <w:szCs w:val="24"/>
                <w:vertAlign w:val="superscript"/>
                <w:lang w:val="uk-UA"/>
              </w:rPr>
              <w:t>е</w:t>
            </w:r>
            <w:proofErr w:type="spellEnd"/>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4 мл</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6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0</w:t>
            </w:r>
            <w:r w:rsidRPr="00ED35A9">
              <w:rPr>
                <w:sz w:val="24"/>
                <w:szCs w:val="24"/>
                <w:lang w:val="uk-UA"/>
              </w:rPr>
              <w:t>,</w:t>
            </w:r>
            <w:r w:rsidRPr="00ED35A9">
              <w:rPr>
                <w:rFonts w:cs="Times New Roman"/>
                <w:sz w:val="24"/>
                <w:szCs w:val="24"/>
                <w:lang w:val="uk-UA"/>
              </w:rPr>
              <w:t>8–</w:t>
            </w:r>
            <w:r w:rsidRPr="00ED35A9">
              <w:rPr>
                <w:sz w:val="24"/>
                <w:szCs w:val="24"/>
                <w:lang w:val="uk-UA"/>
              </w:rPr>
              <w:br/>
            </w: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0 мл</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2–</w:t>
            </w:r>
            <w:r w:rsidRPr="00ED35A9">
              <w:rPr>
                <w:sz w:val="24"/>
                <w:szCs w:val="24"/>
                <w:lang w:val="uk-UA"/>
              </w:rPr>
              <w:br/>
            </w:r>
            <w:r w:rsidRPr="00ED35A9">
              <w:rPr>
                <w:rFonts w:cs="Times New Roman"/>
                <w:sz w:val="24"/>
                <w:szCs w:val="24"/>
                <w:lang w:val="uk-UA"/>
              </w:rPr>
              <w:t>1</w:t>
            </w:r>
            <w:r w:rsidRPr="00ED35A9">
              <w:rPr>
                <w:sz w:val="24"/>
                <w:szCs w:val="24"/>
                <w:lang w:val="uk-UA"/>
              </w:rPr>
              <w:t>,</w:t>
            </w:r>
            <w:r w:rsidRPr="00ED35A9">
              <w:rPr>
                <w:rFonts w:cs="Times New Roman"/>
                <w:sz w:val="24"/>
                <w:szCs w:val="24"/>
                <w:lang w:val="uk-UA"/>
              </w:rPr>
              <w:t>5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2</w:t>
            </w:r>
            <w:r w:rsidRPr="00ED35A9">
              <w:rPr>
                <w:sz w:val="24"/>
                <w:szCs w:val="24"/>
                <w:lang w:val="uk-UA"/>
              </w:rPr>
              <w:t>,</w:t>
            </w:r>
            <w:r w:rsidRPr="00ED35A9">
              <w:rPr>
                <w:rFonts w:cs="Times New Roman"/>
                <w:sz w:val="24"/>
                <w:szCs w:val="24"/>
                <w:lang w:val="uk-UA"/>
              </w:rPr>
              <w:t>0 мл</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(&gt;14 р.)</w:t>
            </w:r>
          </w:p>
        </w:tc>
        <w:tc>
          <w:tcPr>
            <w:tcW w:w="1559"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1 г</w:t>
            </w:r>
          </w:p>
        </w:tc>
        <w:tc>
          <w:tcPr>
            <w:tcW w:w="198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 xml:space="preserve">Також </w:t>
            </w:r>
            <w:r w:rsidRPr="00ED35A9">
              <w:rPr>
                <w:rFonts w:cs="Times New Roman"/>
                <w:sz w:val="24"/>
                <w:szCs w:val="24"/>
                <w:lang w:val="uk-UA"/>
              </w:rPr>
              <w:t>доступні</w:t>
            </w:r>
            <w:r w:rsidRPr="00ED35A9">
              <w:rPr>
                <w:sz w:val="24"/>
                <w:szCs w:val="24"/>
                <w:lang w:val="uk-UA"/>
              </w:rPr>
              <w:br/>
            </w:r>
            <w:r w:rsidRPr="00ED35A9">
              <w:rPr>
                <w:rFonts w:cs="Times New Roman"/>
                <w:sz w:val="24"/>
                <w:szCs w:val="24"/>
                <w:lang w:val="uk-UA"/>
              </w:rPr>
              <w:t>ампули 1</w:t>
            </w:r>
            <w:r w:rsidRPr="00ED35A9">
              <w:rPr>
                <w:sz w:val="24"/>
                <w:szCs w:val="24"/>
                <w:lang w:val="uk-UA"/>
              </w:rPr>
              <w:t> </w:t>
            </w:r>
            <w:r w:rsidRPr="00ED35A9">
              <w:rPr>
                <w:rFonts w:cs="Times New Roman"/>
                <w:sz w:val="24"/>
                <w:szCs w:val="24"/>
                <w:lang w:val="uk-UA"/>
              </w:rPr>
              <w:t>г (2</w:t>
            </w:r>
            <w:r w:rsidRPr="00ED35A9">
              <w:rPr>
                <w:sz w:val="24"/>
                <w:szCs w:val="24"/>
                <w:lang w:val="uk-UA"/>
              </w:rPr>
              <w:t> </w:t>
            </w:r>
            <w:r w:rsidRPr="00ED35A9">
              <w:rPr>
                <w:rFonts w:cs="Times New Roman"/>
                <w:sz w:val="24"/>
                <w:szCs w:val="24"/>
                <w:lang w:val="uk-UA"/>
              </w:rPr>
              <w:t>мл)</w:t>
            </w:r>
          </w:p>
        </w:tc>
      </w:tr>
      <w:tr w:rsidR="009A0B83" w:rsidRPr="00ED35A9" w:rsidTr="009A0B83">
        <w:trPr>
          <w:trHeight w:val="615"/>
        </w:trPr>
        <w:tc>
          <w:tcPr>
            <w:tcW w:w="283" w:type="dxa"/>
            <w:vMerge/>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
        </w:tc>
        <w:tc>
          <w:tcPr>
            <w:tcW w:w="184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Гатіфлоксацин</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rFonts w:cs="Times New Roman"/>
                <w:sz w:val="24"/>
                <w:szCs w:val="24"/>
                <w:lang w:val="uk-UA"/>
              </w:rPr>
              <w:t>табл</w:t>
            </w:r>
            <w:r w:rsidRPr="00ED35A9">
              <w:rPr>
                <w:sz w:val="24"/>
                <w:szCs w:val="24"/>
                <w:lang w:val="uk-UA"/>
              </w:rPr>
              <w:t>.</w:t>
            </w:r>
            <w:r w:rsidRPr="00ED35A9">
              <w:rPr>
                <w:sz w:val="24"/>
                <w:szCs w:val="24"/>
                <w:lang w:val="uk-UA"/>
              </w:rPr>
              <w:br/>
            </w:r>
            <w:r w:rsidRPr="00ED35A9">
              <w:rPr>
                <w:rFonts w:cs="Times New Roman"/>
                <w:sz w:val="24"/>
                <w:szCs w:val="24"/>
                <w:lang w:val="uk-UA"/>
              </w:rPr>
              <w:t>400</w:t>
            </w:r>
            <w:r w:rsidRPr="00ED35A9">
              <w:rPr>
                <w:sz w:val="24"/>
                <w:szCs w:val="24"/>
                <w:lang w:val="uk-UA"/>
              </w:rPr>
              <w:t> </w:t>
            </w:r>
            <w:r w:rsidRPr="00ED35A9">
              <w:rPr>
                <w:rFonts w:cs="Times New Roman"/>
                <w:sz w:val="24"/>
                <w:szCs w:val="24"/>
                <w:lang w:val="uk-UA"/>
              </w:rPr>
              <w:t xml:space="preserve">мг </w:t>
            </w:r>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559"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98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 xml:space="preserve">Не застосовується у пацієнтів віком </w:t>
            </w:r>
            <w:r w:rsidRPr="00ED35A9">
              <w:rPr>
                <w:rFonts w:cs="Times New Roman"/>
                <w:sz w:val="24"/>
                <w:szCs w:val="24"/>
                <w:lang w:val="uk-UA"/>
              </w:rPr>
              <w:t xml:space="preserve">&lt;18 р </w:t>
            </w:r>
            <w:r w:rsidRPr="00ED35A9">
              <w:rPr>
                <w:sz w:val="24"/>
                <w:szCs w:val="24"/>
                <w:lang w:val="uk-UA"/>
              </w:rPr>
              <w:t>(зараз відсутній продукт гарантованої якості)</w:t>
            </w:r>
          </w:p>
        </w:tc>
      </w:tr>
      <w:tr w:rsidR="009A0B83" w:rsidRPr="00ED35A9" w:rsidTr="009A0B83">
        <w:trPr>
          <w:trHeight w:val="20"/>
        </w:trPr>
        <w:tc>
          <w:tcPr>
            <w:tcW w:w="283" w:type="dxa"/>
            <w:vMerge w:val="restart"/>
            <w:shd w:val="clear" w:color="auto" w:fill="auto"/>
            <w:tcMar>
              <w:left w:w="57" w:type="dxa"/>
              <w:right w:w="57" w:type="dxa"/>
            </w:tcMar>
            <w:textDirection w:val="btLr"/>
            <w:vAlign w:val="center"/>
          </w:tcPr>
          <w:p w:rsidR="009A0B83" w:rsidRPr="00ED35A9" w:rsidRDefault="009A0B83" w:rsidP="009A0B83">
            <w:pPr>
              <w:spacing w:line="228" w:lineRule="auto"/>
              <w:ind w:left="113" w:right="113" w:firstLine="0"/>
              <w:jc w:val="center"/>
              <w:rPr>
                <w:sz w:val="24"/>
                <w:szCs w:val="24"/>
                <w:lang w:val="uk-UA"/>
              </w:rPr>
            </w:pPr>
            <w:r w:rsidRPr="00ED35A9">
              <w:rPr>
                <w:b/>
                <w:sz w:val="24"/>
                <w:szCs w:val="24"/>
                <w:lang w:val="uk-UA"/>
              </w:rPr>
              <w:lastRenderedPageBreak/>
              <w:t>Група</w:t>
            </w:r>
          </w:p>
        </w:tc>
        <w:tc>
          <w:tcPr>
            <w:tcW w:w="184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Препарат</w:t>
            </w:r>
          </w:p>
        </w:tc>
        <w:tc>
          <w:tcPr>
            <w:tcW w:w="1558"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Щоденна доза залежно від маси тіла</w:t>
            </w:r>
          </w:p>
        </w:tc>
        <w:tc>
          <w:tcPr>
            <w:tcW w:w="1134"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Форма випуску</w:t>
            </w:r>
          </w:p>
        </w:tc>
        <w:tc>
          <w:tcPr>
            <w:tcW w:w="6665" w:type="dxa"/>
            <w:gridSpan w:val="7"/>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Діапазон маси тіла для пацієнтів</w:t>
            </w:r>
            <w:r w:rsidRPr="00ED35A9">
              <w:rPr>
                <w:b/>
                <w:sz w:val="24"/>
                <w:szCs w:val="24"/>
                <w:lang w:val="uk-UA"/>
              </w:rPr>
              <w:br/>
              <w:t xml:space="preserve">молодше 14 </w:t>
            </w:r>
            <w:proofErr w:type="spellStart"/>
            <w:r w:rsidRPr="00ED35A9">
              <w:rPr>
                <w:b/>
                <w:sz w:val="24"/>
                <w:szCs w:val="24"/>
                <w:lang w:val="uk-UA"/>
              </w:rPr>
              <w:t>років</w:t>
            </w:r>
            <w:r w:rsidRPr="00ED35A9">
              <w:rPr>
                <w:b/>
                <w:sz w:val="24"/>
                <w:szCs w:val="24"/>
                <w:vertAlign w:val="superscript"/>
                <w:lang w:val="uk-UA"/>
              </w:rPr>
              <w:t>a</w:t>
            </w:r>
            <w:proofErr w:type="spellEnd"/>
          </w:p>
        </w:tc>
        <w:tc>
          <w:tcPr>
            <w:tcW w:w="1559"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b/>
                <w:sz w:val="24"/>
                <w:szCs w:val="24"/>
                <w:lang w:val="uk-UA"/>
              </w:rPr>
            </w:pPr>
            <w:r w:rsidRPr="00ED35A9">
              <w:rPr>
                <w:b/>
                <w:sz w:val="24"/>
                <w:szCs w:val="24"/>
                <w:lang w:val="uk-UA"/>
              </w:rPr>
              <w:t xml:space="preserve">Стандартна верхня межа щоденної </w:t>
            </w:r>
            <w:proofErr w:type="spellStart"/>
            <w:r w:rsidRPr="00ED35A9">
              <w:rPr>
                <w:b/>
                <w:sz w:val="24"/>
                <w:szCs w:val="24"/>
                <w:lang w:val="uk-UA"/>
              </w:rPr>
              <w:t>дози</w:t>
            </w:r>
            <w:r w:rsidRPr="00ED35A9">
              <w:rPr>
                <w:b/>
                <w:sz w:val="24"/>
                <w:szCs w:val="24"/>
                <w:vertAlign w:val="superscript"/>
                <w:lang w:val="uk-UA"/>
              </w:rPr>
              <w:t>б</w:t>
            </w:r>
            <w:proofErr w:type="spellEnd"/>
          </w:p>
        </w:tc>
        <w:tc>
          <w:tcPr>
            <w:tcW w:w="1983" w:type="dxa"/>
            <w:vMerge w:val="restart"/>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r w:rsidRPr="00ED35A9">
              <w:rPr>
                <w:b/>
                <w:sz w:val="24"/>
                <w:szCs w:val="24"/>
                <w:lang w:val="uk-UA"/>
              </w:rPr>
              <w:t>Коментарі</w:t>
            </w:r>
          </w:p>
        </w:tc>
      </w:tr>
      <w:tr w:rsidR="009A0B83" w:rsidRPr="00ED35A9" w:rsidTr="009A0B83">
        <w:trPr>
          <w:trHeight w:val="20"/>
        </w:trPr>
        <w:tc>
          <w:tcPr>
            <w:tcW w:w="283" w:type="dxa"/>
            <w:vMerge/>
            <w:shd w:val="clear" w:color="auto" w:fill="auto"/>
            <w:tcMar>
              <w:left w:w="57" w:type="dxa"/>
              <w:right w:w="57" w:type="dxa"/>
            </w:tcMar>
            <w:vAlign w:val="center"/>
          </w:tcPr>
          <w:p w:rsidR="009A0B83" w:rsidRPr="00ED35A9" w:rsidRDefault="009A0B83" w:rsidP="009A0B83">
            <w:pPr>
              <w:spacing w:line="228" w:lineRule="auto"/>
              <w:ind w:firstLine="0"/>
              <w:jc w:val="center"/>
              <w:rPr>
                <w:sz w:val="24"/>
                <w:szCs w:val="24"/>
                <w:lang w:val="uk-UA"/>
              </w:rPr>
            </w:pPr>
          </w:p>
        </w:tc>
        <w:tc>
          <w:tcPr>
            <w:tcW w:w="184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558"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134"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854"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5–6 кг</w:t>
            </w:r>
          </w:p>
        </w:tc>
        <w:tc>
          <w:tcPr>
            <w:tcW w:w="850"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7–8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10–15 кг</w:t>
            </w:r>
          </w:p>
        </w:tc>
        <w:tc>
          <w:tcPr>
            <w:tcW w:w="993"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16–23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24–30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pacing w:val="-3"/>
                <w:sz w:val="20"/>
                <w:szCs w:val="20"/>
                <w:lang w:val="uk-UA"/>
              </w:rPr>
            </w:pPr>
            <w:r w:rsidRPr="00ED35A9">
              <w:rPr>
                <w:b/>
                <w:spacing w:val="-3"/>
                <w:sz w:val="20"/>
                <w:szCs w:val="20"/>
                <w:lang w:val="uk-UA"/>
              </w:rPr>
              <w:t>31–34 кг</w:t>
            </w:r>
          </w:p>
        </w:tc>
        <w:tc>
          <w:tcPr>
            <w:tcW w:w="992" w:type="dxa"/>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b/>
                <w:sz w:val="20"/>
                <w:szCs w:val="20"/>
                <w:lang w:val="uk-UA"/>
              </w:rPr>
            </w:pPr>
            <w:r w:rsidRPr="00ED35A9">
              <w:rPr>
                <w:b/>
                <w:sz w:val="20"/>
                <w:szCs w:val="20"/>
                <w:lang w:val="uk-UA"/>
              </w:rPr>
              <w:t>&gt;34 кг</w:t>
            </w:r>
          </w:p>
        </w:tc>
        <w:tc>
          <w:tcPr>
            <w:tcW w:w="1559"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c>
          <w:tcPr>
            <w:tcW w:w="1983" w:type="dxa"/>
            <w:vMerge/>
            <w:tcBorders>
              <w:bottom w:val="single" w:sz="4" w:space="0" w:color="auto"/>
            </w:tcBorders>
            <w:shd w:val="clear" w:color="auto" w:fill="auto"/>
            <w:tcMar>
              <w:left w:w="57" w:type="dxa"/>
              <w:right w:w="57" w:type="dxa"/>
            </w:tcMar>
            <w:vAlign w:val="center"/>
          </w:tcPr>
          <w:p w:rsidR="009A0B83" w:rsidRPr="00ED35A9" w:rsidRDefault="009A0B83" w:rsidP="009A0B83">
            <w:pPr>
              <w:spacing w:line="228" w:lineRule="auto"/>
              <w:ind w:firstLine="0"/>
              <w:jc w:val="left"/>
              <w:rPr>
                <w:sz w:val="24"/>
                <w:szCs w:val="24"/>
                <w:lang w:val="uk-UA"/>
              </w:rPr>
            </w:pPr>
          </w:p>
        </w:tc>
      </w:tr>
      <w:tr w:rsidR="009A0B83" w:rsidRPr="00ED35A9" w:rsidTr="009A0B83">
        <w:trPr>
          <w:trHeight w:val="1723"/>
        </w:trPr>
        <w:tc>
          <w:tcPr>
            <w:tcW w:w="283" w:type="dxa"/>
            <w:shd w:val="clear" w:color="auto" w:fill="auto"/>
            <w:tcMar>
              <w:left w:w="57" w:type="dxa"/>
              <w:right w:w="57" w:type="dxa"/>
            </w:tcMar>
            <w:textDirection w:val="btLr"/>
            <w:vAlign w:val="center"/>
            <w:hideMark/>
          </w:tcPr>
          <w:p w:rsidR="009A0B83" w:rsidRPr="00ED35A9" w:rsidRDefault="009A0B83" w:rsidP="009A0B83">
            <w:pPr>
              <w:spacing w:line="228" w:lineRule="auto"/>
              <w:ind w:firstLine="0"/>
              <w:jc w:val="center"/>
              <w:rPr>
                <w:rFonts w:cs="Times New Roman"/>
                <w:sz w:val="24"/>
                <w:szCs w:val="24"/>
                <w:vertAlign w:val="superscript"/>
                <w:lang w:val="uk-UA"/>
              </w:rPr>
            </w:pPr>
            <w:r w:rsidRPr="00ED35A9">
              <w:rPr>
                <w:sz w:val="24"/>
                <w:szCs w:val="24"/>
                <w:lang w:val="uk-UA"/>
              </w:rPr>
              <w:t xml:space="preserve">Інші </w:t>
            </w:r>
            <w:proofErr w:type="spellStart"/>
            <w:r w:rsidRPr="00ED35A9">
              <w:rPr>
                <w:sz w:val="24"/>
                <w:szCs w:val="24"/>
                <w:lang w:val="uk-UA"/>
              </w:rPr>
              <w:t>препарати</w:t>
            </w:r>
            <w:r w:rsidRPr="00ED35A9">
              <w:rPr>
                <w:sz w:val="24"/>
                <w:szCs w:val="24"/>
                <w:vertAlign w:val="superscript"/>
                <w:lang w:val="uk-UA"/>
              </w:rPr>
              <w:t>ж</w:t>
            </w:r>
            <w:proofErr w:type="spellEnd"/>
          </w:p>
        </w:tc>
        <w:tc>
          <w:tcPr>
            <w:tcW w:w="184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proofErr w:type="spellStart"/>
            <w:r w:rsidRPr="00ED35A9">
              <w:rPr>
                <w:rFonts w:cs="Times New Roman"/>
                <w:sz w:val="24"/>
                <w:szCs w:val="24"/>
                <w:lang w:val="uk-UA"/>
              </w:rPr>
              <w:t>Ізоніазид</w:t>
            </w:r>
            <w:proofErr w:type="spellEnd"/>
          </w:p>
        </w:tc>
        <w:tc>
          <w:tcPr>
            <w:tcW w:w="1558"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13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854"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850"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3"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992"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559" w:type="dxa"/>
            <w:shd w:val="clear" w:color="auto" w:fill="auto"/>
            <w:tcMar>
              <w:left w:w="57" w:type="dxa"/>
              <w:right w:w="57" w:type="dxa"/>
            </w:tcMar>
            <w:hideMark/>
          </w:tcPr>
          <w:p w:rsidR="009A0B83" w:rsidRPr="00ED35A9" w:rsidRDefault="009A0B83" w:rsidP="009A0B83">
            <w:pPr>
              <w:spacing w:line="228" w:lineRule="auto"/>
              <w:ind w:firstLine="0"/>
              <w:jc w:val="left"/>
              <w:rPr>
                <w:rFonts w:cs="Times New Roman"/>
                <w:sz w:val="24"/>
                <w:szCs w:val="24"/>
                <w:lang w:val="uk-UA"/>
              </w:rPr>
            </w:pPr>
            <w:r w:rsidRPr="00ED35A9">
              <w:rPr>
                <w:sz w:val="24"/>
                <w:szCs w:val="24"/>
                <w:lang w:val="uk-UA"/>
              </w:rPr>
              <w:t>–</w:t>
            </w:r>
          </w:p>
        </w:tc>
        <w:tc>
          <w:tcPr>
            <w:tcW w:w="1983" w:type="dxa"/>
            <w:shd w:val="clear" w:color="auto" w:fill="auto"/>
            <w:tcMar>
              <w:left w:w="57" w:type="dxa"/>
              <w:right w:w="57" w:type="dxa"/>
            </w:tcMar>
            <w:hideMark/>
          </w:tcPr>
          <w:p w:rsidR="009A0B83" w:rsidRPr="00ED35A9" w:rsidRDefault="009A0B83" w:rsidP="00CB3BEE">
            <w:pPr>
              <w:spacing w:before="60" w:line="228" w:lineRule="auto"/>
              <w:ind w:firstLine="0"/>
              <w:jc w:val="left"/>
              <w:rPr>
                <w:rFonts w:cs="Times New Roman"/>
                <w:sz w:val="24"/>
                <w:szCs w:val="24"/>
                <w:lang w:val="uk-UA"/>
              </w:rPr>
            </w:pPr>
            <w:r w:rsidRPr="00ED35A9">
              <w:rPr>
                <w:sz w:val="24"/>
                <w:szCs w:val="24"/>
                <w:lang w:val="uk-UA"/>
              </w:rPr>
              <w:t xml:space="preserve">Не застосовується у пацієнтів віком </w:t>
            </w:r>
            <w:r w:rsidRPr="00ED35A9">
              <w:rPr>
                <w:rFonts w:cs="Times New Roman"/>
                <w:sz w:val="24"/>
                <w:szCs w:val="24"/>
                <w:lang w:val="uk-UA"/>
              </w:rPr>
              <w:t xml:space="preserve">&lt;18 р </w:t>
            </w:r>
            <w:r w:rsidRPr="00ED35A9">
              <w:rPr>
                <w:sz w:val="24"/>
                <w:szCs w:val="24"/>
                <w:lang w:val="uk-UA"/>
              </w:rPr>
              <w:t>(зараз відсутній продукт гарантованої якості)</w:t>
            </w:r>
          </w:p>
        </w:tc>
      </w:tr>
    </w:tbl>
    <w:p w:rsidR="009A0B83" w:rsidRPr="00ED35A9" w:rsidRDefault="009A0B83" w:rsidP="009A0B83">
      <w:pPr>
        <w:ind w:firstLine="0"/>
        <w:rPr>
          <w:sz w:val="24"/>
          <w:szCs w:val="24"/>
          <w:lang w:val="uk-UA"/>
        </w:rPr>
      </w:pPr>
      <w:r w:rsidRPr="00ED35A9">
        <w:rPr>
          <w:b/>
          <w:sz w:val="24"/>
          <w:szCs w:val="24"/>
          <w:lang w:val="uk-UA"/>
        </w:rPr>
        <w:t>Примітка.</w:t>
      </w:r>
      <w:r w:rsidRPr="00ED35A9">
        <w:rPr>
          <w:sz w:val="24"/>
          <w:szCs w:val="24"/>
          <w:lang w:val="uk-UA"/>
        </w:rPr>
        <w:t xml:space="preserve"> Скорочення: &gt;14 р. – застосування окремих схем дозування для пацієнтів старше 14 років; в/в – внутрішньовенно; </w:t>
      </w:r>
      <w:proofErr w:type="spellStart"/>
      <w:r w:rsidRPr="00ED35A9">
        <w:rPr>
          <w:sz w:val="24"/>
          <w:szCs w:val="24"/>
          <w:lang w:val="uk-UA"/>
        </w:rPr>
        <w:t>д.т</w:t>
      </w:r>
      <w:proofErr w:type="spellEnd"/>
      <w:r w:rsidRPr="00ED35A9">
        <w:rPr>
          <w:sz w:val="24"/>
          <w:szCs w:val="24"/>
          <w:lang w:val="uk-UA"/>
        </w:rPr>
        <w:t xml:space="preserve">. – </w:t>
      </w:r>
      <w:proofErr w:type="spellStart"/>
      <w:r w:rsidRPr="00ED35A9">
        <w:rPr>
          <w:sz w:val="24"/>
          <w:szCs w:val="24"/>
          <w:lang w:val="uk-UA"/>
        </w:rPr>
        <w:t>диспергована</w:t>
      </w:r>
      <w:proofErr w:type="spellEnd"/>
      <w:r w:rsidRPr="00ED35A9">
        <w:rPr>
          <w:sz w:val="24"/>
          <w:szCs w:val="24"/>
          <w:lang w:val="uk-UA"/>
        </w:rPr>
        <w:t xml:space="preserve"> таблетка; </w:t>
      </w:r>
      <w:proofErr w:type="spellStart"/>
      <w:r w:rsidRPr="00ED35A9">
        <w:rPr>
          <w:sz w:val="24"/>
          <w:szCs w:val="24"/>
          <w:lang w:val="uk-UA"/>
        </w:rPr>
        <w:t>капс</w:t>
      </w:r>
      <w:proofErr w:type="spellEnd"/>
      <w:r w:rsidRPr="00ED35A9">
        <w:rPr>
          <w:sz w:val="24"/>
          <w:szCs w:val="24"/>
          <w:lang w:val="uk-UA"/>
        </w:rPr>
        <w:t xml:space="preserve">. – капсули; пн/ср/пт – понеділок, середа, п’ятниця; </w:t>
      </w:r>
      <w:proofErr w:type="spellStart"/>
      <w:r w:rsidRPr="00ED35A9">
        <w:rPr>
          <w:sz w:val="24"/>
          <w:szCs w:val="24"/>
          <w:lang w:val="uk-UA"/>
        </w:rPr>
        <w:t>сусп</w:t>
      </w:r>
      <w:proofErr w:type="spellEnd"/>
      <w:r w:rsidRPr="00ED35A9">
        <w:rPr>
          <w:sz w:val="24"/>
          <w:szCs w:val="24"/>
          <w:lang w:val="uk-UA"/>
        </w:rPr>
        <w:t>. – суспензія; табл. – таблетки.</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t>a</w:t>
      </w:r>
      <w:r w:rsidRPr="00ED35A9">
        <w:rPr>
          <w:sz w:val="24"/>
          <w:szCs w:val="24"/>
          <w:lang w:val="uk-UA"/>
        </w:rPr>
        <w:t>Дозування</w:t>
      </w:r>
      <w:proofErr w:type="spellEnd"/>
      <w:r w:rsidRPr="00ED35A9">
        <w:rPr>
          <w:sz w:val="24"/>
          <w:szCs w:val="24"/>
          <w:lang w:val="uk-UA"/>
        </w:rPr>
        <w:t xml:space="preserve"> були визначені ГРН для Настанови ВООЗ із лікування </w:t>
      </w:r>
      <w:proofErr w:type="spellStart"/>
      <w:r w:rsidRPr="00ED35A9">
        <w:rPr>
          <w:sz w:val="24"/>
          <w:szCs w:val="24"/>
          <w:lang w:val="uk-UA"/>
        </w:rPr>
        <w:t>мультирезистентного</w:t>
      </w:r>
      <w:proofErr w:type="spellEnd"/>
      <w:r w:rsidRPr="00ED35A9">
        <w:rPr>
          <w:sz w:val="24"/>
          <w:szCs w:val="24"/>
          <w:lang w:val="uk-UA"/>
        </w:rPr>
        <w:t xml:space="preserve"> та </w:t>
      </w:r>
      <w:proofErr w:type="spellStart"/>
      <w:r w:rsidRPr="00ED35A9">
        <w:rPr>
          <w:sz w:val="24"/>
          <w:szCs w:val="24"/>
          <w:lang w:val="uk-UA"/>
        </w:rPr>
        <w:t>рифампіцин</w:t>
      </w:r>
      <w:proofErr w:type="spellEnd"/>
      <w:r w:rsidRPr="00ED35A9">
        <w:rPr>
          <w:sz w:val="24"/>
          <w:szCs w:val="24"/>
          <w:lang w:val="uk-UA"/>
        </w:rPr>
        <w:t xml:space="preserve">-резистентного туберкульозу (оновлення 2018 р.) та Глобальною робочою групою ВООЗ із ФК/ФД ПТП, а також іншими експертами. Вони ґрунтуються на новіших оглядах та передових практиках у лікуванні МР/Риф-ТБ. Для певних препаратів дозування було визначено за результатами </w:t>
      </w:r>
      <w:proofErr w:type="spellStart"/>
      <w:r w:rsidRPr="00ED35A9">
        <w:rPr>
          <w:sz w:val="24"/>
          <w:szCs w:val="24"/>
          <w:lang w:val="uk-UA"/>
        </w:rPr>
        <w:t>фармакокінетичного</w:t>
      </w:r>
      <w:proofErr w:type="spellEnd"/>
      <w:r w:rsidRPr="00ED35A9">
        <w:rPr>
          <w:sz w:val="24"/>
          <w:szCs w:val="24"/>
          <w:lang w:val="uk-UA"/>
        </w:rPr>
        <w:t xml:space="preserve"> моделювання на основі принципів </w:t>
      </w:r>
      <w:proofErr w:type="spellStart"/>
      <w:r w:rsidRPr="00ED35A9">
        <w:rPr>
          <w:sz w:val="24"/>
          <w:szCs w:val="24"/>
          <w:lang w:val="uk-UA"/>
        </w:rPr>
        <w:t>алометричного</w:t>
      </w:r>
      <w:proofErr w:type="spellEnd"/>
      <w:r w:rsidRPr="00ED35A9">
        <w:rPr>
          <w:sz w:val="24"/>
          <w:szCs w:val="24"/>
          <w:lang w:val="uk-UA"/>
        </w:rPr>
        <w:t xml:space="preserve"> масштабування (</w:t>
      </w:r>
      <w:proofErr w:type="spellStart"/>
      <w:r w:rsidRPr="00ED35A9">
        <w:rPr>
          <w:sz w:val="24"/>
          <w:szCs w:val="24"/>
          <w:lang w:val="uk-UA"/>
        </w:rPr>
        <w:t>Anderson</w:t>
      </w:r>
      <w:proofErr w:type="spellEnd"/>
      <w:r w:rsidRPr="00ED35A9">
        <w:rPr>
          <w:sz w:val="24"/>
          <w:szCs w:val="24"/>
          <w:lang w:val="uk-UA"/>
        </w:rPr>
        <w:t xml:space="preserve"> BJ, </w:t>
      </w:r>
      <w:proofErr w:type="spellStart"/>
      <w:r w:rsidRPr="00ED35A9">
        <w:rPr>
          <w:sz w:val="24"/>
          <w:szCs w:val="24"/>
          <w:lang w:val="uk-UA"/>
        </w:rPr>
        <w:t>Holford</w:t>
      </w:r>
      <w:proofErr w:type="spellEnd"/>
      <w:r w:rsidRPr="00ED35A9">
        <w:rPr>
          <w:sz w:val="24"/>
          <w:szCs w:val="24"/>
          <w:lang w:val="uk-UA"/>
        </w:rPr>
        <w:t xml:space="preserve"> NH. </w:t>
      </w:r>
      <w:proofErr w:type="spellStart"/>
      <w:r w:rsidRPr="00ED35A9">
        <w:rPr>
          <w:sz w:val="24"/>
          <w:szCs w:val="24"/>
          <w:lang w:val="uk-UA"/>
        </w:rPr>
        <w:t>Mechanism-based</w:t>
      </w:r>
      <w:proofErr w:type="spellEnd"/>
      <w:r w:rsidRPr="00ED35A9">
        <w:rPr>
          <w:sz w:val="24"/>
          <w:szCs w:val="24"/>
          <w:lang w:val="uk-UA"/>
        </w:rPr>
        <w:t xml:space="preserve"> </w:t>
      </w:r>
      <w:proofErr w:type="spellStart"/>
      <w:r w:rsidRPr="00ED35A9">
        <w:rPr>
          <w:sz w:val="24"/>
          <w:szCs w:val="24"/>
          <w:lang w:val="uk-UA"/>
        </w:rPr>
        <w:t>concepts</w:t>
      </w:r>
      <w:proofErr w:type="spellEnd"/>
      <w:r w:rsidRPr="00ED35A9">
        <w:rPr>
          <w:sz w:val="24"/>
          <w:szCs w:val="24"/>
          <w:lang w:val="uk-UA"/>
        </w:rPr>
        <w:t xml:space="preserve"> </w:t>
      </w:r>
      <w:proofErr w:type="spellStart"/>
      <w:r w:rsidRPr="00ED35A9">
        <w:rPr>
          <w:sz w:val="24"/>
          <w:szCs w:val="24"/>
          <w:lang w:val="uk-UA"/>
        </w:rPr>
        <w:t>of</w:t>
      </w:r>
      <w:proofErr w:type="spellEnd"/>
      <w:r w:rsidRPr="00ED35A9">
        <w:rPr>
          <w:sz w:val="24"/>
          <w:szCs w:val="24"/>
          <w:lang w:val="uk-UA"/>
        </w:rPr>
        <w:t xml:space="preserve"> </w:t>
      </w:r>
      <w:proofErr w:type="spellStart"/>
      <w:r w:rsidRPr="00ED35A9">
        <w:rPr>
          <w:sz w:val="24"/>
          <w:szCs w:val="24"/>
          <w:lang w:val="uk-UA"/>
        </w:rPr>
        <w:t>size</w:t>
      </w:r>
      <w:proofErr w:type="spellEnd"/>
      <w:r w:rsidRPr="00ED35A9">
        <w:rPr>
          <w:sz w:val="24"/>
          <w:szCs w:val="24"/>
          <w:lang w:val="uk-UA"/>
        </w:rPr>
        <w:t xml:space="preserve"> </w:t>
      </w:r>
      <w:proofErr w:type="spellStart"/>
      <w:r w:rsidRPr="00ED35A9">
        <w:rPr>
          <w:sz w:val="24"/>
          <w:szCs w:val="24"/>
          <w:lang w:val="uk-UA"/>
        </w:rPr>
        <w:t>and</w:t>
      </w:r>
      <w:proofErr w:type="spellEnd"/>
      <w:r w:rsidRPr="00ED35A9">
        <w:rPr>
          <w:sz w:val="24"/>
          <w:szCs w:val="24"/>
          <w:lang w:val="uk-UA"/>
        </w:rPr>
        <w:t xml:space="preserve"> </w:t>
      </w:r>
      <w:proofErr w:type="spellStart"/>
      <w:r w:rsidRPr="00ED35A9">
        <w:rPr>
          <w:sz w:val="24"/>
          <w:szCs w:val="24"/>
          <w:lang w:val="uk-UA"/>
        </w:rPr>
        <w:t>maturity</w:t>
      </w:r>
      <w:proofErr w:type="spellEnd"/>
      <w:r w:rsidRPr="00ED35A9">
        <w:rPr>
          <w:sz w:val="24"/>
          <w:szCs w:val="24"/>
          <w:lang w:val="uk-UA"/>
        </w:rPr>
        <w:t xml:space="preserve"> </w:t>
      </w:r>
      <w:proofErr w:type="spellStart"/>
      <w:r w:rsidRPr="00ED35A9">
        <w:rPr>
          <w:sz w:val="24"/>
          <w:szCs w:val="24"/>
          <w:lang w:val="uk-UA"/>
        </w:rPr>
        <w:t>in</w:t>
      </w:r>
      <w:proofErr w:type="spellEnd"/>
      <w:r w:rsidRPr="00ED35A9">
        <w:rPr>
          <w:sz w:val="24"/>
          <w:szCs w:val="24"/>
          <w:lang w:val="uk-UA"/>
        </w:rPr>
        <w:t xml:space="preserve"> </w:t>
      </w:r>
      <w:proofErr w:type="spellStart"/>
      <w:r w:rsidRPr="00ED35A9">
        <w:rPr>
          <w:sz w:val="24"/>
          <w:szCs w:val="24"/>
          <w:lang w:val="uk-UA"/>
        </w:rPr>
        <w:t>pharmacokinetics</w:t>
      </w:r>
      <w:proofErr w:type="spellEnd"/>
      <w:r w:rsidRPr="00ED35A9">
        <w:rPr>
          <w:sz w:val="24"/>
          <w:szCs w:val="24"/>
          <w:lang w:val="uk-UA"/>
        </w:rPr>
        <w:t xml:space="preserve">. </w:t>
      </w:r>
      <w:proofErr w:type="spellStart"/>
      <w:r w:rsidRPr="00ED35A9">
        <w:rPr>
          <w:i/>
          <w:sz w:val="24"/>
          <w:szCs w:val="24"/>
          <w:lang w:val="uk-UA"/>
        </w:rPr>
        <w:t>Annu</w:t>
      </w:r>
      <w:proofErr w:type="spellEnd"/>
      <w:r w:rsidRPr="00ED35A9">
        <w:rPr>
          <w:i/>
          <w:sz w:val="24"/>
          <w:szCs w:val="24"/>
          <w:lang w:val="uk-UA"/>
        </w:rPr>
        <w:t xml:space="preserve"> </w:t>
      </w:r>
      <w:proofErr w:type="spellStart"/>
      <w:r w:rsidRPr="00ED35A9">
        <w:rPr>
          <w:i/>
          <w:sz w:val="24"/>
          <w:szCs w:val="24"/>
          <w:lang w:val="uk-UA"/>
        </w:rPr>
        <w:t>Rev</w:t>
      </w:r>
      <w:proofErr w:type="spellEnd"/>
      <w:r w:rsidRPr="00ED35A9">
        <w:rPr>
          <w:i/>
          <w:sz w:val="24"/>
          <w:szCs w:val="24"/>
          <w:lang w:val="uk-UA"/>
        </w:rPr>
        <w:t xml:space="preserve"> </w:t>
      </w:r>
      <w:proofErr w:type="spellStart"/>
      <w:r w:rsidRPr="00ED35A9">
        <w:rPr>
          <w:i/>
          <w:sz w:val="24"/>
          <w:szCs w:val="24"/>
          <w:lang w:val="uk-UA"/>
        </w:rPr>
        <w:t>Pharmacol</w:t>
      </w:r>
      <w:proofErr w:type="spellEnd"/>
      <w:r w:rsidRPr="00ED35A9">
        <w:rPr>
          <w:i/>
          <w:sz w:val="24"/>
          <w:szCs w:val="24"/>
          <w:lang w:val="uk-UA"/>
        </w:rPr>
        <w:t xml:space="preserve"> </w:t>
      </w:r>
      <w:proofErr w:type="spellStart"/>
      <w:r w:rsidRPr="00ED35A9">
        <w:rPr>
          <w:i/>
          <w:sz w:val="24"/>
          <w:szCs w:val="24"/>
          <w:lang w:val="uk-UA"/>
        </w:rPr>
        <w:t>Toxicol</w:t>
      </w:r>
      <w:proofErr w:type="spellEnd"/>
      <w:r w:rsidRPr="00ED35A9">
        <w:rPr>
          <w:sz w:val="24"/>
          <w:szCs w:val="24"/>
          <w:lang w:val="uk-UA"/>
        </w:rPr>
        <w:t xml:space="preserve">, 2008, 48: 303–332). Через </w:t>
      </w:r>
      <w:proofErr w:type="spellStart"/>
      <w:r w:rsidRPr="00ED35A9">
        <w:rPr>
          <w:sz w:val="24"/>
          <w:szCs w:val="24"/>
          <w:lang w:val="uk-UA"/>
        </w:rPr>
        <w:t>фармакокінетичні</w:t>
      </w:r>
      <w:proofErr w:type="spellEnd"/>
      <w:r w:rsidRPr="00ED35A9">
        <w:rPr>
          <w:sz w:val="24"/>
          <w:szCs w:val="24"/>
          <w:lang w:val="uk-UA"/>
        </w:rPr>
        <w:t xml:space="preserve"> властивості певних препаратів запропоновані дози можуть перевищувати наведені в таблиці діапазони (мг/кг/день) для досягнення у крові концентрації, подібної до цільових рівнів у середнього здорового пацієнта. У пацієнтів з масою тіла &gt;30 кг слід застосовувати дозування для пацієнтів віком &gt;1 рік, якщо не зазначено інше. Якщо для одного діапазону маси тіла вказано декілька варіантів дозування, слід обирати нижчий або вищий варіант залежно від того, чи пацієнт ближчий до нижнього чи верхнього діапазону маси тіла. Слід застосовувати найближче до цільового показника дозування (мг/кг/день), що є зручнішим при використанні пероральної або парентеральної рідини, а також доступних твердих форм різного дозування. За можливості слід уникати поділу таблеток. Рекомендовано проводити фармакологічний моніторинг у випадках, коли дозування наближується до нижчої або верхньої межі діапазону, щоб мінімізувати небажані наслідки лікування через надмірну чи недостатню дію препарату (особливо при застосуванні ін’єкційних препаратів, </w:t>
      </w:r>
      <w:proofErr w:type="spellStart"/>
      <w:r w:rsidRPr="00ED35A9">
        <w:rPr>
          <w:sz w:val="24"/>
          <w:szCs w:val="24"/>
          <w:lang w:val="uk-UA"/>
        </w:rPr>
        <w:t>лінезоліду</w:t>
      </w:r>
      <w:proofErr w:type="spellEnd"/>
      <w:r w:rsidRPr="00ED35A9">
        <w:rPr>
          <w:sz w:val="24"/>
          <w:szCs w:val="24"/>
          <w:lang w:val="uk-UA"/>
        </w:rPr>
        <w:t xml:space="preserve"> та </w:t>
      </w:r>
      <w:proofErr w:type="spellStart"/>
      <w:r w:rsidRPr="00ED35A9">
        <w:rPr>
          <w:sz w:val="24"/>
          <w:szCs w:val="24"/>
          <w:lang w:val="uk-UA"/>
        </w:rPr>
        <w:t>фторхінолонів</w:t>
      </w:r>
      <w:proofErr w:type="spellEnd"/>
      <w:r w:rsidRPr="00ED35A9">
        <w:rPr>
          <w:sz w:val="24"/>
          <w:szCs w:val="24"/>
          <w:lang w:val="uk-UA"/>
        </w:rPr>
        <w:t>).</w:t>
      </w:r>
    </w:p>
    <w:p w:rsidR="009A0B83" w:rsidRPr="00ED35A9" w:rsidRDefault="009A0B83" w:rsidP="009A0B83">
      <w:pPr>
        <w:spacing w:before="120" w:after="120"/>
        <w:ind w:firstLine="0"/>
        <w:rPr>
          <w:sz w:val="24"/>
          <w:szCs w:val="24"/>
          <w:lang w:val="uk-UA"/>
        </w:rPr>
      </w:pPr>
      <w:proofErr w:type="spellStart"/>
      <w:r w:rsidRPr="00ED35A9">
        <w:rPr>
          <w:sz w:val="24"/>
          <w:szCs w:val="24"/>
          <w:vertAlign w:val="superscript"/>
          <w:lang w:val="uk-UA"/>
        </w:rPr>
        <w:t>б</w:t>
      </w:r>
      <w:r w:rsidRPr="00ED35A9">
        <w:rPr>
          <w:sz w:val="24"/>
          <w:szCs w:val="24"/>
          <w:lang w:val="uk-UA"/>
        </w:rPr>
        <w:t>Клініцисти</w:t>
      </w:r>
      <w:proofErr w:type="spellEnd"/>
      <w:r w:rsidRPr="00ED35A9">
        <w:rPr>
          <w:sz w:val="24"/>
          <w:szCs w:val="24"/>
          <w:lang w:val="uk-UA"/>
        </w:rPr>
        <w:t xml:space="preserve"> можуть прийняти рішення про перевищення цих значень в окремих випадках для покращення терапевтичного ефекту.</w:t>
      </w:r>
    </w:p>
    <w:p w:rsidR="009A0B83" w:rsidRPr="00ED35A9" w:rsidRDefault="009A0B83" w:rsidP="009A0B83">
      <w:pPr>
        <w:ind w:firstLine="0"/>
        <w:rPr>
          <w:sz w:val="24"/>
          <w:szCs w:val="24"/>
          <w:lang w:val="uk-UA"/>
        </w:rPr>
      </w:pPr>
      <w:proofErr w:type="spellStart"/>
      <w:r w:rsidRPr="00ED35A9">
        <w:rPr>
          <w:sz w:val="24"/>
          <w:szCs w:val="24"/>
          <w:vertAlign w:val="superscript"/>
          <w:lang w:val="uk-UA"/>
        </w:rPr>
        <w:t>в</w:t>
      </w:r>
      <w:r w:rsidRPr="00ED35A9">
        <w:rPr>
          <w:sz w:val="24"/>
          <w:szCs w:val="24"/>
          <w:lang w:val="uk-UA"/>
        </w:rPr>
        <w:t>Рекомендовано</w:t>
      </w:r>
      <w:proofErr w:type="spellEnd"/>
      <w:r w:rsidRPr="00ED35A9">
        <w:rPr>
          <w:sz w:val="24"/>
          <w:szCs w:val="24"/>
          <w:lang w:val="uk-UA"/>
        </w:rPr>
        <w:t xml:space="preserve"> уникати застосування твердих лікарських форм для пацієнтів у низьких вагових діапазонах, замість цього використовуючи розчин у 10 мл води, що може допомогти прийому, проте </w:t>
      </w:r>
      <w:proofErr w:type="spellStart"/>
      <w:r w:rsidRPr="00ED35A9">
        <w:rPr>
          <w:sz w:val="24"/>
          <w:szCs w:val="24"/>
          <w:lang w:val="uk-UA"/>
        </w:rPr>
        <w:t>біодоступність</w:t>
      </w:r>
      <w:proofErr w:type="spellEnd"/>
      <w:r w:rsidRPr="00ED35A9">
        <w:rPr>
          <w:sz w:val="24"/>
          <w:szCs w:val="24"/>
          <w:lang w:val="uk-UA"/>
        </w:rPr>
        <w:t xml:space="preserve"> чітко не визначено (за можливості краще використовувати </w:t>
      </w:r>
      <w:proofErr w:type="spellStart"/>
      <w:r w:rsidRPr="00ED35A9">
        <w:rPr>
          <w:sz w:val="24"/>
          <w:szCs w:val="24"/>
          <w:lang w:val="uk-UA"/>
        </w:rPr>
        <w:t>дисперговані</w:t>
      </w:r>
      <w:proofErr w:type="spellEnd"/>
      <w:r w:rsidRPr="00ED35A9">
        <w:rPr>
          <w:sz w:val="24"/>
          <w:szCs w:val="24"/>
          <w:lang w:val="uk-UA"/>
        </w:rPr>
        <w:t xml:space="preserve"> таблетки).</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t>г</w:t>
      </w:r>
      <w:r w:rsidRPr="00ED35A9">
        <w:rPr>
          <w:sz w:val="24"/>
          <w:szCs w:val="24"/>
          <w:lang w:val="uk-UA"/>
        </w:rPr>
        <w:t>В</w:t>
      </w:r>
      <w:proofErr w:type="spellEnd"/>
      <w:r w:rsidRPr="00ED35A9">
        <w:rPr>
          <w:sz w:val="24"/>
          <w:szCs w:val="24"/>
          <w:lang w:val="uk-UA"/>
        </w:rPr>
        <w:t xml:space="preserve"> осіб з масою тіла &gt;44 кг рекомендовано застосовувати дозу 600 мг.</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lastRenderedPageBreak/>
        <w:t>д</w:t>
      </w:r>
      <w:r w:rsidRPr="00ED35A9">
        <w:rPr>
          <w:sz w:val="24"/>
          <w:szCs w:val="24"/>
          <w:lang w:val="uk-UA"/>
        </w:rPr>
        <w:t>Можливе</w:t>
      </w:r>
      <w:proofErr w:type="spellEnd"/>
      <w:r w:rsidRPr="00ED35A9">
        <w:rPr>
          <w:sz w:val="24"/>
          <w:szCs w:val="24"/>
          <w:lang w:val="uk-UA"/>
        </w:rPr>
        <w:t xml:space="preserve"> застосування у дітей віком 3–5 років. Застосування половини дорослої таблетки 50 мг у дітей не призводить до таких самих рівнів у крові, які було відзначено у дослідженнях при застосуванні педіатричної таблетки 25 мг. </w:t>
      </w:r>
      <w:proofErr w:type="spellStart"/>
      <w:r w:rsidRPr="00ED35A9">
        <w:rPr>
          <w:sz w:val="24"/>
          <w:szCs w:val="24"/>
          <w:lang w:val="uk-UA"/>
        </w:rPr>
        <w:t>Біодоступність</w:t>
      </w:r>
      <w:proofErr w:type="spellEnd"/>
      <w:r w:rsidRPr="00ED35A9">
        <w:rPr>
          <w:sz w:val="24"/>
          <w:szCs w:val="24"/>
          <w:lang w:val="uk-UA"/>
        </w:rPr>
        <w:t xml:space="preserve"> може змінитися, якщо таблетку 50 мг поділити, розчавити або розчинити.</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t>е</w:t>
      </w:r>
      <w:r w:rsidRPr="00ED35A9">
        <w:rPr>
          <w:sz w:val="24"/>
          <w:szCs w:val="24"/>
          <w:lang w:val="uk-UA"/>
        </w:rPr>
        <w:t>Щоденна</w:t>
      </w:r>
      <w:proofErr w:type="spellEnd"/>
      <w:r w:rsidRPr="00ED35A9">
        <w:rPr>
          <w:sz w:val="24"/>
          <w:szCs w:val="24"/>
          <w:lang w:val="uk-UA"/>
        </w:rPr>
        <w:t xml:space="preserve"> доза із врахуванням показників маси тіла для прийому протягом 6 або 7 днів на тиждень (у розкладах пн/ср/пт дозування може бути вищим). Наведені об’єми дозування можуть відрізнятися залежно від приготування. Стрептоміцин можна розводити трьома різними способами. Дозування ближче до верхньої межі мг/кг/день є небажаним. Для внутрішньовенного застосування об’єм може бути збільшено.</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t>ж</w:t>
      </w:r>
      <w:r w:rsidRPr="00ED35A9">
        <w:rPr>
          <w:sz w:val="24"/>
          <w:szCs w:val="24"/>
          <w:lang w:val="uk-UA"/>
        </w:rPr>
        <w:t>У</w:t>
      </w:r>
      <w:proofErr w:type="spellEnd"/>
      <w:r w:rsidRPr="00ED35A9">
        <w:rPr>
          <w:sz w:val="24"/>
          <w:szCs w:val="24"/>
          <w:lang w:val="uk-UA"/>
        </w:rPr>
        <w:t xml:space="preserve"> настановах ВООЗ 2018 р. застосування цих препаратів більше не рекомендовано (</w:t>
      </w:r>
      <w:proofErr w:type="spellStart"/>
      <w:r w:rsidRPr="00ED35A9">
        <w:rPr>
          <w:sz w:val="24"/>
          <w:szCs w:val="24"/>
          <w:lang w:val="uk-UA"/>
        </w:rPr>
        <w:t>канаміцин</w:t>
      </w:r>
      <w:proofErr w:type="spellEnd"/>
      <w:r w:rsidRPr="00ED35A9">
        <w:rPr>
          <w:sz w:val="24"/>
          <w:szCs w:val="24"/>
          <w:lang w:val="uk-UA"/>
        </w:rPr>
        <w:t xml:space="preserve">, </w:t>
      </w:r>
      <w:proofErr w:type="spellStart"/>
      <w:r w:rsidRPr="00ED35A9">
        <w:rPr>
          <w:sz w:val="24"/>
          <w:szCs w:val="24"/>
          <w:lang w:val="uk-UA"/>
        </w:rPr>
        <w:t>капреоміцин</w:t>
      </w:r>
      <w:proofErr w:type="spellEnd"/>
      <w:r w:rsidRPr="00ED35A9">
        <w:rPr>
          <w:sz w:val="24"/>
          <w:szCs w:val="24"/>
          <w:lang w:val="uk-UA"/>
        </w:rPr>
        <w:t>), рекомендовано лише як супутній препарат (</w:t>
      </w:r>
      <w:proofErr w:type="spellStart"/>
      <w:r w:rsidRPr="00ED35A9">
        <w:rPr>
          <w:sz w:val="24"/>
          <w:szCs w:val="24"/>
          <w:lang w:val="uk-UA"/>
        </w:rPr>
        <w:t>амоксіцилін-клавуланова</w:t>
      </w:r>
      <w:proofErr w:type="spellEnd"/>
      <w:r w:rsidRPr="00ED35A9">
        <w:rPr>
          <w:sz w:val="24"/>
          <w:szCs w:val="24"/>
          <w:lang w:val="uk-UA"/>
        </w:rPr>
        <w:t xml:space="preserve"> кислота) або не включено через недостатню кількість даних з останнього аналізу довгострокових схем лікування МРТБ у дорослих (</w:t>
      </w:r>
      <w:proofErr w:type="spellStart"/>
      <w:r w:rsidRPr="00ED35A9">
        <w:rPr>
          <w:sz w:val="24"/>
          <w:szCs w:val="24"/>
          <w:lang w:val="uk-UA"/>
        </w:rPr>
        <w:t>гатіфлоксацин</w:t>
      </w:r>
      <w:proofErr w:type="spellEnd"/>
      <w:r w:rsidRPr="00ED35A9">
        <w:rPr>
          <w:sz w:val="24"/>
          <w:szCs w:val="24"/>
          <w:lang w:val="uk-UA"/>
        </w:rPr>
        <w:t xml:space="preserve">, </w:t>
      </w:r>
      <w:proofErr w:type="spellStart"/>
      <w:r w:rsidRPr="00ED35A9">
        <w:rPr>
          <w:sz w:val="24"/>
          <w:szCs w:val="24"/>
          <w:lang w:val="uk-UA"/>
        </w:rPr>
        <w:t>ізоніазид</w:t>
      </w:r>
      <w:proofErr w:type="spellEnd"/>
      <w:r w:rsidRPr="00ED35A9">
        <w:rPr>
          <w:sz w:val="24"/>
          <w:szCs w:val="24"/>
          <w:lang w:val="uk-UA"/>
        </w:rPr>
        <w:t xml:space="preserve"> та </w:t>
      </w:r>
      <w:proofErr w:type="spellStart"/>
      <w:r w:rsidRPr="00ED35A9">
        <w:rPr>
          <w:sz w:val="24"/>
          <w:szCs w:val="24"/>
          <w:lang w:val="uk-UA"/>
        </w:rPr>
        <w:t>тіоацетазон</w:t>
      </w:r>
      <w:proofErr w:type="spellEnd"/>
      <w:r w:rsidRPr="00ED35A9">
        <w:rPr>
          <w:sz w:val="24"/>
          <w:szCs w:val="24"/>
          <w:lang w:val="uk-UA"/>
        </w:rPr>
        <w:t>).</w:t>
      </w:r>
    </w:p>
    <w:p w:rsidR="009A0B83" w:rsidRPr="00ED35A9" w:rsidRDefault="009A0B83" w:rsidP="009A0B83">
      <w:pPr>
        <w:spacing w:before="120"/>
        <w:ind w:firstLine="0"/>
        <w:rPr>
          <w:sz w:val="24"/>
          <w:szCs w:val="24"/>
          <w:lang w:val="uk-UA"/>
        </w:rPr>
      </w:pPr>
      <w:proofErr w:type="spellStart"/>
      <w:r w:rsidRPr="00ED35A9">
        <w:rPr>
          <w:sz w:val="24"/>
          <w:szCs w:val="24"/>
          <w:vertAlign w:val="superscript"/>
          <w:lang w:val="uk-UA"/>
        </w:rPr>
        <w:t>з</w:t>
      </w:r>
      <w:r w:rsidRPr="00ED35A9">
        <w:rPr>
          <w:sz w:val="24"/>
          <w:szCs w:val="24"/>
          <w:lang w:val="uk-UA"/>
        </w:rPr>
        <w:t>Доступний</w:t>
      </w:r>
      <w:proofErr w:type="spellEnd"/>
      <w:r w:rsidRPr="00ED35A9">
        <w:rPr>
          <w:sz w:val="24"/>
          <w:szCs w:val="24"/>
          <w:lang w:val="uk-UA"/>
        </w:rPr>
        <w:t xml:space="preserve"> лише у комбінації з </w:t>
      </w:r>
      <w:proofErr w:type="spellStart"/>
      <w:r w:rsidRPr="00ED35A9">
        <w:rPr>
          <w:sz w:val="24"/>
          <w:szCs w:val="24"/>
          <w:lang w:val="uk-UA"/>
        </w:rPr>
        <w:t>амоксіциліном</w:t>
      </w:r>
      <w:proofErr w:type="spellEnd"/>
      <w:r w:rsidRPr="00ED35A9">
        <w:rPr>
          <w:sz w:val="24"/>
          <w:szCs w:val="24"/>
          <w:lang w:val="uk-UA"/>
        </w:rPr>
        <w:t xml:space="preserve"> як ко-</w:t>
      </w:r>
      <w:proofErr w:type="spellStart"/>
      <w:r w:rsidRPr="00ED35A9">
        <w:rPr>
          <w:sz w:val="24"/>
          <w:szCs w:val="24"/>
          <w:lang w:val="uk-UA"/>
        </w:rPr>
        <w:t>амоксіклав</w:t>
      </w:r>
      <w:proofErr w:type="spellEnd"/>
      <w:r w:rsidRPr="00ED35A9">
        <w:rPr>
          <w:sz w:val="24"/>
          <w:szCs w:val="24"/>
          <w:lang w:val="uk-UA"/>
        </w:rPr>
        <w:t xml:space="preserve">. Призначається лише разом </w:t>
      </w:r>
      <w:r w:rsidRPr="00ED35A9">
        <w:rPr>
          <w:rFonts w:eastAsia="Calibri" w:cs="Times New Roman"/>
          <w:sz w:val="24"/>
          <w:szCs w:val="24"/>
          <w:lang w:val="uk-UA"/>
        </w:rPr>
        <w:t xml:space="preserve">з </w:t>
      </w:r>
      <w:proofErr w:type="spellStart"/>
      <w:r w:rsidRPr="00ED35A9">
        <w:rPr>
          <w:rFonts w:eastAsia="Calibri" w:cs="Times New Roman"/>
          <w:sz w:val="24"/>
          <w:szCs w:val="24"/>
          <w:lang w:val="uk-UA"/>
        </w:rPr>
        <w:t>карбапенемами</w:t>
      </w:r>
      <w:proofErr w:type="spellEnd"/>
      <w:r w:rsidRPr="00ED35A9">
        <w:rPr>
          <w:sz w:val="24"/>
          <w:szCs w:val="24"/>
          <w:lang w:val="uk-UA"/>
        </w:rPr>
        <w:t xml:space="preserve">, наприклад в дозі 125 мг 2 рази/добу або 125 мг 3 рази/добу для пацієнтів </w:t>
      </w:r>
      <w:r w:rsidRPr="00ED35A9">
        <w:rPr>
          <w:rFonts w:eastAsia="Calibri" w:cs="Times New Roman"/>
          <w:sz w:val="24"/>
          <w:szCs w:val="24"/>
          <w:lang w:val="uk-UA"/>
        </w:rPr>
        <w:t>у ваговому діапазоні 24</w:t>
      </w:r>
      <w:r w:rsidRPr="00ED35A9">
        <w:rPr>
          <w:sz w:val="24"/>
          <w:szCs w:val="24"/>
          <w:lang w:val="uk-UA"/>
        </w:rPr>
        <w:t>–</w:t>
      </w:r>
      <w:r w:rsidRPr="00ED35A9">
        <w:rPr>
          <w:rFonts w:eastAsia="Calibri" w:cs="Times New Roman"/>
          <w:sz w:val="24"/>
          <w:szCs w:val="24"/>
          <w:lang w:val="uk-UA"/>
        </w:rPr>
        <w:t>30</w:t>
      </w:r>
      <w:r w:rsidRPr="00ED35A9">
        <w:rPr>
          <w:sz w:val="24"/>
          <w:szCs w:val="24"/>
          <w:lang w:val="uk-UA"/>
        </w:rPr>
        <w:t> </w:t>
      </w:r>
      <w:r w:rsidRPr="00ED35A9">
        <w:rPr>
          <w:rFonts w:eastAsia="Calibri" w:cs="Times New Roman"/>
          <w:sz w:val="24"/>
          <w:szCs w:val="24"/>
          <w:lang w:val="uk-UA"/>
        </w:rPr>
        <w:t>кг</w:t>
      </w:r>
      <w:r w:rsidRPr="00ED35A9">
        <w:rPr>
          <w:sz w:val="24"/>
          <w:szCs w:val="24"/>
          <w:lang w:val="uk-UA"/>
        </w:rPr>
        <w:t>.</w:t>
      </w:r>
    </w:p>
    <w:p w:rsidR="009A0B83" w:rsidRPr="00ED35A9" w:rsidRDefault="009A0B83" w:rsidP="009A0B83">
      <w:pPr>
        <w:ind w:firstLine="0"/>
        <w:rPr>
          <w:sz w:val="24"/>
          <w:szCs w:val="24"/>
          <w:lang w:val="uk-UA"/>
        </w:rPr>
      </w:pPr>
      <w:r w:rsidRPr="00ED35A9">
        <w:rPr>
          <w:sz w:val="24"/>
          <w:szCs w:val="24"/>
          <w:lang w:val="uk-UA"/>
        </w:rPr>
        <w:t xml:space="preserve">Для більш детального застосування препаратів </w:t>
      </w:r>
      <w:r w:rsidRPr="00ED35A9">
        <w:rPr>
          <w:i/>
          <w:sz w:val="24"/>
          <w:szCs w:val="24"/>
          <w:lang w:val="uk-UA"/>
        </w:rPr>
        <w:t xml:space="preserve">див. </w:t>
      </w:r>
      <w:r w:rsidRPr="00ED35A9">
        <w:rPr>
          <w:sz w:val="24"/>
          <w:szCs w:val="24"/>
          <w:lang w:val="uk-UA"/>
        </w:rPr>
        <w:t xml:space="preserve">текст настанови. </w:t>
      </w:r>
    </w:p>
    <w:sectPr w:rsidR="009A0B83" w:rsidRPr="00ED35A9" w:rsidSect="00246213">
      <w:footerReference w:type="default" r:id="rId49"/>
      <w:footerReference w:type="first" r:id="rId50"/>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5F0" w:rsidRDefault="001F75F0" w:rsidP="004B5B7F">
      <w:r>
        <w:separator/>
      </w:r>
    </w:p>
  </w:endnote>
  <w:endnote w:type="continuationSeparator" w:id="0">
    <w:p w:rsidR="001F75F0" w:rsidRDefault="001F75F0" w:rsidP="004B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Std-MdCn">
    <w:altName w:val="Times New Roman"/>
    <w:panose1 w:val="00000000000000000000"/>
    <w:charset w:val="00"/>
    <w:family w:val="roman"/>
    <w:notTrueType/>
    <w:pitch w:val="default"/>
  </w:font>
  <w:font w:name="HelveticaNeueLTStd-Cn">
    <w:altName w:val="Times New Roman"/>
    <w:panose1 w:val="00000000000000000000"/>
    <w:charset w:val="00"/>
    <w:family w:val="roman"/>
    <w:notTrueType/>
    <w:pitch w:val="default"/>
  </w:font>
  <w:font w:name="MinionPro-Semibold">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54368277"/>
      <w:docPartObj>
        <w:docPartGallery w:val="Page Numbers (Bottom of Page)"/>
        <w:docPartUnique/>
      </w:docPartObj>
    </w:sdtPr>
    <w:sdtEndPr/>
    <w:sdtContent>
      <w:p w:rsidR="008F4BE3" w:rsidRPr="003E1CC5" w:rsidRDefault="008F4BE3" w:rsidP="003E1CC5">
        <w:pPr>
          <w:pStyle w:val="a5"/>
          <w:ind w:firstLine="0"/>
          <w:jc w:val="center"/>
          <w:rPr>
            <w:sz w:val="24"/>
            <w:szCs w:val="24"/>
          </w:rPr>
        </w:pPr>
        <w:r w:rsidRPr="003E1CC5">
          <w:rPr>
            <w:sz w:val="24"/>
            <w:szCs w:val="24"/>
          </w:rPr>
          <w:fldChar w:fldCharType="begin"/>
        </w:r>
        <w:r w:rsidRPr="003E1CC5">
          <w:rPr>
            <w:sz w:val="24"/>
            <w:szCs w:val="24"/>
          </w:rPr>
          <w:instrText>PAGE   \* MERGEFORMAT</w:instrText>
        </w:r>
        <w:r w:rsidRPr="003E1CC5">
          <w:rPr>
            <w:sz w:val="24"/>
            <w:szCs w:val="24"/>
          </w:rPr>
          <w:fldChar w:fldCharType="separate"/>
        </w:r>
        <w:r w:rsidR="00444854">
          <w:rPr>
            <w:noProof/>
            <w:sz w:val="24"/>
            <w:szCs w:val="24"/>
          </w:rPr>
          <w:t>2</w:t>
        </w:r>
        <w:r w:rsidRPr="003E1CC5">
          <w:rPr>
            <w:sz w:val="24"/>
            <w:szCs w:val="24"/>
          </w:rPr>
          <w:fldChar w:fldCharType="end"/>
        </w:r>
      </w:p>
    </w:sdtContent>
  </w:sdt>
  <w:p w:rsidR="008F4BE3" w:rsidRPr="003E1CC5" w:rsidRDefault="008F4BE3" w:rsidP="003E1CC5">
    <w:pPr>
      <w:pStyle w:val="a5"/>
      <w:ind w:firstLine="0"/>
      <w:rPr>
        <w:sz w:val="24"/>
        <w:szCs w:val="24"/>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943951973"/>
      <w:docPartObj>
        <w:docPartGallery w:val="Page Numbers (Bottom of Page)"/>
        <w:docPartUnique/>
      </w:docPartObj>
    </w:sdtPr>
    <w:sdtEndPr/>
    <w:sdtContent>
      <w:p w:rsidR="008F4BE3" w:rsidRPr="00E46468" w:rsidRDefault="008F4BE3" w:rsidP="008F4BE3">
        <w:pPr>
          <w:pStyle w:val="a5"/>
          <w:ind w:firstLine="0"/>
          <w:jc w:val="center"/>
          <w:rPr>
            <w:sz w:val="24"/>
            <w:szCs w:val="24"/>
          </w:rPr>
        </w:pPr>
        <w:r w:rsidRPr="00E46468">
          <w:rPr>
            <w:sz w:val="24"/>
            <w:szCs w:val="24"/>
          </w:rPr>
          <w:fldChar w:fldCharType="begin"/>
        </w:r>
        <w:r w:rsidRPr="00E46468">
          <w:rPr>
            <w:sz w:val="24"/>
            <w:szCs w:val="24"/>
          </w:rPr>
          <w:instrText>PAGE   \* MERGEFORMAT</w:instrText>
        </w:r>
        <w:r w:rsidRPr="00E46468">
          <w:rPr>
            <w:sz w:val="24"/>
            <w:szCs w:val="24"/>
          </w:rPr>
          <w:fldChar w:fldCharType="separate"/>
        </w:r>
        <w:r w:rsidR="00444854">
          <w:rPr>
            <w:noProof/>
            <w:sz w:val="24"/>
            <w:szCs w:val="24"/>
          </w:rPr>
          <w:t>141</w:t>
        </w:r>
        <w:r w:rsidRPr="00E46468">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01875879"/>
      <w:docPartObj>
        <w:docPartGallery w:val="Page Numbers (Bottom of Page)"/>
        <w:docPartUnique/>
      </w:docPartObj>
    </w:sdtPr>
    <w:sdtEndPr>
      <w:rPr>
        <w:szCs w:val="22"/>
      </w:rPr>
    </w:sdtEndPr>
    <w:sdtContent>
      <w:p w:rsidR="008F4BE3" w:rsidRPr="00BC3DA4" w:rsidRDefault="008F4BE3" w:rsidP="008F4BE3">
        <w:pPr>
          <w:pStyle w:val="a5"/>
          <w:rPr>
            <w:sz w:val="20"/>
            <w:szCs w:val="20"/>
            <w:lang w:val="uk-UA"/>
          </w:rPr>
        </w:pPr>
      </w:p>
      <w:p w:rsidR="008F4BE3" w:rsidRPr="00E42483" w:rsidRDefault="008F4BE3" w:rsidP="008F4BE3">
        <w:pPr>
          <w:pStyle w:val="a5"/>
          <w:tabs>
            <w:tab w:val="clear" w:pos="4677"/>
            <w:tab w:val="clear" w:pos="9355"/>
          </w:tabs>
          <w:jc w:val="center"/>
          <w:rPr>
            <w:sz w:val="20"/>
          </w:rPr>
        </w:pPr>
        <w:r w:rsidRPr="00126EE9">
          <w:rPr>
            <w:sz w:val="20"/>
          </w:rPr>
          <w:fldChar w:fldCharType="begin"/>
        </w:r>
        <w:r w:rsidRPr="00126EE9">
          <w:rPr>
            <w:sz w:val="20"/>
          </w:rPr>
          <w:instrText>PAGE   \* MERGEFORMAT</w:instrText>
        </w:r>
        <w:r w:rsidRPr="00126EE9">
          <w:rPr>
            <w:sz w:val="20"/>
          </w:rPr>
          <w:fldChar w:fldCharType="separate"/>
        </w:r>
        <w:r>
          <w:rPr>
            <w:noProof/>
            <w:sz w:val="20"/>
          </w:rPr>
          <w:t>1</w:t>
        </w:r>
        <w:r w:rsidRPr="00126EE9">
          <w:rPr>
            <w:sz w:val="20"/>
          </w:rPr>
          <w:fldChar w:fldCharType="end"/>
        </w:r>
      </w:p>
    </w:sdtContent>
  </w:sdt>
  <w:p w:rsidR="008F4BE3" w:rsidRDefault="008F4BE3"/>
  <w:p w:rsidR="008F4BE3" w:rsidRDefault="008F4B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5F0" w:rsidRDefault="001F75F0" w:rsidP="005C312E">
      <w:pPr>
        <w:ind w:firstLine="0"/>
      </w:pPr>
      <w:r>
        <w:separator/>
      </w:r>
    </w:p>
  </w:footnote>
  <w:footnote w:type="continuationSeparator" w:id="0">
    <w:p w:rsidR="001F75F0" w:rsidRDefault="001F75F0" w:rsidP="004B5B7F">
      <w:r>
        <w:continuationSeparator/>
      </w:r>
    </w:p>
  </w:footnote>
  <w:footnote w:id="1">
    <w:p w:rsidR="008F4BE3" w:rsidRPr="007B73DD" w:rsidRDefault="008F4BE3" w:rsidP="007D423A">
      <w:pPr>
        <w:pStyle w:val="aa"/>
        <w:ind w:firstLine="0"/>
        <w:rPr>
          <w:sz w:val="18"/>
          <w:szCs w:val="18"/>
        </w:rPr>
      </w:pPr>
      <w:r w:rsidRPr="007B73DD">
        <w:rPr>
          <w:rStyle w:val="ac"/>
          <w:sz w:val="18"/>
          <w:szCs w:val="18"/>
        </w:rPr>
        <w:footnoteRef/>
      </w:r>
      <w:r w:rsidRPr="007B73DD">
        <w:rPr>
          <w:sz w:val="18"/>
          <w:szCs w:val="18"/>
          <w:lang w:val="uk-UA"/>
        </w:rPr>
        <w:t> </w:t>
      </w:r>
      <w:r w:rsidRPr="007B73DD">
        <w:rPr>
          <w:rFonts w:eastAsia="Segoe UI Light"/>
          <w:sz w:val="18"/>
          <w:szCs w:val="18"/>
          <w:lang w:val="uk-UA"/>
        </w:rPr>
        <w:t>Група </w:t>
      </w:r>
      <w:r w:rsidRPr="007B73DD">
        <w:rPr>
          <w:rFonts w:eastAsia="Segoe UI Light"/>
          <w:sz w:val="18"/>
          <w:szCs w:val="18"/>
        </w:rPr>
        <w:t>A</w:t>
      </w:r>
      <w:r w:rsidRPr="007B73DD">
        <w:rPr>
          <w:rFonts w:eastAsia="Segoe UI Light"/>
          <w:sz w:val="18"/>
          <w:szCs w:val="18"/>
          <w:lang w:val="uk-UA"/>
        </w:rPr>
        <w:t xml:space="preserve">: </w:t>
      </w:r>
      <w:r w:rsidRPr="007B73DD">
        <w:rPr>
          <w:sz w:val="18"/>
          <w:szCs w:val="18"/>
          <w:lang w:val="uk-UA"/>
        </w:rPr>
        <w:t>левофлоксацин/моксіфлоксацин</w:t>
      </w:r>
      <w:r w:rsidRPr="007B73DD">
        <w:rPr>
          <w:rFonts w:eastAsia="Segoe UI Light"/>
          <w:sz w:val="18"/>
          <w:szCs w:val="18"/>
        </w:rPr>
        <w:t xml:space="preserve">, </w:t>
      </w:r>
      <w:r w:rsidRPr="007B73DD">
        <w:rPr>
          <w:sz w:val="18"/>
          <w:szCs w:val="18"/>
          <w:lang w:val="uk-UA"/>
        </w:rPr>
        <w:t>бедаквілін</w:t>
      </w:r>
      <w:r w:rsidRPr="007B73DD">
        <w:rPr>
          <w:rFonts w:eastAsia="Segoe UI Light"/>
          <w:sz w:val="18"/>
          <w:szCs w:val="18"/>
        </w:rPr>
        <w:t xml:space="preserve">, </w:t>
      </w:r>
      <w:r w:rsidRPr="007B73DD">
        <w:rPr>
          <w:sz w:val="18"/>
          <w:szCs w:val="18"/>
          <w:lang w:val="uk-UA"/>
        </w:rPr>
        <w:t>лінезолід</w:t>
      </w:r>
      <w:r w:rsidRPr="007B73DD">
        <w:rPr>
          <w:rFonts w:eastAsia="Segoe UI Light"/>
          <w:sz w:val="18"/>
          <w:szCs w:val="18"/>
        </w:rPr>
        <w:t xml:space="preserve">; </w:t>
      </w:r>
      <w:r w:rsidRPr="007B73DD">
        <w:rPr>
          <w:rFonts w:eastAsia="Segoe UI Light"/>
          <w:sz w:val="18"/>
          <w:szCs w:val="18"/>
          <w:lang w:val="uk-UA"/>
        </w:rPr>
        <w:t>Група </w:t>
      </w:r>
      <w:r w:rsidRPr="007B73DD">
        <w:rPr>
          <w:rFonts w:eastAsia="Segoe UI Light"/>
          <w:sz w:val="18"/>
          <w:szCs w:val="18"/>
        </w:rPr>
        <w:t>B</w:t>
      </w:r>
      <w:r w:rsidRPr="007B73DD">
        <w:rPr>
          <w:rFonts w:eastAsia="Segoe UI Light"/>
          <w:sz w:val="18"/>
          <w:szCs w:val="18"/>
          <w:lang w:val="uk-UA"/>
        </w:rPr>
        <w:t xml:space="preserve">: </w:t>
      </w:r>
      <w:r w:rsidRPr="007B73DD">
        <w:rPr>
          <w:sz w:val="18"/>
          <w:szCs w:val="18"/>
          <w:lang w:val="uk-UA"/>
        </w:rPr>
        <w:t>клофазимін</w:t>
      </w:r>
      <w:r w:rsidRPr="007B73DD">
        <w:rPr>
          <w:rFonts w:eastAsia="Segoe UI Light"/>
          <w:sz w:val="18"/>
          <w:szCs w:val="18"/>
        </w:rPr>
        <w:t xml:space="preserve">, </w:t>
      </w:r>
      <w:r w:rsidRPr="007B73DD">
        <w:rPr>
          <w:sz w:val="18"/>
          <w:szCs w:val="18"/>
          <w:lang w:val="uk-UA"/>
        </w:rPr>
        <w:t>циклосерін/теризидон</w:t>
      </w:r>
      <w:r w:rsidRPr="007B73DD">
        <w:rPr>
          <w:rFonts w:eastAsia="Segoe UI Light"/>
          <w:sz w:val="18"/>
          <w:szCs w:val="18"/>
        </w:rPr>
        <w:t xml:space="preserve">; </w:t>
      </w:r>
      <w:r w:rsidRPr="007B73DD">
        <w:rPr>
          <w:rFonts w:eastAsia="Segoe UI Light"/>
          <w:sz w:val="18"/>
          <w:szCs w:val="18"/>
          <w:lang w:val="uk-UA"/>
        </w:rPr>
        <w:t>група </w:t>
      </w:r>
      <w:r w:rsidRPr="007B73DD">
        <w:rPr>
          <w:rFonts w:eastAsia="Segoe UI Light"/>
          <w:sz w:val="18"/>
          <w:szCs w:val="18"/>
        </w:rPr>
        <w:t xml:space="preserve"> C</w:t>
      </w:r>
      <w:r w:rsidRPr="007B73DD">
        <w:rPr>
          <w:rFonts w:eastAsia="Segoe UI Light"/>
          <w:sz w:val="18"/>
          <w:szCs w:val="18"/>
          <w:lang w:val="uk-UA"/>
        </w:rPr>
        <w:t xml:space="preserve">: </w:t>
      </w:r>
      <w:r w:rsidRPr="007B73DD">
        <w:rPr>
          <w:sz w:val="18"/>
          <w:szCs w:val="18"/>
          <w:lang w:val="uk-UA"/>
        </w:rPr>
        <w:t>етамбутол</w:t>
      </w:r>
      <w:r w:rsidRPr="007B73DD">
        <w:rPr>
          <w:rFonts w:eastAsia="Segoe UI Light"/>
          <w:sz w:val="18"/>
          <w:szCs w:val="18"/>
        </w:rPr>
        <w:t xml:space="preserve">, </w:t>
      </w:r>
      <w:r w:rsidRPr="007B73DD">
        <w:rPr>
          <w:sz w:val="18"/>
          <w:szCs w:val="18"/>
          <w:lang w:val="uk-UA"/>
        </w:rPr>
        <w:t>деламанід</w:t>
      </w:r>
      <w:r w:rsidRPr="007B73DD">
        <w:rPr>
          <w:rFonts w:eastAsia="Segoe UI Light"/>
          <w:sz w:val="18"/>
          <w:szCs w:val="18"/>
        </w:rPr>
        <w:t xml:space="preserve">, </w:t>
      </w:r>
      <w:r w:rsidRPr="007B73DD">
        <w:rPr>
          <w:sz w:val="18"/>
          <w:szCs w:val="18"/>
          <w:lang w:val="uk-UA"/>
        </w:rPr>
        <w:t>піразинамід</w:t>
      </w:r>
      <w:r w:rsidRPr="007B73DD">
        <w:rPr>
          <w:rFonts w:eastAsia="Segoe UI Light"/>
          <w:sz w:val="18"/>
          <w:szCs w:val="18"/>
        </w:rPr>
        <w:t xml:space="preserve">, </w:t>
      </w:r>
      <w:r w:rsidRPr="007B73DD">
        <w:rPr>
          <w:sz w:val="18"/>
          <w:szCs w:val="18"/>
          <w:lang w:val="uk-UA"/>
        </w:rPr>
        <w:t>іміпенем-циластатин</w:t>
      </w:r>
      <w:r w:rsidRPr="007B73DD">
        <w:rPr>
          <w:rFonts w:eastAsia="Segoe UI Light"/>
          <w:sz w:val="18"/>
          <w:szCs w:val="18"/>
        </w:rPr>
        <w:t xml:space="preserve">, </w:t>
      </w:r>
      <w:r w:rsidRPr="007B73DD">
        <w:rPr>
          <w:sz w:val="18"/>
          <w:szCs w:val="18"/>
          <w:lang w:val="uk-UA"/>
        </w:rPr>
        <w:t>меропенем</w:t>
      </w:r>
      <w:r w:rsidRPr="007B73DD">
        <w:rPr>
          <w:rFonts w:eastAsia="Segoe UI Light"/>
          <w:sz w:val="18"/>
          <w:szCs w:val="18"/>
        </w:rPr>
        <w:t xml:space="preserve">, </w:t>
      </w:r>
      <w:r w:rsidRPr="007B73DD">
        <w:rPr>
          <w:sz w:val="18"/>
          <w:szCs w:val="18"/>
          <w:lang w:val="uk-UA"/>
        </w:rPr>
        <w:t>амікацин</w:t>
      </w:r>
      <w:r w:rsidRPr="007B73DD">
        <w:rPr>
          <w:rFonts w:eastAsia="Segoe UI Light"/>
          <w:sz w:val="18"/>
          <w:szCs w:val="18"/>
        </w:rPr>
        <w:t xml:space="preserve"> (</w:t>
      </w:r>
      <w:r w:rsidRPr="007B73DD">
        <w:rPr>
          <w:sz w:val="18"/>
          <w:szCs w:val="18"/>
          <w:lang w:val="uk-UA"/>
        </w:rPr>
        <w:t>стрептоміцин</w:t>
      </w:r>
      <w:r w:rsidRPr="007B73DD">
        <w:rPr>
          <w:rFonts w:eastAsia="Segoe UI Light"/>
          <w:sz w:val="18"/>
          <w:szCs w:val="18"/>
        </w:rPr>
        <w:t xml:space="preserve">), </w:t>
      </w:r>
      <w:r w:rsidRPr="007B73DD">
        <w:rPr>
          <w:sz w:val="18"/>
          <w:szCs w:val="18"/>
          <w:lang w:val="uk-UA"/>
        </w:rPr>
        <w:t>етіонамід/протіонамід</w:t>
      </w:r>
      <w:r w:rsidRPr="007B73DD">
        <w:rPr>
          <w:rFonts w:eastAsia="Segoe UI Light"/>
          <w:sz w:val="18"/>
          <w:szCs w:val="18"/>
        </w:rPr>
        <w:t xml:space="preserve">, </w:t>
      </w:r>
      <w:r w:rsidRPr="007B73DD">
        <w:rPr>
          <w:sz w:val="18"/>
          <w:szCs w:val="18"/>
          <w:lang w:val="uk-UA"/>
        </w:rPr>
        <w:t>амоксіцилін-клавуланова кислота</w:t>
      </w:r>
      <w:r w:rsidRPr="007B73DD">
        <w:rPr>
          <w:rFonts w:eastAsia="Segoe UI Light"/>
          <w:sz w:val="18"/>
          <w:szCs w:val="18"/>
        </w:rPr>
        <w:t xml:space="preserve"> (</w:t>
      </w:r>
      <w:r w:rsidRPr="007B73DD">
        <w:rPr>
          <w:rFonts w:eastAsia="Segoe UI Light"/>
          <w:i/>
          <w:sz w:val="18"/>
          <w:szCs w:val="18"/>
          <w:lang w:val="uk-UA"/>
        </w:rPr>
        <w:t xml:space="preserve">див. </w:t>
      </w:r>
      <w:r w:rsidRPr="007B73DD">
        <w:rPr>
          <w:rFonts w:eastAsia="Segoe UI Light"/>
          <w:sz w:val="18"/>
          <w:szCs w:val="18"/>
          <w:lang w:val="uk-UA"/>
        </w:rPr>
        <w:t>також</w:t>
      </w:r>
      <w:r w:rsidRPr="007B73DD">
        <w:rPr>
          <w:rFonts w:eastAsia="Segoe UI Light"/>
          <w:i/>
          <w:sz w:val="18"/>
          <w:szCs w:val="18"/>
          <w:lang w:val="uk-UA"/>
        </w:rPr>
        <w:t xml:space="preserve"> </w:t>
      </w:r>
      <w:r w:rsidRPr="007B73DD">
        <w:rPr>
          <w:rFonts w:eastAsia="Segoe UI Light"/>
          <w:sz w:val="18"/>
          <w:szCs w:val="18"/>
          <w:lang w:val="uk-UA"/>
        </w:rPr>
        <w:t>таблицю </w:t>
      </w:r>
      <w:r w:rsidRPr="007B73DD">
        <w:rPr>
          <w:rFonts w:eastAsia="Segoe UI Light"/>
          <w:sz w:val="18"/>
          <w:szCs w:val="18"/>
        </w:rPr>
        <w:t>2.1).</w:t>
      </w:r>
    </w:p>
  </w:footnote>
  <w:footnote w:id="2">
    <w:p w:rsidR="008F4BE3" w:rsidRPr="00900741" w:rsidRDefault="008F4BE3" w:rsidP="007D423A">
      <w:pPr>
        <w:pStyle w:val="Footnote0"/>
        <w:shd w:val="clear" w:color="auto" w:fill="auto"/>
        <w:tabs>
          <w:tab w:val="left" w:pos="0"/>
        </w:tabs>
        <w:spacing w:after="0" w:line="240" w:lineRule="auto"/>
        <w:ind w:firstLine="0"/>
        <w:jc w:val="both"/>
        <w:rPr>
          <w:rFonts w:ascii="Times New Roman" w:hAnsi="Times New Roman" w:cs="Times New Roman"/>
          <w:sz w:val="18"/>
          <w:szCs w:val="18"/>
        </w:rPr>
      </w:pPr>
      <w:r w:rsidRPr="00900741">
        <w:rPr>
          <w:rFonts w:ascii="Times New Roman" w:hAnsi="Times New Roman" w:cs="Times New Roman"/>
          <w:sz w:val="18"/>
          <w:szCs w:val="18"/>
          <w:vertAlign w:val="superscript"/>
          <w:lang w:val="uk"/>
        </w:rPr>
        <w:footnoteRef/>
      </w:r>
      <w:r>
        <w:rPr>
          <w:rFonts w:ascii="Times New Roman" w:hAnsi="Times New Roman" w:cs="Times New Roman"/>
          <w:sz w:val="18"/>
          <w:szCs w:val="18"/>
          <w:lang w:val="uk"/>
        </w:rPr>
        <w:t> </w:t>
      </w:r>
      <w:r w:rsidRPr="00900741">
        <w:rPr>
          <w:rFonts w:ascii="Times New Roman" w:hAnsi="Times New Roman" w:cs="Times New Roman"/>
          <w:sz w:val="18"/>
          <w:szCs w:val="18"/>
          <w:lang w:val="uk"/>
        </w:rPr>
        <w:t xml:space="preserve">Іміпенем-циластатин </w:t>
      </w:r>
      <w:r>
        <w:rPr>
          <w:rFonts w:ascii="Times New Roman" w:hAnsi="Times New Roman" w:cs="Times New Roman"/>
          <w:sz w:val="18"/>
          <w:szCs w:val="18"/>
          <w:lang w:val="uk"/>
        </w:rPr>
        <w:t>та</w:t>
      </w:r>
      <w:r w:rsidRPr="00900741">
        <w:rPr>
          <w:rFonts w:ascii="Times New Roman" w:hAnsi="Times New Roman" w:cs="Times New Roman"/>
          <w:sz w:val="18"/>
          <w:szCs w:val="18"/>
          <w:lang w:val="uk"/>
        </w:rPr>
        <w:t xml:space="preserve"> меропенем призначають</w:t>
      </w:r>
      <w:r>
        <w:rPr>
          <w:rFonts w:ascii="Times New Roman" w:hAnsi="Times New Roman" w:cs="Times New Roman"/>
          <w:sz w:val="18"/>
          <w:szCs w:val="18"/>
          <w:lang w:val="uk"/>
        </w:rPr>
        <w:t xml:space="preserve"> </w:t>
      </w:r>
      <w:r w:rsidRPr="00900741">
        <w:rPr>
          <w:rFonts w:ascii="Times New Roman" w:hAnsi="Times New Roman" w:cs="Times New Roman"/>
          <w:sz w:val="18"/>
          <w:szCs w:val="18"/>
          <w:lang w:val="uk"/>
        </w:rPr>
        <w:t xml:space="preserve">з клавулановою кислотою, яка доступна лише у лікарських формах в комбінації з амоксіциліном. Амоксіцилін-клавуланова кислота не </w:t>
      </w:r>
      <w:r>
        <w:rPr>
          <w:rFonts w:ascii="Times New Roman" w:hAnsi="Times New Roman" w:cs="Times New Roman"/>
          <w:sz w:val="18"/>
          <w:szCs w:val="18"/>
          <w:lang w:val="uk"/>
        </w:rPr>
        <w:t xml:space="preserve">вважається </w:t>
      </w:r>
      <w:r w:rsidRPr="00900741">
        <w:rPr>
          <w:rFonts w:ascii="Times New Roman" w:hAnsi="Times New Roman" w:cs="Times New Roman"/>
          <w:sz w:val="18"/>
          <w:szCs w:val="18"/>
          <w:lang w:val="uk"/>
        </w:rPr>
        <w:t xml:space="preserve">додатковим ефективним </w:t>
      </w:r>
      <w:r>
        <w:rPr>
          <w:rFonts w:ascii="Times New Roman" w:hAnsi="Times New Roman" w:cs="Times New Roman"/>
          <w:sz w:val="18"/>
          <w:szCs w:val="18"/>
          <w:lang w:val="uk"/>
        </w:rPr>
        <w:t>ПТП</w:t>
      </w:r>
      <w:r w:rsidRPr="00900741">
        <w:rPr>
          <w:rFonts w:ascii="Times New Roman" w:hAnsi="Times New Roman" w:cs="Times New Roman"/>
          <w:sz w:val="18"/>
          <w:szCs w:val="18"/>
          <w:lang w:val="uk"/>
        </w:rPr>
        <w:t xml:space="preserve">, і </w:t>
      </w:r>
      <w:r>
        <w:rPr>
          <w:rFonts w:ascii="Times New Roman" w:hAnsi="Times New Roman" w:cs="Times New Roman"/>
          <w:sz w:val="18"/>
          <w:szCs w:val="18"/>
          <w:lang w:val="uk"/>
        </w:rPr>
        <w:t xml:space="preserve">вона </w:t>
      </w:r>
      <w:r w:rsidRPr="00900741">
        <w:rPr>
          <w:rFonts w:ascii="Times New Roman" w:hAnsi="Times New Roman" w:cs="Times New Roman"/>
          <w:sz w:val="18"/>
          <w:szCs w:val="18"/>
          <w:lang w:val="uk"/>
        </w:rPr>
        <w:t xml:space="preserve">не має </w:t>
      </w:r>
      <w:r>
        <w:rPr>
          <w:rFonts w:ascii="Times New Roman" w:hAnsi="Times New Roman" w:cs="Times New Roman"/>
          <w:sz w:val="18"/>
          <w:szCs w:val="18"/>
          <w:lang w:val="uk"/>
        </w:rPr>
        <w:t xml:space="preserve">застосовуватися </w:t>
      </w:r>
      <w:r w:rsidRPr="00900741">
        <w:rPr>
          <w:rFonts w:ascii="Times New Roman" w:hAnsi="Times New Roman" w:cs="Times New Roman"/>
          <w:sz w:val="18"/>
          <w:szCs w:val="18"/>
          <w:lang w:val="uk"/>
        </w:rPr>
        <w:t>без іміпенем-циластатину або меропенему.</w:t>
      </w:r>
    </w:p>
  </w:footnote>
  <w:footnote w:id="3">
    <w:p w:rsidR="008F4BE3" w:rsidRPr="00282C02" w:rsidRDefault="008F4BE3" w:rsidP="007D423A">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rPr>
        <w:t xml:space="preserve">Заходи з формування прихильності до лікування включають соціальну підтримку, </w:t>
      </w:r>
      <w:r>
        <w:rPr>
          <w:rStyle w:val="fontstyle01"/>
          <w:sz w:val="18"/>
          <w:szCs w:val="18"/>
        </w:rPr>
        <w:t xml:space="preserve">зокрема </w:t>
      </w:r>
      <w:r w:rsidRPr="00282C02">
        <w:rPr>
          <w:rStyle w:val="fontstyle01"/>
          <w:sz w:val="18"/>
          <w:szCs w:val="18"/>
        </w:rPr>
        <w:t>надання матеріальної допомоги (продукти харчування, грошова винагорода, оплата проїзду тощо), психологічну підтримку, нагляд, наприклад, візити до місця проживання пацієнта або залучення цифрових технологій (SMS-повідомлення, телефонні дзвінки), моніторинг прийому лікарських засобів та навчання персоналу. Такі втручання обирають на основі оцінювання індивідуальних потреб пацієнта, ресурсів надавачів медичних послуг та умов впровадження.</w:t>
      </w:r>
    </w:p>
  </w:footnote>
  <w:footnote w:id="4">
    <w:p w:rsidR="008F4BE3" w:rsidRPr="00282C02" w:rsidRDefault="008F4BE3" w:rsidP="007D423A">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7D423A">
        <w:rPr>
          <w:rStyle w:val="fontstyle01"/>
          <w:sz w:val="18"/>
          <w:szCs w:val="18"/>
          <w:lang w:val="uk-UA"/>
        </w:rPr>
        <w:t xml:space="preserve">Варіанти нагляду за лікуванням включають </w:t>
      </w:r>
      <w:r w:rsidRPr="00282C02">
        <w:rPr>
          <w:rStyle w:val="fontstyle01"/>
          <w:sz w:val="18"/>
          <w:szCs w:val="18"/>
        </w:rPr>
        <w:t>DOT</w:t>
      </w:r>
      <w:r w:rsidRPr="007D423A">
        <w:rPr>
          <w:rStyle w:val="fontstyle01"/>
          <w:sz w:val="18"/>
          <w:szCs w:val="18"/>
          <w:lang w:val="uk-UA"/>
        </w:rPr>
        <w:t xml:space="preserve">, нещоденне </w:t>
      </w:r>
      <w:r w:rsidRPr="00282C02">
        <w:rPr>
          <w:rStyle w:val="fontstyle01"/>
          <w:sz w:val="18"/>
          <w:szCs w:val="18"/>
        </w:rPr>
        <w:t>DOT</w:t>
      </w:r>
      <w:r w:rsidRPr="007D423A">
        <w:rPr>
          <w:rStyle w:val="fontstyle01"/>
          <w:sz w:val="18"/>
          <w:szCs w:val="18"/>
          <w:lang w:val="uk-UA"/>
        </w:rPr>
        <w:t>, лікування під безпосереднім наглядом за допомогою відео (</w:t>
      </w:r>
      <w:r w:rsidRPr="00282C02">
        <w:rPr>
          <w:rStyle w:val="fontstyle01"/>
          <w:sz w:val="18"/>
          <w:szCs w:val="18"/>
        </w:rPr>
        <w:t>VOT</w:t>
      </w:r>
      <w:r w:rsidRPr="007D423A">
        <w:rPr>
          <w:rStyle w:val="fontstyle01"/>
          <w:sz w:val="18"/>
          <w:szCs w:val="18"/>
          <w:lang w:val="uk-UA"/>
        </w:rPr>
        <w:t>) або лікування без нагляду.</w:t>
      </w:r>
    </w:p>
  </w:footnote>
  <w:footnote w:id="5">
    <w:p w:rsidR="008F4BE3" w:rsidRPr="00282C02" w:rsidRDefault="008F4BE3" w:rsidP="007D423A">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7D423A">
        <w:rPr>
          <w:rStyle w:val="fontstyle01"/>
          <w:sz w:val="18"/>
          <w:szCs w:val="18"/>
          <w:lang w:val="uk-UA"/>
        </w:rPr>
        <w:t xml:space="preserve">Відстеження означає спілкування з пацієнтом, включаючи </w:t>
      </w:r>
      <w:r w:rsidRPr="00282C02">
        <w:rPr>
          <w:rStyle w:val="fontstyle01"/>
          <w:sz w:val="18"/>
          <w:szCs w:val="18"/>
        </w:rPr>
        <w:t>SMS</w:t>
      </w:r>
      <w:r w:rsidRPr="007D423A">
        <w:rPr>
          <w:rStyle w:val="fontstyle01"/>
          <w:sz w:val="18"/>
          <w:szCs w:val="18"/>
          <w:lang w:val="uk-UA"/>
        </w:rPr>
        <w:t>-повідомлення, телефонні дзвінки (голосові повідомлення) або візити за місцем проживання пацієнта.</w:t>
      </w:r>
    </w:p>
  </w:footnote>
  <w:footnote w:id="6">
    <w:p w:rsidR="008F4BE3" w:rsidRPr="00282C02" w:rsidRDefault="008F4BE3" w:rsidP="007D423A">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xml:space="preserve"> Контроль за прийомом препаратів може здійснюватися за допомогою цифрового приладу, що вимірює час між відкриванням боксу з лікарськими засобами та може мати функцію голосового нагадування або надсилання </w:t>
      </w:r>
      <w:r>
        <w:rPr>
          <w:rStyle w:val="fontstyle01"/>
          <w:sz w:val="18"/>
          <w:szCs w:val="18"/>
        </w:rPr>
        <w:t>SMS</w:t>
      </w:r>
      <w:r w:rsidRPr="007D423A">
        <w:rPr>
          <w:rStyle w:val="fontstyle01"/>
          <w:sz w:val="18"/>
          <w:szCs w:val="18"/>
          <w:lang w:val="uk-UA"/>
        </w:rPr>
        <w:t xml:space="preserve"> для нагадування пацієнту про необхідність прийому препаратів (окрім запису часу відкривання боксу).</w:t>
      </w:r>
    </w:p>
  </w:footnote>
  <w:footnote w:id="7">
    <w:p w:rsidR="008F4BE3" w:rsidRPr="00282C02" w:rsidRDefault="008F4BE3" w:rsidP="007D423A">
      <w:pPr>
        <w:pStyle w:val="aa"/>
        <w:spacing w:line="228" w:lineRule="auto"/>
        <w:ind w:firstLine="0"/>
        <w:rPr>
          <w:sz w:val="18"/>
          <w:szCs w:val="18"/>
          <w:lang w:val="uk-UA"/>
        </w:rPr>
      </w:pPr>
      <w:r w:rsidRPr="00282C02">
        <w:rPr>
          <w:rStyle w:val="ac"/>
          <w:sz w:val="18"/>
          <w:szCs w:val="18"/>
          <w:lang w:val="uk-UA"/>
        </w:rPr>
        <w:footnoteRef/>
      </w:r>
      <w:r w:rsidRPr="00282C02">
        <w:rPr>
          <w:rStyle w:val="fontstyle01"/>
          <w:sz w:val="18"/>
          <w:szCs w:val="18"/>
        </w:rPr>
        <w:t> </w:t>
      </w:r>
      <w:r w:rsidRPr="007D423A">
        <w:rPr>
          <w:rStyle w:val="fontstyle01"/>
          <w:sz w:val="18"/>
          <w:szCs w:val="18"/>
          <w:lang w:val="uk-UA"/>
        </w:rPr>
        <w:t>Матеріальною підтримкою може бути надання продуктів харчування або фінансової підтримки, наприклад, годування, продуктові корзини, харчові добавки, продовольчі купони, пільговий проїзд, грошова допомога, житлові пільги або фінансова винагорода. Така підтримка стосується непрямих витрат пацієнтів або їх опікунів на доступ до медичного обслуговування та, можливо, має на меті пом’якшення наслідків втрати доходу у зв’язку із захворюванням.</w:t>
      </w:r>
    </w:p>
  </w:footnote>
  <w:footnote w:id="8">
    <w:p w:rsidR="008F4BE3" w:rsidRPr="00282C02" w:rsidRDefault="008F4BE3" w:rsidP="007D423A">
      <w:pPr>
        <w:pStyle w:val="aa"/>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rPr>
        <w:t>Психологічна підтримка може включати психологічні консультації або групи взаємодопомоги.</w:t>
      </w:r>
    </w:p>
  </w:footnote>
  <w:footnote w:id="9">
    <w:p w:rsidR="008F4BE3" w:rsidRPr="00282C02" w:rsidRDefault="008F4BE3" w:rsidP="007D423A">
      <w:pPr>
        <w:pStyle w:val="aa"/>
        <w:ind w:firstLine="0"/>
        <w:rPr>
          <w:sz w:val="18"/>
          <w:szCs w:val="18"/>
          <w:lang w:val="uk-UA"/>
        </w:rPr>
      </w:pPr>
      <w:r w:rsidRPr="00282C02">
        <w:rPr>
          <w:rStyle w:val="ac"/>
          <w:sz w:val="18"/>
          <w:szCs w:val="18"/>
          <w:lang w:val="uk-UA"/>
        </w:rPr>
        <w:footnoteRef/>
      </w:r>
      <w:r w:rsidRPr="00282C02">
        <w:rPr>
          <w:sz w:val="18"/>
          <w:szCs w:val="18"/>
          <w:lang w:val="uk-UA"/>
        </w:rPr>
        <w:t> </w:t>
      </w:r>
      <w:r w:rsidRPr="007D423A">
        <w:rPr>
          <w:rStyle w:val="fontstyle01"/>
          <w:sz w:val="18"/>
          <w:szCs w:val="18"/>
          <w:lang w:val="uk-UA"/>
        </w:rPr>
        <w:t>Навчання персоналу може здійснюватися через навчання формуванню прихильності, включаючи схеми або візуальні пам’ятки, навчальні та комп’ютерні засоби для нагадування і допомоги у прийнятті рішень.</w:t>
      </w:r>
    </w:p>
  </w:footnote>
  <w:footnote w:id="10">
    <w:p w:rsidR="008F4BE3" w:rsidRPr="00523F79" w:rsidRDefault="008F4BE3" w:rsidP="00463AA0">
      <w:pPr>
        <w:ind w:firstLine="0"/>
        <w:rPr>
          <w:sz w:val="18"/>
          <w:szCs w:val="18"/>
          <w:lang w:val="uk-UA"/>
        </w:rPr>
      </w:pPr>
      <w:r w:rsidRPr="00523F79">
        <w:rPr>
          <w:sz w:val="18"/>
          <w:szCs w:val="18"/>
          <w:vertAlign w:val="superscript"/>
          <w:lang w:val="uk-UA"/>
        </w:rPr>
        <w:footnoteRef/>
      </w:r>
      <w:r w:rsidRPr="00523F79">
        <w:rPr>
          <w:sz w:val="18"/>
          <w:szCs w:val="18"/>
          <w:lang w:val="uk-UA"/>
        </w:rPr>
        <w:t> Кількість пацієнтів, виділена у цьому розділі, означає обсяг вибірки кожного дослідження. Проте обсяг вибірки для аналізу потім було змінено залежно від доступності ІДП по кожному результату (належні результати лікування; смертельні наслідки).</w:t>
      </w:r>
    </w:p>
  </w:footnote>
  <w:footnote w:id="11">
    <w:p w:rsidR="008F4BE3" w:rsidRPr="00523F79" w:rsidRDefault="008F4BE3" w:rsidP="00463AA0">
      <w:pPr>
        <w:ind w:firstLine="0"/>
        <w:rPr>
          <w:sz w:val="18"/>
          <w:szCs w:val="18"/>
          <w:lang w:val="uk-UA"/>
        </w:rPr>
      </w:pPr>
      <w:r w:rsidRPr="00523F79">
        <w:rPr>
          <w:sz w:val="18"/>
          <w:szCs w:val="18"/>
          <w:vertAlign w:val="superscript"/>
          <w:lang w:val="uk-UA"/>
        </w:rPr>
        <w:footnoteRef/>
      </w:r>
      <w:r w:rsidRPr="00523F79">
        <w:rPr>
          <w:sz w:val="18"/>
          <w:szCs w:val="18"/>
          <w:lang w:val="uk-UA"/>
        </w:rPr>
        <w:t> Зниження ефективності й токсичності ізоніазиду було пов’язане з підвищенням метаболізму (ацетиляції) у деяких осіб, що визначається за мутаціями гену N-ацетилтрансферази 2-го типу (NAT2).</w:t>
      </w:r>
    </w:p>
  </w:footnote>
  <w:footnote w:id="12">
    <w:p w:rsidR="008F4BE3" w:rsidRPr="00523F79" w:rsidRDefault="008F4BE3" w:rsidP="00463AA0">
      <w:pPr>
        <w:ind w:firstLine="0"/>
        <w:rPr>
          <w:sz w:val="18"/>
          <w:szCs w:val="18"/>
          <w:lang w:val="uk-UA"/>
        </w:rPr>
      </w:pPr>
      <w:r w:rsidRPr="00523F79">
        <w:rPr>
          <w:sz w:val="18"/>
          <w:szCs w:val="18"/>
          <w:vertAlign w:val="superscript"/>
          <w:lang w:val="uk-UA"/>
        </w:rPr>
        <w:footnoteRef/>
      </w:r>
      <w:r w:rsidRPr="00523F79">
        <w:rPr>
          <w:sz w:val="18"/>
          <w:szCs w:val="18"/>
          <w:lang w:val="uk-UA"/>
        </w:rPr>
        <w:t> Асоціація історії попереднього лікування ТБ із Hрез-ТБ є менш сильною, ніж із МРТБ. Тому попереднє лікування ТБ є менш надійним індикатором Hрез-ТБ, що свідчить про важливість проведення лабораторної діагностики.</w:t>
      </w:r>
    </w:p>
  </w:footnote>
  <w:footnote w:id="13">
    <w:p w:rsidR="008F4BE3" w:rsidRPr="00523F79" w:rsidRDefault="008F4BE3" w:rsidP="00463AA0">
      <w:pPr>
        <w:ind w:firstLine="0"/>
        <w:rPr>
          <w:sz w:val="18"/>
          <w:szCs w:val="18"/>
          <w:lang w:val="uk-UA"/>
        </w:rPr>
      </w:pPr>
      <w:r w:rsidRPr="00523F79">
        <w:rPr>
          <w:sz w:val="18"/>
          <w:szCs w:val="18"/>
          <w:vertAlign w:val="superscript"/>
          <w:lang w:val="uk-UA"/>
        </w:rPr>
        <w:footnoteRef/>
      </w:r>
      <w:r w:rsidRPr="00523F79">
        <w:rPr>
          <w:sz w:val="18"/>
          <w:szCs w:val="18"/>
          <w:lang w:val="uk-UA"/>
        </w:rPr>
        <w:t> Скоригований за вихідними даними QTc. Повідомлялося про подовження інтервалу QT та деякі випадки виникнення двонаправленої шлуночкової тахікардії. Слід уникати призначення у пацієнтів з відомим подовженням інтервалу QT або гіпокаліємією, а також з іншими препаратами, що спричинюють подовження інтервалу QT.</w:t>
      </w:r>
    </w:p>
  </w:footnote>
  <w:footnote w:id="14">
    <w:p w:rsidR="008F4BE3" w:rsidRPr="00523F79" w:rsidRDefault="008F4BE3" w:rsidP="00463AA0">
      <w:pPr>
        <w:ind w:firstLine="0"/>
        <w:rPr>
          <w:sz w:val="18"/>
          <w:szCs w:val="18"/>
          <w:lang w:val="uk-UA"/>
        </w:rPr>
      </w:pPr>
      <w:r w:rsidRPr="00523F79">
        <w:rPr>
          <w:sz w:val="18"/>
          <w:szCs w:val="18"/>
          <w:vertAlign w:val="superscript"/>
          <w:lang w:val="uk-UA"/>
        </w:rPr>
        <w:footnoteRef/>
      </w:r>
      <w:r w:rsidRPr="00523F79">
        <w:rPr>
          <w:sz w:val="18"/>
          <w:szCs w:val="18"/>
          <w:lang w:val="uk-UA"/>
        </w:rPr>
        <w:t> Слід зазначити, хоча на сьогодні більшість країн закупає КПДФ з чотирьох компонентів через Глобальний механізм забезпечення лікарськими засобами (GDF) в межах партнерства Стратегії ВООЗ «Стоп ТБ», в умовах, коли доступним є лише КПДФ з трьох компонентів (HRZ), етамбутол слід додавати окремо.</w:t>
      </w:r>
    </w:p>
  </w:footnote>
  <w:footnote w:id="15">
    <w:p w:rsidR="008F4BE3" w:rsidRPr="00523F79" w:rsidRDefault="008F4BE3" w:rsidP="00463AA0">
      <w:pPr>
        <w:ind w:firstLine="0"/>
        <w:rPr>
          <w:sz w:val="18"/>
          <w:szCs w:val="18"/>
          <w:lang w:val="uk-UA"/>
        </w:rPr>
      </w:pPr>
      <w:r w:rsidRPr="00523F79">
        <w:rPr>
          <w:sz w:val="18"/>
          <w:szCs w:val="18"/>
          <w:vertAlign w:val="superscript"/>
          <w:lang w:val="uk-UA"/>
        </w:rPr>
        <w:footnoteRef/>
      </w:r>
      <w:r w:rsidRPr="00523F79">
        <w:rPr>
          <w:sz w:val="18"/>
          <w:szCs w:val="18"/>
          <w:lang w:val="uk-UA"/>
        </w:rPr>
        <w:t xml:space="preserve"> Ізольована мутація </w:t>
      </w:r>
      <w:r w:rsidRPr="00523F79">
        <w:rPr>
          <w:i/>
          <w:sz w:val="18"/>
          <w:szCs w:val="18"/>
          <w:lang w:val="uk-UA"/>
        </w:rPr>
        <w:t>katG</w:t>
      </w:r>
      <w:r w:rsidRPr="00523F79">
        <w:rPr>
          <w:sz w:val="18"/>
          <w:szCs w:val="18"/>
          <w:lang w:val="uk-UA"/>
        </w:rPr>
        <w:t xml:space="preserve"> або </w:t>
      </w:r>
      <w:r w:rsidRPr="00523F79">
        <w:rPr>
          <w:i/>
          <w:sz w:val="18"/>
          <w:szCs w:val="18"/>
          <w:lang w:val="uk-UA"/>
        </w:rPr>
        <w:t>inhA</w:t>
      </w:r>
      <w:r w:rsidRPr="00523F79">
        <w:rPr>
          <w:sz w:val="18"/>
          <w:szCs w:val="18"/>
          <w:lang w:val="uk-UA"/>
        </w:rPr>
        <w:t xml:space="preserve"> може відповідати на варіабельні рівні мінімальної інгібіторної концентрації. Це означає, що мутації </w:t>
      </w:r>
      <w:r w:rsidRPr="00523F79">
        <w:rPr>
          <w:i/>
          <w:sz w:val="18"/>
          <w:szCs w:val="18"/>
          <w:lang w:val="uk-UA"/>
        </w:rPr>
        <w:t>inhA</w:t>
      </w:r>
      <w:r w:rsidRPr="00523F79">
        <w:rPr>
          <w:sz w:val="18"/>
          <w:szCs w:val="18"/>
          <w:lang w:val="uk-UA"/>
        </w:rPr>
        <w:t xml:space="preserve"> не завжди виявляють резистентність до ізоніазиду у низьких дозах, або що мутації </w:t>
      </w:r>
      <w:r w:rsidRPr="00523F79">
        <w:rPr>
          <w:i/>
          <w:sz w:val="18"/>
          <w:szCs w:val="18"/>
          <w:lang w:val="uk-UA"/>
        </w:rPr>
        <w:t>katG</w:t>
      </w:r>
      <w:r w:rsidRPr="00523F79">
        <w:rPr>
          <w:sz w:val="18"/>
          <w:szCs w:val="18"/>
          <w:lang w:val="uk-UA"/>
        </w:rPr>
        <w:t xml:space="preserve"> обов’язково корелюють з резистентністю до ізоніазиду у високих дозах. Наявність обох мутацій зазвичай свідчить про резистентність високого рівня </w:t>
      </w:r>
      <w:r w:rsidRPr="00523F79">
        <w:rPr>
          <w:i/>
          <w:sz w:val="18"/>
          <w:szCs w:val="18"/>
          <w:lang w:val="uk-UA"/>
        </w:rPr>
        <w:t>(36)</w:t>
      </w:r>
      <w:r w:rsidRPr="00523F79">
        <w:rPr>
          <w:sz w:val="18"/>
          <w:szCs w:val="18"/>
          <w:lang w:val="uk-UA"/>
        </w:rPr>
        <w:t>.</w:t>
      </w:r>
    </w:p>
  </w:footnote>
  <w:footnote w:id="16">
    <w:p w:rsidR="008F4BE3" w:rsidRPr="00ED35A9" w:rsidRDefault="008F4BE3" w:rsidP="00463AA0">
      <w:pPr>
        <w:ind w:firstLine="0"/>
        <w:rPr>
          <w:spacing w:val="-2"/>
          <w:sz w:val="18"/>
          <w:szCs w:val="18"/>
          <w:lang w:val="uk-UA"/>
        </w:rPr>
      </w:pPr>
      <w:r w:rsidRPr="00ED35A9">
        <w:rPr>
          <w:spacing w:val="-2"/>
          <w:sz w:val="18"/>
          <w:szCs w:val="18"/>
          <w:vertAlign w:val="superscript"/>
          <w:lang w:val="uk-UA"/>
        </w:rPr>
        <w:footnoteRef/>
      </w:r>
      <w:r w:rsidRPr="00ED35A9">
        <w:rPr>
          <w:spacing w:val="-2"/>
          <w:sz w:val="18"/>
          <w:szCs w:val="18"/>
          <w:lang w:val="uk-UA"/>
        </w:rPr>
        <w:t> Дослідження, розглянуті під час проведення аналізу ІДП, включали застосування схем, що містять левофлоксацин (зазвичай у дозі 750–1000 мг/добу), моксіфлоксацин (400 мг/добу) або гатіфлоксацин (400 мг/добу), а також фторхінолони ранніх поколінь (ципрофлоксацин та офлоксацин), застосування яких більше не рекомендовано для лікування ЛС-ТБ. Застосування канаміцину (Km) та капреоміцину (Cm) на сьогодні не рекомендовано при лікуванні ЛС-ТБ.</w:t>
      </w:r>
    </w:p>
  </w:footnote>
  <w:footnote w:id="17">
    <w:p w:rsidR="008F4BE3" w:rsidRPr="00523F79" w:rsidRDefault="008F4BE3" w:rsidP="005C312E">
      <w:pPr>
        <w:pStyle w:val="Footnote0"/>
        <w:shd w:val="clear" w:color="auto" w:fill="auto"/>
        <w:tabs>
          <w:tab w:val="left" w:pos="0"/>
        </w:tabs>
        <w:spacing w:after="0" w:line="240" w:lineRule="auto"/>
        <w:ind w:firstLine="0"/>
        <w:jc w:val="both"/>
        <w:rPr>
          <w:rFonts w:ascii="Times New Roman" w:hAnsi="Times New Roman" w:cs="Times New Roman"/>
          <w:sz w:val="18"/>
          <w:szCs w:val="18"/>
          <w:lang w:val="uk-UA"/>
        </w:rPr>
      </w:pPr>
      <w:r w:rsidRPr="00523F79">
        <w:rPr>
          <w:rFonts w:ascii="Times New Roman" w:hAnsi="Times New Roman" w:cs="Times New Roman"/>
          <w:sz w:val="18"/>
          <w:szCs w:val="18"/>
          <w:vertAlign w:val="superscript"/>
          <w:lang w:val="uk-UA"/>
        </w:rPr>
        <w:footnoteRef/>
      </w:r>
      <w:r w:rsidRPr="00523F79">
        <w:rPr>
          <w:rFonts w:ascii="Times New Roman" w:hAnsi="Times New Roman" w:cs="Times New Roman"/>
          <w:sz w:val="18"/>
          <w:szCs w:val="18"/>
          <w:lang w:val="uk-UA"/>
        </w:rPr>
        <w:t> Іміпенем-циластатин та меропенем призначають з клавулановою кислотою, яка дост</w:t>
      </w:r>
      <w:r>
        <w:rPr>
          <w:rFonts w:ascii="Times New Roman" w:hAnsi="Times New Roman" w:cs="Times New Roman"/>
          <w:sz w:val="18"/>
          <w:szCs w:val="18"/>
          <w:lang w:val="uk-UA"/>
        </w:rPr>
        <w:t>упна лише у лікарських формах в </w:t>
      </w:r>
      <w:r w:rsidRPr="00523F79">
        <w:rPr>
          <w:rFonts w:ascii="Times New Roman" w:hAnsi="Times New Roman" w:cs="Times New Roman"/>
          <w:sz w:val="18"/>
          <w:szCs w:val="18"/>
          <w:lang w:val="uk-UA"/>
        </w:rPr>
        <w:t>комбінації з амоксіциліном. Амоксіцилін-клавуланова кислота (Amx-CIv) не вважається додатковим ефективним ПТП, і вона не має застосовуватися без іміпенем-циластатину або меропенему.</w:t>
      </w:r>
    </w:p>
  </w:footnote>
  <w:footnote w:id="18">
    <w:p w:rsidR="008F4BE3" w:rsidRPr="00523F79" w:rsidRDefault="008F4BE3" w:rsidP="000631EB">
      <w:pPr>
        <w:pStyle w:val="Footnote0"/>
        <w:shd w:val="clear" w:color="auto" w:fill="auto"/>
        <w:tabs>
          <w:tab w:val="left" w:pos="0"/>
        </w:tabs>
        <w:spacing w:after="0" w:line="240" w:lineRule="auto"/>
        <w:ind w:firstLine="0"/>
        <w:jc w:val="both"/>
        <w:rPr>
          <w:rFonts w:ascii="Times New Roman" w:hAnsi="Times New Roman" w:cs="Times New Roman"/>
          <w:sz w:val="18"/>
          <w:szCs w:val="18"/>
          <w:lang w:val="uk-UA"/>
        </w:rPr>
      </w:pPr>
      <w:r w:rsidRPr="00523F79">
        <w:rPr>
          <w:rFonts w:ascii="Times New Roman" w:hAnsi="Times New Roman" w:cs="Times New Roman"/>
          <w:sz w:val="18"/>
          <w:szCs w:val="18"/>
          <w:vertAlign w:val="superscript"/>
          <w:lang w:val="uk-UA"/>
        </w:rPr>
        <w:footnoteRef/>
      </w:r>
      <w:r w:rsidRPr="00523F79">
        <w:rPr>
          <w:rFonts w:ascii="Times New Roman" w:hAnsi="Times New Roman" w:cs="Times New Roman"/>
          <w:sz w:val="18"/>
          <w:szCs w:val="18"/>
          <w:lang w:val="uk-UA"/>
        </w:rPr>
        <w:t> Враховуючи наявність дуже малої кількості випробувань або інших досліджень щодо паралельного порівняння препаратів для лікування МРТБ у схемах із різним дозуванням, не очікується, що рекомендації з корекції дозування залежатимуть від результатів систематичного огляду.</w:t>
      </w:r>
    </w:p>
  </w:footnote>
  <w:footnote w:id="19">
    <w:p w:rsidR="008F4BE3" w:rsidRPr="00523F79" w:rsidRDefault="008F4BE3" w:rsidP="00545A89">
      <w:pPr>
        <w:ind w:firstLine="0"/>
        <w:rPr>
          <w:rFonts w:cs="Times New Roman"/>
          <w:sz w:val="18"/>
          <w:szCs w:val="18"/>
          <w:lang w:val="uk-UA"/>
        </w:rPr>
      </w:pPr>
      <w:r w:rsidRPr="00523F79">
        <w:rPr>
          <w:sz w:val="18"/>
          <w:szCs w:val="18"/>
          <w:vertAlign w:val="superscript"/>
          <w:lang w:val="uk-UA"/>
        </w:rPr>
        <w:footnoteRef/>
      </w:r>
      <w:r w:rsidRPr="00523F79">
        <w:rPr>
          <w:i/>
          <w:sz w:val="18"/>
          <w:szCs w:val="18"/>
          <w:lang w:val="uk-UA"/>
        </w:rPr>
        <w:t>Див.</w:t>
      </w:r>
      <w:r w:rsidRPr="00523F79">
        <w:rPr>
          <w:sz w:val="18"/>
          <w:szCs w:val="18"/>
          <w:lang w:val="uk-UA"/>
        </w:rPr>
        <w:t xml:space="preserve"> також текст, таблицю 2.3 та онлайн-додатки 7–9 для отримання додаткової інформації щодо оцінювання та інших факторів, розглянутих ГРН під час зміни класифікації препаратів у довгострокових схемах лікування МРТБ, за даними таблиці 2.1.</w:t>
      </w:r>
    </w:p>
  </w:footnote>
  <w:footnote w:id="20">
    <w:p w:rsidR="008F4BE3" w:rsidRPr="00523F79" w:rsidRDefault="008F4BE3" w:rsidP="005C312E">
      <w:pPr>
        <w:ind w:firstLine="0"/>
        <w:rPr>
          <w:sz w:val="18"/>
          <w:szCs w:val="18"/>
          <w:lang w:val="uk-UA"/>
        </w:rPr>
      </w:pPr>
      <w:r w:rsidRPr="00523F79">
        <w:rPr>
          <w:sz w:val="18"/>
          <w:szCs w:val="18"/>
          <w:vertAlign w:val="superscript"/>
          <w:lang w:val="uk-UA"/>
        </w:rPr>
        <w:footnoteRef/>
      </w:r>
      <w:r w:rsidRPr="00523F79">
        <w:rPr>
          <w:sz w:val="18"/>
          <w:szCs w:val="18"/>
          <w:lang w:val="uk-UA"/>
        </w:rPr>
        <w:t xml:space="preserve"> Певні проблеми виникають з таблетками деламаніду, вміст яких особливо неприємний на смак </w:t>
      </w:r>
      <w:r w:rsidRPr="00523F79">
        <w:rPr>
          <w:rStyle w:val="FootnoteItalic"/>
          <w:rFonts w:eastAsiaTheme="minorHAnsi"/>
          <w:sz w:val="18"/>
          <w:szCs w:val="18"/>
          <w:lang w:val="uk-UA"/>
        </w:rPr>
        <w:t>(див.</w:t>
      </w:r>
      <w:r w:rsidRPr="00523F79">
        <w:rPr>
          <w:sz w:val="18"/>
          <w:szCs w:val="18"/>
          <w:lang w:val="uk-UA"/>
        </w:rPr>
        <w:t xml:space="preserve"> підсумок неопублікованих даних для оновлення настанови 2018 р. в </w:t>
      </w:r>
      <w:r w:rsidRPr="00523F79">
        <w:rPr>
          <w:rFonts w:eastAsia="Calibri"/>
          <w:sz w:val="18"/>
          <w:szCs w:val="18"/>
          <w:lang w:val="uk-UA"/>
        </w:rPr>
        <w:t>онлайн</w:t>
      </w:r>
      <w:r w:rsidRPr="00523F79">
        <w:rPr>
          <w:sz w:val="18"/>
          <w:szCs w:val="18"/>
          <w:lang w:val="uk-UA"/>
        </w:rPr>
        <w:t>-</w:t>
      </w:r>
      <w:r w:rsidRPr="00523F79">
        <w:rPr>
          <w:rFonts w:eastAsia="Calibri"/>
          <w:sz w:val="18"/>
          <w:szCs w:val="18"/>
          <w:lang w:val="uk-UA"/>
        </w:rPr>
        <w:t>додатку</w:t>
      </w:r>
      <w:r w:rsidRPr="00523F79">
        <w:rPr>
          <w:sz w:val="18"/>
          <w:szCs w:val="18"/>
          <w:lang w:val="uk-UA"/>
        </w:rPr>
        <w:t> </w:t>
      </w:r>
      <w:r w:rsidRPr="00523F79">
        <w:rPr>
          <w:rFonts w:eastAsia="Calibri"/>
          <w:sz w:val="18"/>
          <w:szCs w:val="18"/>
          <w:lang w:val="uk-UA"/>
        </w:rPr>
        <w:t>9).</w:t>
      </w:r>
    </w:p>
  </w:footnote>
  <w:footnote w:id="21">
    <w:p w:rsidR="008F4BE3" w:rsidRPr="00523F79" w:rsidRDefault="008F4BE3" w:rsidP="00877D83">
      <w:pPr>
        <w:ind w:firstLine="0"/>
        <w:rPr>
          <w:sz w:val="18"/>
          <w:szCs w:val="18"/>
          <w:lang w:val="uk-UA"/>
        </w:rPr>
      </w:pPr>
      <w:r w:rsidRPr="00523F79">
        <w:rPr>
          <w:sz w:val="18"/>
          <w:szCs w:val="18"/>
          <w:vertAlign w:val="superscript"/>
          <w:lang w:val="uk-UA"/>
        </w:rPr>
        <w:footnoteRef/>
      </w:r>
      <w:r w:rsidRPr="00523F79">
        <w:rPr>
          <w:sz w:val="18"/>
          <w:szCs w:val="18"/>
          <w:lang w:val="uk-UA"/>
        </w:rPr>
        <w:t xml:space="preserve">Характеристики попередніх довгострокових («традиційних») схем описано у настановах ВООЗ із лікування МРТБ 2011 та 2016 рр. </w:t>
      </w:r>
      <w:r w:rsidRPr="00523F79">
        <w:rPr>
          <w:i/>
          <w:sz w:val="18"/>
          <w:szCs w:val="18"/>
          <w:lang w:val="uk-UA"/>
        </w:rPr>
        <w:t>(2, 6)</w:t>
      </w:r>
      <w:r w:rsidRPr="00523F79">
        <w:rPr>
          <w:sz w:val="18"/>
          <w:szCs w:val="18"/>
          <w:lang w:val="uk-UA"/>
        </w:rPr>
        <w:t>.</w:t>
      </w:r>
    </w:p>
  </w:footnote>
  <w:footnote w:id="22">
    <w:p w:rsidR="008F4BE3" w:rsidRPr="00523F79" w:rsidRDefault="008F4BE3" w:rsidP="00877D83">
      <w:pPr>
        <w:pStyle w:val="aa"/>
        <w:ind w:firstLine="0"/>
        <w:rPr>
          <w:sz w:val="18"/>
          <w:szCs w:val="18"/>
          <w:lang w:val="uk-UA"/>
        </w:rPr>
      </w:pPr>
      <w:r w:rsidRPr="00523F79">
        <w:rPr>
          <w:rStyle w:val="ac"/>
          <w:sz w:val="18"/>
          <w:szCs w:val="18"/>
          <w:lang w:val="uk-UA"/>
        </w:rPr>
        <w:footnoteRef/>
      </w:r>
      <w:r w:rsidRPr="00523F79">
        <w:rPr>
          <w:sz w:val="18"/>
          <w:szCs w:val="18"/>
          <w:lang w:val="uk-UA"/>
        </w:rPr>
        <w:t> </w:t>
      </w:r>
      <w:r w:rsidRPr="00523F79">
        <w:rPr>
          <w:color w:val="000000"/>
          <w:sz w:val="18"/>
          <w:szCs w:val="18"/>
          <w:lang w:val="uk-UA"/>
        </w:rPr>
        <w:t>В іншому випадку ці рекомендації стосуються 9–12-місячних режимів, враховуючи, що деякі пацієнти потребують трохи більше 11 міс для завершення лікування за короткостроковою схемою внаслідок нетривалих перерв у лікуванні</w:t>
      </w:r>
      <w:r w:rsidRPr="00523F79">
        <w:rPr>
          <w:rFonts w:eastAsia="Segoe UI Light"/>
          <w:sz w:val="18"/>
          <w:szCs w:val="18"/>
          <w:lang w:val="uk-UA"/>
        </w:rPr>
        <w:t>.</w:t>
      </w:r>
    </w:p>
  </w:footnote>
  <w:footnote w:id="23">
    <w:p w:rsidR="008F4BE3" w:rsidRPr="00523F79" w:rsidRDefault="008F4BE3" w:rsidP="00877D83">
      <w:pPr>
        <w:ind w:firstLine="0"/>
        <w:rPr>
          <w:sz w:val="18"/>
          <w:szCs w:val="18"/>
          <w:lang w:val="uk-UA"/>
        </w:rPr>
      </w:pPr>
      <w:r w:rsidRPr="00523F79">
        <w:rPr>
          <w:sz w:val="18"/>
          <w:szCs w:val="18"/>
          <w:vertAlign w:val="superscript"/>
          <w:lang w:val="uk-UA"/>
        </w:rPr>
        <w:footnoteRef/>
      </w:r>
      <w:r w:rsidRPr="00523F79">
        <w:rPr>
          <w:sz w:val="18"/>
          <w:szCs w:val="18"/>
          <w:lang w:val="uk-UA"/>
        </w:rPr>
        <w:t xml:space="preserve"> Канаміцин – Km, моксіфлоксацин – Mfx, клофазимін – Cfz, етіонамід – Eto, етамбутол – </w:t>
      </w:r>
      <w:r>
        <w:rPr>
          <w:sz w:val="18"/>
          <w:szCs w:val="18"/>
          <w:lang w:val="uk-UA"/>
        </w:rPr>
        <w:t>E, піразинамід – Z, ізоніазид у </w:t>
      </w:r>
      <w:r w:rsidRPr="00523F79">
        <w:rPr>
          <w:sz w:val="18"/>
          <w:szCs w:val="18"/>
          <w:lang w:val="uk-UA"/>
        </w:rPr>
        <w:t>високих дозах – Hh.</w:t>
      </w:r>
    </w:p>
  </w:footnote>
  <w:footnote w:id="24">
    <w:p w:rsidR="008F4BE3" w:rsidRPr="00523F79" w:rsidRDefault="008F4BE3" w:rsidP="00877D83">
      <w:pPr>
        <w:pStyle w:val="HTML"/>
        <w:shd w:val="clear" w:color="auto" w:fill="F8F9FA"/>
        <w:jc w:val="both"/>
        <w:rPr>
          <w:rFonts w:ascii="Times New Roman" w:hAnsi="Times New Roman" w:cs="Times New Roman"/>
          <w:sz w:val="18"/>
          <w:szCs w:val="18"/>
        </w:rPr>
      </w:pPr>
      <w:r w:rsidRPr="00523F79">
        <w:rPr>
          <w:rStyle w:val="ac"/>
          <w:rFonts w:ascii="Times New Roman" w:hAnsi="Times New Roman" w:cs="Times New Roman"/>
          <w:sz w:val="18"/>
          <w:szCs w:val="18"/>
        </w:rPr>
        <w:footnoteRef/>
      </w:r>
      <w:r w:rsidRPr="00523F79">
        <w:rPr>
          <w:rFonts w:ascii="Times New Roman" w:hAnsi="Times New Roman" w:cs="Times New Roman"/>
          <w:sz w:val="18"/>
          <w:szCs w:val="18"/>
        </w:rPr>
        <w:t> </w:t>
      </w:r>
      <w:r w:rsidRPr="00523F79">
        <w:rPr>
          <w:rFonts w:ascii="Times New Roman" w:hAnsi="Times New Roman" w:cs="Times New Roman"/>
          <w:color w:val="222222"/>
          <w:sz w:val="18"/>
          <w:szCs w:val="18"/>
        </w:rPr>
        <w:t>За відсутності інформації щодо мутацій в окремого пацієнта дані про частоту одночасного виникнення обох мутацій можуть свідчити про ймовірність ефективності більш короткого режиму за певних епідеміологічних умов.</w:t>
      </w:r>
    </w:p>
  </w:footnote>
  <w:footnote w:id="25">
    <w:p w:rsidR="008F4BE3" w:rsidRPr="00523F79" w:rsidRDefault="008F4BE3" w:rsidP="00E91B80">
      <w:pPr>
        <w:ind w:firstLine="0"/>
        <w:rPr>
          <w:sz w:val="18"/>
          <w:szCs w:val="18"/>
          <w:lang w:val="uk-UA"/>
        </w:rPr>
      </w:pPr>
      <w:r w:rsidRPr="00523F79">
        <w:rPr>
          <w:rStyle w:val="ac"/>
          <w:sz w:val="18"/>
          <w:szCs w:val="18"/>
          <w:lang w:val="uk-UA"/>
        </w:rPr>
        <w:footnoteRef/>
      </w:r>
      <w:r w:rsidRPr="00523F79">
        <w:rPr>
          <w:sz w:val="18"/>
          <w:szCs w:val="18"/>
          <w:lang w:val="uk-UA"/>
        </w:rPr>
        <w:t> Результати лікування, розглянуті для цього запитання, охоплювали наступне: 1) </w:t>
      </w:r>
      <w:r w:rsidRPr="006D127C">
        <w:rPr>
          <w:sz w:val="18"/>
          <w:szCs w:val="18"/>
          <w:lang w:val="uk-UA"/>
        </w:rPr>
        <w:t>одужання</w:t>
      </w:r>
      <w:r>
        <w:rPr>
          <w:sz w:val="18"/>
          <w:szCs w:val="18"/>
          <w:lang w:val="uk-UA"/>
        </w:rPr>
        <w:t xml:space="preserve"> </w:t>
      </w:r>
      <w:r w:rsidRPr="00523F79">
        <w:rPr>
          <w:sz w:val="18"/>
          <w:szCs w:val="18"/>
          <w:lang w:val="uk-UA"/>
        </w:rPr>
        <w:t xml:space="preserve">(невдача лікування); 2) своєчасний початок відповідного лікування; 3) попередження набуття або посилення </w:t>
      </w:r>
      <w:r>
        <w:rPr>
          <w:sz w:val="18"/>
          <w:szCs w:val="18"/>
          <w:lang w:val="uk-UA"/>
        </w:rPr>
        <w:t>медикаментозної</w:t>
      </w:r>
      <w:r w:rsidRPr="00523F79">
        <w:rPr>
          <w:sz w:val="18"/>
          <w:szCs w:val="18"/>
          <w:lang w:val="uk-UA"/>
        </w:rPr>
        <w:t xml:space="preserve"> резистентності; 4) виживаність (смертність від ТБ); 5) період </w:t>
      </w:r>
      <w:r w:rsidRPr="008C2B26">
        <w:rPr>
          <w:sz w:val="18"/>
          <w:szCs w:val="18"/>
          <w:lang w:val="uk-UA"/>
        </w:rPr>
        <w:t xml:space="preserve">ремісії </w:t>
      </w:r>
      <w:r w:rsidRPr="00523F79">
        <w:rPr>
          <w:sz w:val="18"/>
          <w:szCs w:val="18"/>
          <w:lang w:val="uk-UA"/>
        </w:rPr>
        <w:t xml:space="preserve">після завершення курсу лікування; </w:t>
      </w:r>
      <w:r>
        <w:rPr>
          <w:sz w:val="18"/>
          <w:szCs w:val="18"/>
          <w:lang w:val="uk-UA"/>
        </w:rPr>
        <w:t xml:space="preserve">тривале одужання </w:t>
      </w:r>
      <w:r w:rsidRPr="00523F79">
        <w:rPr>
          <w:sz w:val="18"/>
          <w:szCs w:val="18"/>
          <w:lang w:val="uk-UA"/>
        </w:rPr>
        <w:t xml:space="preserve">(рецидив); 6) надання послуг з підтримки прихильності до лікування (відмова чи переривання лікування через відсутність прихильності); 7) охоплення популяції або доступ до відповідного лікування ЛС-ТБ; 8) конверсія мазку або культурального дослідження під час лікування; 9) прискорене виявлення </w:t>
      </w:r>
      <w:r>
        <w:rPr>
          <w:sz w:val="18"/>
          <w:szCs w:val="18"/>
          <w:lang w:val="uk-UA"/>
        </w:rPr>
        <w:t xml:space="preserve">медикаментозної </w:t>
      </w:r>
      <w:r w:rsidRPr="00523F79">
        <w:rPr>
          <w:sz w:val="18"/>
          <w:szCs w:val="18"/>
          <w:lang w:val="uk-UA"/>
        </w:rPr>
        <w:t xml:space="preserve">резистентності; 10) уникнення непотрібного лікування МРТБ; 11) охоплення популяції або доступ до діагностики ЛС-ТБ; 12) запобігання або припинення передачі ЛС-ТБ іншим людям, зокрема іншим пацієнтам та медпрацівникам; 13) найкоротша можлива тривалість лікування; 14) уникнення </w:t>
      </w:r>
      <w:r>
        <w:rPr>
          <w:sz w:val="18"/>
          <w:szCs w:val="18"/>
          <w:lang w:val="uk-UA"/>
        </w:rPr>
        <w:t xml:space="preserve">побічних реакцій </w:t>
      </w:r>
      <w:r w:rsidRPr="00523F79">
        <w:rPr>
          <w:sz w:val="18"/>
          <w:szCs w:val="18"/>
          <w:lang w:val="uk-UA"/>
        </w:rPr>
        <w:t xml:space="preserve">та небажаних </w:t>
      </w:r>
      <w:r>
        <w:rPr>
          <w:sz w:val="18"/>
          <w:szCs w:val="18"/>
          <w:lang w:val="uk-UA"/>
        </w:rPr>
        <w:t xml:space="preserve">явищ </w:t>
      </w:r>
      <w:r w:rsidRPr="00523F79">
        <w:rPr>
          <w:sz w:val="18"/>
          <w:szCs w:val="18"/>
          <w:lang w:val="uk-UA"/>
        </w:rPr>
        <w:t>при застосуванні ПТП; 15) вартість для пацієнта, зокрема прямі медичні витрати та інші витрати (на транспорт, втрата заробітку через непрацездатність); 16) зникнення ознак та симптомів ТБ; здатність продовжувати звичайну життєдіяльність; 17) взаємодія ПТП з іншими препаратами; 18) витрати для програми контролю ТБ (</w:t>
      </w:r>
      <w:r w:rsidRPr="00523F79">
        <w:rPr>
          <w:i/>
          <w:sz w:val="18"/>
          <w:szCs w:val="18"/>
          <w:lang w:val="uk-UA"/>
        </w:rPr>
        <w:t>див.</w:t>
      </w:r>
      <w:r w:rsidRPr="00523F79">
        <w:rPr>
          <w:sz w:val="18"/>
          <w:szCs w:val="18"/>
          <w:lang w:val="uk-UA"/>
        </w:rPr>
        <w:t xml:space="preserve"> також Додаток 1).</w:t>
      </w:r>
    </w:p>
  </w:footnote>
  <w:footnote w:id="26">
    <w:p w:rsidR="008F4BE3" w:rsidRPr="00C512EA" w:rsidRDefault="008F4BE3" w:rsidP="00EA471D">
      <w:pPr>
        <w:ind w:firstLine="0"/>
        <w:rPr>
          <w:sz w:val="18"/>
          <w:szCs w:val="18"/>
          <w:lang w:val="uk-UA"/>
        </w:rPr>
      </w:pPr>
      <w:r w:rsidRPr="00C512EA">
        <w:rPr>
          <w:sz w:val="18"/>
          <w:szCs w:val="18"/>
          <w:vertAlign w:val="superscript"/>
          <w:lang w:val="uk-UA"/>
        </w:rPr>
        <w:footnoteRef/>
      </w:r>
      <w:r w:rsidRPr="00C512EA">
        <w:rPr>
          <w:sz w:val="18"/>
          <w:szCs w:val="18"/>
          <w:lang w:val="uk-UA"/>
        </w:rPr>
        <w:t xml:space="preserve"> Результати </w:t>
      </w:r>
      <w:r>
        <w:rPr>
          <w:sz w:val="18"/>
          <w:szCs w:val="18"/>
          <w:lang w:val="uk-UA"/>
        </w:rPr>
        <w:t xml:space="preserve">наведено </w:t>
      </w:r>
      <w:r w:rsidRPr="00C512EA">
        <w:rPr>
          <w:sz w:val="18"/>
          <w:szCs w:val="18"/>
          <w:lang w:val="uk-UA"/>
        </w:rPr>
        <w:t>у Додатку</w:t>
      </w:r>
      <w:r>
        <w:rPr>
          <w:sz w:val="18"/>
          <w:szCs w:val="18"/>
          <w:lang w:val="uk-UA"/>
        </w:rPr>
        <w:t> </w:t>
      </w:r>
      <w:r w:rsidRPr="00C512EA">
        <w:rPr>
          <w:sz w:val="18"/>
          <w:szCs w:val="18"/>
          <w:lang w:val="uk-UA"/>
        </w:rPr>
        <w:t>1. Вони включають: 1</w:t>
      </w:r>
      <w:r>
        <w:rPr>
          <w:sz w:val="18"/>
          <w:szCs w:val="18"/>
          <w:lang w:val="uk-UA"/>
        </w:rPr>
        <w:t>) </w:t>
      </w:r>
      <w:r w:rsidRPr="006D127C">
        <w:rPr>
          <w:sz w:val="18"/>
          <w:szCs w:val="18"/>
          <w:lang w:val="uk-UA"/>
        </w:rPr>
        <w:t>одужання</w:t>
      </w:r>
      <w:r w:rsidRPr="00C512EA">
        <w:rPr>
          <w:sz w:val="18"/>
          <w:szCs w:val="18"/>
          <w:lang w:val="uk-UA"/>
        </w:rPr>
        <w:t>/завершене лікування</w:t>
      </w:r>
      <w:r>
        <w:rPr>
          <w:sz w:val="18"/>
          <w:szCs w:val="18"/>
          <w:lang w:val="uk-UA"/>
        </w:rPr>
        <w:t>;</w:t>
      </w:r>
      <w:r w:rsidRPr="00C512EA">
        <w:rPr>
          <w:sz w:val="18"/>
          <w:szCs w:val="18"/>
          <w:lang w:val="uk-UA"/>
        </w:rPr>
        <w:t xml:space="preserve"> 2</w:t>
      </w:r>
      <w:r>
        <w:rPr>
          <w:sz w:val="18"/>
          <w:szCs w:val="18"/>
          <w:lang w:val="uk-UA"/>
        </w:rPr>
        <w:t>) </w:t>
      </w:r>
      <w:r w:rsidRPr="00C512EA">
        <w:rPr>
          <w:sz w:val="18"/>
          <w:szCs w:val="18"/>
          <w:lang w:val="uk-UA"/>
        </w:rPr>
        <w:t>культуральн</w:t>
      </w:r>
      <w:r>
        <w:rPr>
          <w:sz w:val="18"/>
          <w:szCs w:val="18"/>
          <w:lang w:val="uk-UA"/>
        </w:rPr>
        <w:t xml:space="preserve">у </w:t>
      </w:r>
      <w:r w:rsidRPr="00C512EA">
        <w:rPr>
          <w:sz w:val="18"/>
          <w:szCs w:val="18"/>
          <w:lang w:val="uk-UA"/>
        </w:rPr>
        <w:t>конверсі</w:t>
      </w:r>
      <w:r>
        <w:rPr>
          <w:sz w:val="18"/>
          <w:szCs w:val="18"/>
          <w:lang w:val="uk-UA"/>
        </w:rPr>
        <w:t xml:space="preserve">ю </w:t>
      </w:r>
      <w:r w:rsidRPr="00C512EA">
        <w:rPr>
          <w:sz w:val="18"/>
          <w:szCs w:val="18"/>
          <w:lang w:val="uk-UA"/>
        </w:rPr>
        <w:t>через 6</w:t>
      </w:r>
      <w:r>
        <w:rPr>
          <w:sz w:val="18"/>
          <w:szCs w:val="18"/>
          <w:lang w:val="uk-UA"/>
        </w:rPr>
        <w:t> </w:t>
      </w:r>
      <w:r w:rsidRPr="00C512EA">
        <w:rPr>
          <w:sz w:val="18"/>
          <w:szCs w:val="18"/>
          <w:lang w:val="uk-UA"/>
        </w:rPr>
        <w:t>міс</w:t>
      </w:r>
      <w:r>
        <w:rPr>
          <w:sz w:val="18"/>
          <w:szCs w:val="18"/>
          <w:lang w:val="uk-UA"/>
        </w:rPr>
        <w:t>.;</w:t>
      </w:r>
      <w:r w:rsidRPr="00C512EA">
        <w:rPr>
          <w:sz w:val="18"/>
          <w:szCs w:val="18"/>
          <w:lang w:val="uk-UA"/>
        </w:rPr>
        <w:t xml:space="preserve"> 3</w:t>
      </w:r>
      <w:r>
        <w:rPr>
          <w:sz w:val="18"/>
          <w:szCs w:val="18"/>
          <w:lang w:val="uk-UA"/>
        </w:rPr>
        <w:t>) </w:t>
      </w:r>
      <w:r w:rsidRPr="00C512EA">
        <w:rPr>
          <w:sz w:val="18"/>
          <w:szCs w:val="18"/>
          <w:lang w:val="uk-UA"/>
        </w:rPr>
        <w:t>невдач</w:t>
      </w:r>
      <w:r>
        <w:rPr>
          <w:sz w:val="18"/>
          <w:szCs w:val="18"/>
          <w:lang w:val="uk-UA"/>
        </w:rPr>
        <w:t>у лікування;</w:t>
      </w:r>
      <w:r w:rsidRPr="00C512EA">
        <w:rPr>
          <w:sz w:val="18"/>
          <w:szCs w:val="18"/>
          <w:lang w:val="uk-UA"/>
        </w:rPr>
        <w:t xml:space="preserve"> 4</w:t>
      </w:r>
      <w:r>
        <w:rPr>
          <w:sz w:val="18"/>
          <w:szCs w:val="18"/>
          <w:lang w:val="uk-UA"/>
        </w:rPr>
        <w:t>) </w:t>
      </w:r>
      <w:r w:rsidRPr="00C512EA">
        <w:rPr>
          <w:sz w:val="18"/>
          <w:szCs w:val="18"/>
          <w:lang w:val="uk-UA"/>
        </w:rPr>
        <w:t>рецидив</w:t>
      </w:r>
      <w:r>
        <w:rPr>
          <w:sz w:val="18"/>
          <w:szCs w:val="18"/>
          <w:lang w:val="uk-UA"/>
        </w:rPr>
        <w:t>;</w:t>
      </w:r>
      <w:r w:rsidRPr="00C512EA">
        <w:rPr>
          <w:sz w:val="18"/>
          <w:szCs w:val="18"/>
          <w:lang w:val="uk-UA"/>
        </w:rPr>
        <w:t xml:space="preserve"> 5</w:t>
      </w:r>
      <w:r>
        <w:rPr>
          <w:sz w:val="18"/>
          <w:szCs w:val="18"/>
          <w:lang w:val="uk-UA"/>
        </w:rPr>
        <w:t>) </w:t>
      </w:r>
      <w:r w:rsidRPr="00C512EA">
        <w:rPr>
          <w:sz w:val="18"/>
          <w:szCs w:val="18"/>
          <w:lang w:val="uk-UA"/>
        </w:rPr>
        <w:t>виживання (або смерт</w:t>
      </w:r>
      <w:r>
        <w:rPr>
          <w:sz w:val="18"/>
          <w:szCs w:val="18"/>
          <w:lang w:val="uk-UA"/>
        </w:rPr>
        <w:t>ельний наслідок</w:t>
      </w:r>
      <w:r w:rsidRPr="00C512EA">
        <w:rPr>
          <w:sz w:val="18"/>
          <w:szCs w:val="18"/>
          <w:lang w:val="uk-UA"/>
        </w:rPr>
        <w:t>)</w:t>
      </w:r>
      <w:r>
        <w:rPr>
          <w:sz w:val="18"/>
          <w:szCs w:val="18"/>
          <w:lang w:val="uk-UA"/>
        </w:rPr>
        <w:t>;</w:t>
      </w:r>
      <w:r w:rsidRPr="00C512EA">
        <w:rPr>
          <w:sz w:val="18"/>
          <w:szCs w:val="18"/>
          <w:lang w:val="uk-UA"/>
        </w:rPr>
        <w:t xml:space="preserve"> 6</w:t>
      </w:r>
      <w:r>
        <w:rPr>
          <w:sz w:val="18"/>
          <w:szCs w:val="18"/>
          <w:lang w:val="uk-UA"/>
        </w:rPr>
        <w:t xml:space="preserve">) виникнення </w:t>
      </w:r>
      <w:r w:rsidRPr="00C512EA">
        <w:rPr>
          <w:sz w:val="18"/>
          <w:szCs w:val="18"/>
          <w:lang w:val="uk-UA"/>
        </w:rPr>
        <w:t>небажан</w:t>
      </w:r>
      <w:r>
        <w:rPr>
          <w:sz w:val="18"/>
          <w:szCs w:val="18"/>
          <w:lang w:val="uk-UA"/>
        </w:rPr>
        <w:t xml:space="preserve">их </w:t>
      </w:r>
      <w:r w:rsidRPr="00C512EA">
        <w:rPr>
          <w:sz w:val="18"/>
          <w:szCs w:val="18"/>
          <w:lang w:val="uk-UA"/>
        </w:rPr>
        <w:t>явищ</w:t>
      </w:r>
      <w:r>
        <w:rPr>
          <w:sz w:val="18"/>
          <w:szCs w:val="18"/>
          <w:lang w:val="uk-UA"/>
        </w:rPr>
        <w:t xml:space="preserve"> </w:t>
      </w:r>
      <w:r w:rsidRPr="00C512EA">
        <w:rPr>
          <w:sz w:val="18"/>
          <w:szCs w:val="18"/>
          <w:lang w:val="uk-UA"/>
        </w:rPr>
        <w:t>(</w:t>
      </w:r>
      <w:r>
        <w:rPr>
          <w:sz w:val="18"/>
          <w:szCs w:val="18"/>
          <w:lang w:val="uk-UA"/>
        </w:rPr>
        <w:t xml:space="preserve">ступінь </w:t>
      </w:r>
      <w:r w:rsidRPr="00C512EA">
        <w:rPr>
          <w:sz w:val="18"/>
          <w:szCs w:val="18"/>
          <w:lang w:val="uk-UA"/>
        </w:rPr>
        <w:t>тяжк</w:t>
      </w:r>
      <w:r>
        <w:rPr>
          <w:sz w:val="18"/>
          <w:szCs w:val="18"/>
          <w:lang w:val="uk-UA"/>
        </w:rPr>
        <w:t>ості</w:t>
      </w:r>
      <w:r w:rsidRPr="00C512EA">
        <w:rPr>
          <w:sz w:val="18"/>
          <w:szCs w:val="18"/>
          <w:lang w:val="uk-UA"/>
        </w:rPr>
        <w:t>, тип, клас органів)</w:t>
      </w:r>
      <w:r>
        <w:rPr>
          <w:sz w:val="18"/>
          <w:szCs w:val="18"/>
          <w:lang w:val="uk-UA"/>
        </w:rPr>
        <w:t xml:space="preserve">; </w:t>
      </w:r>
      <w:r w:rsidRPr="00C512EA">
        <w:rPr>
          <w:sz w:val="18"/>
          <w:szCs w:val="18"/>
          <w:lang w:val="uk-UA"/>
        </w:rPr>
        <w:t>7</w:t>
      </w:r>
      <w:r>
        <w:rPr>
          <w:sz w:val="18"/>
          <w:szCs w:val="18"/>
          <w:lang w:val="uk-UA"/>
        </w:rPr>
        <w:t>) </w:t>
      </w:r>
      <w:r w:rsidRPr="00C512EA">
        <w:rPr>
          <w:sz w:val="18"/>
          <w:szCs w:val="18"/>
          <w:lang w:val="uk-UA"/>
        </w:rPr>
        <w:t>прихильність до лікуванн</w:t>
      </w:r>
      <w:r>
        <w:rPr>
          <w:sz w:val="18"/>
          <w:szCs w:val="18"/>
          <w:lang w:val="uk-UA"/>
        </w:rPr>
        <w:t xml:space="preserve">я </w:t>
      </w:r>
      <w:r w:rsidRPr="00C512EA">
        <w:rPr>
          <w:sz w:val="18"/>
          <w:szCs w:val="18"/>
          <w:lang w:val="uk-UA"/>
        </w:rPr>
        <w:t xml:space="preserve">(або переривання лікування через </w:t>
      </w:r>
      <w:r>
        <w:rPr>
          <w:sz w:val="18"/>
          <w:szCs w:val="18"/>
          <w:lang w:val="uk-UA"/>
        </w:rPr>
        <w:t xml:space="preserve">відсутність </w:t>
      </w:r>
      <w:r w:rsidRPr="00C512EA">
        <w:rPr>
          <w:sz w:val="18"/>
          <w:szCs w:val="18"/>
          <w:lang w:val="uk-UA"/>
        </w:rPr>
        <w:t>прихильн</w:t>
      </w:r>
      <w:r>
        <w:rPr>
          <w:sz w:val="18"/>
          <w:szCs w:val="18"/>
          <w:lang w:val="uk-UA"/>
        </w:rPr>
        <w:t>ості</w:t>
      </w:r>
      <w:r w:rsidRPr="00C512EA">
        <w:rPr>
          <w:sz w:val="18"/>
          <w:szCs w:val="18"/>
          <w:lang w:val="uk-UA"/>
        </w:rPr>
        <w:t>).</w:t>
      </w:r>
    </w:p>
  </w:footnote>
  <w:footnote w:id="27">
    <w:p w:rsidR="008F4BE3" w:rsidRPr="00282C02" w:rsidRDefault="008F4BE3" w:rsidP="00A75154">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lang w:val="uk-UA"/>
        </w:rPr>
        <w:t xml:space="preserve">Заходи з формування прихильності до лікування включають соціальну підтримку, </w:t>
      </w:r>
      <w:r>
        <w:rPr>
          <w:rStyle w:val="fontstyle01"/>
          <w:sz w:val="18"/>
          <w:szCs w:val="18"/>
          <w:lang w:val="uk-UA"/>
        </w:rPr>
        <w:t xml:space="preserve">зокрема </w:t>
      </w:r>
      <w:r w:rsidRPr="00282C02">
        <w:rPr>
          <w:rStyle w:val="fontstyle01"/>
          <w:sz w:val="18"/>
          <w:szCs w:val="18"/>
          <w:lang w:val="uk-UA"/>
        </w:rPr>
        <w:t>надання матеріальної допомоги (продукти харчування, грошова винагорода, оплата проїзду тощо), психологічну підтримку, нагляд, наприклад, візити до місця проживання пацієнта або залучення цифрових технологій (SMS-повідомлення, телефонні дзвінки), моніторинг прийому лікарських засобів та навчання персоналу. Такі втручання обирають на основі оцінювання індивідуальних потреб пацієнта, ресурсів надавачів медичних послуг та умов впровадження.</w:t>
      </w:r>
    </w:p>
  </w:footnote>
  <w:footnote w:id="28">
    <w:p w:rsidR="008F4BE3" w:rsidRPr="00282C02" w:rsidRDefault="008F4BE3" w:rsidP="00A75154">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lang w:val="uk-UA"/>
        </w:rPr>
        <w:t>Варіанти нагляду за лікуванням включають DOT, нещоденне DOT</w:t>
      </w:r>
      <w:r>
        <w:rPr>
          <w:rStyle w:val="fontstyle01"/>
          <w:sz w:val="18"/>
          <w:szCs w:val="18"/>
          <w:lang w:val="uk-UA"/>
        </w:rPr>
        <w:t xml:space="preserve">, </w:t>
      </w:r>
      <w:r w:rsidRPr="00FF3917">
        <w:rPr>
          <w:rStyle w:val="fontstyle01"/>
          <w:sz w:val="18"/>
          <w:szCs w:val="18"/>
          <w:lang w:val="uk-UA"/>
        </w:rPr>
        <w:t xml:space="preserve">лікування під безпосереднім наглядом за допомогою відео </w:t>
      </w:r>
      <w:r w:rsidRPr="00140FBD">
        <w:rPr>
          <w:rStyle w:val="fontstyle01"/>
          <w:sz w:val="18"/>
          <w:szCs w:val="18"/>
          <w:lang w:val="uk-UA"/>
        </w:rPr>
        <w:t>(</w:t>
      </w:r>
      <w:r w:rsidRPr="00282C02">
        <w:rPr>
          <w:rStyle w:val="fontstyle01"/>
          <w:sz w:val="18"/>
          <w:szCs w:val="18"/>
          <w:lang w:val="uk-UA"/>
        </w:rPr>
        <w:t>VOT</w:t>
      </w:r>
      <w:r>
        <w:rPr>
          <w:rStyle w:val="fontstyle01"/>
          <w:sz w:val="18"/>
          <w:szCs w:val="18"/>
          <w:lang w:val="uk-UA"/>
        </w:rPr>
        <w:t>)</w:t>
      </w:r>
      <w:r w:rsidRPr="00282C02">
        <w:rPr>
          <w:rStyle w:val="fontstyle01"/>
          <w:sz w:val="18"/>
          <w:szCs w:val="18"/>
          <w:lang w:val="uk-UA"/>
        </w:rPr>
        <w:t xml:space="preserve"> або лікування без нагляду.</w:t>
      </w:r>
    </w:p>
  </w:footnote>
  <w:footnote w:id="29">
    <w:p w:rsidR="008F4BE3" w:rsidRPr="00282C02" w:rsidRDefault="008F4BE3" w:rsidP="00A75154">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lang w:val="uk-UA"/>
        </w:rPr>
        <w:t xml:space="preserve">Відстеження означає спілкування з пацієнтом, включаючи SMS-повідомлення, телефонні дзвінки (голосові повідомлення) або візити </w:t>
      </w:r>
      <w:r>
        <w:rPr>
          <w:rStyle w:val="fontstyle01"/>
          <w:sz w:val="18"/>
          <w:szCs w:val="18"/>
          <w:lang w:val="uk-UA"/>
        </w:rPr>
        <w:t xml:space="preserve">за </w:t>
      </w:r>
      <w:r w:rsidRPr="00282C02">
        <w:rPr>
          <w:rStyle w:val="fontstyle01"/>
          <w:sz w:val="18"/>
          <w:szCs w:val="18"/>
          <w:lang w:val="uk-UA"/>
        </w:rPr>
        <w:t>місц</w:t>
      </w:r>
      <w:r>
        <w:rPr>
          <w:rStyle w:val="fontstyle01"/>
          <w:sz w:val="18"/>
          <w:szCs w:val="18"/>
          <w:lang w:val="uk-UA"/>
        </w:rPr>
        <w:t xml:space="preserve">ем </w:t>
      </w:r>
      <w:r w:rsidRPr="00282C02">
        <w:rPr>
          <w:rStyle w:val="fontstyle01"/>
          <w:sz w:val="18"/>
          <w:szCs w:val="18"/>
          <w:lang w:val="uk-UA"/>
        </w:rPr>
        <w:t>проживання пацієнта.</w:t>
      </w:r>
    </w:p>
  </w:footnote>
  <w:footnote w:id="30">
    <w:p w:rsidR="008F4BE3" w:rsidRPr="00282C02" w:rsidRDefault="008F4BE3" w:rsidP="00A75154">
      <w:pPr>
        <w:pStyle w:val="aa"/>
        <w:spacing w:line="228" w:lineRule="auto"/>
        <w:ind w:firstLine="0"/>
        <w:rPr>
          <w:sz w:val="18"/>
          <w:szCs w:val="18"/>
          <w:lang w:val="uk-UA"/>
        </w:rPr>
      </w:pPr>
      <w:r w:rsidRPr="00282C02">
        <w:rPr>
          <w:rStyle w:val="ac"/>
          <w:sz w:val="18"/>
          <w:szCs w:val="18"/>
          <w:lang w:val="uk-UA"/>
        </w:rPr>
        <w:footnoteRef/>
      </w:r>
      <w:r w:rsidRPr="00282C02">
        <w:rPr>
          <w:sz w:val="18"/>
          <w:szCs w:val="18"/>
          <w:lang w:val="uk-UA"/>
        </w:rPr>
        <w:t xml:space="preserve"> Контроль за прийомом препаратів може здійснюватися за допомогою цифрового приладу, що вимірює час між відкриванням боксу з лікарськими засобами та може мати функцію голосового нагадування або надсилання </w:t>
      </w:r>
      <w:r>
        <w:rPr>
          <w:rStyle w:val="fontstyle01"/>
          <w:sz w:val="18"/>
          <w:szCs w:val="18"/>
          <w:lang w:val="uk-UA"/>
        </w:rPr>
        <w:t>SMS</w:t>
      </w:r>
      <w:r w:rsidRPr="00282C02">
        <w:rPr>
          <w:rStyle w:val="fontstyle01"/>
          <w:sz w:val="18"/>
          <w:szCs w:val="18"/>
          <w:lang w:val="uk-UA"/>
        </w:rPr>
        <w:t xml:space="preserve"> для нагадування пацієнту про необхідність прий</w:t>
      </w:r>
      <w:r>
        <w:rPr>
          <w:rStyle w:val="fontstyle01"/>
          <w:sz w:val="18"/>
          <w:szCs w:val="18"/>
          <w:lang w:val="uk-UA"/>
        </w:rPr>
        <w:t>ому препаратів (окрім</w:t>
      </w:r>
      <w:r w:rsidRPr="00282C02">
        <w:rPr>
          <w:rStyle w:val="fontstyle01"/>
          <w:sz w:val="18"/>
          <w:szCs w:val="18"/>
          <w:lang w:val="uk-UA"/>
        </w:rPr>
        <w:t xml:space="preserve"> запис</w:t>
      </w:r>
      <w:r>
        <w:rPr>
          <w:rStyle w:val="fontstyle01"/>
          <w:sz w:val="18"/>
          <w:szCs w:val="18"/>
          <w:lang w:val="uk-UA"/>
        </w:rPr>
        <w:t xml:space="preserve">у </w:t>
      </w:r>
      <w:r w:rsidRPr="00282C02">
        <w:rPr>
          <w:rStyle w:val="fontstyle01"/>
          <w:sz w:val="18"/>
          <w:szCs w:val="18"/>
          <w:lang w:val="uk-UA"/>
        </w:rPr>
        <w:t>часу відкривання боксу</w:t>
      </w:r>
      <w:r>
        <w:rPr>
          <w:rStyle w:val="fontstyle01"/>
          <w:sz w:val="18"/>
          <w:szCs w:val="18"/>
          <w:lang w:val="uk-UA"/>
        </w:rPr>
        <w:t>)</w:t>
      </w:r>
      <w:r w:rsidRPr="00282C02">
        <w:rPr>
          <w:rStyle w:val="fontstyle01"/>
          <w:sz w:val="18"/>
          <w:szCs w:val="18"/>
          <w:lang w:val="uk-UA"/>
        </w:rPr>
        <w:t>.</w:t>
      </w:r>
    </w:p>
  </w:footnote>
  <w:footnote w:id="31">
    <w:p w:rsidR="008F4BE3" w:rsidRPr="00282C02" w:rsidRDefault="008F4BE3" w:rsidP="00A75154">
      <w:pPr>
        <w:pStyle w:val="aa"/>
        <w:spacing w:line="228" w:lineRule="auto"/>
        <w:ind w:firstLine="0"/>
        <w:rPr>
          <w:sz w:val="18"/>
          <w:szCs w:val="18"/>
          <w:lang w:val="uk-UA"/>
        </w:rPr>
      </w:pPr>
      <w:r w:rsidRPr="00282C02">
        <w:rPr>
          <w:rStyle w:val="ac"/>
          <w:sz w:val="18"/>
          <w:szCs w:val="18"/>
          <w:lang w:val="uk-UA"/>
        </w:rPr>
        <w:footnoteRef/>
      </w:r>
      <w:r w:rsidRPr="00282C02">
        <w:rPr>
          <w:rStyle w:val="fontstyle01"/>
          <w:sz w:val="18"/>
          <w:szCs w:val="18"/>
          <w:lang w:val="uk-UA"/>
        </w:rPr>
        <w:t> Матеріальною підтримкою може бути надання продуктів харчування або фінансової підтримки, наприклад, годування, продуктові корзини, харчові добавки, продовольчі купони, пільговий проїзд, грошова допомога, житлові пільги або фінансова винагорода. Така підтримка стосується непрямих витрат пацієнтів або їх опікунів на доступ до медичного обслуговування та, можливо, має на меті пом’якшення наслідків втрати доходу у зв’язку із захворюванням.</w:t>
      </w:r>
    </w:p>
  </w:footnote>
  <w:footnote w:id="32">
    <w:p w:rsidR="008F4BE3" w:rsidRPr="00282C02" w:rsidRDefault="008F4BE3" w:rsidP="00A75154">
      <w:pPr>
        <w:pStyle w:val="aa"/>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lang w:val="uk-UA"/>
        </w:rPr>
        <w:t>Психологічна підтримка може включати психологічні консультації або групи взаємодопомоги.</w:t>
      </w:r>
    </w:p>
  </w:footnote>
  <w:footnote w:id="33">
    <w:p w:rsidR="008F4BE3" w:rsidRPr="00282C02" w:rsidRDefault="008F4BE3" w:rsidP="00A75154">
      <w:pPr>
        <w:pStyle w:val="aa"/>
        <w:ind w:firstLine="0"/>
        <w:rPr>
          <w:sz w:val="18"/>
          <w:szCs w:val="18"/>
          <w:lang w:val="uk-UA"/>
        </w:rPr>
      </w:pPr>
      <w:r w:rsidRPr="00282C02">
        <w:rPr>
          <w:rStyle w:val="ac"/>
          <w:sz w:val="18"/>
          <w:szCs w:val="18"/>
          <w:lang w:val="uk-UA"/>
        </w:rPr>
        <w:footnoteRef/>
      </w:r>
      <w:r w:rsidRPr="00282C02">
        <w:rPr>
          <w:sz w:val="18"/>
          <w:szCs w:val="18"/>
          <w:lang w:val="uk-UA"/>
        </w:rPr>
        <w:t> </w:t>
      </w:r>
      <w:r w:rsidRPr="00282C02">
        <w:rPr>
          <w:rStyle w:val="fontstyle01"/>
          <w:sz w:val="18"/>
          <w:szCs w:val="18"/>
          <w:lang w:val="uk-UA"/>
        </w:rPr>
        <w:t>Навчання персоналу може здійснюватися через навчання формуванню прихильності, включаючи схеми або візуальні пам’ятки, навчальні та комп’ютерні засоби для нагадування і допомоги у прийнятті рішень.</w:t>
      </w:r>
    </w:p>
  </w:footnote>
  <w:footnote w:id="34">
    <w:p w:rsidR="008F4BE3" w:rsidRPr="00282C02" w:rsidRDefault="008F4BE3" w:rsidP="00A75154">
      <w:pPr>
        <w:ind w:firstLine="0"/>
        <w:rPr>
          <w:sz w:val="18"/>
          <w:szCs w:val="18"/>
          <w:lang w:val="uk-UA"/>
        </w:rPr>
      </w:pPr>
      <w:r w:rsidRPr="00282C02">
        <w:rPr>
          <w:sz w:val="18"/>
          <w:szCs w:val="18"/>
          <w:vertAlign w:val="superscript"/>
          <w:lang w:val="uk-UA"/>
        </w:rPr>
        <w:footnoteRef/>
      </w:r>
      <w:r w:rsidRPr="00282C02">
        <w:rPr>
          <w:sz w:val="18"/>
          <w:szCs w:val="18"/>
          <w:lang w:val="uk-UA"/>
        </w:rPr>
        <w:t xml:space="preserve"> Результати </w:t>
      </w:r>
      <w:r>
        <w:rPr>
          <w:sz w:val="18"/>
          <w:szCs w:val="18"/>
          <w:lang w:val="uk-UA"/>
        </w:rPr>
        <w:t xml:space="preserve">наведено </w:t>
      </w:r>
      <w:r w:rsidRPr="00282C02">
        <w:rPr>
          <w:sz w:val="18"/>
          <w:szCs w:val="18"/>
          <w:lang w:val="uk-UA"/>
        </w:rPr>
        <w:t>у Додатку</w:t>
      </w:r>
      <w:r>
        <w:rPr>
          <w:sz w:val="18"/>
          <w:szCs w:val="18"/>
          <w:lang w:val="uk-UA"/>
        </w:rPr>
        <w:t> </w:t>
      </w:r>
      <w:r w:rsidRPr="00282C02">
        <w:rPr>
          <w:sz w:val="18"/>
          <w:szCs w:val="18"/>
          <w:lang w:val="uk-UA"/>
        </w:rPr>
        <w:t xml:space="preserve">1. Вони </w:t>
      </w:r>
      <w:r>
        <w:rPr>
          <w:sz w:val="18"/>
          <w:szCs w:val="18"/>
          <w:lang w:val="uk-UA"/>
        </w:rPr>
        <w:t>включають</w:t>
      </w:r>
      <w:r w:rsidRPr="00282C02">
        <w:rPr>
          <w:sz w:val="18"/>
          <w:szCs w:val="18"/>
          <w:lang w:val="uk-UA"/>
        </w:rPr>
        <w:t>: 1</w:t>
      </w:r>
      <w:r>
        <w:rPr>
          <w:sz w:val="18"/>
          <w:szCs w:val="18"/>
          <w:lang w:val="uk-UA"/>
        </w:rPr>
        <w:t>) </w:t>
      </w:r>
      <w:r w:rsidRPr="00282C02">
        <w:rPr>
          <w:sz w:val="18"/>
          <w:szCs w:val="18"/>
          <w:lang w:val="uk-UA"/>
        </w:rPr>
        <w:t xml:space="preserve">прихильність до лікування (або переривання лікування через </w:t>
      </w:r>
      <w:r>
        <w:rPr>
          <w:sz w:val="18"/>
          <w:szCs w:val="18"/>
          <w:lang w:val="uk-UA"/>
        </w:rPr>
        <w:t xml:space="preserve">відсутність </w:t>
      </w:r>
      <w:r w:rsidRPr="00282C02">
        <w:rPr>
          <w:sz w:val="18"/>
          <w:szCs w:val="18"/>
          <w:lang w:val="uk-UA"/>
        </w:rPr>
        <w:t>прихильн</w:t>
      </w:r>
      <w:r>
        <w:rPr>
          <w:sz w:val="18"/>
          <w:szCs w:val="18"/>
          <w:lang w:val="uk-UA"/>
        </w:rPr>
        <w:t>ості</w:t>
      </w:r>
      <w:r w:rsidRPr="00282C02">
        <w:rPr>
          <w:sz w:val="18"/>
          <w:szCs w:val="18"/>
          <w:lang w:val="uk-UA"/>
        </w:rPr>
        <w:t>)</w:t>
      </w:r>
      <w:r>
        <w:rPr>
          <w:sz w:val="18"/>
          <w:szCs w:val="18"/>
          <w:lang w:val="uk-UA"/>
        </w:rPr>
        <w:t>;</w:t>
      </w:r>
      <w:r w:rsidRPr="00282C02">
        <w:rPr>
          <w:sz w:val="18"/>
          <w:szCs w:val="18"/>
          <w:lang w:val="uk-UA"/>
        </w:rPr>
        <w:t xml:space="preserve"> 2</w:t>
      </w:r>
      <w:r>
        <w:rPr>
          <w:sz w:val="18"/>
          <w:szCs w:val="18"/>
          <w:lang w:val="uk-UA"/>
        </w:rPr>
        <w:t>) </w:t>
      </w:r>
      <w:r w:rsidRPr="00282C02">
        <w:rPr>
          <w:sz w:val="18"/>
          <w:szCs w:val="18"/>
          <w:lang w:val="uk-UA"/>
        </w:rPr>
        <w:t xml:space="preserve">результати звичайного лікування ТБ: </w:t>
      </w:r>
      <w:r>
        <w:rPr>
          <w:sz w:val="18"/>
          <w:szCs w:val="18"/>
          <w:lang w:val="uk-UA"/>
        </w:rPr>
        <w:t xml:space="preserve">одужання </w:t>
      </w:r>
      <w:r w:rsidRPr="00282C02">
        <w:rPr>
          <w:sz w:val="18"/>
          <w:szCs w:val="18"/>
          <w:lang w:val="uk-UA"/>
        </w:rPr>
        <w:t xml:space="preserve">або завершення </w:t>
      </w:r>
      <w:r>
        <w:rPr>
          <w:sz w:val="18"/>
          <w:szCs w:val="18"/>
          <w:lang w:val="uk-UA"/>
        </w:rPr>
        <w:t xml:space="preserve">курсу </w:t>
      </w:r>
      <w:r w:rsidRPr="00282C02">
        <w:rPr>
          <w:sz w:val="18"/>
          <w:szCs w:val="18"/>
          <w:lang w:val="uk-UA"/>
        </w:rPr>
        <w:t>лікування, невдача</w:t>
      </w:r>
      <w:r>
        <w:rPr>
          <w:sz w:val="18"/>
          <w:szCs w:val="18"/>
          <w:lang w:val="uk-UA"/>
        </w:rPr>
        <w:t xml:space="preserve"> лікування</w:t>
      </w:r>
      <w:r w:rsidRPr="00282C02">
        <w:rPr>
          <w:sz w:val="18"/>
          <w:szCs w:val="18"/>
          <w:lang w:val="uk-UA"/>
        </w:rPr>
        <w:t>, рецидив, виживання/смерт</w:t>
      </w:r>
      <w:r>
        <w:rPr>
          <w:sz w:val="18"/>
          <w:szCs w:val="18"/>
          <w:lang w:val="uk-UA"/>
        </w:rPr>
        <w:t>ність;</w:t>
      </w:r>
      <w:r w:rsidRPr="00282C02">
        <w:rPr>
          <w:sz w:val="18"/>
          <w:szCs w:val="18"/>
          <w:lang w:val="uk-UA"/>
        </w:rPr>
        <w:t xml:space="preserve"> 3</w:t>
      </w:r>
      <w:r>
        <w:rPr>
          <w:sz w:val="18"/>
          <w:szCs w:val="18"/>
          <w:lang w:val="uk-UA"/>
        </w:rPr>
        <w:t>) </w:t>
      </w:r>
      <w:r w:rsidRPr="00282C02">
        <w:rPr>
          <w:sz w:val="18"/>
          <w:szCs w:val="18"/>
          <w:lang w:val="uk-UA"/>
        </w:rPr>
        <w:t xml:space="preserve">небажані явища </w:t>
      </w:r>
      <w:r>
        <w:rPr>
          <w:sz w:val="18"/>
          <w:szCs w:val="18"/>
          <w:lang w:val="uk-UA"/>
        </w:rPr>
        <w:t xml:space="preserve">внаслідок прийому </w:t>
      </w:r>
      <w:r w:rsidRPr="00282C02">
        <w:rPr>
          <w:sz w:val="18"/>
          <w:szCs w:val="18"/>
          <w:lang w:val="uk-UA"/>
        </w:rPr>
        <w:t>ПТП (</w:t>
      </w:r>
      <w:r>
        <w:rPr>
          <w:sz w:val="18"/>
          <w:szCs w:val="18"/>
          <w:lang w:val="uk-UA"/>
        </w:rPr>
        <w:t xml:space="preserve">ступінь </w:t>
      </w:r>
      <w:r w:rsidRPr="00282C02">
        <w:rPr>
          <w:sz w:val="18"/>
          <w:szCs w:val="18"/>
          <w:lang w:val="uk-UA"/>
        </w:rPr>
        <w:t>тяжк</w:t>
      </w:r>
      <w:r>
        <w:rPr>
          <w:sz w:val="18"/>
          <w:szCs w:val="18"/>
          <w:lang w:val="uk-UA"/>
        </w:rPr>
        <w:t>ості</w:t>
      </w:r>
      <w:r w:rsidRPr="00282C02">
        <w:rPr>
          <w:sz w:val="18"/>
          <w:szCs w:val="18"/>
          <w:lang w:val="uk-UA"/>
        </w:rPr>
        <w:t>, тип, клас органів)</w:t>
      </w:r>
      <w:r>
        <w:rPr>
          <w:sz w:val="18"/>
          <w:szCs w:val="18"/>
          <w:lang w:val="uk-UA"/>
        </w:rPr>
        <w:t>;</w:t>
      </w:r>
      <w:r w:rsidRPr="00282C02">
        <w:rPr>
          <w:sz w:val="18"/>
          <w:szCs w:val="18"/>
          <w:lang w:val="uk-UA"/>
        </w:rPr>
        <w:t xml:space="preserve"> 4</w:t>
      </w:r>
      <w:r>
        <w:rPr>
          <w:sz w:val="18"/>
          <w:szCs w:val="18"/>
          <w:lang w:val="uk-UA"/>
        </w:rPr>
        <w:t>) </w:t>
      </w:r>
      <w:r w:rsidRPr="00523F79">
        <w:rPr>
          <w:sz w:val="18"/>
          <w:szCs w:val="18"/>
          <w:lang w:val="uk-UA"/>
        </w:rPr>
        <w:t>вартість для пацієнта, зокрема прямі медичні витрати та інші витрати (на транспорт, втрата заробітку через непрацездатність)</w:t>
      </w:r>
      <w:r>
        <w:rPr>
          <w:sz w:val="18"/>
          <w:szCs w:val="18"/>
          <w:lang w:val="uk-UA"/>
        </w:rPr>
        <w:t>;</w:t>
      </w:r>
      <w:r w:rsidRPr="00282C02">
        <w:rPr>
          <w:sz w:val="18"/>
          <w:szCs w:val="18"/>
          <w:lang w:val="uk-UA"/>
        </w:rPr>
        <w:t xml:space="preserve"> 5</w:t>
      </w:r>
      <w:r>
        <w:rPr>
          <w:sz w:val="18"/>
          <w:szCs w:val="18"/>
          <w:lang w:val="uk-UA"/>
        </w:rPr>
        <w:t>) </w:t>
      </w:r>
      <w:r w:rsidRPr="00282C02">
        <w:rPr>
          <w:sz w:val="18"/>
          <w:szCs w:val="18"/>
          <w:lang w:val="uk-UA"/>
        </w:rPr>
        <w:t>вартість для системи охорони здоров’я.</w:t>
      </w:r>
    </w:p>
  </w:footnote>
  <w:footnote w:id="35">
    <w:p w:rsidR="008F4BE3" w:rsidRPr="00282C02" w:rsidRDefault="008F4BE3" w:rsidP="00A75154">
      <w:pPr>
        <w:ind w:firstLine="0"/>
        <w:rPr>
          <w:sz w:val="18"/>
          <w:szCs w:val="18"/>
          <w:lang w:val="uk-UA"/>
        </w:rPr>
      </w:pPr>
      <w:r w:rsidRPr="00282C02">
        <w:rPr>
          <w:sz w:val="18"/>
          <w:szCs w:val="18"/>
          <w:vertAlign w:val="superscript"/>
          <w:lang w:val="uk-UA"/>
        </w:rPr>
        <w:footnoteRef/>
      </w:r>
      <w:r w:rsidRPr="00282C02">
        <w:rPr>
          <w:sz w:val="18"/>
          <w:szCs w:val="18"/>
          <w:lang w:val="uk-UA"/>
        </w:rPr>
        <w:t xml:space="preserve"> Результати </w:t>
      </w:r>
      <w:r>
        <w:rPr>
          <w:sz w:val="18"/>
          <w:szCs w:val="18"/>
          <w:lang w:val="uk-UA"/>
        </w:rPr>
        <w:t xml:space="preserve">наведено </w:t>
      </w:r>
      <w:r w:rsidRPr="00282C02">
        <w:rPr>
          <w:sz w:val="18"/>
          <w:szCs w:val="18"/>
          <w:lang w:val="uk-UA"/>
        </w:rPr>
        <w:t>у Додатку</w:t>
      </w:r>
      <w:r>
        <w:rPr>
          <w:sz w:val="18"/>
          <w:szCs w:val="18"/>
          <w:lang w:val="uk-UA"/>
        </w:rPr>
        <w:t> </w:t>
      </w:r>
      <w:r w:rsidRPr="00282C02">
        <w:rPr>
          <w:sz w:val="18"/>
          <w:szCs w:val="18"/>
          <w:lang w:val="uk-UA"/>
        </w:rPr>
        <w:t xml:space="preserve">1. Вони </w:t>
      </w:r>
      <w:r>
        <w:rPr>
          <w:sz w:val="18"/>
          <w:szCs w:val="18"/>
          <w:lang w:val="uk-UA"/>
        </w:rPr>
        <w:t>включають</w:t>
      </w:r>
      <w:r w:rsidRPr="00282C02">
        <w:rPr>
          <w:sz w:val="18"/>
          <w:szCs w:val="18"/>
          <w:lang w:val="uk-UA"/>
        </w:rPr>
        <w:t>: 1</w:t>
      </w:r>
      <w:r>
        <w:rPr>
          <w:sz w:val="18"/>
          <w:szCs w:val="18"/>
          <w:lang w:val="uk-UA"/>
        </w:rPr>
        <w:t xml:space="preserve">) одужання </w:t>
      </w:r>
      <w:r w:rsidRPr="00282C02">
        <w:rPr>
          <w:sz w:val="18"/>
          <w:szCs w:val="18"/>
          <w:lang w:val="uk-UA"/>
        </w:rPr>
        <w:t>(невдача лікування)</w:t>
      </w:r>
      <w:r>
        <w:rPr>
          <w:sz w:val="18"/>
          <w:szCs w:val="18"/>
          <w:lang w:val="uk-UA"/>
        </w:rPr>
        <w:t>; </w:t>
      </w:r>
      <w:r w:rsidRPr="00282C02">
        <w:rPr>
          <w:sz w:val="18"/>
          <w:szCs w:val="18"/>
          <w:lang w:val="uk-UA"/>
        </w:rPr>
        <w:t>2.</w:t>
      </w:r>
      <w:r>
        <w:rPr>
          <w:sz w:val="18"/>
          <w:szCs w:val="18"/>
          <w:lang w:val="uk-UA"/>
        </w:rPr>
        <w:t> </w:t>
      </w:r>
      <w:r w:rsidRPr="00282C02">
        <w:rPr>
          <w:sz w:val="18"/>
          <w:szCs w:val="18"/>
          <w:lang w:val="uk-UA"/>
        </w:rPr>
        <w:t>своєчасний початок відповідного лікування</w:t>
      </w:r>
      <w:r>
        <w:rPr>
          <w:sz w:val="18"/>
          <w:szCs w:val="18"/>
          <w:lang w:val="uk-UA"/>
        </w:rPr>
        <w:t xml:space="preserve">; </w:t>
      </w:r>
      <w:r w:rsidRPr="00282C02">
        <w:rPr>
          <w:sz w:val="18"/>
          <w:szCs w:val="18"/>
          <w:lang w:val="uk-UA"/>
        </w:rPr>
        <w:t>3</w:t>
      </w:r>
      <w:r>
        <w:rPr>
          <w:sz w:val="18"/>
          <w:szCs w:val="18"/>
          <w:lang w:val="uk-UA"/>
        </w:rPr>
        <w:t>) </w:t>
      </w:r>
      <w:r w:rsidRPr="00523F79">
        <w:rPr>
          <w:sz w:val="18"/>
          <w:szCs w:val="18"/>
          <w:lang w:val="uk-UA"/>
        </w:rPr>
        <w:t>попередження набуття або посилення лікарської резистентності</w:t>
      </w:r>
      <w:r>
        <w:rPr>
          <w:sz w:val="18"/>
          <w:szCs w:val="18"/>
          <w:lang w:val="uk-UA"/>
        </w:rPr>
        <w:t>;</w:t>
      </w:r>
      <w:r w:rsidRPr="00282C02">
        <w:rPr>
          <w:sz w:val="18"/>
          <w:szCs w:val="18"/>
          <w:lang w:val="uk-UA"/>
        </w:rPr>
        <w:t xml:space="preserve"> 4</w:t>
      </w:r>
      <w:r>
        <w:rPr>
          <w:sz w:val="18"/>
          <w:szCs w:val="18"/>
          <w:lang w:val="uk-UA"/>
        </w:rPr>
        <w:t xml:space="preserve">) </w:t>
      </w:r>
      <w:r w:rsidRPr="00523F79">
        <w:rPr>
          <w:sz w:val="18"/>
          <w:szCs w:val="18"/>
          <w:lang w:val="uk-UA"/>
        </w:rPr>
        <w:t xml:space="preserve">виживаність (смертність від ТБ); </w:t>
      </w:r>
      <w:r w:rsidRPr="00282C02">
        <w:rPr>
          <w:sz w:val="18"/>
          <w:szCs w:val="18"/>
          <w:lang w:val="uk-UA"/>
        </w:rPr>
        <w:t>5</w:t>
      </w:r>
      <w:r>
        <w:rPr>
          <w:sz w:val="18"/>
          <w:szCs w:val="18"/>
          <w:lang w:val="uk-UA"/>
        </w:rPr>
        <w:t>) </w:t>
      </w:r>
      <w:r w:rsidRPr="00523F79">
        <w:rPr>
          <w:sz w:val="18"/>
          <w:szCs w:val="18"/>
          <w:lang w:val="uk-UA"/>
        </w:rPr>
        <w:t xml:space="preserve">період </w:t>
      </w:r>
      <w:r w:rsidRPr="006A7B4D">
        <w:rPr>
          <w:sz w:val="18"/>
          <w:szCs w:val="18"/>
          <w:lang w:val="uk-UA"/>
        </w:rPr>
        <w:t xml:space="preserve">ремісії </w:t>
      </w:r>
      <w:r w:rsidRPr="00523F79">
        <w:rPr>
          <w:sz w:val="18"/>
          <w:szCs w:val="18"/>
          <w:lang w:val="uk-UA"/>
        </w:rPr>
        <w:t xml:space="preserve">після завершення курсу лікування; продовження лікування (рецидив); </w:t>
      </w:r>
      <w:r w:rsidRPr="00282C02">
        <w:rPr>
          <w:sz w:val="18"/>
          <w:szCs w:val="18"/>
          <w:lang w:val="uk-UA"/>
        </w:rPr>
        <w:t>6</w:t>
      </w:r>
      <w:r>
        <w:rPr>
          <w:sz w:val="18"/>
          <w:szCs w:val="18"/>
          <w:lang w:val="uk-UA"/>
        </w:rPr>
        <w:t>) </w:t>
      </w:r>
      <w:r w:rsidRPr="00523F79">
        <w:rPr>
          <w:sz w:val="18"/>
          <w:szCs w:val="18"/>
          <w:lang w:val="uk-UA"/>
        </w:rPr>
        <w:t xml:space="preserve">надання послуг з підтримки прихильності до лікування (відмова чи переривання лікування через відсутність прихильності); </w:t>
      </w:r>
      <w:r w:rsidRPr="00282C02">
        <w:rPr>
          <w:sz w:val="18"/>
          <w:szCs w:val="18"/>
          <w:lang w:val="uk-UA"/>
        </w:rPr>
        <w:t>7</w:t>
      </w:r>
      <w:r>
        <w:rPr>
          <w:sz w:val="18"/>
          <w:szCs w:val="18"/>
          <w:lang w:val="uk-UA"/>
        </w:rPr>
        <w:t>) </w:t>
      </w:r>
      <w:r w:rsidRPr="00523F79">
        <w:rPr>
          <w:sz w:val="18"/>
          <w:szCs w:val="18"/>
          <w:lang w:val="uk-UA"/>
        </w:rPr>
        <w:t>охоплення популяції або доступ до відповідного лікування ЛС-ТБ; 8) конверсія мазку або культурального дослідження під час лікування; 9) прискорене виявлення лікарської резистентності; 10) уникнення непотрібного лікування МРТБ; 11) охоплення популяції або доступ до діагностики ЛС-ТБ; 12) запобігання або припинення передачі ЛС-ТБ іншим людям, зокрема іншим пацієнтам та медпрацівникам; 13) найкоротша можлива тривалість лікування; 14) уникнення токсичних ефектів та небажаних реакцій при застосуванні ПТП; 15) вартість для пацієнта, зокрема прямі медичні витрати та інші витрати (на транспорт, втрата заробітку через непрацездатність); 16) зникнення ознак та симптомів ТБ; здатність продовжувати звичайну життєдіяльність; 17) взаємодія ПТП з іншими препаратами; 18) витрати для програми контролю ТБ</w:t>
      </w:r>
      <w:r w:rsidRPr="00282C02">
        <w:rPr>
          <w:sz w:val="18"/>
          <w:szCs w:val="18"/>
          <w:lang w:val="uk-UA"/>
        </w:rPr>
        <w:t>.</w:t>
      </w:r>
    </w:p>
  </w:footnote>
  <w:footnote w:id="36">
    <w:p w:rsidR="008F4BE3" w:rsidRPr="00282C02" w:rsidRDefault="008F4BE3" w:rsidP="00A75154">
      <w:pPr>
        <w:ind w:firstLine="0"/>
        <w:rPr>
          <w:sz w:val="18"/>
          <w:szCs w:val="18"/>
          <w:lang w:val="uk-UA"/>
        </w:rPr>
      </w:pPr>
      <w:r w:rsidRPr="00282C02">
        <w:rPr>
          <w:sz w:val="18"/>
          <w:szCs w:val="18"/>
          <w:vertAlign w:val="superscript"/>
          <w:lang w:val="uk-UA"/>
        </w:rPr>
        <w:footnoteRef/>
      </w:r>
      <w:r w:rsidRPr="00282C02">
        <w:rPr>
          <w:sz w:val="18"/>
          <w:szCs w:val="18"/>
          <w:lang w:val="uk-UA"/>
        </w:rPr>
        <w:t xml:space="preserve"> Результати </w:t>
      </w:r>
      <w:r>
        <w:rPr>
          <w:sz w:val="18"/>
          <w:szCs w:val="18"/>
          <w:lang w:val="uk-UA"/>
        </w:rPr>
        <w:t xml:space="preserve">наведено </w:t>
      </w:r>
      <w:r w:rsidRPr="00282C02">
        <w:rPr>
          <w:sz w:val="18"/>
          <w:szCs w:val="18"/>
          <w:lang w:val="uk-UA"/>
        </w:rPr>
        <w:t>у Додатку</w:t>
      </w:r>
      <w:r>
        <w:rPr>
          <w:sz w:val="18"/>
          <w:szCs w:val="18"/>
          <w:lang w:val="uk-UA"/>
        </w:rPr>
        <w:t> </w:t>
      </w:r>
      <w:r w:rsidRPr="00282C02">
        <w:rPr>
          <w:sz w:val="18"/>
          <w:szCs w:val="18"/>
          <w:lang w:val="uk-UA"/>
        </w:rPr>
        <w:t xml:space="preserve">1. Вони </w:t>
      </w:r>
      <w:r>
        <w:rPr>
          <w:sz w:val="18"/>
          <w:szCs w:val="18"/>
          <w:lang w:val="uk-UA"/>
        </w:rPr>
        <w:t>включають</w:t>
      </w:r>
      <w:r w:rsidRPr="00282C02">
        <w:rPr>
          <w:sz w:val="18"/>
          <w:szCs w:val="18"/>
          <w:lang w:val="uk-UA"/>
        </w:rPr>
        <w:t>: 1</w:t>
      </w:r>
      <w:r>
        <w:rPr>
          <w:sz w:val="18"/>
          <w:szCs w:val="18"/>
          <w:lang w:val="uk-UA"/>
        </w:rPr>
        <w:t>) </w:t>
      </w:r>
      <w:r w:rsidRPr="00282C02">
        <w:rPr>
          <w:sz w:val="18"/>
          <w:szCs w:val="18"/>
          <w:lang w:val="uk-UA"/>
        </w:rPr>
        <w:t xml:space="preserve">прихильність до лікування (або переривання лікування через </w:t>
      </w:r>
      <w:r>
        <w:rPr>
          <w:sz w:val="18"/>
          <w:szCs w:val="18"/>
          <w:lang w:val="uk-UA"/>
        </w:rPr>
        <w:t xml:space="preserve">відсутність </w:t>
      </w:r>
      <w:r w:rsidRPr="00282C02">
        <w:rPr>
          <w:sz w:val="18"/>
          <w:szCs w:val="18"/>
          <w:lang w:val="uk-UA"/>
        </w:rPr>
        <w:t>прихильн</w:t>
      </w:r>
      <w:r>
        <w:rPr>
          <w:sz w:val="18"/>
          <w:szCs w:val="18"/>
          <w:lang w:val="uk-UA"/>
        </w:rPr>
        <w:t>ості</w:t>
      </w:r>
      <w:r w:rsidRPr="00282C02">
        <w:rPr>
          <w:sz w:val="18"/>
          <w:szCs w:val="18"/>
          <w:lang w:val="uk-UA"/>
        </w:rPr>
        <w:t>)</w:t>
      </w:r>
      <w:r>
        <w:rPr>
          <w:sz w:val="18"/>
          <w:szCs w:val="18"/>
          <w:lang w:val="uk-UA"/>
        </w:rPr>
        <w:t>;</w:t>
      </w:r>
      <w:r w:rsidRPr="00282C02">
        <w:rPr>
          <w:sz w:val="18"/>
          <w:szCs w:val="18"/>
          <w:lang w:val="uk-UA"/>
        </w:rPr>
        <w:t xml:space="preserve"> 2</w:t>
      </w:r>
      <w:r>
        <w:rPr>
          <w:sz w:val="18"/>
          <w:szCs w:val="18"/>
          <w:lang w:val="uk-UA"/>
        </w:rPr>
        <w:t>) </w:t>
      </w:r>
      <w:r w:rsidRPr="00282C02">
        <w:rPr>
          <w:sz w:val="18"/>
          <w:szCs w:val="18"/>
          <w:lang w:val="uk-UA"/>
        </w:rPr>
        <w:t xml:space="preserve">результати звичайного лікування ТБ: </w:t>
      </w:r>
      <w:r>
        <w:rPr>
          <w:sz w:val="18"/>
          <w:szCs w:val="18"/>
          <w:lang w:val="uk-UA"/>
        </w:rPr>
        <w:t xml:space="preserve">одужання </w:t>
      </w:r>
      <w:r w:rsidRPr="00282C02">
        <w:rPr>
          <w:sz w:val="18"/>
          <w:szCs w:val="18"/>
          <w:lang w:val="uk-UA"/>
        </w:rPr>
        <w:t xml:space="preserve">або завершення </w:t>
      </w:r>
      <w:r>
        <w:rPr>
          <w:sz w:val="18"/>
          <w:szCs w:val="18"/>
          <w:lang w:val="uk-UA"/>
        </w:rPr>
        <w:t xml:space="preserve">курсу </w:t>
      </w:r>
      <w:r w:rsidRPr="00282C02">
        <w:rPr>
          <w:sz w:val="18"/>
          <w:szCs w:val="18"/>
          <w:lang w:val="uk-UA"/>
        </w:rPr>
        <w:t>лікування, невдача</w:t>
      </w:r>
      <w:r>
        <w:rPr>
          <w:sz w:val="18"/>
          <w:szCs w:val="18"/>
          <w:lang w:val="uk-UA"/>
        </w:rPr>
        <w:t xml:space="preserve"> лікування</w:t>
      </w:r>
      <w:r w:rsidRPr="00282C02">
        <w:rPr>
          <w:sz w:val="18"/>
          <w:szCs w:val="18"/>
          <w:lang w:val="uk-UA"/>
        </w:rPr>
        <w:t>, рецидив, виживання/смерт</w:t>
      </w:r>
      <w:r>
        <w:rPr>
          <w:sz w:val="18"/>
          <w:szCs w:val="18"/>
          <w:lang w:val="uk-UA"/>
        </w:rPr>
        <w:t>ність;</w:t>
      </w:r>
      <w:r w:rsidRPr="00282C02">
        <w:rPr>
          <w:sz w:val="18"/>
          <w:szCs w:val="18"/>
          <w:lang w:val="uk-UA"/>
        </w:rPr>
        <w:t xml:space="preserve"> 3</w:t>
      </w:r>
      <w:r>
        <w:rPr>
          <w:sz w:val="18"/>
          <w:szCs w:val="18"/>
          <w:lang w:val="uk-UA"/>
        </w:rPr>
        <w:t>) </w:t>
      </w:r>
      <w:r w:rsidRPr="00282C02">
        <w:rPr>
          <w:sz w:val="18"/>
          <w:szCs w:val="18"/>
          <w:lang w:val="uk-UA"/>
        </w:rPr>
        <w:t xml:space="preserve">небажані явища </w:t>
      </w:r>
      <w:r>
        <w:rPr>
          <w:sz w:val="18"/>
          <w:szCs w:val="18"/>
          <w:lang w:val="uk-UA"/>
        </w:rPr>
        <w:t xml:space="preserve">внаслідок прийому </w:t>
      </w:r>
      <w:r w:rsidRPr="00282C02">
        <w:rPr>
          <w:sz w:val="18"/>
          <w:szCs w:val="18"/>
          <w:lang w:val="uk-UA"/>
        </w:rPr>
        <w:t>ПТП (</w:t>
      </w:r>
      <w:r>
        <w:rPr>
          <w:sz w:val="18"/>
          <w:szCs w:val="18"/>
          <w:lang w:val="uk-UA"/>
        </w:rPr>
        <w:t xml:space="preserve">ступінь </w:t>
      </w:r>
      <w:r w:rsidRPr="00282C02">
        <w:rPr>
          <w:sz w:val="18"/>
          <w:szCs w:val="18"/>
          <w:lang w:val="uk-UA"/>
        </w:rPr>
        <w:t>тяжк</w:t>
      </w:r>
      <w:r>
        <w:rPr>
          <w:sz w:val="18"/>
          <w:szCs w:val="18"/>
          <w:lang w:val="uk-UA"/>
        </w:rPr>
        <w:t>ості</w:t>
      </w:r>
      <w:r w:rsidRPr="00282C02">
        <w:rPr>
          <w:sz w:val="18"/>
          <w:szCs w:val="18"/>
          <w:lang w:val="uk-UA"/>
        </w:rPr>
        <w:t>, тип, клас органів)</w:t>
      </w:r>
      <w:r>
        <w:rPr>
          <w:sz w:val="18"/>
          <w:szCs w:val="18"/>
          <w:lang w:val="uk-UA"/>
        </w:rPr>
        <w:t xml:space="preserve">; </w:t>
      </w:r>
      <w:r w:rsidRPr="00282C02">
        <w:rPr>
          <w:sz w:val="18"/>
          <w:szCs w:val="18"/>
          <w:lang w:val="uk-UA"/>
        </w:rPr>
        <w:t>4</w:t>
      </w:r>
      <w:r>
        <w:rPr>
          <w:sz w:val="18"/>
          <w:szCs w:val="18"/>
          <w:lang w:val="uk-UA"/>
        </w:rPr>
        <w:t>) </w:t>
      </w:r>
      <w:r w:rsidRPr="00282C02">
        <w:rPr>
          <w:sz w:val="18"/>
          <w:szCs w:val="18"/>
          <w:lang w:val="uk-UA"/>
        </w:rPr>
        <w:t xml:space="preserve">набуття (посилення) лікарської </w:t>
      </w:r>
      <w:r>
        <w:rPr>
          <w:sz w:val="18"/>
          <w:szCs w:val="18"/>
          <w:lang w:val="uk-UA"/>
        </w:rPr>
        <w:t xml:space="preserve">резистентності; </w:t>
      </w:r>
      <w:r w:rsidRPr="00282C02">
        <w:rPr>
          <w:sz w:val="18"/>
          <w:szCs w:val="18"/>
          <w:lang w:val="uk-UA"/>
        </w:rPr>
        <w:t>5</w:t>
      </w:r>
      <w:r>
        <w:rPr>
          <w:sz w:val="18"/>
          <w:szCs w:val="18"/>
          <w:lang w:val="uk-UA"/>
        </w:rPr>
        <w:t>) </w:t>
      </w:r>
      <w:r w:rsidRPr="00523F79">
        <w:rPr>
          <w:sz w:val="18"/>
          <w:szCs w:val="18"/>
          <w:lang w:val="uk-UA"/>
        </w:rPr>
        <w:t>вартість для пацієнта, зокрема прямі медичні витрати та інші витрати (на транспорт, втрата заробітку через непрацездатність)</w:t>
      </w:r>
      <w:r>
        <w:rPr>
          <w:sz w:val="18"/>
          <w:szCs w:val="18"/>
          <w:lang w:val="uk-UA"/>
        </w:rPr>
        <w:t>;</w:t>
      </w:r>
      <w:r w:rsidRPr="00282C02">
        <w:rPr>
          <w:sz w:val="18"/>
          <w:szCs w:val="18"/>
          <w:lang w:val="uk-UA"/>
        </w:rPr>
        <w:t xml:space="preserve"> </w:t>
      </w:r>
      <w:r>
        <w:rPr>
          <w:sz w:val="18"/>
          <w:szCs w:val="18"/>
          <w:lang w:val="uk-UA"/>
        </w:rPr>
        <w:t>6) </w:t>
      </w:r>
      <w:r w:rsidRPr="00282C02">
        <w:rPr>
          <w:sz w:val="18"/>
          <w:szCs w:val="18"/>
          <w:lang w:val="uk-UA"/>
        </w:rPr>
        <w:t>вартість для системи охорони здоров’я.</w:t>
      </w:r>
    </w:p>
  </w:footnote>
  <w:footnote w:id="37">
    <w:p w:rsidR="008F4BE3" w:rsidRPr="00523F79" w:rsidRDefault="008F4BE3" w:rsidP="00184AD2">
      <w:pPr>
        <w:ind w:firstLine="0"/>
        <w:rPr>
          <w:sz w:val="18"/>
          <w:szCs w:val="18"/>
          <w:lang w:val="uk-UA"/>
        </w:rPr>
      </w:pPr>
      <w:r w:rsidRPr="00A318D5">
        <w:rPr>
          <w:spacing w:val="-2"/>
          <w:sz w:val="18"/>
          <w:szCs w:val="18"/>
          <w:vertAlign w:val="superscript"/>
          <w:lang w:val="en-US"/>
        </w:rPr>
        <w:footnoteRef/>
      </w:r>
      <w:r w:rsidRPr="00A318D5">
        <w:rPr>
          <w:spacing w:val="-2"/>
          <w:sz w:val="18"/>
          <w:szCs w:val="18"/>
          <w:lang w:val="en-US"/>
        </w:rPr>
        <w:t xml:space="preserve"> Ahuja SD, Ashkin D, Avendano M, Banerjee R, Bauer M, Bayona JN et al. Multidrug resistant pulmonary tuberculosis treatment regimens and patient outcomes: an individual patient data meta-analysis of 9153 patients. </w:t>
      </w:r>
      <w:r w:rsidRPr="00A318D5">
        <w:rPr>
          <w:i/>
          <w:spacing w:val="-2"/>
          <w:sz w:val="18"/>
          <w:szCs w:val="18"/>
          <w:lang w:val="en-US"/>
        </w:rPr>
        <w:t>PLoS</w:t>
      </w:r>
      <w:r w:rsidRPr="00184AD2">
        <w:rPr>
          <w:i/>
          <w:spacing w:val="-2"/>
          <w:sz w:val="18"/>
          <w:szCs w:val="18"/>
        </w:rPr>
        <w:t xml:space="preserve"> </w:t>
      </w:r>
      <w:r w:rsidRPr="00A318D5">
        <w:rPr>
          <w:i/>
          <w:spacing w:val="-2"/>
          <w:sz w:val="18"/>
          <w:szCs w:val="18"/>
          <w:lang w:val="en-US"/>
        </w:rPr>
        <w:t>Med</w:t>
      </w:r>
      <w:r w:rsidRPr="00A318D5">
        <w:rPr>
          <w:spacing w:val="-2"/>
          <w:sz w:val="18"/>
          <w:szCs w:val="18"/>
          <w:lang w:val="uk-UA"/>
        </w:rPr>
        <w:t xml:space="preserve">, </w:t>
      </w:r>
      <w:r w:rsidRPr="00184AD2">
        <w:rPr>
          <w:spacing w:val="-2"/>
          <w:sz w:val="18"/>
          <w:szCs w:val="18"/>
        </w:rPr>
        <w:t>2012</w:t>
      </w:r>
      <w:r w:rsidRPr="00A318D5">
        <w:rPr>
          <w:spacing w:val="-2"/>
          <w:sz w:val="18"/>
          <w:szCs w:val="18"/>
          <w:lang w:val="uk-UA"/>
        </w:rPr>
        <w:t xml:space="preserve">, </w:t>
      </w:r>
      <w:r w:rsidRPr="00184AD2">
        <w:rPr>
          <w:spacing w:val="-2"/>
          <w:sz w:val="18"/>
          <w:szCs w:val="18"/>
        </w:rPr>
        <w:t>9(8):</w:t>
      </w:r>
      <w:r w:rsidRPr="00A318D5">
        <w:rPr>
          <w:spacing w:val="-2"/>
          <w:sz w:val="18"/>
          <w:szCs w:val="18"/>
          <w:lang w:val="uk-UA"/>
        </w:rPr>
        <w:t xml:space="preserve"> </w:t>
      </w:r>
      <w:r w:rsidRPr="00A318D5">
        <w:rPr>
          <w:spacing w:val="-2"/>
          <w:sz w:val="18"/>
          <w:szCs w:val="18"/>
          <w:lang w:val="en-US"/>
        </w:rPr>
        <w:t>el</w:t>
      </w:r>
      <w:r w:rsidRPr="00184AD2">
        <w:rPr>
          <w:spacing w:val="-2"/>
          <w:sz w:val="18"/>
          <w:szCs w:val="18"/>
        </w:rPr>
        <w:t>001300.</w:t>
      </w:r>
    </w:p>
  </w:footnote>
  <w:footnote w:id="38">
    <w:p w:rsidR="008F4BE3" w:rsidRPr="00523F79" w:rsidRDefault="008F4BE3" w:rsidP="00184AD2">
      <w:pPr>
        <w:ind w:firstLine="0"/>
        <w:rPr>
          <w:sz w:val="18"/>
          <w:szCs w:val="18"/>
          <w:lang w:val="uk-UA"/>
        </w:rPr>
      </w:pPr>
      <w:r w:rsidRPr="00211EB7">
        <w:rPr>
          <w:sz w:val="18"/>
          <w:szCs w:val="18"/>
          <w:vertAlign w:val="superscript"/>
          <w:lang w:val="uk-UA"/>
        </w:rPr>
        <w:footnoteRef/>
      </w:r>
      <w:r>
        <w:rPr>
          <w:sz w:val="18"/>
          <w:szCs w:val="18"/>
          <w:lang w:val="uk-UA"/>
        </w:rPr>
        <w:t xml:space="preserve">Співробітників </w:t>
      </w:r>
      <w:r w:rsidRPr="00523F79">
        <w:rPr>
          <w:sz w:val="18"/>
          <w:szCs w:val="18"/>
          <w:lang w:val="uk-UA"/>
        </w:rPr>
        <w:t>ВООЗ/GTB також бул</w:t>
      </w:r>
      <w:r>
        <w:rPr>
          <w:sz w:val="18"/>
          <w:szCs w:val="18"/>
          <w:lang w:val="uk-UA"/>
        </w:rPr>
        <w:t xml:space="preserve">о </w:t>
      </w:r>
      <w:r w:rsidRPr="00523F79">
        <w:rPr>
          <w:sz w:val="18"/>
          <w:szCs w:val="18"/>
          <w:lang w:val="uk-UA"/>
        </w:rPr>
        <w:t>запрошен</w:t>
      </w:r>
      <w:r>
        <w:rPr>
          <w:sz w:val="18"/>
          <w:szCs w:val="18"/>
          <w:lang w:val="uk-UA"/>
        </w:rPr>
        <w:t xml:space="preserve">о </w:t>
      </w:r>
      <w:r w:rsidRPr="00523F79">
        <w:rPr>
          <w:sz w:val="18"/>
          <w:szCs w:val="18"/>
          <w:lang w:val="uk-UA"/>
        </w:rPr>
        <w:t>взяти участь у розробці настанов</w:t>
      </w:r>
      <w:r>
        <w:rPr>
          <w:sz w:val="18"/>
          <w:szCs w:val="18"/>
          <w:lang w:val="uk-UA"/>
        </w:rPr>
        <w:t>и</w:t>
      </w:r>
      <w:r w:rsidRPr="00523F79">
        <w:rPr>
          <w:sz w:val="18"/>
          <w:szCs w:val="18"/>
          <w:lang w:val="uk-UA"/>
        </w:rPr>
        <w:t xml:space="preserve"> </w:t>
      </w:r>
      <w:r>
        <w:rPr>
          <w:sz w:val="18"/>
          <w:szCs w:val="18"/>
          <w:lang w:val="uk-UA"/>
        </w:rPr>
        <w:t>АТТ</w:t>
      </w:r>
      <w:r w:rsidRPr="00523F79">
        <w:rPr>
          <w:sz w:val="18"/>
          <w:szCs w:val="18"/>
          <w:lang w:val="uk-UA"/>
        </w:rPr>
        <w:t>/</w:t>
      </w:r>
      <w:r>
        <w:rPr>
          <w:sz w:val="18"/>
          <w:szCs w:val="18"/>
          <w:lang w:val="uk-UA"/>
        </w:rPr>
        <w:t>ЦКЗ</w:t>
      </w:r>
      <w:r w:rsidRPr="00523F79">
        <w:rPr>
          <w:sz w:val="18"/>
          <w:szCs w:val="18"/>
          <w:lang w:val="uk-UA"/>
        </w:rPr>
        <w:t>/</w:t>
      </w:r>
      <w:r>
        <w:rPr>
          <w:sz w:val="18"/>
          <w:szCs w:val="18"/>
          <w:lang w:val="uk-UA"/>
        </w:rPr>
        <w:t>АТІХ</w:t>
      </w:r>
      <w:r w:rsidRPr="00523F79">
        <w:rPr>
          <w:sz w:val="18"/>
          <w:szCs w:val="18"/>
          <w:lang w:val="uk-UA"/>
        </w:rPr>
        <w:t>.</w:t>
      </w:r>
    </w:p>
  </w:footnote>
  <w:footnote w:id="39">
    <w:p w:rsidR="008F4BE3" w:rsidRPr="008A4FB6" w:rsidRDefault="008F4BE3" w:rsidP="001A0A35">
      <w:pPr>
        <w:pStyle w:val="aa"/>
        <w:ind w:firstLine="0"/>
        <w:rPr>
          <w:sz w:val="18"/>
          <w:szCs w:val="18"/>
          <w:lang w:val="uk-UA"/>
        </w:rPr>
      </w:pPr>
      <w:r w:rsidRPr="008A4FB6">
        <w:rPr>
          <w:rStyle w:val="ac"/>
          <w:sz w:val="18"/>
          <w:szCs w:val="18"/>
        </w:rPr>
        <w:footnoteRef/>
      </w:r>
      <w:r w:rsidRPr="008A4FB6">
        <w:rPr>
          <w:sz w:val="18"/>
          <w:szCs w:val="18"/>
          <w:lang w:val="uk-UA"/>
        </w:rPr>
        <w:t> На час формулювання цього запитання PICO характеристики довгострокової та короткострокової схеми лікування було наведено у Настанові ВООЗ з лікування ЛС-ТБ, оновлення від 2016 р. (apps.who.int/iris/bitstream/10665/250125/1/9789241549639-eng.pdf). Попередні рекомендації ВООЗ щодо застосування довгострокової схеми наведено у настанові 2011 р. (whqlibdoc.who.int/publications/2011/9789241501583_eng.pdf). Рекомендовані ВООЗ довгострокові схеми, на які є посилання у цьому додатку, мають тривалість 18 міс або довше.</w:t>
      </w:r>
    </w:p>
  </w:footnote>
  <w:footnote w:id="40">
    <w:p w:rsidR="008F4BE3" w:rsidRPr="008A4FB6" w:rsidRDefault="008F4BE3" w:rsidP="001A0A35">
      <w:pPr>
        <w:pStyle w:val="aa"/>
        <w:spacing w:line="228" w:lineRule="auto"/>
        <w:ind w:firstLine="0"/>
        <w:rPr>
          <w:sz w:val="18"/>
          <w:szCs w:val="18"/>
          <w:lang w:val="uk-UA"/>
        </w:rPr>
      </w:pPr>
      <w:r w:rsidRPr="008A4FB6">
        <w:rPr>
          <w:rStyle w:val="ac"/>
          <w:sz w:val="18"/>
          <w:szCs w:val="18"/>
        </w:rPr>
        <w:footnoteRef/>
      </w:r>
      <w:r w:rsidRPr="008A4FB6">
        <w:rPr>
          <w:sz w:val="18"/>
          <w:szCs w:val="18"/>
          <w:lang w:val="uk-UA"/>
        </w:rPr>
        <w:t> Доказові дані щодо цього запитання PICO використовуватимуться для перегляду рекомендованої на сьогодні довгострокової схеми (</w:t>
      </w:r>
      <w:r w:rsidRPr="008A4FB6">
        <w:rPr>
          <w:i/>
          <w:sz w:val="18"/>
          <w:szCs w:val="18"/>
          <w:lang w:val="uk-UA"/>
        </w:rPr>
        <w:t>див.</w:t>
      </w:r>
      <w:r w:rsidRPr="008A4FB6">
        <w:rPr>
          <w:sz w:val="18"/>
          <w:szCs w:val="18"/>
          <w:lang w:val="uk-UA"/>
        </w:rPr>
        <w:t xml:space="preserve"> таблицю 6 у </w:t>
      </w:r>
      <w:r w:rsidRPr="008A4FB6">
        <w:rPr>
          <w:i/>
          <w:sz w:val="18"/>
          <w:szCs w:val="18"/>
          <w:lang w:val="uk-UA"/>
        </w:rPr>
        <w:t>(6)</w:t>
      </w:r>
      <w:r w:rsidRPr="008A4FB6">
        <w:rPr>
          <w:sz w:val="18"/>
          <w:szCs w:val="18"/>
          <w:lang w:val="uk-UA"/>
        </w:rPr>
        <w:t xml:space="preserve">). Крім того, планується дослідження щодо </w:t>
      </w:r>
      <w:r w:rsidRPr="001A0A35">
        <w:rPr>
          <w:sz w:val="18"/>
          <w:szCs w:val="18"/>
          <w:lang w:val="uk-UA"/>
        </w:rPr>
        <w:t>найкращого застосування</w:t>
      </w:r>
      <w:r w:rsidRPr="008A4FB6">
        <w:rPr>
          <w:sz w:val="18"/>
          <w:szCs w:val="18"/>
          <w:lang w:val="uk-UA"/>
        </w:rPr>
        <w:t xml:space="preserve"> бедаквіліну та деламаніду, а також комбінованого використання цих препаратів.</w:t>
      </w:r>
    </w:p>
  </w:footnote>
  <w:footnote w:id="41">
    <w:p w:rsidR="008F4BE3" w:rsidRPr="008A4FB6" w:rsidRDefault="008F4BE3" w:rsidP="001A0A35">
      <w:pPr>
        <w:pStyle w:val="aa"/>
        <w:spacing w:line="228" w:lineRule="auto"/>
        <w:ind w:firstLine="0"/>
        <w:rPr>
          <w:sz w:val="18"/>
          <w:szCs w:val="18"/>
          <w:lang w:val="uk-UA"/>
        </w:rPr>
      </w:pPr>
      <w:r w:rsidRPr="008A4FB6">
        <w:rPr>
          <w:rStyle w:val="ac"/>
          <w:sz w:val="18"/>
          <w:szCs w:val="18"/>
        </w:rPr>
        <w:footnoteRef/>
      </w:r>
      <w:r w:rsidRPr="008A4FB6">
        <w:rPr>
          <w:sz w:val="18"/>
          <w:szCs w:val="18"/>
          <w:lang w:val="uk-UA"/>
        </w:rPr>
        <w:t> Наявною є дуже мала кількість досліджень щодо паралельного порівняння різних дозувань препаратів при лікуванні МРТБ. З появою нових даних буде проведено оновлення систематичного огляду із визначенням результатів.</w:t>
      </w:r>
    </w:p>
  </w:footnote>
  <w:footnote w:id="42">
    <w:p w:rsidR="008F4BE3" w:rsidRPr="008A4FB6" w:rsidRDefault="008F4BE3" w:rsidP="001A0A35">
      <w:pPr>
        <w:pStyle w:val="aa"/>
        <w:spacing w:line="228" w:lineRule="auto"/>
        <w:ind w:firstLine="0"/>
        <w:rPr>
          <w:sz w:val="18"/>
          <w:szCs w:val="18"/>
          <w:lang w:val="uk-UA"/>
        </w:rPr>
      </w:pPr>
      <w:r w:rsidRPr="008A4FB6">
        <w:rPr>
          <w:rStyle w:val="ac"/>
          <w:sz w:val="18"/>
          <w:szCs w:val="18"/>
        </w:rPr>
        <w:footnoteRef/>
      </w:r>
      <w:r w:rsidRPr="008A4FB6">
        <w:rPr>
          <w:sz w:val="18"/>
          <w:szCs w:val="18"/>
          <w:lang w:val="uk-UA"/>
        </w:rPr>
        <w:t xml:space="preserve">Також </w:t>
      </w:r>
      <w:r>
        <w:rPr>
          <w:sz w:val="18"/>
          <w:szCs w:val="18"/>
          <w:lang w:val="uk-UA"/>
        </w:rPr>
        <w:t xml:space="preserve">корисною були б </w:t>
      </w:r>
      <w:r w:rsidRPr="008A4FB6">
        <w:rPr>
          <w:sz w:val="18"/>
          <w:szCs w:val="18"/>
          <w:lang w:val="uk-UA"/>
        </w:rPr>
        <w:t xml:space="preserve">додаткові </w:t>
      </w:r>
      <w:r>
        <w:rPr>
          <w:sz w:val="18"/>
          <w:szCs w:val="18"/>
          <w:lang w:val="uk-UA"/>
        </w:rPr>
        <w:t xml:space="preserve">дані </w:t>
      </w:r>
      <w:r w:rsidRPr="008A4FB6">
        <w:rPr>
          <w:sz w:val="18"/>
          <w:szCs w:val="18"/>
          <w:lang w:val="uk-UA"/>
        </w:rPr>
        <w:t xml:space="preserve">щодо ефективності </w:t>
      </w:r>
      <w:r>
        <w:rPr>
          <w:sz w:val="18"/>
          <w:szCs w:val="18"/>
          <w:lang w:val="uk-UA"/>
        </w:rPr>
        <w:t xml:space="preserve">та </w:t>
      </w:r>
      <w:r w:rsidRPr="008A4FB6">
        <w:rPr>
          <w:sz w:val="18"/>
          <w:szCs w:val="18"/>
          <w:lang w:val="uk-UA"/>
        </w:rPr>
        <w:t xml:space="preserve">безпеки </w:t>
      </w:r>
      <w:r>
        <w:rPr>
          <w:sz w:val="18"/>
          <w:szCs w:val="18"/>
          <w:lang w:val="uk-UA"/>
        </w:rPr>
        <w:t xml:space="preserve">застосування </w:t>
      </w:r>
      <w:r w:rsidRPr="008A4FB6">
        <w:rPr>
          <w:sz w:val="18"/>
          <w:szCs w:val="18"/>
          <w:lang w:val="uk-UA"/>
        </w:rPr>
        <w:t>ін’єкційних препаратів, що використовували</w:t>
      </w:r>
      <w:r>
        <w:rPr>
          <w:sz w:val="18"/>
          <w:szCs w:val="18"/>
          <w:lang w:val="uk-UA"/>
        </w:rPr>
        <w:t xml:space="preserve"> </w:t>
      </w:r>
      <w:r w:rsidRPr="008A4FB6">
        <w:rPr>
          <w:sz w:val="18"/>
          <w:szCs w:val="18"/>
          <w:lang w:val="uk-UA"/>
        </w:rPr>
        <w:t>тричі на тиждень (</w:t>
      </w:r>
      <w:r>
        <w:rPr>
          <w:sz w:val="18"/>
          <w:szCs w:val="18"/>
          <w:lang w:val="uk-UA"/>
        </w:rPr>
        <w:t xml:space="preserve">у дозі </w:t>
      </w:r>
      <w:r w:rsidRPr="008A4FB6">
        <w:rPr>
          <w:sz w:val="18"/>
          <w:szCs w:val="18"/>
          <w:lang w:val="uk-UA"/>
        </w:rPr>
        <w:t>15 або 25 мг/кг/день)</w:t>
      </w:r>
      <w:r>
        <w:rPr>
          <w:sz w:val="18"/>
          <w:szCs w:val="18"/>
          <w:lang w:val="uk-UA"/>
        </w:rPr>
        <w:t>,</w:t>
      </w:r>
      <w:r w:rsidRPr="008A4FB6">
        <w:rPr>
          <w:sz w:val="18"/>
          <w:szCs w:val="18"/>
          <w:lang w:val="uk-UA"/>
        </w:rPr>
        <w:t xml:space="preserve"> порівнян</w:t>
      </w:r>
      <w:r>
        <w:rPr>
          <w:sz w:val="18"/>
          <w:szCs w:val="18"/>
          <w:lang w:val="uk-UA"/>
        </w:rPr>
        <w:t xml:space="preserve">о до </w:t>
      </w:r>
      <w:r w:rsidRPr="008A4FB6">
        <w:rPr>
          <w:sz w:val="18"/>
          <w:szCs w:val="18"/>
          <w:lang w:val="uk-UA"/>
        </w:rPr>
        <w:t>щоденн</w:t>
      </w:r>
      <w:r>
        <w:rPr>
          <w:sz w:val="18"/>
          <w:szCs w:val="18"/>
          <w:lang w:val="uk-UA"/>
        </w:rPr>
        <w:t>ого застосування</w:t>
      </w:r>
      <w:r w:rsidRPr="008A4FB6">
        <w:rPr>
          <w:sz w:val="18"/>
          <w:szCs w:val="18"/>
          <w:lang w:val="uk-UA"/>
        </w:rPr>
        <w:t>.</w:t>
      </w:r>
    </w:p>
  </w:footnote>
  <w:footnote w:id="43">
    <w:p w:rsidR="008F4BE3" w:rsidRPr="008A4FB6" w:rsidRDefault="008F4BE3" w:rsidP="001A0A35">
      <w:pPr>
        <w:pStyle w:val="aa"/>
        <w:spacing w:line="228" w:lineRule="auto"/>
        <w:ind w:firstLine="0"/>
        <w:rPr>
          <w:sz w:val="18"/>
          <w:szCs w:val="18"/>
          <w:lang w:val="uk-UA"/>
        </w:rPr>
      </w:pPr>
      <w:r w:rsidRPr="008A4FB6">
        <w:rPr>
          <w:rStyle w:val="ac"/>
          <w:sz w:val="18"/>
          <w:szCs w:val="18"/>
        </w:rPr>
        <w:footnoteRef/>
      </w:r>
      <w:r w:rsidRPr="008A4FB6">
        <w:rPr>
          <w:sz w:val="18"/>
          <w:szCs w:val="18"/>
          <w:lang w:val="uk-UA"/>
        </w:rPr>
        <w:t>Препарати групи D3: парааміносаліцилова кислота, іміпенем-циластатин, меропенем, амоксіцилін-</w:t>
      </w:r>
      <w:r w:rsidRPr="00F961DF">
        <w:rPr>
          <w:sz w:val="18"/>
          <w:szCs w:val="18"/>
          <w:lang w:val="uk-UA"/>
        </w:rPr>
        <w:t>клавуланова кислота</w:t>
      </w:r>
      <w:r>
        <w:rPr>
          <w:sz w:val="18"/>
          <w:szCs w:val="18"/>
          <w:lang w:val="uk-UA"/>
        </w:rPr>
        <w:t xml:space="preserve"> </w:t>
      </w:r>
      <w:r w:rsidRPr="008A4FB6">
        <w:rPr>
          <w:sz w:val="18"/>
          <w:szCs w:val="18"/>
          <w:lang w:val="uk-UA"/>
        </w:rPr>
        <w:t xml:space="preserve">(що призначається окремо або </w:t>
      </w:r>
      <w:r>
        <w:rPr>
          <w:sz w:val="18"/>
          <w:szCs w:val="18"/>
          <w:lang w:val="uk-UA"/>
        </w:rPr>
        <w:t>разом і</w:t>
      </w:r>
      <w:r w:rsidRPr="008A4FB6">
        <w:rPr>
          <w:sz w:val="18"/>
          <w:szCs w:val="18"/>
          <w:lang w:val="uk-UA"/>
        </w:rPr>
        <w:t>з карбапенемами), тіоацетазон.</w:t>
      </w:r>
    </w:p>
  </w:footnote>
  <w:footnote w:id="44">
    <w:p w:rsidR="008F4BE3" w:rsidRPr="008A4FB6" w:rsidRDefault="008F4BE3" w:rsidP="001A0A35">
      <w:pPr>
        <w:pStyle w:val="aa"/>
        <w:spacing w:line="228" w:lineRule="auto"/>
        <w:ind w:firstLine="0"/>
        <w:rPr>
          <w:sz w:val="18"/>
          <w:szCs w:val="18"/>
          <w:lang w:val="uk-UA"/>
        </w:rPr>
      </w:pPr>
      <w:r w:rsidRPr="008A4FB6">
        <w:rPr>
          <w:rStyle w:val="ac"/>
          <w:sz w:val="18"/>
          <w:szCs w:val="18"/>
        </w:rPr>
        <w:footnoteRef/>
      </w:r>
      <w:r>
        <w:rPr>
          <w:sz w:val="18"/>
          <w:szCs w:val="18"/>
          <w:lang w:val="uk-UA"/>
        </w:rPr>
        <w:t xml:space="preserve">На сьогодні ще </w:t>
      </w:r>
      <w:r w:rsidRPr="008A4FB6">
        <w:rPr>
          <w:sz w:val="18"/>
          <w:szCs w:val="18"/>
          <w:lang w:val="uk-UA"/>
        </w:rPr>
        <w:t xml:space="preserve">не </w:t>
      </w:r>
      <w:r w:rsidRPr="00132B9A">
        <w:rPr>
          <w:sz w:val="18"/>
          <w:szCs w:val="18"/>
          <w:lang w:val="uk-UA"/>
        </w:rPr>
        <w:t>авторизований</w:t>
      </w:r>
      <w:r w:rsidRPr="008A4FB6">
        <w:rPr>
          <w:sz w:val="18"/>
          <w:szCs w:val="18"/>
          <w:lang w:val="uk-UA"/>
        </w:rPr>
        <w:t xml:space="preserve"> </w:t>
      </w:r>
      <w:r w:rsidRPr="00132B9A">
        <w:rPr>
          <w:sz w:val="18"/>
          <w:szCs w:val="18"/>
          <w:lang w:val="uk-UA"/>
        </w:rPr>
        <w:t>Управлінням з контролю якості харчових продуктів та лікарських засобів США</w:t>
      </w:r>
      <w:r w:rsidRPr="008A4FB6">
        <w:rPr>
          <w:sz w:val="18"/>
          <w:szCs w:val="18"/>
          <w:lang w:val="uk-UA"/>
        </w:rPr>
        <w:t xml:space="preserve">, </w:t>
      </w:r>
      <w:r w:rsidRPr="00F46246">
        <w:rPr>
          <w:sz w:val="18"/>
          <w:szCs w:val="18"/>
          <w:lang w:val="uk-UA"/>
        </w:rPr>
        <w:t>Європейською агенцією з лікарських засобів</w:t>
      </w:r>
      <w:r w:rsidRPr="008A4FB6">
        <w:rPr>
          <w:sz w:val="18"/>
          <w:szCs w:val="18"/>
          <w:lang w:val="uk-UA"/>
        </w:rPr>
        <w:t xml:space="preserve"> або іншими регулятор</w:t>
      </w:r>
      <w:r>
        <w:rPr>
          <w:sz w:val="18"/>
          <w:szCs w:val="18"/>
          <w:lang w:val="uk-UA"/>
        </w:rPr>
        <w:t>ними органами</w:t>
      </w:r>
      <w:r w:rsidRPr="008A4FB6">
        <w:rPr>
          <w:sz w:val="18"/>
          <w:szCs w:val="18"/>
          <w:lang w:val="uk-UA"/>
        </w:rPr>
        <w:t>.</w:t>
      </w:r>
    </w:p>
  </w:footnote>
  <w:footnote w:id="45">
    <w:p w:rsidR="008F4BE3" w:rsidRPr="002E1FF5" w:rsidRDefault="008F4BE3" w:rsidP="001A0A35">
      <w:pPr>
        <w:pStyle w:val="aa"/>
        <w:ind w:firstLine="0"/>
        <w:rPr>
          <w:sz w:val="18"/>
          <w:szCs w:val="18"/>
          <w:lang w:val="uk-UA"/>
        </w:rPr>
      </w:pPr>
      <w:r w:rsidRPr="002E1FF5">
        <w:rPr>
          <w:rStyle w:val="ac"/>
          <w:sz w:val="18"/>
          <w:szCs w:val="18"/>
        </w:rPr>
        <w:footnoteRef/>
      </w:r>
      <w:r w:rsidRPr="002E1FF5">
        <w:rPr>
          <w:sz w:val="18"/>
          <w:szCs w:val="18"/>
          <w:lang w:val="uk-UA"/>
        </w:rPr>
        <w:t> </w:t>
      </w:r>
      <w:r>
        <w:rPr>
          <w:sz w:val="18"/>
          <w:szCs w:val="18"/>
          <w:lang w:val="uk-UA"/>
        </w:rPr>
        <w:t xml:space="preserve">Дані щодо </w:t>
      </w:r>
      <w:r w:rsidRPr="002E1FF5">
        <w:rPr>
          <w:sz w:val="18"/>
          <w:szCs w:val="18"/>
          <w:lang w:val="uk-UA"/>
        </w:rPr>
        <w:t xml:space="preserve">визначення «ефективні препарати» </w:t>
      </w:r>
      <w:r w:rsidRPr="002E1FF5">
        <w:rPr>
          <w:i/>
          <w:sz w:val="18"/>
          <w:szCs w:val="18"/>
          <w:lang w:val="uk-UA"/>
        </w:rPr>
        <w:t>див.</w:t>
      </w:r>
      <w:r w:rsidRPr="002E1FF5">
        <w:rPr>
          <w:sz w:val="18"/>
          <w:szCs w:val="18"/>
          <w:lang w:val="uk-UA"/>
        </w:rPr>
        <w:t xml:space="preserve"> у </w:t>
      </w:r>
      <w:r>
        <w:rPr>
          <w:sz w:val="18"/>
          <w:szCs w:val="18"/>
          <w:lang w:val="uk-UA"/>
        </w:rPr>
        <w:t xml:space="preserve">частині «Впровадження рекомендацій» </w:t>
      </w:r>
      <w:r w:rsidRPr="002E1FF5">
        <w:rPr>
          <w:sz w:val="18"/>
          <w:szCs w:val="18"/>
          <w:lang w:val="uk-UA"/>
        </w:rPr>
        <w:t>розділ</w:t>
      </w:r>
      <w:r>
        <w:rPr>
          <w:sz w:val="18"/>
          <w:szCs w:val="18"/>
          <w:lang w:val="uk-UA"/>
        </w:rPr>
        <w:t>у </w:t>
      </w:r>
      <w:r w:rsidRPr="002E1FF5">
        <w:rPr>
          <w:sz w:val="18"/>
          <w:szCs w:val="18"/>
          <w:lang w:val="uk-UA"/>
        </w:rPr>
        <w:t>2. Доказові дані для цього запитання PICO використовувати</w:t>
      </w:r>
      <w:r>
        <w:rPr>
          <w:sz w:val="18"/>
          <w:szCs w:val="18"/>
          <w:lang w:val="uk-UA"/>
        </w:rPr>
        <w:t xml:space="preserve">муться </w:t>
      </w:r>
      <w:r w:rsidRPr="002E1FF5">
        <w:rPr>
          <w:sz w:val="18"/>
          <w:szCs w:val="18"/>
          <w:lang w:val="uk-UA"/>
        </w:rPr>
        <w:t xml:space="preserve">для перегляду </w:t>
      </w:r>
      <w:r w:rsidRPr="008A4FB6">
        <w:rPr>
          <w:sz w:val="18"/>
          <w:szCs w:val="18"/>
          <w:lang w:val="uk-UA"/>
        </w:rPr>
        <w:t xml:space="preserve">рекомендованої на сьогодні довгострокової схеми </w:t>
      </w:r>
      <w:r w:rsidRPr="002E1FF5">
        <w:rPr>
          <w:sz w:val="18"/>
          <w:szCs w:val="18"/>
          <w:lang w:val="uk-UA"/>
        </w:rPr>
        <w:t>(</w:t>
      </w:r>
      <w:r w:rsidRPr="002E1FF5">
        <w:rPr>
          <w:i/>
          <w:sz w:val="18"/>
          <w:szCs w:val="18"/>
          <w:lang w:val="uk-UA"/>
        </w:rPr>
        <w:t>див.</w:t>
      </w:r>
      <w:r w:rsidRPr="002E1FF5">
        <w:rPr>
          <w:sz w:val="18"/>
          <w:szCs w:val="18"/>
          <w:lang w:val="uk-UA"/>
        </w:rPr>
        <w:t xml:space="preserve"> таб</w:t>
      </w:r>
      <w:r>
        <w:rPr>
          <w:sz w:val="18"/>
          <w:szCs w:val="18"/>
          <w:lang w:val="uk-UA"/>
        </w:rPr>
        <w:t>лицю </w:t>
      </w:r>
      <w:r w:rsidRPr="002E1FF5">
        <w:rPr>
          <w:sz w:val="18"/>
          <w:szCs w:val="18"/>
          <w:lang w:val="uk-UA"/>
        </w:rPr>
        <w:t xml:space="preserve">6 </w:t>
      </w:r>
      <w:r>
        <w:rPr>
          <w:sz w:val="18"/>
          <w:szCs w:val="18"/>
          <w:lang w:val="uk-UA"/>
        </w:rPr>
        <w:t xml:space="preserve">у </w:t>
      </w:r>
      <w:r w:rsidRPr="002E1FF5">
        <w:rPr>
          <w:i/>
          <w:sz w:val="18"/>
          <w:szCs w:val="18"/>
          <w:lang w:val="uk-UA"/>
        </w:rPr>
        <w:t>(6)</w:t>
      </w:r>
      <w:r w:rsidRPr="002E1FF5">
        <w:rPr>
          <w:sz w:val="18"/>
          <w:szCs w:val="18"/>
          <w:lang w:val="uk-UA"/>
        </w:rPr>
        <w:t>).</w:t>
      </w:r>
    </w:p>
  </w:footnote>
  <w:footnote w:id="46">
    <w:p w:rsidR="008F4BE3" w:rsidRPr="001B5D83" w:rsidRDefault="008F4BE3" w:rsidP="001A0A35">
      <w:pPr>
        <w:pStyle w:val="aa"/>
        <w:ind w:firstLine="0"/>
        <w:rPr>
          <w:lang w:val="uk-UA"/>
        </w:rPr>
      </w:pPr>
      <w:r>
        <w:rPr>
          <w:rStyle w:val="ac"/>
        </w:rPr>
        <w:footnoteRef/>
      </w:r>
      <w:r>
        <w:rPr>
          <w:lang w:val="uk-UA"/>
        </w:rPr>
        <w:t> </w:t>
      </w:r>
      <w:r w:rsidRPr="001B5D83">
        <w:rPr>
          <w:sz w:val="18"/>
          <w:szCs w:val="18"/>
          <w:lang w:val="uk-UA"/>
        </w:rPr>
        <w:t xml:space="preserve">Ця рекомендація, наведена у настанові ВООЗ 2011 р., була заснована на моделюванні даних пацієнтів на довгострокових схемах лікування, в яких було виявлено підвищені показники ризику відмови від лікування через скорочення частоти проведення культурального дослідження у фазі продовження </w:t>
      </w:r>
      <w:r w:rsidRPr="001B5D83">
        <w:rPr>
          <w:i/>
          <w:sz w:val="18"/>
          <w:szCs w:val="18"/>
          <w:lang w:val="uk-UA"/>
        </w:rPr>
        <w:t>(69).</w:t>
      </w:r>
    </w:p>
  </w:footnote>
  <w:footnote w:id="47">
    <w:p w:rsidR="008F4BE3" w:rsidRPr="0073280F" w:rsidRDefault="008F4BE3" w:rsidP="001A0A35">
      <w:pPr>
        <w:pStyle w:val="aa"/>
        <w:ind w:firstLine="0"/>
        <w:rPr>
          <w:sz w:val="18"/>
          <w:szCs w:val="18"/>
          <w:lang w:val="uk-UA"/>
        </w:rPr>
      </w:pPr>
      <w:r w:rsidRPr="0073280F">
        <w:rPr>
          <w:rStyle w:val="ac"/>
          <w:sz w:val="18"/>
          <w:szCs w:val="18"/>
        </w:rPr>
        <w:footnoteRef/>
      </w:r>
      <w:r w:rsidRPr="0073280F">
        <w:rPr>
          <w:sz w:val="18"/>
          <w:szCs w:val="18"/>
          <w:lang w:val="uk-UA"/>
        </w:rPr>
        <w:t> Жоден з результатів не було оцінено за цією категорією.</w:t>
      </w:r>
    </w:p>
  </w:footnote>
  <w:footnote w:id="48">
    <w:p w:rsidR="008F4BE3" w:rsidRPr="00C72B0B" w:rsidRDefault="008F4BE3" w:rsidP="001A0A35">
      <w:pPr>
        <w:pStyle w:val="aa"/>
        <w:ind w:firstLine="0"/>
        <w:rPr>
          <w:lang w:val="uk-UA"/>
        </w:rPr>
      </w:pPr>
      <w:r>
        <w:rPr>
          <w:rStyle w:val="ac"/>
        </w:rPr>
        <w:footnoteRef/>
      </w:r>
      <w:r>
        <w:rPr>
          <w:lang w:val="uk-UA"/>
        </w:rPr>
        <w:t> </w:t>
      </w:r>
      <w:r w:rsidRPr="00C72B0B">
        <w:rPr>
          <w:sz w:val="18"/>
          <w:szCs w:val="18"/>
          <w:lang w:val="uk-UA"/>
        </w:rPr>
        <w:t>Популяції, як очікується, відрізнятимуться для двох підпитань: пацієнти, яких було прооперовано, з більшою вірогідністю матимуть ТБ-ШМР, а особи з ВІЛ на АРТ будуть особливо важливими для першого підпитання.</w:t>
      </w:r>
    </w:p>
  </w:footnote>
  <w:footnote w:id="49">
    <w:p w:rsidR="008F4BE3" w:rsidRPr="006A1E2B" w:rsidRDefault="008F4BE3" w:rsidP="001A0A35">
      <w:pPr>
        <w:pStyle w:val="aa"/>
        <w:ind w:firstLine="0"/>
        <w:rPr>
          <w:lang w:val="uk-UA"/>
        </w:rPr>
      </w:pPr>
      <w:r>
        <w:rPr>
          <w:rStyle w:val="ac"/>
        </w:rPr>
        <w:footnoteRef/>
      </w:r>
      <w:r>
        <w:rPr>
          <w:lang w:val="uk-UA"/>
        </w:rPr>
        <w:t> </w:t>
      </w:r>
      <w:r w:rsidRPr="006A1E2B">
        <w:rPr>
          <w:sz w:val="18"/>
          <w:szCs w:val="18"/>
          <w:lang w:val="uk-UA"/>
        </w:rPr>
        <w:t>Стандартні практики: регулярне отримання ПТП, консультації з лікарем або іншим медпрацівником за потреби; безкоштовні ПТП; надання основної інформації/навчання щодо аспектів лікування ТБ.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BE3" w:rsidRPr="003E1CC5" w:rsidRDefault="008F4BE3" w:rsidP="003E1CC5">
    <w:pPr>
      <w:pStyle w:val="a3"/>
      <w:ind w:firstLine="0"/>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1DEE"/>
    <w:multiLevelType w:val="hybridMultilevel"/>
    <w:tmpl w:val="C2A6101A"/>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139F793B"/>
    <w:multiLevelType w:val="hybridMultilevel"/>
    <w:tmpl w:val="2AFA2420"/>
    <w:lvl w:ilvl="0" w:tplc="45067538">
      <w:start w:val="1"/>
      <w:numFmt w:val="bullet"/>
      <w:lvlText w:val="-"/>
      <w:lvlJc w:val="left"/>
      <w:pPr>
        <w:ind w:left="1440" w:hanging="360"/>
      </w:pPr>
      <w:rPr>
        <w:rFonts w:ascii="Vrinda" w:hAnsi="Vrinda"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6493173"/>
    <w:multiLevelType w:val="hybridMultilevel"/>
    <w:tmpl w:val="85E413D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15:restartNumberingAfterBreak="0">
    <w:nsid w:val="30B70BCF"/>
    <w:multiLevelType w:val="hybridMultilevel"/>
    <w:tmpl w:val="8A94F9AE"/>
    <w:lvl w:ilvl="0" w:tplc="040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C51899"/>
    <w:multiLevelType w:val="hybridMultilevel"/>
    <w:tmpl w:val="BAEA5344"/>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41A04B61"/>
    <w:multiLevelType w:val="hybridMultilevel"/>
    <w:tmpl w:val="FCF61D7C"/>
    <w:lvl w:ilvl="0" w:tplc="040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4DDA7722"/>
    <w:multiLevelType w:val="multilevel"/>
    <w:tmpl w:val="3DAA2EB2"/>
    <w:lvl w:ilvl="0">
      <w:start w:val="1"/>
      <w:numFmt w:val="bullet"/>
      <w:lvlText w:val="-"/>
      <w:lvlJc w:val="left"/>
      <w:rPr>
        <w:rFonts w:ascii="Arial" w:eastAsia="Arial" w:hAnsi="Arial" w:cs="Arial"/>
        <w:b w:val="0"/>
        <w:bCs w:val="0"/>
        <w:i w:val="0"/>
        <w:iCs w:val="0"/>
        <w:smallCaps w:val="0"/>
        <w:strike w:val="0"/>
        <w:color w:val="16546A"/>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2F07D9"/>
    <w:multiLevelType w:val="hybridMultilevel"/>
    <w:tmpl w:val="934440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60380C36"/>
    <w:multiLevelType w:val="hybridMultilevel"/>
    <w:tmpl w:val="669AADFE"/>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67A4411F"/>
    <w:multiLevelType w:val="hybridMultilevel"/>
    <w:tmpl w:val="F25653A8"/>
    <w:lvl w:ilvl="0" w:tplc="0419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15:restartNumberingAfterBreak="0">
    <w:nsid w:val="6D762A11"/>
    <w:multiLevelType w:val="hybridMultilevel"/>
    <w:tmpl w:val="32846EE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1B752A0"/>
    <w:multiLevelType w:val="hybridMultilevel"/>
    <w:tmpl w:val="F726FC30"/>
    <w:lvl w:ilvl="0" w:tplc="0419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7F953D6A"/>
    <w:multiLevelType w:val="hybridMultilevel"/>
    <w:tmpl w:val="7CAC66BA"/>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5"/>
  </w:num>
  <w:num w:numId="3">
    <w:abstractNumId w:val="3"/>
  </w:num>
  <w:num w:numId="4">
    <w:abstractNumId w:val="6"/>
  </w:num>
  <w:num w:numId="5">
    <w:abstractNumId w:val="4"/>
  </w:num>
  <w:num w:numId="6">
    <w:abstractNumId w:val="12"/>
  </w:num>
  <w:num w:numId="7">
    <w:abstractNumId w:val="8"/>
  </w:num>
  <w:num w:numId="8">
    <w:abstractNumId w:val="2"/>
  </w:num>
  <w:num w:numId="9">
    <w:abstractNumId w:val="11"/>
  </w:num>
  <w:num w:numId="10">
    <w:abstractNumId w:val="9"/>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488"/>
    <w:rsid w:val="00021AEB"/>
    <w:rsid w:val="0002616A"/>
    <w:rsid w:val="00033D94"/>
    <w:rsid w:val="00051514"/>
    <w:rsid w:val="0005501F"/>
    <w:rsid w:val="00062299"/>
    <w:rsid w:val="000631EB"/>
    <w:rsid w:val="000673E8"/>
    <w:rsid w:val="00094733"/>
    <w:rsid w:val="00097130"/>
    <w:rsid w:val="000B4235"/>
    <w:rsid w:val="000E0B10"/>
    <w:rsid w:val="000F05C6"/>
    <w:rsid w:val="001072B3"/>
    <w:rsid w:val="0011435E"/>
    <w:rsid w:val="00155E6A"/>
    <w:rsid w:val="001605F7"/>
    <w:rsid w:val="00165108"/>
    <w:rsid w:val="00166FFB"/>
    <w:rsid w:val="00182F4F"/>
    <w:rsid w:val="00184AD2"/>
    <w:rsid w:val="001A0A35"/>
    <w:rsid w:val="001A165F"/>
    <w:rsid w:val="001A3FB1"/>
    <w:rsid w:val="001A7367"/>
    <w:rsid w:val="001D0386"/>
    <w:rsid w:val="001F75F0"/>
    <w:rsid w:val="00207BC5"/>
    <w:rsid w:val="00236DCB"/>
    <w:rsid w:val="00244744"/>
    <w:rsid w:val="00246213"/>
    <w:rsid w:val="00271F59"/>
    <w:rsid w:val="0028468D"/>
    <w:rsid w:val="00284B92"/>
    <w:rsid w:val="00287237"/>
    <w:rsid w:val="00290816"/>
    <w:rsid w:val="002A379D"/>
    <w:rsid w:val="002D504E"/>
    <w:rsid w:val="00301DB4"/>
    <w:rsid w:val="00311C21"/>
    <w:rsid w:val="00334BFD"/>
    <w:rsid w:val="0038449F"/>
    <w:rsid w:val="003B0CF4"/>
    <w:rsid w:val="003E1CC5"/>
    <w:rsid w:val="00402390"/>
    <w:rsid w:val="00411326"/>
    <w:rsid w:val="00424572"/>
    <w:rsid w:val="0042765C"/>
    <w:rsid w:val="00440DF7"/>
    <w:rsid w:val="00444854"/>
    <w:rsid w:val="0044739B"/>
    <w:rsid w:val="00451822"/>
    <w:rsid w:val="00453142"/>
    <w:rsid w:val="00463AA0"/>
    <w:rsid w:val="004652BF"/>
    <w:rsid w:val="00480CDB"/>
    <w:rsid w:val="00490568"/>
    <w:rsid w:val="004B5B7F"/>
    <w:rsid w:val="004E40CA"/>
    <w:rsid w:val="005114F3"/>
    <w:rsid w:val="00511934"/>
    <w:rsid w:val="00523F79"/>
    <w:rsid w:val="00545089"/>
    <w:rsid w:val="00545A89"/>
    <w:rsid w:val="00550F8C"/>
    <w:rsid w:val="00561CCA"/>
    <w:rsid w:val="00562235"/>
    <w:rsid w:val="005A6BE0"/>
    <w:rsid w:val="005C312E"/>
    <w:rsid w:val="005C4256"/>
    <w:rsid w:val="00601915"/>
    <w:rsid w:val="0061320D"/>
    <w:rsid w:val="00672FC9"/>
    <w:rsid w:val="00693DAB"/>
    <w:rsid w:val="00694CFC"/>
    <w:rsid w:val="00696907"/>
    <w:rsid w:val="006A48D5"/>
    <w:rsid w:val="006A7B4D"/>
    <w:rsid w:val="006B6C63"/>
    <w:rsid w:val="006B6D4D"/>
    <w:rsid w:val="006D00C8"/>
    <w:rsid w:val="006D127C"/>
    <w:rsid w:val="006E1486"/>
    <w:rsid w:val="007038AC"/>
    <w:rsid w:val="00707BA4"/>
    <w:rsid w:val="00710AA9"/>
    <w:rsid w:val="00710C26"/>
    <w:rsid w:val="00711E83"/>
    <w:rsid w:val="007234EB"/>
    <w:rsid w:val="00726C94"/>
    <w:rsid w:val="00750848"/>
    <w:rsid w:val="0075179F"/>
    <w:rsid w:val="007643D7"/>
    <w:rsid w:val="007A2488"/>
    <w:rsid w:val="007C497F"/>
    <w:rsid w:val="007D0358"/>
    <w:rsid w:val="007D423A"/>
    <w:rsid w:val="007D6764"/>
    <w:rsid w:val="007E0471"/>
    <w:rsid w:val="007E1C20"/>
    <w:rsid w:val="007F3460"/>
    <w:rsid w:val="00804315"/>
    <w:rsid w:val="00814849"/>
    <w:rsid w:val="00817A14"/>
    <w:rsid w:val="00821900"/>
    <w:rsid w:val="00823898"/>
    <w:rsid w:val="00833D67"/>
    <w:rsid w:val="00850C2F"/>
    <w:rsid w:val="00856E7D"/>
    <w:rsid w:val="00870E3A"/>
    <w:rsid w:val="00877D83"/>
    <w:rsid w:val="00881FDF"/>
    <w:rsid w:val="008A6139"/>
    <w:rsid w:val="008B02F2"/>
    <w:rsid w:val="008B5495"/>
    <w:rsid w:val="008C2B26"/>
    <w:rsid w:val="008C5B22"/>
    <w:rsid w:val="008E1830"/>
    <w:rsid w:val="008E33EA"/>
    <w:rsid w:val="008F3AAA"/>
    <w:rsid w:val="008F4BE3"/>
    <w:rsid w:val="008F5F20"/>
    <w:rsid w:val="00905EA1"/>
    <w:rsid w:val="00913908"/>
    <w:rsid w:val="0096309D"/>
    <w:rsid w:val="00973EE7"/>
    <w:rsid w:val="009A0B83"/>
    <w:rsid w:val="009A4971"/>
    <w:rsid w:val="009B681D"/>
    <w:rsid w:val="009C01B7"/>
    <w:rsid w:val="009D1814"/>
    <w:rsid w:val="009F6706"/>
    <w:rsid w:val="00A144B8"/>
    <w:rsid w:val="00A3119B"/>
    <w:rsid w:val="00A52AAF"/>
    <w:rsid w:val="00A6758E"/>
    <w:rsid w:val="00A75154"/>
    <w:rsid w:val="00AB6CE5"/>
    <w:rsid w:val="00AD2A09"/>
    <w:rsid w:val="00B01BA7"/>
    <w:rsid w:val="00B02102"/>
    <w:rsid w:val="00B10339"/>
    <w:rsid w:val="00B110B4"/>
    <w:rsid w:val="00B12EA1"/>
    <w:rsid w:val="00B14108"/>
    <w:rsid w:val="00B36008"/>
    <w:rsid w:val="00B443BD"/>
    <w:rsid w:val="00B45503"/>
    <w:rsid w:val="00B57F35"/>
    <w:rsid w:val="00B91746"/>
    <w:rsid w:val="00BC4F9D"/>
    <w:rsid w:val="00BD4AA1"/>
    <w:rsid w:val="00C31005"/>
    <w:rsid w:val="00C40AA8"/>
    <w:rsid w:val="00C6628F"/>
    <w:rsid w:val="00C757EE"/>
    <w:rsid w:val="00C9737D"/>
    <w:rsid w:val="00CA50F8"/>
    <w:rsid w:val="00CB3BEE"/>
    <w:rsid w:val="00CB3E8C"/>
    <w:rsid w:val="00CC0FB1"/>
    <w:rsid w:val="00CC4EF3"/>
    <w:rsid w:val="00CD5C3F"/>
    <w:rsid w:val="00CD5FFC"/>
    <w:rsid w:val="00CF0132"/>
    <w:rsid w:val="00D05F13"/>
    <w:rsid w:val="00D13BD5"/>
    <w:rsid w:val="00D2557E"/>
    <w:rsid w:val="00D4784D"/>
    <w:rsid w:val="00D71282"/>
    <w:rsid w:val="00D83169"/>
    <w:rsid w:val="00D83562"/>
    <w:rsid w:val="00DA1848"/>
    <w:rsid w:val="00DA5289"/>
    <w:rsid w:val="00DB1EC9"/>
    <w:rsid w:val="00DD7F54"/>
    <w:rsid w:val="00E06D05"/>
    <w:rsid w:val="00E13444"/>
    <w:rsid w:val="00E23501"/>
    <w:rsid w:val="00E41758"/>
    <w:rsid w:val="00E91B80"/>
    <w:rsid w:val="00EA1A4C"/>
    <w:rsid w:val="00EA471D"/>
    <w:rsid w:val="00EB1AD1"/>
    <w:rsid w:val="00EB4080"/>
    <w:rsid w:val="00ED35A9"/>
    <w:rsid w:val="00F100E7"/>
    <w:rsid w:val="00F218BE"/>
    <w:rsid w:val="00F40579"/>
    <w:rsid w:val="00F8362D"/>
    <w:rsid w:val="00F87383"/>
    <w:rsid w:val="00F97E7B"/>
    <w:rsid w:val="00FB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572EB"/>
  <w15:docId w15:val="{2460D812-BAE3-4ED9-A7B5-45A99928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0B10"/>
    <w:pPr>
      <w:spacing w:after="0" w:line="240" w:lineRule="auto"/>
      <w:ind w:firstLine="720"/>
      <w:jc w:val="both"/>
    </w:pPr>
    <w:rPr>
      <w:rFonts w:ascii="Times New Roman" w:hAnsi="Times New Roman"/>
      <w:sz w:val="28"/>
    </w:rPr>
  </w:style>
  <w:style w:type="paragraph" w:styleId="1">
    <w:name w:val="heading 1"/>
    <w:basedOn w:val="a"/>
    <w:next w:val="a"/>
    <w:link w:val="10"/>
    <w:uiPriority w:val="9"/>
    <w:qFormat/>
    <w:rsid w:val="00823898"/>
    <w:pPr>
      <w:keepNext/>
      <w:keepLines/>
      <w:spacing w:after="120"/>
      <w:ind w:firstLine="0"/>
      <w:jc w:val="left"/>
      <w:outlineLvl w:val="0"/>
    </w:pPr>
    <w:rPr>
      <w:rFonts w:eastAsiaTheme="majorEastAsia" w:cstheme="majorBidi"/>
      <w:b/>
      <w:bCs/>
      <w:caps/>
      <w:szCs w:val="28"/>
    </w:rPr>
  </w:style>
  <w:style w:type="paragraph" w:styleId="2">
    <w:name w:val="heading 2"/>
    <w:basedOn w:val="a"/>
    <w:next w:val="a"/>
    <w:link w:val="20"/>
    <w:uiPriority w:val="1"/>
    <w:unhideWhenUsed/>
    <w:qFormat/>
    <w:rsid w:val="00F87383"/>
    <w:pPr>
      <w:keepNext/>
      <w:keepLines/>
      <w:spacing w:before="120" w:after="120"/>
      <w:ind w:firstLine="0"/>
      <w:jc w:val="left"/>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E0B10"/>
    <w:rPr>
      <w:rFonts w:ascii="Times New Roman" w:hAnsi="Times New Roman"/>
      <w:b w:val="0"/>
      <w:bCs w:val="0"/>
      <w:i w:val="0"/>
      <w:iCs w:val="0"/>
      <w:caps w:val="0"/>
      <w:smallCaps w:val="0"/>
      <w:strike w:val="0"/>
      <w:dstrike w:val="0"/>
      <w:vanish w:val="0"/>
      <w:color w:val="000000"/>
      <w:spacing w:val="0"/>
      <w:w w:val="100"/>
      <w:sz w:val="28"/>
      <w:szCs w:val="20"/>
      <w:vertAlign w:val="baseline"/>
    </w:rPr>
  </w:style>
  <w:style w:type="character" w:customStyle="1" w:styleId="10">
    <w:name w:val="Заголовок 1 Знак"/>
    <w:basedOn w:val="a0"/>
    <w:link w:val="1"/>
    <w:uiPriority w:val="9"/>
    <w:rsid w:val="00823898"/>
    <w:rPr>
      <w:rFonts w:ascii="Times New Roman" w:eastAsiaTheme="majorEastAsia" w:hAnsi="Times New Roman" w:cstheme="majorBidi"/>
      <w:b/>
      <w:bCs/>
      <w:caps/>
      <w:sz w:val="28"/>
      <w:szCs w:val="28"/>
    </w:rPr>
  </w:style>
  <w:style w:type="character" w:customStyle="1" w:styleId="20">
    <w:name w:val="Заголовок 2 Знак"/>
    <w:basedOn w:val="a0"/>
    <w:link w:val="2"/>
    <w:uiPriority w:val="1"/>
    <w:rsid w:val="00F87383"/>
    <w:rPr>
      <w:rFonts w:ascii="Times New Roman" w:eastAsiaTheme="majorEastAsia" w:hAnsi="Times New Roman" w:cstheme="majorBidi"/>
      <w:b/>
      <w:bCs/>
      <w:sz w:val="28"/>
      <w:szCs w:val="26"/>
    </w:rPr>
  </w:style>
  <w:style w:type="paragraph" w:styleId="a3">
    <w:name w:val="header"/>
    <w:basedOn w:val="a"/>
    <w:link w:val="a4"/>
    <w:uiPriority w:val="99"/>
    <w:unhideWhenUsed/>
    <w:rsid w:val="00F87383"/>
    <w:pPr>
      <w:tabs>
        <w:tab w:val="center" w:pos="4677"/>
        <w:tab w:val="right" w:pos="9355"/>
      </w:tabs>
    </w:pPr>
  </w:style>
  <w:style w:type="character" w:customStyle="1" w:styleId="a4">
    <w:name w:val="Верхний колонтитул Знак"/>
    <w:basedOn w:val="a0"/>
    <w:link w:val="a3"/>
    <w:uiPriority w:val="99"/>
    <w:rsid w:val="00F87383"/>
    <w:rPr>
      <w:rFonts w:ascii="Times New Roman" w:hAnsi="Times New Roman"/>
      <w:sz w:val="28"/>
    </w:rPr>
  </w:style>
  <w:style w:type="paragraph" w:styleId="a5">
    <w:name w:val="footer"/>
    <w:basedOn w:val="a"/>
    <w:link w:val="a6"/>
    <w:uiPriority w:val="99"/>
    <w:unhideWhenUsed/>
    <w:rsid w:val="00F87383"/>
    <w:pPr>
      <w:tabs>
        <w:tab w:val="center" w:pos="4677"/>
        <w:tab w:val="right" w:pos="9355"/>
      </w:tabs>
    </w:pPr>
  </w:style>
  <w:style w:type="character" w:customStyle="1" w:styleId="a6">
    <w:name w:val="Нижний колонтитул Знак"/>
    <w:basedOn w:val="a0"/>
    <w:link w:val="a5"/>
    <w:uiPriority w:val="99"/>
    <w:rsid w:val="00F87383"/>
    <w:rPr>
      <w:rFonts w:ascii="Times New Roman" w:hAnsi="Times New Roman"/>
      <w:sz w:val="28"/>
    </w:rPr>
  </w:style>
  <w:style w:type="paragraph" w:styleId="a7">
    <w:name w:val="List Paragraph"/>
    <w:basedOn w:val="a"/>
    <w:uiPriority w:val="34"/>
    <w:qFormat/>
    <w:rsid w:val="009B681D"/>
    <w:pPr>
      <w:ind w:left="720"/>
      <w:contextualSpacing/>
    </w:pPr>
  </w:style>
  <w:style w:type="table" w:styleId="a8">
    <w:name w:val="Table Grid"/>
    <w:basedOn w:val="a1"/>
    <w:uiPriority w:val="59"/>
    <w:rsid w:val="005C31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C312E"/>
    <w:rPr>
      <w:rFonts w:ascii="Arial" w:eastAsia="Arial" w:hAnsi="Arial" w:cs="Arial"/>
      <w:sz w:val="17"/>
      <w:szCs w:val="17"/>
      <w:shd w:val="clear" w:color="auto" w:fill="FFFFFF"/>
    </w:rPr>
  </w:style>
  <w:style w:type="paragraph" w:customStyle="1" w:styleId="Bodytext20">
    <w:name w:val="Body text (2)"/>
    <w:basedOn w:val="a"/>
    <w:link w:val="Bodytext2"/>
    <w:rsid w:val="005C312E"/>
    <w:pPr>
      <w:widowControl w:val="0"/>
      <w:shd w:val="clear" w:color="auto" w:fill="FFFFFF"/>
      <w:spacing w:after="120" w:line="235" w:lineRule="exact"/>
      <w:ind w:hanging="239"/>
    </w:pPr>
    <w:rPr>
      <w:rFonts w:ascii="Arial" w:eastAsia="Arial" w:hAnsi="Arial" w:cs="Arial"/>
      <w:sz w:val="17"/>
      <w:szCs w:val="17"/>
    </w:rPr>
  </w:style>
  <w:style w:type="character" w:customStyle="1" w:styleId="Bodytext2Italic">
    <w:name w:val="Body text (2) + Italic"/>
    <w:rsid w:val="005C312E"/>
    <w:rPr>
      <w:rFonts w:ascii="Arial" w:eastAsia="Arial" w:hAnsi="Arial" w:cs="Arial"/>
      <w:b w:val="0"/>
      <w:bCs w:val="0"/>
      <w:i/>
      <w:iCs/>
      <w:smallCaps w:val="0"/>
      <w:strike w:val="0"/>
      <w:color w:val="58595B"/>
      <w:spacing w:val="0"/>
      <w:w w:val="100"/>
      <w:position w:val="0"/>
      <w:sz w:val="17"/>
      <w:szCs w:val="17"/>
      <w:u w:val="none"/>
      <w:shd w:val="clear" w:color="auto" w:fill="FFFFFF"/>
      <w:lang w:val="en-US" w:eastAsia="en-US" w:bidi="en-US"/>
    </w:rPr>
  </w:style>
  <w:style w:type="character" w:customStyle="1" w:styleId="Bodytext23">
    <w:name w:val="Body text (2)3"/>
    <w:basedOn w:val="Bodytext2"/>
    <w:rsid w:val="005C312E"/>
    <w:rPr>
      <w:rFonts w:ascii="Times New Roman" w:eastAsia="Times New Roman" w:hAnsi="Times New Roman" w:cs="Times New Roman" w:hint="default"/>
      <w:color w:val="000000"/>
      <w:spacing w:val="0"/>
      <w:w w:val="100"/>
      <w:position w:val="0"/>
      <w:sz w:val="17"/>
      <w:szCs w:val="17"/>
      <w:u w:val="single"/>
      <w:shd w:val="clear" w:color="auto" w:fill="FFFFFF"/>
      <w:lang w:val="en-US" w:eastAsia="en-US" w:bidi="en-US"/>
    </w:rPr>
  </w:style>
  <w:style w:type="character" w:customStyle="1" w:styleId="Bodytext24">
    <w:name w:val="Body text (2)4"/>
    <w:basedOn w:val="Bodytext2"/>
    <w:rsid w:val="005C312E"/>
    <w:rPr>
      <w:rFonts w:ascii="Times New Roman" w:eastAsia="Times New Roman" w:hAnsi="Times New Roman" w:cs="Times New Roman" w:hint="default"/>
      <w:color w:val="004375"/>
      <w:spacing w:val="0"/>
      <w:w w:val="100"/>
      <w:position w:val="0"/>
      <w:sz w:val="17"/>
      <w:szCs w:val="17"/>
      <w:shd w:val="clear" w:color="auto" w:fill="FFFFFF"/>
      <w:lang w:val="en-US" w:eastAsia="en-US" w:bidi="en-US"/>
    </w:rPr>
  </w:style>
  <w:style w:type="character" w:customStyle="1" w:styleId="Bodytext14">
    <w:name w:val="Body text (14)_"/>
    <w:basedOn w:val="a0"/>
    <w:link w:val="Bodytext140"/>
    <w:locked/>
    <w:rsid w:val="005C312E"/>
    <w:rPr>
      <w:i/>
      <w:iCs/>
      <w:shd w:val="clear" w:color="auto" w:fill="FFFFFF"/>
    </w:rPr>
  </w:style>
  <w:style w:type="paragraph" w:customStyle="1" w:styleId="Bodytext140">
    <w:name w:val="Body text (14)"/>
    <w:basedOn w:val="a"/>
    <w:link w:val="Bodytext14"/>
    <w:rsid w:val="005C312E"/>
    <w:pPr>
      <w:widowControl w:val="0"/>
      <w:shd w:val="clear" w:color="auto" w:fill="FFFFFF"/>
      <w:spacing w:before="120" w:after="300" w:line="0" w:lineRule="atLeast"/>
      <w:ind w:hanging="355"/>
    </w:pPr>
    <w:rPr>
      <w:rFonts w:asciiTheme="minorHAnsi" w:hAnsiTheme="minorHAnsi"/>
      <w:i/>
      <w:iCs/>
      <w:sz w:val="22"/>
    </w:rPr>
  </w:style>
  <w:style w:type="character" w:customStyle="1" w:styleId="Footnote">
    <w:name w:val="Footnote_"/>
    <w:basedOn w:val="a0"/>
    <w:link w:val="Footnote0"/>
    <w:rsid w:val="005C312E"/>
    <w:rPr>
      <w:rFonts w:ascii="Arial" w:eastAsia="Arial" w:hAnsi="Arial" w:cs="Arial"/>
      <w:sz w:val="14"/>
      <w:szCs w:val="14"/>
      <w:shd w:val="clear" w:color="auto" w:fill="FFFFFF"/>
    </w:rPr>
  </w:style>
  <w:style w:type="paragraph" w:customStyle="1" w:styleId="Footnote0">
    <w:name w:val="Footnote"/>
    <w:basedOn w:val="a"/>
    <w:link w:val="Footnote"/>
    <w:rsid w:val="005C312E"/>
    <w:pPr>
      <w:widowControl w:val="0"/>
      <w:shd w:val="clear" w:color="auto" w:fill="FFFFFF"/>
      <w:spacing w:after="600" w:line="0" w:lineRule="atLeast"/>
      <w:ind w:hanging="230"/>
      <w:jc w:val="left"/>
    </w:pPr>
    <w:rPr>
      <w:rFonts w:ascii="Arial" w:eastAsia="Arial" w:hAnsi="Arial" w:cs="Arial"/>
      <w:sz w:val="14"/>
      <w:szCs w:val="14"/>
    </w:rPr>
  </w:style>
  <w:style w:type="character" w:customStyle="1" w:styleId="FootnoteItalic">
    <w:name w:val="Footnote + Italic"/>
    <w:basedOn w:val="Footnote"/>
    <w:rsid w:val="005C312E"/>
    <w:rPr>
      <w:rFonts w:ascii="Arial" w:eastAsia="Arial" w:hAnsi="Arial" w:cs="Arial"/>
      <w:b w:val="0"/>
      <w:bCs w:val="0"/>
      <w:i/>
      <w:iCs/>
      <w:smallCaps w:val="0"/>
      <w:strike w:val="0"/>
      <w:color w:val="000000"/>
      <w:spacing w:val="0"/>
      <w:w w:val="100"/>
      <w:position w:val="0"/>
      <w:sz w:val="14"/>
      <w:szCs w:val="14"/>
      <w:u w:val="none"/>
      <w:shd w:val="clear" w:color="auto" w:fill="FFFFFF"/>
      <w:lang w:val="en-US" w:eastAsia="en-US" w:bidi="en-US"/>
    </w:rPr>
  </w:style>
  <w:style w:type="character" w:customStyle="1" w:styleId="Footnote2">
    <w:name w:val="Footnote2"/>
    <w:basedOn w:val="Footnote"/>
    <w:rsid w:val="005C312E"/>
    <w:rPr>
      <w:rFonts w:ascii="Arial" w:eastAsia="Arial" w:hAnsi="Arial" w:cs="Arial"/>
      <w:b w:val="0"/>
      <w:bCs w:val="0"/>
      <w:i w:val="0"/>
      <w:iCs w:val="0"/>
      <w:smallCaps w:val="0"/>
      <w:strike w:val="0"/>
      <w:color w:val="D95C59"/>
      <w:spacing w:val="0"/>
      <w:w w:val="100"/>
      <w:position w:val="0"/>
      <w:sz w:val="14"/>
      <w:szCs w:val="14"/>
      <w:u w:val="none"/>
      <w:shd w:val="clear" w:color="auto" w:fill="FFFFFF"/>
      <w:lang w:val="en-US" w:eastAsia="en-US" w:bidi="en-US"/>
    </w:rPr>
  </w:style>
  <w:style w:type="character" w:customStyle="1" w:styleId="Footnote6">
    <w:name w:val="Footnote (6)_"/>
    <w:basedOn w:val="a0"/>
    <w:link w:val="Footnote60"/>
    <w:rsid w:val="005C312E"/>
    <w:rPr>
      <w:rFonts w:ascii="Arial" w:eastAsia="Arial" w:hAnsi="Arial" w:cs="Arial"/>
      <w:b/>
      <w:bCs/>
      <w:sz w:val="15"/>
      <w:szCs w:val="15"/>
      <w:shd w:val="clear" w:color="auto" w:fill="FFFFFF"/>
    </w:rPr>
  </w:style>
  <w:style w:type="paragraph" w:customStyle="1" w:styleId="Footnote60">
    <w:name w:val="Footnote (6)"/>
    <w:basedOn w:val="a"/>
    <w:link w:val="Footnote6"/>
    <w:rsid w:val="005C312E"/>
    <w:pPr>
      <w:widowControl w:val="0"/>
      <w:shd w:val="clear" w:color="auto" w:fill="FFFFFF"/>
      <w:spacing w:before="540" w:line="0" w:lineRule="atLeast"/>
      <w:ind w:firstLine="31"/>
      <w:jc w:val="left"/>
    </w:pPr>
    <w:rPr>
      <w:rFonts w:ascii="Arial" w:eastAsia="Arial" w:hAnsi="Arial" w:cs="Arial"/>
      <w:b/>
      <w:bCs/>
      <w:sz w:val="15"/>
      <w:szCs w:val="15"/>
    </w:rPr>
  </w:style>
  <w:style w:type="character" w:customStyle="1" w:styleId="Footnote1">
    <w:name w:val="Footnote1"/>
    <w:basedOn w:val="Footnote"/>
    <w:rsid w:val="005C312E"/>
    <w:rPr>
      <w:rFonts w:ascii="Arial" w:eastAsia="Arial" w:hAnsi="Arial" w:cs="Arial"/>
      <w:b w:val="0"/>
      <w:bCs w:val="0"/>
      <w:i w:val="0"/>
      <w:iCs w:val="0"/>
      <w:smallCaps w:val="0"/>
      <w:strike w:val="0"/>
      <w:color w:val="723635"/>
      <w:spacing w:val="0"/>
      <w:w w:val="100"/>
      <w:position w:val="0"/>
      <w:sz w:val="14"/>
      <w:szCs w:val="14"/>
      <w:u w:val="none"/>
      <w:shd w:val="clear" w:color="auto" w:fill="FFFFFF"/>
      <w:lang w:val="en-US" w:eastAsia="en-US" w:bidi="en-US"/>
    </w:rPr>
  </w:style>
  <w:style w:type="character" w:customStyle="1" w:styleId="Bodytext2105ptBold3">
    <w:name w:val="Body text (2) + 10.5 pt;Bold3"/>
    <w:basedOn w:val="Bodytext2"/>
    <w:rsid w:val="005C312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14Exact2">
    <w:name w:val="Body text (14) Exact2"/>
    <w:basedOn w:val="Bodytext14"/>
    <w:rsid w:val="005C312E"/>
    <w:rPr>
      <w:rFonts w:ascii="Arial" w:eastAsia="Arial" w:hAnsi="Arial" w:cs="Arial"/>
      <w:b w:val="0"/>
      <w:bCs w:val="0"/>
      <w:i w:val="0"/>
      <w:iCs w:val="0"/>
      <w:smallCaps w:val="0"/>
      <w:strike w:val="0"/>
      <w:color w:val="16546A"/>
      <w:spacing w:val="0"/>
      <w:w w:val="100"/>
      <w:position w:val="0"/>
      <w:sz w:val="14"/>
      <w:szCs w:val="14"/>
      <w:u w:val="none"/>
      <w:shd w:val="clear" w:color="auto" w:fill="FFFFFF"/>
      <w:lang w:val="en-US" w:eastAsia="en-US" w:bidi="en-US"/>
    </w:rPr>
  </w:style>
  <w:style w:type="character" w:customStyle="1" w:styleId="Bodytext2105ptBold2">
    <w:name w:val="Body text (2) + 10.5 pt;Bold2"/>
    <w:basedOn w:val="Bodytext2"/>
    <w:rsid w:val="005C312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Italic3">
    <w:name w:val="Body text (2) + Italic3"/>
    <w:basedOn w:val="Bodytext2"/>
    <w:rsid w:val="005C312E"/>
    <w:rPr>
      <w:rFonts w:ascii="Arial" w:eastAsia="Arial" w:hAnsi="Arial" w:cs="Arial"/>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Bodytext17">
    <w:name w:val="Body text (17)_"/>
    <w:basedOn w:val="a0"/>
    <w:link w:val="Bodytext170"/>
    <w:rsid w:val="005C312E"/>
    <w:rPr>
      <w:rFonts w:ascii="Arial" w:eastAsia="Arial" w:hAnsi="Arial" w:cs="Arial"/>
      <w:b/>
      <w:bCs/>
      <w:sz w:val="15"/>
      <w:szCs w:val="15"/>
      <w:shd w:val="clear" w:color="auto" w:fill="FFFFFF"/>
    </w:rPr>
  </w:style>
  <w:style w:type="paragraph" w:customStyle="1" w:styleId="Bodytext170">
    <w:name w:val="Body text (17)"/>
    <w:basedOn w:val="a"/>
    <w:link w:val="Bodytext17"/>
    <w:rsid w:val="005C312E"/>
    <w:pPr>
      <w:widowControl w:val="0"/>
      <w:shd w:val="clear" w:color="auto" w:fill="FFFFFF"/>
      <w:spacing w:before="120" w:line="221" w:lineRule="exact"/>
      <w:ind w:hanging="202"/>
    </w:pPr>
    <w:rPr>
      <w:rFonts w:ascii="Arial" w:eastAsia="Arial" w:hAnsi="Arial" w:cs="Arial"/>
      <w:b/>
      <w:bCs/>
      <w:sz w:val="15"/>
      <w:szCs w:val="15"/>
    </w:rPr>
  </w:style>
  <w:style w:type="character" w:customStyle="1" w:styleId="Bodytext17Italic">
    <w:name w:val="Body text (17) + Italic"/>
    <w:basedOn w:val="Bodytext17"/>
    <w:rsid w:val="005C312E"/>
    <w:rPr>
      <w:rFonts w:ascii="Arial" w:eastAsia="Arial" w:hAnsi="Arial" w:cs="Arial"/>
      <w:b/>
      <w:bCs/>
      <w:i/>
      <w:iCs/>
      <w:color w:val="000000"/>
      <w:spacing w:val="0"/>
      <w:w w:val="100"/>
      <w:position w:val="0"/>
      <w:sz w:val="15"/>
      <w:szCs w:val="15"/>
      <w:shd w:val="clear" w:color="auto" w:fill="FFFFFF"/>
      <w:lang w:val="en-US" w:eastAsia="en-US" w:bidi="en-US"/>
    </w:rPr>
  </w:style>
  <w:style w:type="character" w:customStyle="1" w:styleId="Bodytext111">
    <w:name w:val="Body text (11)1"/>
    <w:basedOn w:val="a0"/>
    <w:rsid w:val="005C312E"/>
    <w:rPr>
      <w:rFonts w:ascii="Arial" w:eastAsia="Arial" w:hAnsi="Arial" w:cs="Arial"/>
      <w:b/>
      <w:bCs/>
      <w:i w:val="0"/>
      <w:iCs w:val="0"/>
      <w:smallCaps w:val="0"/>
      <w:strike w:val="0"/>
      <w:color w:val="FFFFFF"/>
      <w:spacing w:val="0"/>
      <w:w w:val="100"/>
      <w:position w:val="0"/>
      <w:sz w:val="21"/>
      <w:szCs w:val="21"/>
      <w:u w:val="none"/>
      <w:lang w:val="en-US" w:eastAsia="en-US" w:bidi="en-US"/>
    </w:rPr>
  </w:style>
  <w:style w:type="character" w:customStyle="1" w:styleId="Bodytext182">
    <w:name w:val="Body text (18)2"/>
    <w:basedOn w:val="a0"/>
    <w:rsid w:val="005C312E"/>
    <w:rPr>
      <w:rFonts w:ascii="Arial" w:eastAsia="Arial" w:hAnsi="Arial" w:cs="Arial"/>
      <w:b w:val="0"/>
      <w:bCs w:val="0"/>
      <w:i w:val="0"/>
      <w:iCs w:val="0"/>
      <w:smallCaps w:val="0"/>
      <w:strike w:val="0"/>
      <w:color w:val="D95C59"/>
      <w:spacing w:val="0"/>
      <w:w w:val="100"/>
      <w:position w:val="0"/>
      <w:sz w:val="20"/>
      <w:szCs w:val="20"/>
      <w:u w:val="none"/>
      <w:lang w:val="en-US" w:eastAsia="en-US" w:bidi="en-US"/>
    </w:rPr>
  </w:style>
  <w:style w:type="character" w:styleId="a9">
    <w:name w:val="Hyperlink"/>
    <w:basedOn w:val="a0"/>
    <w:uiPriority w:val="99"/>
    <w:unhideWhenUsed/>
    <w:rsid w:val="00550F8C"/>
    <w:rPr>
      <w:color w:val="0563C1" w:themeColor="hyperlink"/>
      <w:u w:val="single"/>
    </w:rPr>
  </w:style>
  <w:style w:type="paragraph" w:styleId="aa">
    <w:name w:val="footnote text"/>
    <w:basedOn w:val="a"/>
    <w:link w:val="ab"/>
    <w:uiPriority w:val="99"/>
    <w:unhideWhenUsed/>
    <w:rsid w:val="00877D83"/>
    <w:rPr>
      <w:rFonts w:eastAsia="Calibri" w:cs="Times New Roman"/>
      <w:sz w:val="20"/>
      <w:szCs w:val="20"/>
    </w:rPr>
  </w:style>
  <w:style w:type="character" w:customStyle="1" w:styleId="ab">
    <w:name w:val="Текст сноски Знак"/>
    <w:basedOn w:val="a0"/>
    <w:link w:val="aa"/>
    <w:uiPriority w:val="99"/>
    <w:rsid w:val="00877D83"/>
    <w:rPr>
      <w:rFonts w:ascii="Times New Roman" w:eastAsia="Calibri" w:hAnsi="Times New Roman" w:cs="Times New Roman"/>
      <w:sz w:val="20"/>
      <w:szCs w:val="20"/>
    </w:rPr>
  </w:style>
  <w:style w:type="character" w:styleId="ac">
    <w:name w:val="footnote reference"/>
    <w:basedOn w:val="a0"/>
    <w:uiPriority w:val="99"/>
    <w:semiHidden/>
    <w:unhideWhenUsed/>
    <w:rsid w:val="00877D83"/>
    <w:rPr>
      <w:vertAlign w:val="superscript"/>
    </w:rPr>
  </w:style>
  <w:style w:type="paragraph" w:styleId="ad">
    <w:name w:val="Balloon Text"/>
    <w:basedOn w:val="a"/>
    <w:link w:val="ae"/>
    <w:uiPriority w:val="99"/>
    <w:semiHidden/>
    <w:unhideWhenUsed/>
    <w:rsid w:val="00877D83"/>
    <w:rPr>
      <w:rFonts w:ascii="Tahoma" w:eastAsia="Calibri" w:hAnsi="Tahoma" w:cs="Tahoma"/>
      <w:sz w:val="16"/>
      <w:szCs w:val="16"/>
    </w:rPr>
  </w:style>
  <w:style w:type="character" w:customStyle="1" w:styleId="ae">
    <w:name w:val="Текст выноски Знак"/>
    <w:basedOn w:val="a0"/>
    <w:link w:val="ad"/>
    <w:uiPriority w:val="99"/>
    <w:semiHidden/>
    <w:rsid w:val="00877D83"/>
    <w:rPr>
      <w:rFonts w:ascii="Tahoma" w:eastAsia="Calibri" w:hAnsi="Tahoma" w:cs="Tahoma"/>
      <w:sz w:val="16"/>
      <w:szCs w:val="16"/>
    </w:rPr>
  </w:style>
  <w:style w:type="paragraph" w:styleId="HTML">
    <w:name w:val="HTML Preformatted"/>
    <w:basedOn w:val="a"/>
    <w:link w:val="HTML0"/>
    <w:uiPriority w:val="99"/>
    <w:unhideWhenUsed/>
    <w:rsid w:val="0087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77D83"/>
    <w:rPr>
      <w:rFonts w:ascii="Courier New" w:eastAsia="Times New Roman" w:hAnsi="Courier New" w:cs="Courier New"/>
      <w:sz w:val="20"/>
      <w:szCs w:val="20"/>
      <w:lang w:val="uk-UA" w:eastAsia="uk-UA"/>
    </w:rPr>
  </w:style>
  <w:style w:type="character" w:customStyle="1" w:styleId="21">
    <w:name w:val="Основной текст (2)"/>
    <w:basedOn w:val="a0"/>
    <w:rsid w:val="00A75154"/>
    <w:rPr>
      <w:rFonts w:ascii="Arial Unicode MS" w:eastAsia="Arial Unicode MS" w:hAnsi="Arial Unicode MS" w:cs="Arial Unicode MS"/>
      <w:b w:val="0"/>
      <w:bCs w:val="0"/>
      <w:i w:val="0"/>
      <w:iCs w:val="0"/>
      <w:smallCaps w:val="0"/>
      <w:strike w:val="0"/>
      <w:color w:val="005744"/>
      <w:spacing w:val="0"/>
      <w:w w:val="100"/>
      <w:position w:val="0"/>
      <w:sz w:val="19"/>
      <w:szCs w:val="19"/>
      <w:u w:val="none"/>
      <w:lang w:val="uk-UA" w:eastAsia="uk-UA" w:bidi="uk-UA"/>
    </w:rPr>
  </w:style>
  <w:style w:type="character" w:customStyle="1" w:styleId="fontstyle41">
    <w:name w:val="fontstyle41"/>
    <w:basedOn w:val="a0"/>
    <w:rsid w:val="00A75154"/>
    <w:rPr>
      <w:rFonts w:ascii="HelveticaNeueLTStd-MdCn" w:hAnsi="HelveticaNeueLTStd-MdCn" w:hint="default"/>
      <w:b w:val="0"/>
      <w:bCs w:val="0"/>
      <w:i w:val="0"/>
      <w:iCs w:val="0"/>
      <w:color w:val="007CC1"/>
      <w:sz w:val="34"/>
      <w:szCs w:val="34"/>
    </w:rPr>
  </w:style>
  <w:style w:type="character" w:customStyle="1" w:styleId="fontstyle31">
    <w:name w:val="fontstyle31"/>
    <w:basedOn w:val="a0"/>
    <w:rsid w:val="00A75154"/>
    <w:rPr>
      <w:rFonts w:ascii="HelveticaNeueLTStd-Cn" w:hAnsi="HelveticaNeueLTStd-Cn" w:hint="default"/>
      <w:b w:val="0"/>
      <w:bCs w:val="0"/>
      <w:i w:val="0"/>
      <w:iCs w:val="0"/>
      <w:color w:val="000000"/>
      <w:sz w:val="72"/>
      <w:szCs w:val="72"/>
    </w:rPr>
  </w:style>
  <w:style w:type="character" w:styleId="af">
    <w:name w:val="Placeholder Text"/>
    <w:basedOn w:val="a0"/>
    <w:uiPriority w:val="99"/>
    <w:semiHidden/>
    <w:rsid w:val="00A75154"/>
    <w:rPr>
      <w:color w:val="808080"/>
    </w:rPr>
  </w:style>
  <w:style w:type="character" w:customStyle="1" w:styleId="fontstyle21">
    <w:name w:val="fontstyle21"/>
    <w:basedOn w:val="a0"/>
    <w:rsid w:val="00A75154"/>
    <w:rPr>
      <w:rFonts w:ascii="MinionPro-Semibold" w:hAnsi="MinionPro-Semibold" w:hint="default"/>
      <w:b w:val="0"/>
      <w:bCs w:val="0"/>
      <w:i w:val="0"/>
      <w:iCs w:val="0"/>
      <w:color w:val="000000"/>
      <w:sz w:val="20"/>
      <w:szCs w:val="20"/>
    </w:rPr>
  </w:style>
  <w:style w:type="character" w:customStyle="1" w:styleId="22">
    <w:name w:val="Основной текст (2)_"/>
    <w:rsid w:val="007D423A"/>
    <w:rPr>
      <w:rFonts w:ascii="Arial Narrow" w:eastAsia="Arial Narrow" w:hAnsi="Arial Narrow" w:cs="Arial Narrow"/>
      <w:sz w:val="18"/>
      <w:szCs w:val="18"/>
      <w:shd w:val="clear" w:color="auto" w:fill="FFFFFF"/>
    </w:rPr>
  </w:style>
  <w:style w:type="paragraph" w:styleId="af0">
    <w:name w:val="TOC Heading"/>
    <w:basedOn w:val="1"/>
    <w:next w:val="a"/>
    <w:uiPriority w:val="39"/>
    <w:unhideWhenUsed/>
    <w:qFormat/>
    <w:rsid w:val="001D0386"/>
    <w:pPr>
      <w:spacing w:before="480" w:after="0" w:line="276" w:lineRule="auto"/>
      <w:outlineLvl w:val="9"/>
    </w:pPr>
    <w:rPr>
      <w:rFonts w:asciiTheme="majorHAnsi" w:hAnsiTheme="majorHAnsi"/>
      <w:caps w:val="0"/>
      <w:color w:val="2E74B5" w:themeColor="accent1" w:themeShade="BF"/>
      <w:lang w:val="uk-UA" w:eastAsia="uk-UA"/>
    </w:rPr>
  </w:style>
  <w:style w:type="paragraph" w:styleId="11">
    <w:name w:val="toc 1"/>
    <w:basedOn w:val="a"/>
    <w:next w:val="a"/>
    <w:autoRedefine/>
    <w:uiPriority w:val="39"/>
    <w:unhideWhenUsed/>
    <w:rsid w:val="00CC0FB1"/>
    <w:pPr>
      <w:tabs>
        <w:tab w:val="right" w:leader="dot" w:pos="9345"/>
      </w:tabs>
      <w:ind w:firstLine="0"/>
      <w:jc w:val="left"/>
    </w:pPr>
    <w:rPr>
      <w:rFonts w:cs="Times New Roman"/>
      <w:noProof/>
      <w:lang w:val="uk-UA"/>
    </w:rPr>
  </w:style>
  <w:style w:type="paragraph" w:styleId="23">
    <w:name w:val="toc 2"/>
    <w:basedOn w:val="a"/>
    <w:next w:val="a"/>
    <w:autoRedefine/>
    <w:uiPriority w:val="39"/>
    <w:unhideWhenUsed/>
    <w:rsid w:val="001D0386"/>
    <w:pPr>
      <w:tabs>
        <w:tab w:val="right" w:leader="dot" w:pos="9345"/>
      </w:tabs>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who.int/iris/" TargetMode="External"/><Relationship Id="rId18" Type="http://schemas.openxmlformats.org/officeDocument/2006/relationships/hyperlink" Target="http://apps.who.int/iris/bitstream/10665/162712/l/9789241508612_eng.pdf" TargetMode="External"/><Relationship Id="rId26" Type="http://schemas.openxmlformats.org/officeDocument/2006/relationships/hyperlink" Target="http://www.who.int/" TargetMode="External"/><Relationship Id="rId39" Type="http://schemas.openxmlformats.org/officeDocument/2006/relationships/hyperlink" Target="http://whqlibdoc.who.int/publications/2012/9789241564465_eng.pdf" TargetMode="External"/><Relationship Id="rId3" Type="http://schemas.openxmlformats.org/officeDocument/2006/relationships/styles" Target="styles.xml"/><Relationship Id="rId21" Type="http://schemas.openxmlformats.org/officeDocument/2006/relationships/hyperlink" Target="http://apps.who.int/iris/bitstream/10665/79199/l/9789241505345_eng.pdf" TargetMode="External"/><Relationship Id="rId34" Type="http://schemas.openxmlformats.org/officeDocument/2006/relationships/hyperlink" Target="http://apps.who.int/iris/bitstream/handle/10665/274443/WHO-CDS-TB-2018.19-eng.pdf" TargetMode="External"/><Relationship Id="rId42" Type="http://schemas.openxmlformats.org/officeDocument/2006/relationships/hyperlink" Target="http://apps.who.int/iris/bitstream/10665/77949/l/9789241504638_eng.pdf" TargetMode="External"/><Relationship Id="rId47" Type="http://schemas.openxmlformats.org/officeDocument/2006/relationships/hyperlink" Target="http://www.who.int/tb/strategy/en/"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hqlibdoc.who.int/" TargetMode="External"/><Relationship Id="rId17" Type="http://schemas.openxmlformats.org/officeDocument/2006/relationships/hyperlink" Target="http://apps.who.int/iris/" TargetMode="External"/><Relationship Id="rId25" Type="http://schemas.openxmlformats.org/officeDocument/2006/relationships/hyperlink" Target="http://apps.who.int/iris/bitstream/10665/208825/l/9789241549684_eng.pdf" TargetMode="External"/><Relationship Id="rId33" Type="http://schemas.openxmlformats.org/officeDocument/2006/relationships/hyperlink" Target="http://apps" TargetMode="External"/><Relationship Id="rId38" Type="http://schemas.openxmlformats.org/officeDocument/2006/relationships/hyperlink" Target="https://www.ema.europa.eu/en/medicines/" TargetMode="External"/><Relationship Id="rId46" Type="http://schemas.openxmlformats.org/officeDocument/2006/relationships/hyperlink" Target="http://bmcinfectdis.biomedcentral.com/articles/10.1186/sl2879-016-1585-0" TargetMode="External"/><Relationship Id="rId2" Type="http://schemas.openxmlformats.org/officeDocument/2006/relationships/numbering" Target="numbering.xml"/><Relationship Id="rId16" Type="http://schemas.openxmlformats.org/officeDocument/2006/relationships/hyperlink" Target="http://apps.who.int/iris/bitstream/10665/250125/l/9789241549639-eng.pdf" TargetMode="External"/><Relationship Id="rId20" Type="http://schemas.openxmlformats.org/officeDocument/2006/relationships/hyperlink" Target="http://apps.who.int/iris/" TargetMode="External"/><Relationship Id="rId29" Type="http://schemas.openxmlformats.org/officeDocument/2006/relationships/hyperlink" Target="http://apps.who.int/iris/" TargetMode="External"/><Relationship Id="rId41" Type="http://schemas.openxmlformats.org/officeDocument/2006/relationships/hyperlink" Target="http://www.who.int/tb/publications/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publications/guidelines/handbook_2nd_ed.pdf" TargetMode="External"/><Relationship Id="rId24" Type="http://schemas.openxmlformats.org/officeDocument/2006/relationships/hyperlink" Target="http://apps.who.int/iris/bitstr" TargetMode="External"/><Relationship Id="rId32" Type="http://schemas.openxmlformats.org/officeDocument/2006/relationships/hyperlink" Target="http://www.who.int/tb/areas-of-work/drug-resistant-tb/treatment/MDR_RR-TB-TaskForce-FAQs-vl.pdf" TargetMode="External"/><Relationship Id="rId37" Type="http://schemas.openxmlformats.org/officeDocument/2006/relationships/hyperlink" Target="http://www.ema.europa" TargetMode="External"/><Relationship Id="rId40" Type="http://schemas.openxmlformats.org/officeDocument/2006/relationships/hyperlink" Target="https://www.who.int/" TargetMode="External"/><Relationship Id="rId45" Type="http://schemas.openxmlformats.org/officeDocument/2006/relationships/hyperlink" Target="http://www.natap.org/2010/IAS/IAS_9Lhtm" TargetMode="External"/><Relationship Id="rId5" Type="http://schemas.openxmlformats.org/officeDocument/2006/relationships/webSettings" Target="webSettings.xml"/><Relationship Id="rId15" Type="http://schemas.openxmlformats.org/officeDocument/2006/relationships/hyperlink" Target="http://apps" TargetMode="External"/><Relationship Id="rId23" Type="http://schemas.openxmlformats.org/officeDocument/2006/relationships/hyperlink" Target="http://apps.who.int/iris/bitstr" TargetMode="External"/><Relationship Id="rId28" Type="http://schemas.openxmlformats.org/officeDocument/2006/relationships/hyperlink" Target="http://www.stoptb.org/gdf/drugsupply/drugs_diagnostics.asp" TargetMode="External"/><Relationship Id="rId36" Type="http://schemas.openxmlformats.org/officeDocument/2006/relationships/hyperlink" Target="http://www.natap.org/2013/newsUpdates/20121128-AIDAC-Bl-01-FDA_Backgrounder.pdf"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evs.nci.nih.gov/ftpl/" TargetMode="External"/><Relationship Id="rId31" Type="http://schemas.openxmlformats.org/officeDocument/2006/relationships/hyperlink" Target="https://clinicaltrials.gov/ct2/show/NCT01424670" TargetMode="External"/><Relationship Id="rId44" Type="http://schemas.openxmlformats.org/officeDocument/2006/relationships/hyperlink" Target="http://apps.who.int/iri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pps.who.int/iris/" TargetMode="External"/><Relationship Id="rId22" Type="http://schemas.openxmlformats.org/officeDocument/2006/relationships/hyperlink" Target="http://apps.who.int/iris/bitstream/10665/112472/l/9789241506335_eng.pdf" TargetMode="External"/><Relationship Id="rId27" Type="http://schemas.openxmlformats.org/officeDocument/2006/relationships/hyperlink" Target="https://www.hiv-druginteractions.org/checker" TargetMode="External"/><Relationship Id="rId30" Type="http://schemas.openxmlformats.org/officeDocument/2006/relationships/hyperlink" Target="http://www.who.int/tb/" TargetMode="External"/><Relationship Id="rId35" Type="http://schemas.openxmlformats.org/officeDocument/2006/relationships/hyperlink" Target="http://apps.who.int/iris/bitstream/10665/174897/l/9789241549134_eng.pdf" TargetMode="External"/><Relationship Id="rId43" Type="http://schemas.openxmlformats.org/officeDocument/2006/relationships/hyperlink" Target="https://gateway.nlm.nih.gov/result_am?query=Reliability%20" TargetMode="External"/><Relationship Id="rId48" Type="http://schemas.openxmlformats.org/officeDocument/2006/relationships/hyperlink" Target="https://clinicaltrials.gov/show/NCT01918397"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B778-722D-4437-B90A-04D9482D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141</Pages>
  <Words>214954</Words>
  <Characters>122525</Characters>
  <Application>Microsoft Office Word</Application>
  <DocSecurity>0</DocSecurity>
  <Lines>1021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KMI-Dima</dc:creator>
  <cp:keywords/>
  <dc:description/>
  <cp:lastModifiedBy>PHC01</cp:lastModifiedBy>
  <cp:revision>77</cp:revision>
  <dcterms:created xsi:type="dcterms:W3CDTF">2019-08-08T11:08:00Z</dcterms:created>
  <dcterms:modified xsi:type="dcterms:W3CDTF">2019-09-17T10:09:00Z</dcterms:modified>
</cp:coreProperties>
</file>