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7D8B" w14:textId="2D171C5B" w:rsidR="00D17278" w:rsidRPr="00D17278" w:rsidRDefault="00D17278" w:rsidP="00D17278">
      <w:pPr>
        <w:jc w:val="center"/>
        <w:rPr>
          <w:rFonts w:ascii="Times New Roman" w:hAnsi="Times New Roman" w:cs="Times New Roman"/>
          <w:b/>
          <w:sz w:val="28"/>
          <w:szCs w:val="18"/>
          <w:lang w:val="uk-UA"/>
        </w:rPr>
      </w:pPr>
      <w:r w:rsidRPr="00D17278">
        <w:rPr>
          <w:rFonts w:ascii="Times New Roman" w:hAnsi="Times New Roman" w:cs="Times New Roman"/>
          <w:b/>
          <w:sz w:val="28"/>
          <w:szCs w:val="18"/>
          <w:lang w:val="uk-UA"/>
        </w:rPr>
        <w:t>Звіт за результатами дослідження:</w:t>
      </w:r>
    </w:p>
    <w:p w14:paraId="5126115B" w14:textId="701D26C8" w:rsidR="00D17278" w:rsidRPr="00D17278" w:rsidRDefault="00D17278" w:rsidP="00D17278">
      <w:pPr>
        <w:jc w:val="center"/>
        <w:rPr>
          <w:rFonts w:ascii="Times New Roman" w:hAnsi="Times New Roman" w:cs="Times New Roman"/>
          <w:b/>
          <w:sz w:val="28"/>
          <w:szCs w:val="18"/>
          <w:lang w:val="uk-UA"/>
        </w:rPr>
      </w:pPr>
      <w:r w:rsidRPr="00D17278">
        <w:rPr>
          <w:rFonts w:ascii="Times New Roman" w:hAnsi="Times New Roman" w:cs="Times New Roman"/>
          <w:b/>
          <w:sz w:val="28"/>
          <w:szCs w:val="18"/>
          <w:lang w:val="uk-UA"/>
        </w:rPr>
        <w:t xml:space="preserve">«Визначення одномоментної розповсюдженості інфекційних </w:t>
      </w:r>
      <w:proofErr w:type="spellStart"/>
      <w:r w:rsidRPr="00D17278">
        <w:rPr>
          <w:rFonts w:ascii="Times New Roman" w:hAnsi="Times New Roman" w:cs="Times New Roman"/>
          <w:b/>
          <w:sz w:val="28"/>
          <w:szCs w:val="18"/>
          <w:lang w:val="uk-UA"/>
        </w:rPr>
        <w:t>хвороб</w:t>
      </w:r>
      <w:proofErr w:type="spellEnd"/>
      <w:r w:rsidRPr="00D17278">
        <w:rPr>
          <w:rFonts w:ascii="Times New Roman" w:hAnsi="Times New Roman" w:cs="Times New Roman"/>
          <w:b/>
          <w:sz w:val="28"/>
          <w:szCs w:val="18"/>
          <w:lang w:val="uk-UA"/>
        </w:rPr>
        <w:t>, пов’язаних з наданням медичної допомоги, та використання антимікробних препаратів в закладах охорони здоров’я, що надають цілодобову стаціонарну допомогу в Україні в 2021 році»</w:t>
      </w:r>
    </w:p>
    <w:p w14:paraId="53111381" w14:textId="77777777" w:rsidR="00D17278" w:rsidRPr="00D17278" w:rsidRDefault="00D17278" w:rsidP="0068796C">
      <w:pPr>
        <w:pStyle w:val="a4"/>
        <w:spacing w:before="240"/>
        <w:ind w:left="0" w:firstLine="708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14:paraId="40058689" w14:textId="0F97F14F" w:rsidR="00B209F4" w:rsidRPr="00B209F4" w:rsidRDefault="00B209F4" w:rsidP="0068796C">
      <w:pPr>
        <w:pStyle w:val="a4"/>
        <w:spacing w:before="240"/>
        <w:ind w:left="0" w:firstLine="708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B209F4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Вступ</w:t>
      </w:r>
    </w:p>
    <w:p w14:paraId="3A7F2A79" w14:textId="0936011E" w:rsidR="00B209F4" w:rsidRPr="00487DD3" w:rsidRDefault="00B209F4" w:rsidP="00B209F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Відповідно до даних Всесвітньої організації охорони здоров’я (далі – ВООЗ), в середньому кожен десятий пацієнт інфікується при отриманні медичної допомоги в стаціонарних умовах, причому цей показник різниться в залежності від рівня доходів на душу населення в країні. Так, в країнах з високим доходом, розповсюдженість </w:t>
      </w:r>
      <w:r w:rsidR="009C08B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інфекційних хвороб, пов’язаних з наданням медичної допомоги (далі – 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ІПНМД</w:t>
      </w:r>
      <w:r w:rsidR="009C08B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)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в стаціонарних ЗОЗ становить від 3% до 5%, а з низьким – від 10% до 15%. Відповідно до даних Центру </w:t>
      </w:r>
      <w:r w:rsidR="002F3C0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контролю та профілактики захворюваності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США (далі – ЦКЗ), кожен десятий пацієнт, який захворів на ІПНМД, помирає (летальність становить близько 10%). За даними ЦКЗ, кожен випадок ІПНМД в середньому призводить до чотирьох додаткових днів, проведених пацієнтом на ліжку (ліжко-днів), що спричинює додаткові витрати обмежених ресурсів ЗОЗ, таких як фінансові і кадрові ресурси, рівень зношеності обладнання, додаткові витрати на витратні матеріали і комунальні платежі тощо.</w:t>
      </w:r>
    </w:p>
    <w:p w14:paraId="5669CC9F" w14:textId="4F4B87CB" w:rsidR="00B209F4" w:rsidRDefault="00B209F4" w:rsidP="00B209F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В Україні, станом на 2018 рік показник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поширеності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ІПНМД становив 0,04%, на 2019 рік – 0,035%, що вказує на відсутність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належного 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епідеміологічного нагляду за ІПНМД в </w:t>
      </w:r>
      <w:r w:rsidR="00016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закладах охорони здоров’я (далі – 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ЗОЗ</w:t>
      </w:r>
      <w:r w:rsidR="00016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)</w:t>
      </w:r>
      <w:r w:rsidRPr="00487DD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, які надають стаціонарну медичну допомогу. Даний факт підтверджується забезпеченістю ЗОЗ епідеміологами – станом на 2018 рік «госпітальних» епідеміологів налічувалося 361, при більш ніж 1500 ЗОЗ.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А також відсутністю нормативно-правової бази за здійсненням епідеміологічного нагляду за ІПНМД, окрім стаціонарів хірургічного та акушерсько-гінекологічного профілів.</w:t>
      </w:r>
    </w:p>
    <w:p w14:paraId="25BF17D5" w14:textId="4CEE6E66" w:rsidR="0068796C" w:rsidRDefault="0068796C" w:rsidP="00B209F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В 2009 році Європейським центром </w:t>
      </w:r>
      <w:r w:rsid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контролю та профілактики захворюваності</w:t>
      </w:r>
      <w:r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(далі – </w:t>
      </w:r>
      <w:r w:rsidRPr="007E0D9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ECDC</w:t>
      </w:r>
      <w:r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) з метою спостереження за поширеністю та характером інфекцій</w:t>
      </w:r>
      <w:r w:rsidR="005A1C97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них хвороб</w:t>
      </w:r>
      <w:r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, пов’язаних з наданням медичної допомоги в країнах Європи, була розроблена методологія визначення одномоментної розповсюдженості інфекційних </w:t>
      </w:r>
      <w:proofErr w:type="spellStart"/>
      <w:r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хвороб</w:t>
      </w:r>
      <w:proofErr w:type="spellEnd"/>
      <w:r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, пов’язаних з наданням медичної допомоги (далі – ОРІПНМД) та використання антимікробних препаратів для ЗОЗ, що надають цілодобову стаціонарну медичну допомогу. </w:t>
      </w:r>
      <w:r w:rsidRPr="005A077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Починаючи з 2012 року в країнах Європейського регіону кожні 5 років одночасно відбувається збір даних, їх узагальнення та аналіз </w:t>
      </w:r>
      <w:r w:rsidRPr="007E0D9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ECDC</w:t>
      </w:r>
      <w:r w:rsidRPr="005A077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.</w:t>
      </w:r>
    </w:p>
    <w:p w14:paraId="145FAFFD" w14:textId="06154CB4" w:rsidR="00EC7423" w:rsidRDefault="00F64003" w:rsidP="00EC742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lastRenderedPageBreak/>
        <w:t xml:space="preserve">За </w:t>
      </w:r>
      <w:r w:rsid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даними, отриманими в ході загальноєвропейського дослідження в 2012 році, п</w:t>
      </w:r>
      <w:r w:rsidR="00F23F8F" w:rsidRP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оширеність </w:t>
      </w:r>
      <w:r w:rsidR="00EB128D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інфекційних хвороб, пов’язаних з наданням медичної допомоги (далі – </w:t>
      </w:r>
      <w:r w:rsid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ІПНМД</w:t>
      </w:r>
      <w:r w:rsidR="00EB128D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)</w:t>
      </w:r>
      <w:r w:rsid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="00F23F8F" w:rsidRP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становила 6,0% (діапазон країн 2,3</w:t>
      </w:r>
      <w:r w:rsidR="00024E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%</w:t>
      </w:r>
      <w:r w:rsidR="0091610E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="00F23F8F" w:rsidRP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–</w:t>
      </w:r>
      <w:r w:rsidR="0091610E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="00F23F8F" w:rsidRPr="00F23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10,8%)</w:t>
      </w:r>
      <w:r w:rsidR="0028386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, </w:t>
      </w:r>
      <w:r w:rsidR="00EB128D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наприклад</w:t>
      </w:r>
      <w:r w:rsidR="0028386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Польща </w:t>
      </w:r>
      <w:r w:rsidR="00C573B6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– 6,8%, Угорщина – 4,9%, Італія – 7,2%.</w:t>
      </w:r>
      <w:r w:rsidR="0028386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="00C610D4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В структурі ІПНМД</w:t>
      </w:r>
      <w:r w:rsidR="00F13A31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найбільшу частку займали інфекції області хірургічного втручання (далі – ІОХВ)</w:t>
      </w:r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– 19,6%</w:t>
      </w:r>
      <w:r w:rsidR="00024E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(8</w:t>
      </w:r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,</w:t>
      </w:r>
      <w:r w:rsidR="00981200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8-29,0%)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,</w:t>
      </w:r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пневмонії – 19,4%</w:t>
      </w:r>
      <w:r w:rsidR="00024E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(12,0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-</w:t>
      </w:r>
      <w:r w:rsidR="00024E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36,3%)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,</w:t>
      </w:r>
      <w:r w:rsidR="00560E6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інфекції сечовивідних шляхів – 19,0%</w:t>
      </w:r>
      <w:r w:rsidR="00560E6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(10,1-30,7%)</w:t>
      </w:r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. Захворювання викликані </w:t>
      </w:r>
      <w:proofErr w:type="spellStart"/>
      <w:r w:rsidR="006A71CF" w:rsidRP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Clostridium</w:t>
      </w:r>
      <w:proofErr w:type="spellEnd"/>
      <w:r w:rsidR="006A71CF" w:rsidRP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proofErr w:type="spellStart"/>
      <w:r w:rsidR="006A71CF" w:rsidRP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difficile</w:t>
      </w:r>
      <w:proofErr w:type="spellEnd"/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склали 3,6% від всіх ІПНМД</w:t>
      </w:r>
      <w:r w:rsidR="0081762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(а в таких країнах, як Угорщина та Уельс – більше 10%)</w:t>
      </w:r>
      <w:r w:rsidR="006A71C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.</w:t>
      </w:r>
      <w:r w:rsidR="00EC742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="009C136B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Інфекції кровотоку становили від 2,0% до 19% в різних країнах. </w:t>
      </w:r>
      <w:r w:rsidR="00EC742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Найбільший тягар ІПНМД припадав на ВАРІТ – 19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,</w:t>
      </w:r>
      <w:r w:rsidR="00EC742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5% від всіх пацієнтів у відділенні.</w:t>
      </w:r>
    </w:p>
    <w:p w14:paraId="64F18EDB" w14:textId="77777777" w:rsidR="003F5CD6" w:rsidRDefault="00291902" w:rsidP="003F5CD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29190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Поширеність пацієнтів, які отримували щонайменше один </w:t>
      </w:r>
      <w:r w:rsidR="007F5860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АМП</w:t>
      </w:r>
      <w:r w:rsidRPr="0029190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, становила 35,0% (діапазон країн 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–</w:t>
      </w:r>
      <w:r w:rsidRPr="0029190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21,4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-</w:t>
      </w:r>
      <w:r w:rsidRPr="0029190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54,7%)</w:t>
      </w:r>
      <w:r w:rsidR="007F5860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. Серед всіх відділень, найбільше використання АМП спостерігалось серед пацієнтів ВАІТ – 56,5%. </w:t>
      </w:r>
      <w:r w:rsid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Найчастіше АМП призначались з метою лікування 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–</w:t>
      </w:r>
      <w:r w:rsid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68,4%, в тому числі з метою лікування ІПНМД – 19,1% випадків призначення АМП. </w:t>
      </w:r>
      <w:proofErr w:type="spellStart"/>
      <w:r w:rsid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Периопераційна</w:t>
      </w:r>
      <w:proofErr w:type="spellEnd"/>
      <w:r w:rsid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proofErr w:type="spellStart"/>
      <w:r w:rsid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антибіотикопрофілактика</w:t>
      </w:r>
      <w:proofErr w:type="spellEnd"/>
      <w:r w:rsid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була показанням для призначення</w:t>
      </w:r>
      <w:r w:rsidR="00372AE8" w:rsidRP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у 16,3% </w:t>
      </w:r>
      <w:r w:rsidR="00A120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випадків, з них у</w:t>
      </w:r>
      <w:r w:rsidR="00372AE8" w:rsidRP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59,2% </w:t>
      </w:r>
      <w:r w:rsidR="00A120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тривала </w:t>
      </w:r>
      <w:r w:rsidR="00372AE8" w:rsidRP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протягом більше одного дня, 15,8% 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– </w:t>
      </w:r>
      <w:r w:rsidR="00372AE8" w:rsidRP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протягом одного дня</w:t>
      </w:r>
      <w:r w:rsidR="00A120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,</w:t>
      </w:r>
      <w:r w:rsidR="00372AE8" w:rsidRP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25,0% </w:t>
      </w:r>
      <w:r w:rsidR="00282C5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– </w:t>
      </w:r>
      <w:r w:rsidR="00372AE8" w:rsidRPr="00372AE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менше одного дня</w:t>
      </w:r>
      <w:r w:rsidR="00A120B8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.</w:t>
      </w:r>
    </w:p>
    <w:p w14:paraId="051C3B64" w14:textId="4E40FDEF" w:rsidR="002337A8" w:rsidRPr="003F5CD6" w:rsidRDefault="00A03312" w:rsidP="003F5CD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В 2021 році в Україні відбулося пілотне дослідження</w:t>
      </w:r>
      <w:r w:rsidR="00993A72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</w:t>
      </w:r>
      <w:r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ОРІПНМД за методологією ECDC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в п’яти регіонах. </w:t>
      </w:r>
      <w:r w:rsidR="009024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Дослідження відбувалось за підтримки представництва бюро ВООЗ в Україні, н</w:t>
      </w:r>
      <w:r w:rsidR="00902485" w:rsidRPr="006F081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аціональними координаторами дослідження було визначено фахівців відділу антимікробної резистентності та інфекційного контролю</w:t>
      </w:r>
      <w:r w:rsidR="009024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ДУ «</w:t>
      </w:r>
      <w:r w:rsidR="00902485" w:rsidRPr="006F081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Центр</w:t>
      </w:r>
      <w:r w:rsidR="00902485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громадського здоров’я МОЗ України»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(далі -Центр)</w:t>
      </w:r>
      <w:r w:rsidR="00902485" w:rsidRPr="006F081A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.</w:t>
      </w:r>
      <w:r w:rsidR="00902485" w:rsidRPr="00B209F4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Протокол дослідження пройшов експертизу Комісії з питань етики Центру та отримав схвальне рішення. В</w:t>
      </w:r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його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основу</w:t>
      </w:r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був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покладений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протокол</w:t>
      </w:r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ECDC Point prevalence survey of healthcare-associated infections and antimicrobial use in European acute care hospitals. Protocol version 5.3.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Валідація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збору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даних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здійснювалась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proofErr w:type="spellStart"/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національними</w:t>
      </w:r>
      <w:proofErr w:type="spellEnd"/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координаторами</w:t>
      </w:r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за</w:t>
      </w:r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</w:t>
      </w:r>
      <w:r w:rsidR="002337A8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протоколом</w:t>
      </w:r>
      <w:r w:rsidR="002337A8" w:rsidRPr="00993A72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en-US"/>
        </w:rPr>
        <w:t xml:space="preserve"> ECDC PPS validation protocol version 3.1.2.</w:t>
      </w:r>
    </w:p>
    <w:p w14:paraId="658E0AAF" w14:textId="271F0EEC" w:rsidR="00902485" w:rsidRDefault="00902485" w:rsidP="0090248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</w:p>
    <w:p w14:paraId="793E1775" w14:textId="77777777" w:rsidR="00236C55" w:rsidRDefault="00236C55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14:paraId="2D13C08F" w14:textId="77777777" w:rsidR="00236C55" w:rsidRDefault="00236C55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14:paraId="41883A50" w14:textId="77777777" w:rsidR="00236C55" w:rsidRDefault="00236C55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14:paraId="6E1FEA57" w14:textId="77777777" w:rsidR="00236C55" w:rsidRDefault="00236C55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14:paraId="6B46D2B5" w14:textId="77777777" w:rsidR="00236C55" w:rsidRDefault="00236C55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14:paraId="1EB05194" w14:textId="77777777" w:rsidR="00236C55" w:rsidRDefault="00236C55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14:paraId="376A6E0A" w14:textId="170E67C9" w:rsidR="00237DE9" w:rsidRDefault="00237DE9" w:rsidP="00B209F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lastRenderedPageBreak/>
        <w:t>Мета дослідження</w:t>
      </w:r>
    </w:p>
    <w:p w14:paraId="7F5153C0" w14:textId="2C23BC8C" w:rsidR="00D54E5D" w:rsidRDefault="00237DE9" w:rsidP="001F62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</w:pPr>
      <w:r w:rsidRPr="00D16F0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Охарактеризувати та оцінити поширеність </w:t>
      </w:r>
      <w:r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ІПНМД</w:t>
      </w:r>
      <w:r w:rsidRPr="00D16F0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 в тому числі викликаних мікроорганізмами з антимікробною резистентністю, та використання антимікробних препаратів в </w:t>
      </w:r>
      <w:r w:rsidR="00016F8F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 xml:space="preserve">пілотних </w:t>
      </w:r>
      <w:r w:rsidRPr="00D16F03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uk-UA"/>
        </w:rPr>
        <w:t>закладах охорони здоров’я, що надають цілодобову стаціонарну медичну допомогу, в Україні в 2021 році.</w:t>
      </w:r>
    </w:p>
    <w:p w14:paraId="234D7941" w14:textId="77777777" w:rsidR="00236C55" w:rsidRDefault="00236C55" w:rsidP="00B6592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57691" w14:textId="5B8CC0F0" w:rsidR="00B65927" w:rsidRPr="00724AF7" w:rsidRDefault="00B65927" w:rsidP="00B6592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A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дослідження </w:t>
      </w:r>
    </w:p>
    <w:p w14:paraId="58863A37" w14:textId="77777777" w:rsidR="00B65927" w:rsidRDefault="00B65927" w:rsidP="00B65927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47DED6" w14:textId="77777777" w:rsidR="009C08B2" w:rsidRDefault="004626FF" w:rsidP="00801A5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уло проаналізовано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дані 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>1450 пацієнтів. За результатами основного дослідження поширеність ІПНМД склала 5,7% (CI 95% 4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>5-6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>9).</w:t>
      </w:r>
      <w:r w:rsidR="004C45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>Середня кількість ІПНМД у одного інфікованого пацієнта</w:t>
      </w:r>
      <w:r w:rsidR="00A55E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4C453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848DE6D" w14:textId="3EAFB6F0" w:rsidR="00AE5258" w:rsidRDefault="004C453E" w:rsidP="00236C5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 випадків між різними відділеннями 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>є неоднорідним.</w:t>
      </w:r>
      <w:r w:rsidR="00DA46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відділень з високим ризиком захворювання на ІПНМД відносять відділення 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хірургічного </w:t>
      </w:r>
      <w:r w:rsidR="00DA46C2">
        <w:rPr>
          <w:rFonts w:ascii="Times New Roman" w:hAnsi="Times New Roman" w:cs="Times New Roman"/>
          <w:bCs/>
          <w:sz w:val="28"/>
          <w:szCs w:val="28"/>
          <w:lang w:val="uk-UA"/>
        </w:rPr>
        <w:t>профілю та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відділення анестезіології, реанімації та інтенсивної терапії (далі – 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>ВА</w:t>
      </w:r>
      <w:r w:rsidR="00DA46C2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>ІТ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C24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За результатами проведеного</w:t>
      </w:r>
      <w:r w:rsidR="00AC24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дослідженн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AC24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041EA">
        <w:rPr>
          <w:rFonts w:ascii="Times New Roman" w:hAnsi="Times New Roman" w:cs="Times New Roman"/>
          <w:bCs/>
          <w:sz w:val="28"/>
          <w:szCs w:val="28"/>
          <w:lang w:val="uk-UA"/>
        </w:rPr>
        <w:t>до цього переліку увійшли: хірургі</w:t>
      </w:r>
      <w:r w:rsidR="00347505">
        <w:rPr>
          <w:rFonts w:ascii="Times New Roman" w:hAnsi="Times New Roman" w:cs="Times New Roman"/>
          <w:bCs/>
          <w:sz w:val="28"/>
          <w:szCs w:val="28"/>
          <w:lang w:val="uk-UA"/>
        </w:rPr>
        <w:t>чні відділення</w:t>
      </w:r>
      <w:r w:rsidR="004041EA">
        <w:rPr>
          <w:rFonts w:ascii="Times New Roman" w:hAnsi="Times New Roman" w:cs="Times New Roman"/>
          <w:bCs/>
          <w:sz w:val="28"/>
          <w:szCs w:val="28"/>
          <w:lang w:val="uk-UA"/>
        </w:rPr>
        <w:t>, проктологія, опіков</w:t>
      </w:r>
      <w:r w:rsidR="0024412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404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відділення, відділення нефрологі</w:t>
      </w:r>
      <w:r w:rsidR="00347505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4041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гемодіалізу</w:t>
      </w:r>
      <w:r w:rsidR="00347505">
        <w:rPr>
          <w:rFonts w:ascii="Times New Roman" w:hAnsi="Times New Roman" w:cs="Times New Roman"/>
          <w:bCs/>
          <w:sz w:val="28"/>
          <w:szCs w:val="28"/>
          <w:lang w:val="uk-UA"/>
        </w:rPr>
        <w:t>, травматологі</w:t>
      </w:r>
      <w:r w:rsidR="0024412B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3475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ВАРІТ. </w:t>
      </w:r>
      <w:r w:rsidR="00AC24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Поширеність ІПНМД у відділеннях з високим ризиком 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347505">
        <w:rPr>
          <w:rFonts w:ascii="Times New Roman" w:hAnsi="Times New Roman" w:cs="Times New Roman"/>
          <w:bCs/>
          <w:sz w:val="28"/>
          <w:szCs w:val="28"/>
          <w:lang w:val="uk-UA"/>
        </w:rPr>
        <w:t>клала</w:t>
      </w:r>
      <w:r w:rsidR="00AE5258" w:rsidRPr="00B21D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10 %</w:t>
      </w:r>
      <w:r w:rsidR="00AE52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AE5258" w:rsidRPr="00B21D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CI 95% </w:t>
      </w:r>
      <w:r w:rsidR="00AE5258" w:rsidRPr="00AE525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E5258" w:rsidRPr="00AE5258">
        <w:rPr>
          <w:rFonts w:ascii="Times New Roman" w:hAnsi="Times New Roman" w:cs="Times New Roman"/>
          <w:bCs/>
          <w:sz w:val="28"/>
          <w:szCs w:val="28"/>
          <w:lang w:val="uk-UA"/>
        </w:rPr>
        <w:t>2-12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E5258" w:rsidRPr="00AE5258">
        <w:rPr>
          <w:rFonts w:ascii="Times New Roman" w:hAnsi="Times New Roman" w:cs="Times New Roman"/>
          <w:bCs/>
          <w:sz w:val="28"/>
          <w:szCs w:val="28"/>
          <w:lang w:val="uk-UA"/>
        </w:rPr>
        <w:t>9).</w:t>
      </w:r>
    </w:p>
    <w:p w14:paraId="72D2A142" w14:textId="557E75BA" w:rsidR="0089520F" w:rsidRPr="0089520F" w:rsidRDefault="0089520F" w:rsidP="00236C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943CD">
        <w:rPr>
          <w:rFonts w:ascii="Times New Roman" w:hAnsi="Times New Roman" w:cs="Times New Roman"/>
          <w:bCs/>
          <w:sz w:val="28"/>
          <w:szCs w:val="28"/>
          <w:lang w:val="uk-UA"/>
        </w:rPr>
        <w:t>Поширеність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ІПНМД </w:t>
      </w:r>
      <w:r w:rsidR="003943CD">
        <w:rPr>
          <w:rFonts w:ascii="Times New Roman" w:hAnsi="Times New Roman" w:cs="Times New Roman"/>
          <w:bCs/>
          <w:sz w:val="28"/>
          <w:szCs w:val="28"/>
          <w:lang w:val="uk-UA"/>
        </w:rPr>
        <w:t>у відділеннях різного профілю.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4778"/>
      </w:tblGrid>
      <w:tr w:rsidR="00DA46C2" w:rsidRPr="00993A72" w14:paraId="51A58375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9ACD3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AE46A" w14:textId="0CB16644" w:rsidR="00DA46C2" w:rsidRPr="00347505" w:rsidRDefault="00DA46C2" w:rsidP="003A592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5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Спеціалізація</w:t>
            </w:r>
            <w:r w:rsidR="00724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відділень</w:t>
            </w:r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9ACD3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FAB24" w14:textId="4B4A670A" w:rsidR="00DA46C2" w:rsidRPr="00347505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Частка</w:t>
            </w:r>
            <w:r w:rsidR="00347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пацієнтів відділення</w:t>
            </w:r>
            <w:r w:rsidRPr="00347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3475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що мали ІПНМД</w:t>
            </w:r>
          </w:p>
        </w:tc>
      </w:tr>
      <w:tr w:rsidR="00DA46C2" w:rsidRPr="00347505" w14:paraId="00F1E979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B0FCCA" w14:textId="77777777" w:rsidR="00DA46C2" w:rsidRPr="00347505" w:rsidRDefault="00DA46C2" w:rsidP="003A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Хірургія</w:t>
            </w:r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91185" w14:textId="7609F95D" w:rsidR="00DA46C2" w:rsidRPr="00347505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7,6</w:t>
            </w:r>
            <w:r w:rsidR="00244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DA46C2" w:rsidRPr="00347505" w14:paraId="3B605610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9670E1" w14:textId="77777777" w:rsidR="00DA46C2" w:rsidRPr="00347505" w:rsidRDefault="00DA46C2" w:rsidP="003A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Терапія</w:t>
            </w:r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EE2724" w14:textId="77B05F5D" w:rsidR="00DA46C2" w:rsidRPr="0024412B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</w:t>
            </w:r>
            <w:r w:rsidR="00244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DA46C2" w:rsidRPr="00347505" w14:paraId="30E86744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27050" w14:textId="77777777" w:rsidR="00DA46C2" w:rsidRPr="00347505" w:rsidRDefault="00DA46C2" w:rsidP="003A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ВАРІТ</w:t>
            </w:r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45555B" w14:textId="44477948" w:rsidR="00DA46C2" w:rsidRPr="0024412B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16,7</w:t>
            </w:r>
            <w:r w:rsidR="00244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DA46C2" w:rsidRPr="00347505" w14:paraId="686EE703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E620F" w14:textId="77777777" w:rsidR="00DA46C2" w:rsidRPr="00347505" w:rsidRDefault="00DA46C2" w:rsidP="003A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Неонатологія</w:t>
            </w:r>
            <w:proofErr w:type="spellEnd"/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B2763D" w14:textId="05049ACC" w:rsidR="00DA46C2" w:rsidRPr="0024412B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244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DA46C2" w:rsidRPr="00347505" w14:paraId="09895935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A14AAA" w14:textId="77777777" w:rsidR="00DA46C2" w:rsidRPr="00347505" w:rsidRDefault="00DA46C2" w:rsidP="003A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Акушерство та гінекологія</w:t>
            </w:r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FF4867" w14:textId="1CB33D35" w:rsidR="00DA46C2" w:rsidRPr="0024412B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</w:t>
            </w:r>
            <w:r w:rsidR="00244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DA46C2" w:rsidRPr="00347505" w14:paraId="6089C61C" w14:textId="77777777" w:rsidTr="00236C55">
        <w:trPr>
          <w:trHeight w:val="526"/>
          <w:jc w:val="center"/>
        </w:trPr>
        <w:tc>
          <w:tcPr>
            <w:tcW w:w="501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300C29" w14:textId="2B84100A" w:rsidR="00DA46C2" w:rsidRPr="00347505" w:rsidRDefault="00DA46C2" w:rsidP="003A5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Всі</w:t>
            </w:r>
          </w:p>
        </w:tc>
        <w:tc>
          <w:tcPr>
            <w:tcW w:w="477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686224" w14:textId="233FDD77" w:rsidR="00DA46C2" w:rsidRPr="0024412B" w:rsidRDefault="00DA46C2" w:rsidP="003A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5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5,7</w:t>
            </w:r>
            <w:r w:rsidR="002441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%</w:t>
            </w:r>
          </w:p>
        </w:tc>
      </w:tr>
    </w:tbl>
    <w:p w14:paraId="5187854B" w14:textId="571163E3" w:rsidR="00724AF7" w:rsidRDefault="00724AF7" w:rsidP="00AE5258">
      <w:pPr>
        <w:spacing w:after="0"/>
        <w:ind w:firstLine="708"/>
        <w:rPr>
          <w:bCs/>
          <w:sz w:val="28"/>
          <w:szCs w:val="28"/>
          <w:lang w:val="uk-UA"/>
        </w:rPr>
      </w:pPr>
    </w:p>
    <w:p w14:paraId="51A36EC3" w14:textId="11C5F0C8" w:rsidR="00AE5258" w:rsidRDefault="00724AF7" w:rsidP="00E22C7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24AF7">
        <w:rPr>
          <w:rFonts w:ascii="Times New Roman" w:hAnsi="Times New Roman" w:cs="Times New Roman"/>
          <w:bCs/>
          <w:sz w:val="28"/>
          <w:szCs w:val="28"/>
          <w:lang w:val="uk-UA"/>
        </w:rPr>
        <w:t>Серед всіх типів ІПН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МД найбільш поширеними </w:t>
      </w:r>
      <w:r w:rsidR="00E22C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були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інфекції області хірургічного втручання (далі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ІОХВ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8F64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їх частка склала 33,7%, пневмонії – 25,6%, інфекції сечовивідних шляхів – 14,0%. </w:t>
      </w:r>
      <w:r w:rsidR="0002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 за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нозологіями</w:t>
      </w:r>
      <w:r w:rsidR="00026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ІПНМД</w:t>
      </w:r>
      <w:r w:rsidR="008F58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наведений на </w:t>
      </w:r>
      <w:r w:rsidR="00F97E4E">
        <w:rPr>
          <w:rFonts w:ascii="Times New Roman" w:hAnsi="Times New Roman" w:cs="Times New Roman"/>
          <w:bCs/>
          <w:sz w:val="28"/>
          <w:szCs w:val="28"/>
          <w:lang w:val="uk-UA"/>
        </w:rPr>
        <w:t>малюнку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нижче</w:t>
      </w:r>
      <w:r w:rsidR="008F647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A804309" w14:textId="77777777" w:rsidR="00E81523" w:rsidRDefault="00E81523" w:rsidP="00E8152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B8F324" w14:textId="77777777" w:rsidR="00236C55" w:rsidRDefault="00236C55" w:rsidP="009C08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00B33E" w14:textId="77777777" w:rsidR="00236C55" w:rsidRDefault="00236C55" w:rsidP="009C08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1CFB6BC" w14:textId="78549C64" w:rsidR="00F97E4E" w:rsidRPr="00DE7395" w:rsidRDefault="00C876C7" w:rsidP="009C08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Малюнок 1. </w:t>
      </w:r>
      <w:r w:rsidR="00F97E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Розподіл ІПНМД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за нозологіями</w:t>
      </w:r>
    </w:p>
    <w:p w14:paraId="6B76DC2C" w14:textId="2DBDF4EF" w:rsidR="00B65927" w:rsidRPr="004C453E" w:rsidRDefault="000F193D" w:rsidP="00412888">
      <w:pPr>
        <w:spacing w:after="0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drawing>
          <wp:inline distT="0" distB="0" distL="0" distR="0" wp14:anchorId="3BF97628" wp14:editId="57293977">
            <wp:extent cx="6291618" cy="3343702"/>
            <wp:effectExtent l="0" t="0" r="1397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B65927" w:rsidRPr="00B6592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443E3CC" w14:textId="686EB287" w:rsidR="004D38C5" w:rsidRDefault="002E5678" w:rsidP="00D9090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38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усіх випадків ІПНМД лише 30,2% мали </w:t>
      </w:r>
      <w:r w:rsidR="004D38C5">
        <w:rPr>
          <w:rFonts w:ascii="Times New Roman" w:hAnsi="Times New Roman" w:cs="Times New Roman"/>
          <w:bCs/>
          <w:sz w:val="28"/>
          <w:szCs w:val="28"/>
          <w:lang w:val="uk-UA"/>
        </w:rPr>
        <w:t>лабораторні підтвердження (26 випадків), за результатами яких було ви</w:t>
      </w:r>
      <w:r w:rsidR="004C7681">
        <w:rPr>
          <w:rFonts w:ascii="Times New Roman" w:hAnsi="Times New Roman" w:cs="Times New Roman"/>
          <w:bCs/>
          <w:sz w:val="28"/>
          <w:szCs w:val="28"/>
          <w:lang w:val="uk-UA"/>
        </w:rPr>
        <w:t>ділено</w:t>
      </w:r>
      <w:r w:rsidR="004D38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44 </w:t>
      </w:r>
      <w:r w:rsidR="004C7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ізоляти (14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видів </w:t>
      </w:r>
      <w:r w:rsidR="004C7681">
        <w:rPr>
          <w:rFonts w:ascii="Times New Roman" w:hAnsi="Times New Roman" w:cs="Times New Roman"/>
          <w:bCs/>
          <w:sz w:val="28"/>
          <w:szCs w:val="28"/>
          <w:lang w:val="uk-UA"/>
        </w:rPr>
        <w:t>мікроорганізмів)</w:t>
      </w:r>
      <w:r w:rsidR="004D38C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549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6CB6">
        <w:rPr>
          <w:rFonts w:ascii="Times New Roman" w:hAnsi="Times New Roman" w:cs="Times New Roman"/>
          <w:bCs/>
          <w:sz w:val="28"/>
          <w:szCs w:val="28"/>
          <w:lang w:val="uk-UA"/>
        </w:rPr>
        <w:t>Через невелику</w:t>
      </w:r>
      <w:r w:rsidR="00D549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кількість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ізолятів</w:t>
      </w:r>
      <w:r w:rsidR="00B86CB6">
        <w:rPr>
          <w:rFonts w:ascii="Times New Roman" w:hAnsi="Times New Roman" w:cs="Times New Roman"/>
          <w:bCs/>
          <w:sz w:val="28"/>
          <w:szCs w:val="28"/>
          <w:lang w:val="uk-UA"/>
        </w:rPr>
        <w:t>, отримані дані слід оцінювати з обережністю, але привертає увагу відсоток штамів, резистентних до</w:t>
      </w:r>
      <w:r w:rsidR="008A06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ключових антимікробних препаратів</w:t>
      </w:r>
      <w:r w:rsidR="00FF21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Наприклад серед ізолятів </w:t>
      </w:r>
      <w:proofErr w:type="spellStart"/>
      <w:r w:rsidR="00FF2191" w:rsidRPr="004D38C5">
        <w:rPr>
          <w:rFonts w:ascii="Times New Roman" w:hAnsi="Times New Roman" w:cs="Times New Roman"/>
          <w:bCs/>
          <w:sz w:val="28"/>
          <w:szCs w:val="28"/>
          <w:lang w:val="uk-UA"/>
        </w:rPr>
        <w:t>Escherichia</w:t>
      </w:r>
      <w:proofErr w:type="spellEnd"/>
      <w:r w:rsidR="00FF2191" w:rsidRPr="004D38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F2191" w:rsidRPr="004D38C5">
        <w:rPr>
          <w:rFonts w:ascii="Times New Roman" w:hAnsi="Times New Roman" w:cs="Times New Roman"/>
          <w:bCs/>
          <w:sz w:val="28"/>
          <w:szCs w:val="28"/>
          <w:lang w:val="uk-UA"/>
        </w:rPr>
        <w:t>coli</w:t>
      </w:r>
      <w:proofErr w:type="spellEnd"/>
      <w:r w:rsidR="00FF21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досліджених на чутливість до цефалоспоринів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ІІІ</w:t>
      </w:r>
      <w:r w:rsidR="00FF21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покоління та </w:t>
      </w:r>
      <w:proofErr w:type="spellStart"/>
      <w:r w:rsidR="00FF2191">
        <w:rPr>
          <w:rFonts w:ascii="Times New Roman" w:hAnsi="Times New Roman" w:cs="Times New Roman"/>
          <w:bCs/>
          <w:sz w:val="28"/>
          <w:szCs w:val="28"/>
          <w:lang w:val="uk-UA"/>
        </w:rPr>
        <w:t>карб</w:t>
      </w:r>
      <w:r w:rsidR="00E22C7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FF2191">
        <w:rPr>
          <w:rFonts w:ascii="Times New Roman" w:hAnsi="Times New Roman" w:cs="Times New Roman"/>
          <w:bCs/>
          <w:sz w:val="28"/>
          <w:szCs w:val="28"/>
          <w:lang w:val="uk-UA"/>
        </w:rPr>
        <w:t>пенемів</w:t>
      </w:r>
      <w:proofErr w:type="spellEnd"/>
      <w:r w:rsidR="00FF2191">
        <w:rPr>
          <w:rFonts w:ascii="Times New Roman" w:hAnsi="Times New Roman" w:cs="Times New Roman"/>
          <w:bCs/>
          <w:sz w:val="28"/>
          <w:szCs w:val="28"/>
          <w:lang w:val="uk-UA"/>
        </w:rPr>
        <w:t>, виявились резистентними 100%.</w:t>
      </w:r>
    </w:p>
    <w:p w14:paraId="28307FC8" w14:textId="5021D09D" w:rsidR="00D00AE5" w:rsidRDefault="00D00AE5" w:rsidP="00D9090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006CFB">
        <w:rPr>
          <w:rFonts w:ascii="Times New Roman" w:hAnsi="Times New Roman" w:cs="Times New Roman"/>
          <w:bCs/>
          <w:sz w:val="28"/>
          <w:szCs w:val="28"/>
          <w:lang w:val="uk-UA"/>
        </w:rPr>
        <w:t>Резистентність виділених збудників ІПНМД до окремих груп антибіотиків.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8"/>
        <w:gridCol w:w="3479"/>
        <w:gridCol w:w="1271"/>
        <w:gridCol w:w="1489"/>
        <w:gridCol w:w="1489"/>
      </w:tblGrid>
      <w:tr w:rsidR="004C7681" w:rsidRPr="004C7681" w14:paraId="2BE1DF60" w14:textId="77777777" w:rsidTr="00016F8F">
        <w:trPr>
          <w:trHeight w:val="664"/>
        </w:trPr>
        <w:tc>
          <w:tcPr>
            <w:tcW w:w="2158" w:type="dxa"/>
            <w:shd w:val="clear" w:color="auto" w:fill="9ACD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6EFD" w14:textId="77777777" w:rsidR="004D38C5" w:rsidRPr="004D38C5" w:rsidRDefault="004D38C5" w:rsidP="00016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АМП</w:t>
            </w:r>
          </w:p>
        </w:tc>
        <w:tc>
          <w:tcPr>
            <w:tcW w:w="3506" w:type="dxa"/>
            <w:shd w:val="clear" w:color="auto" w:fill="9ACD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1D314" w14:textId="77777777" w:rsidR="004D38C5" w:rsidRPr="004D38C5" w:rsidRDefault="004D38C5" w:rsidP="00016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Мікроорганізм/резистентність</w:t>
            </w:r>
          </w:p>
        </w:tc>
        <w:tc>
          <w:tcPr>
            <w:tcW w:w="1276" w:type="dxa"/>
            <w:shd w:val="clear" w:color="auto" w:fill="9ACD3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B60C9" w14:textId="7C47CAF5" w:rsidR="004D38C5" w:rsidRPr="004D38C5" w:rsidRDefault="004C7681" w:rsidP="00016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  <w:r w:rsidR="004D38C5" w:rsidRPr="004D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досліджень</w:t>
            </w:r>
          </w:p>
        </w:tc>
        <w:tc>
          <w:tcPr>
            <w:tcW w:w="1489" w:type="dxa"/>
            <w:shd w:val="clear" w:color="auto" w:fill="9ACD3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CD38B" w14:textId="193EEEF0" w:rsidR="004D38C5" w:rsidRPr="004D38C5" w:rsidRDefault="004C7681" w:rsidP="00016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  <w:r w:rsidR="004D38C5" w:rsidRPr="004D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резистентних штамів</w:t>
            </w:r>
          </w:p>
        </w:tc>
        <w:tc>
          <w:tcPr>
            <w:tcW w:w="1347" w:type="dxa"/>
            <w:shd w:val="clear" w:color="auto" w:fill="9ACD3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C2AC7" w14:textId="685BB4B1" w:rsidR="004D38C5" w:rsidRPr="004D38C5" w:rsidRDefault="00FB3FC3" w:rsidP="00016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Частка</w:t>
            </w:r>
            <w:r w:rsidR="00016F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резистентних штамів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4D38C5" w:rsidRPr="004D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4C7681" w:rsidRPr="004C7681" w14:paraId="71B3476A" w14:textId="77777777" w:rsidTr="00016F8F">
        <w:trPr>
          <w:trHeight w:val="550"/>
        </w:trPr>
        <w:tc>
          <w:tcPr>
            <w:tcW w:w="21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3082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89B69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Staphylococcus aureus, OXA-R (MRSA)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EB6C1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5D903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32C32" w14:textId="450AD6A2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C7681" w:rsidRPr="004C7681" w14:paraId="32BFA122" w14:textId="77777777" w:rsidTr="00016F8F">
        <w:trPr>
          <w:trHeight w:val="278"/>
        </w:trPr>
        <w:tc>
          <w:tcPr>
            <w:tcW w:w="215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791C4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Glycopeptides</w:t>
            </w: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FC12D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Staphylococcus aureus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2C54C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7C84E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C2E0E" w14:textId="01553F98" w:rsidR="004D38C5" w:rsidRPr="00016F8F" w:rsidRDefault="004D38C5" w:rsidP="00016F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C7681" w:rsidRPr="004C7681" w14:paraId="7BCA5787" w14:textId="77777777" w:rsidTr="00016F8F">
        <w:trPr>
          <w:trHeight w:val="50"/>
        </w:trPr>
        <w:tc>
          <w:tcPr>
            <w:tcW w:w="0" w:type="auto"/>
            <w:vMerge/>
            <w:vAlign w:val="center"/>
            <w:hideMark/>
          </w:tcPr>
          <w:p w14:paraId="7C956B37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F2355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Enterococci, (VRE)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B1B38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FF4AE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AA00A" w14:textId="379E0714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C7681" w:rsidRPr="004C7681" w14:paraId="08110677" w14:textId="77777777" w:rsidTr="00016F8F">
        <w:trPr>
          <w:trHeight w:val="151"/>
        </w:trPr>
        <w:tc>
          <w:tcPr>
            <w:tcW w:w="215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CC337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3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Generation Cephalosporins</w:t>
            </w: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9E17B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Escherichia coli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C16FB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A7939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9319C" w14:textId="59B18CB2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C7681" w:rsidRPr="004C7681" w14:paraId="5B8691BF" w14:textId="77777777" w:rsidTr="00016F8F">
        <w:trPr>
          <w:trHeight w:val="298"/>
        </w:trPr>
        <w:tc>
          <w:tcPr>
            <w:tcW w:w="0" w:type="auto"/>
            <w:vMerge/>
            <w:vAlign w:val="center"/>
            <w:hideMark/>
          </w:tcPr>
          <w:p w14:paraId="1031C013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25F42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Klebsiella spp.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D5651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55E7C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674AB" w14:textId="4B36DFA1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83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C7681" w:rsidRPr="004C7681" w14:paraId="36E7FC18" w14:textId="77777777" w:rsidTr="00016F8F">
        <w:trPr>
          <w:trHeight w:val="533"/>
        </w:trPr>
        <w:tc>
          <w:tcPr>
            <w:tcW w:w="0" w:type="auto"/>
            <w:vMerge/>
            <w:vAlign w:val="center"/>
            <w:hideMark/>
          </w:tcPr>
          <w:p w14:paraId="54922D1E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9C4D9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Enterobacter spp.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1705A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01D64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44000" w14:textId="67B82189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C7681" w:rsidRPr="004C7681" w14:paraId="7F0700A9" w14:textId="77777777" w:rsidTr="00016F8F">
        <w:trPr>
          <w:trHeight w:val="533"/>
        </w:trPr>
        <w:tc>
          <w:tcPr>
            <w:tcW w:w="215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EF21E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Carbapenems</w:t>
            </w: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B5B17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Escherichia coli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2544C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8EABC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20358" w14:textId="6F4AB6C6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C7681" w:rsidRPr="004C7681" w14:paraId="229341B8" w14:textId="77777777" w:rsidTr="00016F8F">
        <w:trPr>
          <w:trHeight w:val="116"/>
        </w:trPr>
        <w:tc>
          <w:tcPr>
            <w:tcW w:w="0" w:type="auto"/>
            <w:vMerge/>
            <w:vAlign w:val="center"/>
            <w:hideMark/>
          </w:tcPr>
          <w:p w14:paraId="4AB14E5A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7AF63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Klebsiella spp.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01088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6E148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D89FB" w14:textId="2066CB74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66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4C7681" w:rsidRPr="004C7681" w14:paraId="2E3FD092" w14:textId="77777777" w:rsidTr="00016F8F">
        <w:trPr>
          <w:trHeight w:val="533"/>
        </w:trPr>
        <w:tc>
          <w:tcPr>
            <w:tcW w:w="0" w:type="auto"/>
            <w:vMerge/>
            <w:vAlign w:val="center"/>
            <w:hideMark/>
          </w:tcPr>
          <w:p w14:paraId="064CFA07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08B46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Enterobacter spp.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BE721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EA9A4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ECB73" w14:textId="364B9CFE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C7681" w:rsidRPr="004C7681" w14:paraId="7484A355" w14:textId="77777777" w:rsidTr="00016F8F">
        <w:trPr>
          <w:trHeight w:val="273"/>
        </w:trPr>
        <w:tc>
          <w:tcPr>
            <w:tcW w:w="0" w:type="auto"/>
            <w:vMerge/>
            <w:vAlign w:val="center"/>
            <w:hideMark/>
          </w:tcPr>
          <w:p w14:paraId="61314A0D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2CCD5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Pseudomonas aeruginosa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8E7BD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F07C3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9B654" w14:textId="627C8C3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88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4C7681" w:rsidRPr="004C7681" w14:paraId="65A9B91E" w14:textId="77777777" w:rsidTr="00016F8F">
        <w:trPr>
          <w:trHeight w:val="144"/>
        </w:trPr>
        <w:tc>
          <w:tcPr>
            <w:tcW w:w="0" w:type="auto"/>
            <w:vMerge/>
            <w:vAlign w:val="center"/>
            <w:hideMark/>
          </w:tcPr>
          <w:p w14:paraId="1F7AE686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A52DC" w14:textId="77777777" w:rsidR="004D38C5" w:rsidRPr="004D38C5" w:rsidRDefault="004D38C5" w:rsidP="004D38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Acinetobacter </w:t>
            </w:r>
            <w:proofErr w:type="spellStart"/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baumannii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993E4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B8718" w14:textId="77777777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A6176" w14:textId="503A1BE1" w:rsidR="004D38C5" w:rsidRPr="004D38C5" w:rsidRDefault="004D38C5" w:rsidP="004C7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016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4D38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03653885" w14:textId="0BA717AC" w:rsidR="00B52230" w:rsidRPr="004D38C5" w:rsidRDefault="004D38C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77FF76A" w14:textId="7018B121" w:rsidR="004F604D" w:rsidRDefault="00806E55" w:rsidP="00236C55">
      <w:pPr>
        <w:spacing w:before="240"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6E55">
        <w:rPr>
          <w:rFonts w:ascii="Times New Roman" w:hAnsi="Times New Roman" w:cs="Times New Roman"/>
          <w:bCs/>
          <w:sz w:val="28"/>
          <w:szCs w:val="28"/>
          <w:lang w:val="uk-UA"/>
        </w:rPr>
        <w:t>Кількість пацієнтів, як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806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 було призначено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антимікробний лікарський засіб (далі – </w:t>
      </w:r>
      <w:r w:rsidRPr="00806E55">
        <w:rPr>
          <w:rFonts w:ascii="Times New Roman" w:hAnsi="Times New Roman" w:cs="Times New Roman"/>
          <w:bCs/>
          <w:sz w:val="28"/>
          <w:szCs w:val="28"/>
          <w:lang w:val="uk-UA"/>
        </w:rPr>
        <w:t>АМП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806E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склала 36,9% </w:t>
      </w:r>
      <w:r w:rsidRPr="00B659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(CI 95%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6592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B65927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B65927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05E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Середня кількість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АМП</w:t>
      </w:r>
      <w:r w:rsidR="00B05EF8">
        <w:rPr>
          <w:rFonts w:ascii="Times New Roman" w:hAnsi="Times New Roman" w:cs="Times New Roman"/>
          <w:bCs/>
          <w:sz w:val="28"/>
          <w:szCs w:val="28"/>
          <w:lang w:val="uk-UA"/>
        </w:rPr>
        <w:t>, призначених одному пацієнту станови</w:t>
      </w:r>
      <w:r w:rsidR="00E22C73">
        <w:rPr>
          <w:rFonts w:ascii="Times New Roman" w:hAnsi="Times New Roman" w:cs="Times New Roman"/>
          <w:bCs/>
          <w:sz w:val="28"/>
          <w:szCs w:val="28"/>
          <w:lang w:val="uk-UA"/>
        </w:rPr>
        <w:t>ла</w:t>
      </w:r>
      <w:r w:rsidR="00B05E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05E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42. </w:t>
      </w:r>
      <w:r w:rsidR="001672C5">
        <w:rPr>
          <w:rFonts w:ascii="Times New Roman" w:hAnsi="Times New Roman" w:cs="Times New Roman"/>
          <w:bCs/>
          <w:sz w:val="28"/>
          <w:szCs w:val="28"/>
          <w:lang w:val="uk-UA"/>
        </w:rPr>
        <w:t>Дані щодо внесення змін в режим лікування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свідчать, що практика деескалації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АМП-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>терапії або переходу з парентерального на пероральний шлях введення застосовувалась лише у 1,7% та 0,6% випадків відповідно, що</w:t>
      </w:r>
      <w:r w:rsidR="001672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22C73">
        <w:rPr>
          <w:rFonts w:ascii="Times New Roman" w:hAnsi="Times New Roman" w:cs="Times New Roman"/>
          <w:bCs/>
          <w:sz w:val="28"/>
          <w:szCs w:val="28"/>
          <w:lang w:val="uk-UA"/>
        </w:rPr>
        <w:t>представлено</w:t>
      </w:r>
      <w:r w:rsidR="001672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таблиці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E22C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FE1E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Оцінюючи </w:t>
      </w:r>
      <w:r w:rsidR="00A80647">
        <w:rPr>
          <w:rFonts w:ascii="Times New Roman" w:hAnsi="Times New Roman" w:cs="Times New Roman"/>
          <w:bCs/>
          <w:sz w:val="28"/>
          <w:szCs w:val="28"/>
          <w:lang w:val="uk-UA"/>
        </w:rPr>
        <w:t>невелику кількість виявлених випадків інфекцій кровотоку (2,3% від загальної кількості ІПНМД)</w:t>
      </w:r>
      <w:r w:rsidR="001F5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80647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>лід враховувати обмежені можливості</w:t>
      </w:r>
      <w:r w:rsidR="006515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їх</w:t>
      </w:r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діагностувати, через низьку кількість посівів крові, які здійснюються в ЗОЗ. Середня кількість посівів крові </w:t>
      </w:r>
      <w:r w:rsidR="00A80647">
        <w:rPr>
          <w:rFonts w:ascii="Times New Roman" w:hAnsi="Times New Roman" w:cs="Times New Roman"/>
          <w:bCs/>
          <w:sz w:val="28"/>
          <w:szCs w:val="28"/>
          <w:lang w:val="uk-UA"/>
        </w:rPr>
        <w:t>склала</w:t>
      </w:r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 на 100 пацієнтів. Також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слід зазначити, що бактеріологічні </w:t>
      </w:r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лабораторії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ЗОЗ </w:t>
      </w:r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>не мають можливості проводити дослідження для підтвердження захворювань, викликаних C. </w:t>
      </w:r>
      <w:proofErr w:type="spellStart"/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>difficile</w:t>
      </w:r>
      <w:proofErr w:type="spellEnd"/>
      <w:r w:rsidR="001F528C" w:rsidRPr="001F52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F4ED71C" w14:textId="78A0D823" w:rsidR="004F604D" w:rsidRPr="006515C8" w:rsidRDefault="006515C8" w:rsidP="00236C55">
      <w:pPr>
        <w:spacing w:before="24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Таблиця </w:t>
      </w:r>
      <w:r w:rsidR="00016F8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 Зміни режиму лікування АМП.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50"/>
        <w:gridCol w:w="1652"/>
      </w:tblGrid>
      <w:tr w:rsidR="001672C5" w:rsidRPr="001672C5" w14:paraId="7CE01922" w14:textId="77777777" w:rsidTr="00016F8F">
        <w:trPr>
          <w:trHeight w:val="500"/>
        </w:trPr>
        <w:tc>
          <w:tcPr>
            <w:tcW w:w="4166" w:type="pct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CA2B7D" w14:textId="77777777" w:rsidR="001672C5" w:rsidRPr="001672C5" w:rsidRDefault="001672C5" w:rsidP="00E81523">
            <w:pPr>
              <w:ind w:left="5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72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Зміни антимікробної терапії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F33FB7" w14:textId="50B8D3C8" w:rsidR="001672C5" w:rsidRPr="001672C5" w:rsidRDefault="001672C5" w:rsidP="00E815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672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Відсоток</w:t>
            </w:r>
          </w:p>
        </w:tc>
      </w:tr>
      <w:tr w:rsidR="001672C5" w:rsidRPr="001672C5" w14:paraId="050E2E26" w14:textId="77777777" w:rsidTr="00016F8F">
        <w:trPr>
          <w:trHeight w:val="464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311C65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Без заміни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1B3006" w14:textId="3343F272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0%</w:t>
            </w:r>
          </w:p>
        </w:tc>
      </w:tr>
      <w:tr w:rsidR="001672C5" w:rsidRPr="001672C5" w14:paraId="02A33EA2" w14:textId="77777777" w:rsidTr="00016F8F">
        <w:trPr>
          <w:trHeight w:val="464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D24BA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Ескалація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469A88" w14:textId="19C6EBE5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9%</w:t>
            </w:r>
          </w:p>
        </w:tc>
      </w:tr>
      <w:tr w:rsidR="001672C5" w:rsidRPr="001672C5" w14:paraId="091285C5" w14:textId="77777777" w:rsidTr="00016F8F">
        <w:trPr>
          <w:trHeight w:val="464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67DA1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Деескалація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2E6CD8" w14:textId="636969D3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7%</w:t>
            </w:r>
          </w:p>
        </w:tc>
      </w:tr>
      <w:tr w:rsidR="001672C5" w:rsidRPr="001672C5" w14:paraId="7FF93862" w14:textId="77777777" w:rsidTr="00016F8F">
        <w:trPr>
          <w:trHeight w:val="484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A28E3D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Заміна з парентерального на оральний шлях введення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37926D" w14:textId="5045040F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6%</w:t>
            </w:r>
          </w:p>
        </w:tc>
      </w:tr>
      <w:tr w:rsidR="001672C5" w:rsidRPr="001672C5" w14:paraId="740E77F2" w14:textId="77777777" w:rsidTr="00016F8F">
        <w:trPr>
          <w:trHeight w:val="464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F5112C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Внаслідок побічної дії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A08B57" w14:textId="244E5778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1%</w:t>
            </w:r>
          </w:p>
        </w:tc>
      </w:tr>
      <w:tr w:rsidR="001672C5" w:rsidRPr="001672C5" w14:paraId="05E501E5" w14:textId="77777777" w:rsidTr="00016F8F">
        <w:trPr>
          <w:trHeight w:val="478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C7BF8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Зміни з іншої/невідомої причини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CB913" w14:textId="476D54DD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5%</w:t>
            </w:r>
          </w:p>
        </w:tc>
      </w:tr>
      <w:tr w:rsidR="001672C5" w:rsidRPr="001672C5" w14:paraId="31558914" w14:textId="77777777" w:rsidTr="00016F8F">
        <w:trPr>
          <w:trHeight w:val="308"/>
        </w:trPr>
        <w:tc>
          <w:tcPr>
            <w:tcW w:w="4166" w:type="pct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D3D3D3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866890" w14:textId="77777777" w:rsidR="001672C5" w:rsidRPr="001672C5" w:rsidRDefault="001672C5" w:rsidP="001672C5">
            <w:pPr>
              <w:ind w:left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Немає даних</w:t>
            </w:r>
          </w:p>
        </w:tc>
        <w:tc>
          <w:tcPr>
            <w:tcW w:w="834" w:type="pct"/>
            <w:tcBorders>
              <w:top w:val="single" w:sz="4" w:space="0" w:color="D3D3D3"/>
              <w:left w:val="single" w:sz="4" w:space="0" w:color="D3D3D3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622E5" w14:textId="29B7E0F7" w:rsidR="001672C5" w:rsidRPr="001672C5" w:rsidRDefault="001672C5" w:rsidP="001672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8152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1672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4%</w:t>
            </w:r>
          </w:p>
        </w:tc>
      </w:tr>
    </w:tbl>
    <w:p w14:paraId="10DD1918" w14:textId="5339CD41" w:rsidR="001672C5" w:rsidRDefault="001672C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488F50" w14:textId="77777777" w:rsidR="00236C55" w:rsidRDefault="00BA52E8" w:rsidP="00236C5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Частота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застосування АМП нерівномірно розподілена між відділеннями та становить</w:t>
      </w:r>
      <w:r w:rsidR="00E8152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відділеннях хірургічного профілю 49,9%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загальної кількості пацієнтів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>, терапевтичного профілю – 18,6%, ВАРІТ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>96,7%, відділеннях акушерсько-гінекологічного профілю – 33,3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2200A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B5A0338" w14:textId="1EB531EA" w:rsidR="00E25A69" w:rsidRDefault="00E25A69" w:rsidP="00236C5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Дослідження причин призначення АМП</w:t>
      </w:r>
      <w:r w:rsidR="00E747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виявило</w:t>
      </w:r>
      <w:r w:rsidR="0084160A">
        <w:rPr>
          <w:rFonts w:ascii="Times New Roman" w:hAnsi="Times New Roman" w:cs="Times New Roman"/>
          <w:bCs/>
          <w:sz w:val="28"/>
          <w:szCs w:val="28"/>
          <w:lang w:val="uk-UA"/>
        </w:rPr>
        <w:t>, що</w:t>
      </w:r>
      <w:r w:rsidR="00433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серед всіх випадків призначення АМП</w:t>
      </w:r>
      <w:r w:rsidR="008416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33868">
        <w:rPr>
          <w:rFonts w:ascii="Times New Roman" w:hAnsi="Times New Roman" w:cs="Times New Roman"/>
          <w:bCs/>
          <w:sz w:val="28"/>
          <w:szCs w:val="28"/>
          <w:lang w:val="uk-UA"/>
        </w:rPr>
        <w:t>39,1% станов</w:t>
      </w:r>
      <w:r w:rsidR="009D6B29">
        <w:rPr>
          <w:rFonts w:ascii="Times New Roman" w:hAnsi="Times New Roman" w:cs="Times New Roman"/>
          <w:bCs/>
          <w:sz w:val="28"/>
          <w:szCs w:val="28"/>
          <w:lang w:val="uk-UA"/>
        </w:rPr>
        <w:t>ить</w:t>
      </w:r>
      <w:r w:rsidR="00433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лікування, в тому числі лікування ІПНМД – </w:t>
      </w:r>
      <w:r w:rsidR="0043386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8,7%. </w:t>
      </w:r>
      <w:proofErr w:type="spellStart"/>
      <w:r w:rsidR="001F76B9">
        <w:rPr>
          <w:rFonts w:ascii="Times New Roman" w:hAnsi="Times New Roman" w:cs="Times New Roman"/>
          <w:bCs/>
          <w:sz w:val="28"/>
          <w:szCs w:val="28"/>
          <w:lang w:val="uk-UA"/>
        </w:rPr>
        <w:t>Периопераційна</w:t>
      </w:r>
      <w:proofErr w:type="spellEnd"/>
      <w:r w:rsidR="001F76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676CA">
        <w:rPr>
          <w:rFonts w:ascii="Times New Roman" w:hAnsi="Times New Roman" w:cs="Times New Roman"/>
          <w:bCs/>
          <w:sz w:val="28"/>
          <w:szCs w:val="28"/>
          <w:lang w:val="uk-UA"/>
        </w:rPr>
        <w:t>антибіотикопрофілактика</w:t>
      </w:r>
      <w:proofErr w:type="spellEnd"/>
      <w:r w:rsidR="001F76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64D7B">
        <w:rPr>
          <w:rFonts w:ascii="Times New Roman" w:hAnsi="Times New Roman" w:cs="Times New Roman"/>
          <w:bCs/>
          <w:sz w:val="28"/>
          <w:szCs w:val="28"/>
          <w:lang w:val="uk-UA"/>
        </w:rPr>
        <w:t>становить 27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4D7B">
        <w:rPr>
          <w:rFonts w:ascii="Times New Roman" w:hAnsi="Times New Roman" w:cs="Times New Roman"/>
          <w:bCs/>
          <w:sz w:val="28"/>
          <w:szCs w:val="28"/>
          <w:lang w:val="uk-UA"/>
        </w:rPr>
        <w:t>1%</w:t>
      </w:r>
      <w:r w:rsidR="00F5474C">
        <w:rPr>
          <w:rFonts w:ascii="Times New Roman" w:hAnsi="Times New Roman" w:cs="Times New Roman"/>
          <w:bCs/>
          <w:sz w:val="28"/>
          <w:szCs w:val="28"/>
          <w:lang w:val="uk-UA"/>
        </w:rPr>
        <w:t>, в тому числі профілактика однією дозою</w:t>
      </w:r>
      <w:r w:rsidR="00911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один день</w:t>
      </w:r>
      <w:r w:rsidR="00F547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лише 1</w:t>
      </w:r>
      <w:r w:rsidR="00E8152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5474C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5474C">
        <w:rPr>
          <w:rFonts w:ascii="Times New Roman" w:hAnsi="Times New Roman" w:cs="Times New Roman"/>
          <w:bCs/>
          <w:sz w:val="28"/>
          <w:szCs w:val="28"/>
          <w:lang w:val="uk-UA"/>
        </w:rPr>
        <w:t>%</w:t>
      </w:r>
      <w:r w:rsidR="009114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2</w:t>
      </w:r>
      <w:r w:rsidR="00E8152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91141A">
        <w:rPr>
          <w:rFonts w:ascii="Times New Roman" w:hAnsi="Times New Roman" w:cs="Times New Roman"/>
          <w:bCs/>
          <w:sz w:val="28"/>
          <w:szCs w:val="28"/>
          <w:lang w:val="uk-UA"/>
        </w:rPr>
        <w:t>5% відповідно.</w:t>
      </w:r>
    </w:p>
    <w:p w14:paraId="2461F5E0" w14:textId="59D08D70" w:rsidR="00282C5F" w:rsidRDefault="00C876C7" w:rsidP="00236C55">
      <w:pPr>
        <w:spacing w:before="240"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Малюнок 1. Причини призначення АМП пацієнтам.</w:t>
      </w:r>
    </w:p>
    <w:p w14:paraId="4BF0D1A9" w14:textId="70A81E21" w:rsidR="00CC75E7" w:rsidRDefault="00CC75E7" w:rsidP="00CC75E7">
      <w:pPr>
        <w:ind w:left="-851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C98BABE" wp14:editId="77FC9C45">
            <wp:extent cx="6396355" cy="5986101"/>
            <wp:effectExtent l="0" t="0" r="444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905C6BB" w14:textId="17A3B63D" w:rsidR="000347D1" w:rsidRPr="000347D1" w:rsidRDefault="000347D1" w:rsidP="000347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7D1">
        <w:rPr>
          <w:rFonts w:ascii="Times New Roman" w:hAnsi="Times New Roman" w:cs="Times New Roman"/>
          <w:sz w:val="28"/>
          <w:szCs w:val="28"/>
          <w:lang w:val="uk-UA"/>
        </w:rPr>
        <w:t xml:space="preserve">Аналіз загальних статистичних даних по </w:t>
      </w:r>
      <w:r w:rsidR="00E81523">
        <w:rPr>
          <w:rFonts w:ascii="Times New Roman" w:hAnsi="Times New Roman" w:cs="Times New Roman"/>
          <w:sz w:val="28"/>
          <w:szCs w:val="28"/>
          <w:lang w:val="uk-UA"/>
        </w:rPr>
        <w:t>ЗОЗ</w:t>
      </w:r>
      <w:r w:rsidRPr="000347D1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суттєвий дефіцит </w:t>
      </w:r>
      <w:r w:rsidR="00E81523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B90E1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відповідальних за впровадження </w:t>
      </w:r>
      <w:r w:rsidR="00E81523">
        <w:rPr>
          <w:rFonts w:ascii="Times New Roman" w:hAnsi="Times New Roman" w:cs="Times New Roman"/>
          <w:sz w:val="28"/>
          <w:szCs w:val="28"/>
          <w:lang w:val="uk-UA"/>
        </w:rPr>
        <w:t>заходів з профілактики інфекцій та інфекційного контролю (</w:t>
      </w:r>
      <w:r w:rsidRPr="000347D1">
        <w:rPr>
          <w:rFonts w:ascii="Times New Roman" w:hAnsi="Times New Roman" w:cs="Times New Roman"/>
          <w:sz w:val="28"/>
          <w:szCs w:val="28"/>
          <w:lang w:val="uk-UA"/>
        </w:rPr>
        <w:t>наявні лише 62% від рекомендованої кількості</w:t>
      </w:r>
      <w:r w:rsidR="00E815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347D1">
        <w:rPr>
          <w:rFonts w:ascii="Times New Roman" w:hAnsi="Times New Roman" w:cs="Times New Roman"/>
          <w:sz w:val="28"/>
          <w:szCs w:val="28"/>
          <w:lang w:val="uk-UA"/>
        </w:rPr>
        <w:t xml:space="preserve">. Навчання працівників та моніторинг дотримання алгоритмів </w:t>
      </w:r>
      <w:r w:rsidR="00E81523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Pr="000347D1">
        <w:rPr>
          <w:rFonts w:ascii="Times New Roman" w:hAnsi="Times New Roman" w:cs="Times New Roman"/>
          <w:sz w:val="28"/>
          <w:szCs w:val="28"/>
          <w:lang w:val="uk-UA"/>
        </w:rPr>
        <w:t xml:space="preserve"> процедур впроваджені в середньому менше ніж на 20% від рекомендованого рівня.</w:t>
      </w:r>
    </w:p>
    <w:p w14:paraId="6DA5F961" w14:textId="77777777" w:rsidR="000347D1" w:rsidRPr="000347D1" w:rsidRDefault="000347D1" w:rsidP="000347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7D1">
        <w:rPr>
          <w:rFonts w:ascii="Times New Roman" w:hAnsi="Times New Roman" w:cs="Times New Roman"/>
          <w:sz w:val="28"/>
          <w:szCs w:val="28"/>
          <w:lang w:val="uk-UA"/>
        </w:rPr>
        <w:t>Оцінка дотримання правил і практик гігієни рук за методологією ВООЗ не проводиться в жодному ЗОЗ, а ліжка, обладнані дозатором з антисептиком, складають в середньому 8,3%.</w:t>
      </w:r>
    </w:p>
    <w:p w14:paraId="5E54DF42" w14:textId="20EEE1D7" w:rsidR="000347D1" w:rsidRPr="00223F6A" w:rsidRDefault="000347D1" w:rsidP="002200A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BCE3B9" w14:textId="77777777" w:rsidR="00236C55" w:rsidRDefault="00236C55" w:rsidP="002200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5AC9EE" w14:textId="161C9CED" w:rsidR="00130F1B" w:rsidRDefault="00223F6A" w:rsidP="002200A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3F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14:paraId="5D1EFD72" w14:textId="40BE4C44" w:rsidR="00E81523" w:rsidRDefault="00E81523" w:rsidP="00E815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0B1A6A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Поширеність ІПНМД за результатами дослідження </w:t>
      </w:r>
      <w:r w:rsidR="00FA4AD5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становить 5,7%, </w:t>
      </w:r>
      <w:r w:rsidR="00E43901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що</w:t>
      </w:r>
      <w:r w:rsidR="00FA4AD5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значно перевищує дані, отримані за офіційною статистикою в 2019 році – 0,035%</w:t>
      </w:r>
      <w:r w:rsidR="008B5DF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E43901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це свідчить про необхідність</w:t>
      </w:r>
      <w:r w:rsidR="008B5DF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удосконалення системи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госпітального </w:t>
      </w:r>
      <w:r w:rsidR="008B5DF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епідеміологічного нагляду.</w:t>
      </w:r>
    </w:p>
    <w:p w14:paraId="37FFA1D0" w14:textId="0BFA964D" w:rsidR="00E81523" w:rsidRDefault="00E81523" w:rsidP="00E815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8853C4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Найбільше навантаження ІПНМД припадає на ВАРІТ</w:t>
      </w:r>
      <w:r w:rsidR="003177C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(16,7% від всіх пацієнтів</w:t>
      </w:r>
      <w:r w:rsidR="0053715D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відділення</w:t>
      </w:r>
      <w:r w:rsidR="003177C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38582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, що в поєднанні із найбільшою частотою застосування АМП (96,7% від всіх пацієнтів</w:t>
      </w:r>
      <w:r w:rsidR="0053715D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відділення</w:t>
      </w:r>
      <w:r w:rsidR="0038582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) вимагає перегляду організації заходів з ПІІК, більш ретельного моніторингу мікробіологічного профілю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пацієнтів</w:t>
      </w:r>
      <w:r w:rsidR="00FA6C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відділення</w:t>
      </w:r>
      <w:r w:rsidR="0038582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F2A9D9A" w14:textId="08BDE1AA" w:rsidR="00E81523" w:rsidRDefault="00E81523" w:rsidP="00E815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7542C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Висока поширеність ІОХВ </w:t>
      </w:r>
      <w:r w:rsidR="00F83FD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відділеннях хірургічного профілю </w:t>
      </w:r>
      <w:r w:rsidR="007542C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поєднанні із </w:t>
      </w:r>
      <w:r w:rsidR="000B1A6A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високою</w:t>
      </w:r>
      <w:r w:rsidR="007542C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частотою застосування АМП</w:t>
      </w:r>
      <w:r w:rsidR="000B1A6A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542C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тому числі з метою периопераці</w:t>
      </w:r>
      <w:r w:rsidR="008853C4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й</w:t>
      </w:r>
      <w:r w:rsidR="007542C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ної профілактики, тривалість якої перевищує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24 години</w:t>
      </w:r>
      <w:r w:rsidR="00F83FD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542CE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свідчить про </w:t>
      </w:r>
      <w:r w:rsidR="00F83FD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низьку ефективність АМП-профілактики, що вимагає перегляду організації заходів з ПІІ</w:t>
      </w:r>
      <w:r w:rsidR="009D0196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К,</w:t>
      </w:r>
      <w:r w:rsidR="00F83FD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3F8D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більш ретельного</w:t>
      </w:r>
      <w:r w:rsidR="00F83FDB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3F8D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моніторингу  мікробіологічного профілю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пацієнтів</w:t>
      </w:r>
      <w:r w:rsidR="00FA6C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відділення</w:t>
      </w:r>
      <w:r w:rsidR="009D0196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впровадження адміністрування АМП.</w:t>
      </w:r>
    </w:p>
    <w:p w14:paraId="58978074" w14:textId="7E49AA52" w:rsidR="00E81523" w:rsidRDefault="00E81523" w:rsidP="00E815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0C386F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Надзвичайно низький рівень застосування деескалації </w:t>
      </w:r>
      <w:r w:rsidR="009C08B2">
        <w:rPr>
          <w:rFonts w:ascii="Times New Roman" w:hAnsi="Times New Roman" w:cs="Times New Roman"/>
          <w:bCs/>
          <w:sz w:val="28"/>
          <w:szCs w:val="28"/>
          <w:lang w:val="uk-UA"/>
        </w:rPr>
        <w:t>АМП-</w:t>
      </w:r>
      <w:r w:rsidR="000C386F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терапії або переходу з парентерального на пероральний шлях введення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0C386F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застосовувалась лише у 1,7% та 0,6% випадків відповідно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0C386F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свідчить про необхідність впровадження адміністрування АМП.</w:t>
      </w:r>
    </w:p>
    <w:p w14:paraId="143023FB" w14:textId="6571C6D6" w:rsidR="00E81523" w:rsidRDefault="00E81523" w:rsidP="00E815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 К</w:t>
      </w:r>
      <w:r w:rsidR="00C67188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ількість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бактеріологічного</w:t>
      </w:r>
      <w:r w:rsidR="00C67188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підтвердження випадків ІПНМД (30,2%), в тому числі кількість посівів крові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C67188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2 на 100 пацієнтів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при рекомендованих щонайменше 10 на 100 пацієнтів)</w:t>
      </w:r>
      <w:r w:rsidR="00900091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67188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свідчить</w:t>
      </w:r>
      <w:r w:rsidR="00900091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C67188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низький рівень настороженості та обізнаності лікарів щодо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ІПНМД, </w:t>
      </w:r>
      <w:r w:rsidR="00C319FE">
        <w:rPr>
          <w:rFonts w:ascii="Times New Roman" w:hAnsi="Times New Roman" w:cs="Times New Roman"/>
          <w:bCs/>
          <w:sz w:val="28"/>
          <w:szCs w:val="28"/>
          <w:lang w:val="uk-UA"/>
        </w:rPr>
        <w:t>в тому чи</w:t>
      </w:r>
      <w:r w:rsidR="00C80B7D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C319FE">
        <w:rPr>
          <w:rFonts w:ascii="Times New Roman" w:hAnsi="Times New Roman" w:cs="Times New Roman"/>
          <w:bCs/>
          <w:sz w:val="28"/>
          <w:szCs w:val="28"/>
          <w:lang w:val="uk-UA"/>
        </w:rPr>
        <w:t>лі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інфекцій кровотоку.</w:t>
      </w:r>
    </w:p>
    <w:p w14:paraId="0F7CDF56" w14:textId="138B4CB8" w:rsidR="00DF273F" w:rsidRPr="00E81523" w:rsidRDefault="00E81523" w:rsidP="00E81523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D3421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Захворювання, викликан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3421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421C" w:rsidRPr="00E81523">
        <w:rPr>
          <w:rFonts w:ascii="Times New Roman" w:hAnsi="Times New Roman" w:cs="Times New Roman"/>
          <w:bCs/>
          <w:sz w:val="28"/>
          <w:szCs w:val="28"/>
        </w:rPr>
        <w:t>C</w:t>
      </w:r>
      <w:r w:rsidR="00D3421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3421C" w:rsidRPr="00E81523">
        <w:rPr>
          <w:rFonts w:ascii="Times New Roman" w:hAnsi="Times New Roman" w:cs="Times New Roman"/>
          <w:bCs/>
          <w:sz w:val="28"/>
          <w:szCs w:val="28"/>
        </w:rPr>
        <w:t> </w:t>
      </w:r>
      <w:r w:rsidR="009C08B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proofErr w:type="spellStart"/>
      <w:r w:rsidR="00D3421C" w:rsidRPr="00E81523">
        <w:rPr>
          <w:rFonts w:ascii="Times New Roman" w:hAnsi="Times New Roman" w:cs="Times New Roman"/>
          <w:bCs/>
          <w:sz w:val="28"/>
          <w:szCs w:val="28"/>
        </w:rPr>
        <w:t>ifficile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псевдомембранозний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коліт/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антибіотикасоційована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діарея)</w:t>
      </w:r>
      <w:r w:rsidR="00D3421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>, не можуть бути підтверджені через неможливість лабораторій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ЗОЗ</w:t>
      </w:r>
      <w:r w:rsidR="00D3421C" w:rsidRPr="00E815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проводити відповідні дослідження.</w:t>
      </w:r>
    </w:p>
    <w:sectPr w:rsidR="00DF273F" w:rsidRPr="00E81523" w:rsidSect="00236C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F49"/>
    <w:multiLevelType w:val="hybridMultilevel"/>
    <w:tmpl w:val="5C189AC8"/>
    <w:lvl w:ilvl="0" w:tplc="CC28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866B49"/>
    <w:multiLevelType w:val="hybridMultilevel"/>
    <w:tmpl w:val="2842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18ED"/>
    <w:multiLevelType w:val="hybridMultilevel"/>
    <w:tmpl w:val="9DB803CE"/>
    <w:lvl w:ilvl="0" w:tplc="93E88E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ED"/>
    <w:rsid w:val="00006CFB"/>
    <w:rsid w:val="00016F8F"/>
    <w:rsid w:val="00024EB8"/>
    <w:rsid w:val="00026D70"/>
    <w:rsid w:val="0002736D"/>
    <w:rsid w:val="000347D1"/>
    <w:rsid w:val="0004107F"/>
    <w:rsid w:val="000676CA"/>
    <w:rsid w:val="000B1A6A"/>
    <w:rsid w:val="000C386F"/>
    <w:rsid w:val="000F193D"/>
    <w:rsid w:val="00130F1B"/>
    <w:rsid w:val="001672C5"/>
    <w:rsid w:val="001A618E"/>
    <w:rsid w:val="001B4A5A"/>
    <w:rsid w:val="001F0012"/>
    <w:rsid w:val="001F528C"/>
    <w:rsid w:val="001F626C"/>
    <w:rsid w:val="001F76B9"/>
    <w:rsid w:val="002200AB"/>
    <w:rsid w:val="00223F6A"/>
    <w:rsid w:val="002337A8"/>
    <w:rsid w:val="00236C55"/>
    <w:rsid w:val="00237DE9"/>
    <w:rsid w:val="0024412B"/>
    <w:rsid w:val="00276B13"/>
    <w:rsid w:val="00282C5F"/>
    <w:rsid w:val="00283862"/>
    <w:rsid w:val="00291902"/>
    <w:rsid w:val="002E5678"/>
    <w:rsid w:val="002F05BF"/>
    <w:rsid w:val="002F3C08"/>
    <w:rsid w:val="003177CB"/>
    <w:rsid w:val="00347505"/>
    <w:rsid w:val="003577ED"/>
    <w:rsid w:val="00372AE8"/>
    <w:rsid w:val="0038582E"/>
    <w:rsid w:val="003943CD"/>
    <w:rsid w:val="003C4DBE"/>
    <w:rsid w:val="003D2FDE"/>
    <w:rsid w:val="003F5CD6"/>
    <w:rsid w:val="004041EA"/>
    <w:rsid w:val="00412888"/>
    <w:rsid w:val="00433868"/>
    <w:rsid w:val="004626FF"/>
    <w:rsid w:val="0048665A"/>
    <w:rsid w:val="004B51F5"/>
    <w:rsid w:val="004B63E3"/>
    <w:rsid w:val="004C453E"/>
    <w:rsid w:val="004C6B00"/>
    <w:rsid w:val="004C7681"/>
    <w:rsid w:val="004D38C5"/>
    <w:rsid w:val="004F5926"/>
    <w:rsid w:val="004F604D"/>
    <w:rsid w:val="005211EC"/>
    <w:rsid w:val="0053715D"/>
    <w:rsid w:val="0055246D"/>
    <w:rsid w:val="00560E6F"/>
    <w:rsid w:val="0056380F"/>
    <w:rsid w:val="00571F72"/>
    <w:rsid w:val="00580040"/>
    <w:rsid w:val="00593F8D"/>
    <w:rsid w:val="005A0778"/>
    <w:rsid w:val="005A1C97"/>
    <w:rsid w:val="0061103D"/>
    <w:rsid w:val="00615CCB"/>
    <w:rsid w:val="006515C8"/>
    <w:rsid w:val="0068796C"/>
    <w:rsid w:val="006A71CF"/>
    <w:rsid w:val="006F081A"/>
    <w:rsid w:val="00724AF7"/>
    <w:rsid w:val="007542CE"/>
    <w:rsid w:val="00754719"/>
    <w:rsid w:val="007975DF"/>
    <w:rsid w:val="007A4266"/>
    <w:rsid w:val="007C6D3E"/>
    <w:rsid w:val="007C6F9A"/>
    <w:rsid w:val="007F0DD9"/>
    <w:rsid w:val="007F50F0"/>
    <w:rsid w:val="007F5860"/>
    <w:rsid w:val="00801A5E"/>
    <w:rsid w:val="00802FDE"/>
    <w:rsid w:val="00805D85"/>
    <w:rsid w:val="00806E55"/>
    <w:rsid w:val="00817628"/>
    <w:rsid w:val="0084160A"/>
    <w:rsid w:val="008853C4"/>
    <w:rsid w:val="0089520F"/>
    <w:rsid w:val="00897420"/>
    <w:rsid w:val="008A069D"/>
    <w:rsid w:val="008B5DFC"/>
    <w:rsid w:val="008F58EF"/>
    <w:rsid w:val="008F6472"/>
    <w:rsid w:val="00900091"/>
    <w:rsid w:val="00902485"/>
    <w:rsid w:val="0091141A"/>
    <w:rsid w:val="0091610E"/>
    <w:rsid w:val="00920ECD"/>
    <w:rsid w:val="00955A99"/>
    <w:rsid w:val="00981200"/>
    <w:rsid w:val="00993A72"/>
    <w:rsid w:val="00995E2A"/>
    <w:rsid w:val="009A32D2"/>
    <w:rsid w:val="009C08B2"/>
    <w:rsid w:val="009C136B"/>
    <w:rsid w:val="009D0196"/>
    <w:rsid w:val="009D6B29"/>
    <w:rsid w:val="009F1A0D"/>
    <w:rsid w:val="00A03312"/>
    <w:rsid w:val="00A120B8"/>
    <w:rsid w:val="00A12E90"/>
    <w:rsid w:val="00A15615"/>
    <w:rsid w:val="00A35625"/>
    <w:rsid w:val="00A55EB5"/>
    <w:rsid w:val="00A80647"/>
    <w:rsid w:val="00AB6121"/>
    <w:rsid w:val="00AC24AD"/>
    <w:rsid w:val="00AE5258"/>
    <w:rsid w:val="00B05EF8"/>
    <w:rsid w:val="00B209F4"/>
    <w:rsid w:val="00B43DE7"/>
    <w:rsid w:val="00B523FF"/>
    <w:rsid w:val="00B65927"/>
    <w:rsid w:val="00B86CB6"/>
    <w:rsid w:val="00B90E1A"/>
    <w:rsid w:val="00BA52E8"/>
    <w:rsid w:val="00BE736B"/>
    <w:rsid w:val="00C31760"/>
    <w:rsid w:val="00C319FE"/>
    <w:rsid w:val="00C573B6"/>
    <w:rsid w:val="00C610D4"/>
    <w:rsid w:val="00C67188"/>
    <w:rsid w:val="00C80B7D"/>
    <w:rsid w:val="00C85D2C"/>
    <w:rsid w:val="00C876C7"/>
    <w:rsid w:val="00CC75E7"/>
    <w:rsid w:val="00D00AE5"/>
    <w:rsid w:val="00D17278"/>
    <w:rsid w:val="00D2615A"/>
    <w:rsid w:val="00D3421C"/>
    <w:rsid w:val="00D549EF"/>
    <w:rsid w:val="00D54E5D"/>
    <w:rsid w:val="00D64D7B"/>
    <w:rsid w:val="00D700EE"/>
    <w:rsid w:val="00D90902"/>
    <w:rsid w:val="00D9533B"/>
    <w:rsid w:val="00DA03BD"/>
    <w:rsid w:val="00DA46C2"/>
    <w:rsid w:val="00DE7395"/>
    <w:rsid w:val="00DF273F"/>
    <w:rsid w:val="00E22C73"/>
    <w:rsid w:val="00E25A69"/>
    <w:rsid w:val="00E43901"/>
    <w:rsid w:val="00E43DF5"/>
    <w:rsid w:val="00E57AAF"/>
    <w:rsid w:val="00E70DF9"/>
    <w:rsid w:val="00E7474B"/>
    <w:rsid w:val="00E81523"/>
    <w:rsid w:val="00EB128D"/>
    <w:rsid w:val="00EB1386"/>
    <w:rsid w:val="00EC7423"/>
    <w:rsid w:val="00F04152"/>
    <w:rsid w:val="00F13A31"/>
    <w:rsid w:val="00F23F8F"/>
    <w:rsid w:val="00F41D8C"/>
    <w:rsid w:val="00F5474C"/>
    <w:rsid w:val="00F64003"/>
    <w:rsid w:val="00F83FDB"/>
    <w:rsid w:val="00F97E4E"/>
    <w:rsid w:val="00FA446C"/>
    <w:rsid w:val="00FA4AD5"/>
    <w:rsid w:val="00FA6CAD"/>
    <w:rsid w:val="00FB3FC3"/>
    <w:rsid w:val="00FB5DA8"/>
    <w:rsid w:val="00FE1E9E"/>
    <w:rsid w:val="00FE358B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EFE1"/>
  <w15:chartTrackingRefBased/>
  <w15:docId w15:val="{FA512899-5EC4-4955-A404-C450C70D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96C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Тип ІПНМД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153541630337094"/>
          <c:y val="0.21047755448203609"/>
          <c:w val="0.51526462460931732"/>
          <c:h val="0.54271227479317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Тип ІПНМД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0-43C4-8478-2D189A0B3CC7}"/>
              </c:ext>
            </c:extLst>
          </c:dPt>
          <c:dPt>
            <c:idx val="1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0-43C4-8478-2D189A0B3CC7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A0-43C4-8478-2D189A0B3CC7}"/>
              </c:ext>
            </c:extLst>
          </c:dPt>
          <c:dPt>
            <c:idx val="3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0-43C4-8478-2D189A0B3CC7}"/>
              </c:ext>
            </c:extLst>
          </c:dPt>
          <c:dPt>
            <c:idx val="4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0-43C4-8478-2D189A0B3CC7}"/>
              </c:ext>
            </c:extLst>
          </c:dPt>
          <c:dPt>
            <c:idx val="5"/>
            <c:bubble3D val="0"/>
            <c:spPr>
              <a:solidFill>
                <a:srgbClr val="A85DE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0-43C4-8478-2D189A0B3CC7}"/>
              </c:ext>
            </c:extLst>
          </c:dPt>
          <c:dPt>
            <c:idx val="6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0-43C4-8478-2D189A0B3C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0-43C4-8478-2D189A0B3CC7}"/>
              </c:ext>
            </c:extLst>
          </c:dPt>
          <c:dPt>
            <c:idx val="8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0-43C4-8478-2D189A0B3C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   Пневмонії</c:v>
                </c:pt>
                <c:pt idx="1">
                  <c:v>   Інші інфекції нижніх дихальних шляхів</c:v>
                </c:pt>
                <c:pt idx="2">
                  <c:v>   Інфекції сечовивідних шляхів</c:v>
                </c:pt>
                <c:pt idx="3">
                  <c:v>   Інфекції кровотоку</c:v>
                </c:pt>
                <c:pt idx="4">
                  <c:v>   Катетер асоційовані інфекції (без інфекції кровотоку)</c:v>
                </c:pt>
                <c:pt idx="5">
                  <c:v>   Системні інфекції (лікування важких інфекційних захворювань          без ідентифікації у дорослих та дітей) </c:v>
                </c:pt>
                <c:pt idx="6">
                  <c:v>   Інфекції очей, вух, носа, ротової порожнини</c:v>
                </c:pt>
                <c:pt idx="7">
                  <c:v>   Інфекції шкіри та м’яких тканин</c:v>
                </c:pt>
                <c:pt idx="8">
                  <c:v>   Інфекції області хірургічного втручання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0.25600000000000001</c:v>
                </c:pt>
                <c:pt idx="1">
                  <c:v>1.2E-2</c:v>
                </c:pt>
                <c:pt idx="2" formatCode="0%">
                  <c:v>0.14000000000000001</c:v>
                </c:pt>
                <c:pt idx="3">
                  <c:v>2.3E-2</c:v>
                </c:pt>
                <c:pt idx="4">
                  <c:v>1.2E-2</c:v>
                </c:pt>
                <c:pt idx="5">
                  <c:v>0.128</c:v>
                </c:pt>
                <c:pt idx="6">
                  <c:v>3.5000000000000003E-2</c:v>
                </c:pt>
                <c:pt idx="7">
                  <c:v>5.8000000000000003E-2</c:v>
                </c:pt>
                <c:pt idx="8">
                  <c:v>0.33700000000000002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7A0-43C4-8478-2D189A0B3C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ІОХВ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27A0-43C4-8478-2D189A0B3C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27A0-43C4-8478-2D189A0B3C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27A0-43C4-8478-2D189A0B3C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27A0-43C4-8478-2D189A0B3C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27A0-43C4-8478-2D189A0B3C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27A0-43C4-8478-2D189A0B3C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27A0-43C4-8478-2D189A0B3C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27A0-43C4-8478-2D189A0B3C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27A0-43C4-8478-2D189A0B3C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   Пневмонії</c:v>
                </c:pt>
                <c:pt idx="1">
                  <c:v>   Інші інфекції нижніх дихальних шляхів</c:v>
                </c:pt>
                <c:pt idx="2">
                  <c:v>   Інфекції сечовивідних шляхів</c:v>
                </c:pt>
                <c:pt idx="3">
                  <c:v>   Інфекції кровотоку</c:v>
                </c:pt>
                <c:pt idx="4">
                  <c:v>   Катетер асоційовані інфекції (без інфекції кровотоку)</c:v>
                </c:pt>
                <c:pt idx="5">
                  <c:v>   Системні інфекції (лікування важких інфекційних захворювань          без ідентифікації у дорослих та дітей) </c:v>
                </c:pt>
                <c:pt idx="6">
                  <c:v>   Інфекції очей, вух, носа, ротової порожнини</c:v>
                </c:pt>
                <c:pt idx="7">
                  <c:v>   Інфекції шкіри та м’яких тканин</c:v>
                </c:pt>
                <c:pt idx="8">
                  <c:v>   Інфекції області хірургічного втручання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25-27A0-43C4-8478-2D189A0B3CC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204972568377845E-2"/>
          <c:y val="7.9885506655912986E-2"/>
          <c:w val="0.50523086096758185"/>
          <c:h val="0.92011440188995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-1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Показання для призначення АМП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 w="3175"/>
          </c:spPr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408-4823-B741-6908B1736C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408-4823-B741-6908B1736CB1}"/>
              </c:ext>
            </c:extLst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408-4823-B741-6908B1736CB1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408-4823-B741-6908B1736C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408-4823-B741-6908B1736CB1}"/>
              </c:ext>
            </c:extLst>
          </c:dPt>
          <c:dPt>
            <c:idx val="5"/>
            <c:bubble3D val="0"/>
            <c:spPr>
              <a:solidFill>
                <a:schemeClr val="bg2">
                  <a:lumMod val="75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408-4823-B741-6908B1736CB1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408-4823-B741-6908B1736CB1}"/>
              </c:ext>
            </c:extLst>
          </c:dPt>
          <c:dPt>
            <c:idx val="7"/>
            <c:bubble3D val="0"/>
            <c:spPr>
              <a:solidFill>
                <a:schemeClr val="accent6">
                  <a:lumMod val="75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408-4823-B741-6908B1736CB1}"/>
              </c:ext>
            </c:extLst>
          </c:dPt>
          <c:dPt>
            <c:idx val="8"/>
            <c:bubble3D val="0"/>
            <c:spPr>
              <a:solidFill>
                <a:schemeClr val="accent6">
                  <a:lumMod val="5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408-4823-B741-6908B1736CB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317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408-4823-B741-6908B1736C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Лікування </c:v>
                </c:pt>
                <c:pt idx="1">
                  <c:v>Лікування ІПНМД</c:v>
                </c:pt>
                <c:pt idx="2">
                  <c:v>Довготривале лікування</c:v>
                </c:pt>
                <c:pt idx="3">
                  <c:v>Медична профілактика</c:v>
                </c:pt>
                <c:pt idx="4">
                  <c:v>Інші показання</c:v>
                </c:pt>
                <c:pt idx="5">
                  <c:v>Невідомо</c:v>
                </c:pt>
                <c:pt idx="6">
                  <c:v>Периопераціна профілактика 1 дозою</c:v>
                </c:pt>
                <c:pt idx="7">
                  <c:v>Периопераціна профілактика 1 день</c:v>
                </c:pt>
                <c:pt idx="8">
                  <c:v>Периопераціна антибіотикопрофілактика більше 1 дня 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0.30399999999999999</c:v>
                </c:pt>
                <c:pt idx="1">
                  <c:v>8.6999999999999994E-2</c:v>
                </c:pt>
                <c:pt idx="2">
                  <c:v>2E-3</c:v>
                </c:pt>
                <c:pt idx="3">
                  <c:v>0.28299999999999997</c:v>
                </c:pt>
                <c:pt idx="4">
                  <c:v>6.0000000000000001E-3</c:v>
                </c:pt>
                <c:pt idx="5">
                  <c:v>4.9000000000000002E-2</c:v>
                </c:pt>
                <c:pt idx="6">
                  <c:v>1.9E-2</c:v>
                </c:pt>
                <c:pt idx="7">
                  <c:v>2.5000000000000001E-2</c:v>
                </c:pt>
                <c:pt idx="8">
                  <c:v>0.24299999999999999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408-4823-B741-6908B1736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394739660322188E-2"/>
          <c:y val="0.54137591349057601"/>
          <c:w val="0.90912355552498259"/>
          <c:h val="0.44164135228921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Panasiuk</dc:creator>
  <cp:keywords/>
  <dc:description/>
  <cp:lastModifiedBy>Maria Panasiuk</cp:lastModifiedBy>
  <cp:revision>179</cp:revision>
  <dcterms:created xsi:type="dcterms:W3CDTF">2021-06-30T11:26:00Z</dcterms:created>
  <dcterms:modified xsi:type="dcterms:W3CDTF">2021-07-01T14:10:00Z</dcterms:modified>
</cp:coreProperties>
</file>