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4AA" w:rsidRPr="0095701B" w:rsidRDefault="003044AA" w:rsidP="003044AA">
      <w:pPr>
        <w:pStyle w:val="Heading1"/>
        <w:jc w:val="center"/>
        <w:rPr>
          <w:rFonts w:ascii="Times New Roman" w:eastAsia="Times New Roman" w:hAnsi="Times New Roman" w:cs="Times New Roman"/>
          <w:b/>
          <w:color w:val="000000" w:themeColor="text1"/>
          <w:spacing w:val="-10"/>
          <w:kern w:val="28"/>
          <w:szCs w:val="32"/>
          <w:lang w:val="ru-RU"/>
        </w:rPr>
      </w:pPr>
      <w:r w:rsidRPr="0095701B">
        <w:rPr>
          <w:rFonts w:ascii="Times New Roman" w:eastAsia="Times New Roman" w:hAnsi="Times New Roman" w:cs="Times New Roman"/>
          <w:b/>
          <w:color w:val="000000" w:themeColor="text1"/>
          <w:spacing w:val="-10"/>
          <w:kern w:val="28"/>
          <w:szCs w:val="32"/>
        </w:rPr>
        <w:t xml:space="preserve">Терміновий реліз оновлень реєстру хворих на туберкульоз від </w:t>
      </w:r>
      <w:r w:rsidRPr="0095701B">
        <w:rPr>
          <w:rFonts w:ascii="Times New Roman" w:eastAsia="Times New Roman" w:hAnsi="Times New Roman" w:cs="Times New Roman"/>
          <w:b/>
          <w:color w:val="000000" w:themeColor="text1"/>
          <w:spacing w:val="-10"/>
          <w:kern w:val="28"/>
          <w:szCs w:val="32"/>
          <w:lang w:val="ru-RU"/>
        </w:rPr>
        <w:t>12.08.2016</w:t>
      </w:r>
      <w:r w:rsidR="0095701B" w:rsidRPr="0095701B">
        <w:rPr>
          <w:rFonts w:ascii="Times New Roman" w:eastAsia="Times New Roman" w:hAnsi="Times New Roman" w:cs="Times New Roman"/>
          <w:b/>
          <w:color w:val="000000" w:themeColor="text1"/>
          <w:spacing w:val="-10"/>
          <w:kern w:val="28"/>
          <w:szCs w:val="32"/>
          <w:lang w:val="ru-RU"/>
        </w:rPr>
        <w:t xml:space="preserve"> (Препарати)</w:t>
      </w:r>
    </w:p>
    <w:p w:rsidR="008C02B9" w:rsidRPr="003044AA" w:rsidRDefault="008C02B9" w:rsidP="005368F9">
      <w:pPr>
        <w:pStyle w:val="Heading1"/>
        <w:rPr>
          <w:rFonts w:ascii="Times New Roman" w:eastAsia="Times New Roman" w:hAnsi="Times New Roman" w:cs="Times New Roman"/>
          <w:sz w:val="28"/>
        </w:rPr>
      </w:pPr>
      <w:bookmarkStart w:id="0" w:name="_GoBack"/>
      <w:r w:rsidRPr="003044AA">
        <w:rPr>
          <w:rFonts w:ascii="Times New Roman" w:eastAsia="Times New Roman" w:hAnsi="Times New Roman" w:cs="Times New Roman"/>
          <w:sz w:val="28"/>
        </w:rPr>
        <w:t>Ціль</w:t>
      </w:r>
    </w:p>
    <w:bookmarkEnd w:id="0"/>
    <w:p w:rsidR="005A4AC5" w:rsidRPr="003044AA" w:rsidRDefault="00E81EC1" w:rsidP="00D4485E">
      <w:pPr>
        <w:pStyle w:val="ListParagraph"/>
        <w:numPr>
          <w:ilvl w:val="0"/>
          <w:numId w:val="2"/>
        </w:numPr>
        <w:spacing w:after="160" w:line="259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3044AA">
        <w:rPr>
          <w:rFonts w:ascii="Times New Roman" w:eastAsia="Calibri" w:hAnsi="Times New Roman" w:cs="Times New Roman"/>
          <w:sz w:val="28"/>
          <w:szCs w:val="28"/>
        </w:rPr>
        <w:t xml:space="preserve">розділити </w:t>
      </w:r>
      <w:r w:rsidR="003044AA">
        <w:rPr>
          <w:rFonts w:ascii="Times New Roman" w:eastAsia="Calibri" w:hAnsi="Times New Roman" w:cs="Times New Roman"/>
          <w:sz w:val="28"/>
          <w:szCs w:val="28"/>
        </w:rPr>
        <w:t xml:space="preserve">джерела фінансування </w:t>
      </w:r>
      <w:r w:rsidRPr="003044AA">
        <w:rPr>
          <w:rFonts w:ascii="Times New Roman" w:eastAsia="Calibri" w:hAnsi="Times New Roman" w:cs="Times New Roman"/>
          <w:sz w:val="28"/>
          <w:szCs w:val="28"/>
        </w:rPr>
        <w:t>ГФ та ГФ для бюджетних хворих;</w:t>
      </w:r>
    </w:p>
    <w:p w:rsidR="00E81EC1" w:rsidRPr="003044AA" w:rsidRDefault="00E81EC1" w:rsidP="00D4485E">
      <w:pPr>
        <w:pStyle w:val="ListParagraph"/>
        <w:numPr>
          <w:ilvl w:val="0"/>
          <w:numId w:val="2"/>
        </w:numPr>
        <w:spacing w:after="160" w:line="259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3044AA">
        <w:rPr>
          <w:rFonts w:ascii="Times New Roman" w:eastAsia="Calibri" w:hAnsi="Times New Roman" w:cs="Times New Roman"/>
          <w:sz w:val="28"/>
          <w:szCs w:val="28"/>
        </w:rPr>
        <w:t>додати можливість введення полів у форму "Отримання" для обл</w:t>
      </w:r>
      <w:r w:rsidR="003044AA">
        <w:rPr>
          <w:rFonts w:ascii="Times New Roman" w:eastAsia="Calibri" w:hAnsi="Times New Roman" w:cs="Times New Roman"/>
          <w:sz w:val="28"/>
          <w:szCs w:val="28"/>
        </w:rPr>
        <w:t>асних</w:t>
      </w:r>
      <w:r w:rsidRPr="003044AA">
        <w:rPr>
          <w:rFonts w:ascii="Times New Roman" w:eastAsia="Calibri" w:hAnsi="Times New Roman" w:cs="Times New Roman"/>
          <w:sz w:val="28"/>
          <w:szCs w:val="28"/>
        </w:rPr>
        <w:t xml:space="preserve"> складів: </w:t>
      </w:r>
      <w:r w:rsidRPr="003044AA">
        <w:rPr>
          <w:rFonts w:ascii="Times New Roman" w:hAnsi="Times New Roman" w:cs="Times New Roman"/>
          <w:sz w:val="28"/>
          <w:szCs w:val="28"/>
        </w:rPr>
        <w:t>номер та дата наказу про розподіл, назва постачальника, номер і дата накладної;</w:t>
      </w:r>
    </w:p>
    <w:p w:rsidR="00E81EC1" w:rsidRPr="003044AA" w:rsidRDefault="00E81EC1" w:rsidP="00D4485E">
      <w:pPr>
        <w:pStyle w:val="ListParagraph"/>
        <w:numPr>
          <w:ilvl w:val="0"/>
          <w:numId w:val="2"/>
        </w:numPr>
        <w:spacing w:after="160" w:line="259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3044AA">
        <w:rPr>
          <w:rFonts w:ascii="Times New Roman" w:eastAsia="Calibri" w:hAnsi="Times New Roman" w:cs="Times New Roman"/>
          <w:sz w:val="28"/>
          <w:szCs w:val="28"/>
        </w:rPr>
        <w:t>додати можливість будувати звіти "</w:t>
      </w:r>
      <w:r w:rsidRPr="003044AA">
        <w:rPr>
          <w:rFonts w:ascii="Times New Roman" w:hAnsi="Times New Roman" w:cs="Times New Roman"/>
          <w:sz w:val="28"/>
          <w:szCs w:val="28"/>
        </w:rPr>
        <w:t>Розрахунковий рівень запасу</w:t>
      </w:r>
      <w:r w:rsidRPr="003044AA">
        <w:rPr>
          <w:rFonts w:ascii="Times New Roman" w:eastAsia="Calibri" w:hAnsi="Times New Roman" w:cs="Times New Roman"/>
          <w:sz w:val="28"/>
          <w:szCs w:val="28"/>
        </w:rPr>
        <w:t>" та "Еволюція запасу" у розрізі області та країни;</w:t>
      </w:r>
    </w:p>
    <w:p w:rsidR="00E81EC1" w:rsidRPr="003044AA" w:rsidRDefault="00E81EC1" w:rsidP="003044AA">
      <w:pPr>
        <w:pStyle w:val="ListParagraph"/>
        <w:numPr>
          <w:ilvl w:val="0"/>
          <w:numId w:val="2"/>
        </w:numPr>
        <w:spacing w:before="240" w:after="160" w:line="259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3044AA">
        <w:rPr>
          <w:rFonts w:ascii="Times New Roman" w:eastAsia="Calibri" w:hAnsi="Times New Roman" w:cs="Times New Roman"/>
          <w:sz w:val="28"/>
          <w:szCs w:val="28"/>
        </w:rPr>
        <w:t xml:space="preserve">змінити алгоритм </w:t>
      </w:r>
      <w:r w:rsidR="003044AA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 w:rsidRPr="003044AA">
        <w:rPr>
          <w:rFonts w:ascii="Times New Roman" w:eastAsia="Calibri" w:hAnsi="Times New Roman" w:cs="Times New Roman"/>
          <w:sz w:val="28"/>
          <w:szCs w:val="28"/>
        </w:rPr>
        <w:t xml:space="preserve">побудові звітів по </w:t>
      </w:r>
      <w:r w:rsidR="003044AA">
        <w:rPr>
          <w:rFonts w:ascii="Times New Roman" w:eastAsia="Calibri" w:hAnsi="Times New Roman" w:cs="Times New Roman"/>
          <w:sz w:val="28"/>
          <w:szCs w:val="28"/>
        </w:rPr>
        <w:t xml:space="preserve">протитуберкульозним (далі – </w:t>
      </w:r>
      <w:r w:rsidRPr="003044AA">
        <w:rPr>
          <w:rFonts w:ascii="Times New Roman" w:eastAsia="Calibri" w:hAnsi="Times New Roman" w:cs="Times New Roman"/>
          <w:sz w:val="28"/>
          <w:szCs w:val="28"/>
        </w:rPr>
        <w:t>ПТП</w:t>
      </w:r>
      <w:r w:rsidR="003044AA">
        <w:rPr>
          <w:rFonts w:ascii="Times New Roman" w:eastAsia="Calibri" w:hAnsi="Times New Roman" w:cs="Times New Roman"/>
          <w:sz w:val="28"/>
          <w:szCs w:val="28"/>
        </w:rPr>
        <w:t>)</w:t>
      </w:r>
      <w:r w:rsidRPr="003044AA">
        <w:rPr>
          <w:rFonts w:ascii="Times New Roman" w:eastAsia="Calibri" w:hAnsi="Times New Roman" w:cs="Times New Roman"/>
          <w:sz w:val="28"/>
          <w:szCs w:val="28"/>
        </w:rPr>
        <w:t xml:space="preserve"> для Нац</w:t>
      </w:r>
      <w:r w:rsidR="003044AA">
        <w:rPr>
          <w:rFonts w:ascii="Times New Roman" w:eastAsia="Calibri" w:hAnsi="Times New Roman" w:cs="Times New Roman"/>
          <w:sz w:val="28"/>
          <w:szCs w:val="28"/>
        </w:rPr>
        <w:t>іонального</w:t>
      </w:r>
      <w:r w:rsidRPr="003044AA">
        <w:rPr>
          <w:rFonts w:ascii="Times New Roman" w:eastAsia="Calibri" w:hAnsi="Times New Roman" w:cs="Times New Roman"/>
          <w:sz w:val="28"/>
          <w:szCs w:val="28"/>
        </w:rPr>
        <w:t xml:space="preserve"> складу</w:t>
      </w:r>
      <w:r w:rsidR="003044AA">
        <w:rPr>
          <w:rFonts w:ascii="Times New Roman" w:eastAsia="Calibri" w:hAnsi="Times New Roman" w:cs="Times New Roman"/>
          <w:sz w:val="28"/>
          <w:szCs w:val="28"/>
        </w:rPr>
        <w:t xml:space="preserve"> (далі – нац. склад</w:t>
      </w:r>
      <w:r w:rsidR="003044AA" w:rsidRPr="003044AA">
        <w:rPr>
          <w:rFonts w:ascii="Times New Roman" w:eastAsia="Calibri" w:hAnsi="Times New Roman" w:cs="Times New Roman"/>
          <w:sz w:val="28"/>
          <w:szCs w:val="28"/>
          <w:lang w:val="ru-RU"/>
        </w:rPr>
        <w:t>)</w:t>
      </w:r>
      <w:r w:rsidRPr="003044AA">
        <w:rPr>
          <w:rFonts w:ascii="Times New Roman" w:eastAsia="Calibri" w:hAnsi="Times New Roman" w:cs="Times New Roman"/>
          <w:sz w:val="28"/>
          <w:szCs w:val="28"/>
        </w:rPr>
        <w:t xml:space="preserve"> - по всій країні;</w:t>
      </w:r>
    </w:p>
    <w:p w:rsidR="00E81EC1" w:rsidRPr="003044AA" w:rsidRDefault="00E81EC1" w:rsidP="00D4485E">
      <w:pPr>
        <w:pStyle w:val="ListParagraph"/>
        <w:numPr>
          <w:ilvl w:val="0"/>
          <w:numId w:val="2"/>
        </w:numPr>
        <w:spacing w:after="160" w:line="259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3044AA">
        <w:rPr>
          <w:rFonts w:ascii="Times New Roman" w:eastAsia="Calibri" w:hAnsi="Times New Roman" w:cs="Times New Roman"/>
          <w:sz w:val="28"/>
          <w:szCs w:val="28"/>
        </w:rPr>
        <w:t>розробити механізм загального коригування реєстраційних посвідчень;</w:t>
      </w:r>
    </w:p>
    <w:p w:rsidR="00E81EC1" w:rsidRPr="003044AA" w:rsidRDefault="00E81EC1" w:rsidP="00D4485E">
      <w:pPr>
        <w:pStyle w:val="ListParagraph"/>
        <w:numPr>
          <w:ilvl w:val="0"/>
          <w:numId w:val="2"/>
        </w:numPr>
        <w:spacing w:after="160" w:line="259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3044AA">
        <w:rPr>
          <w:rFonts w:ascii="Times New Roman" w:eastAsia="Calibri" w:hAnsi="Times New Roman" w:cs="Times New Roman"/>
          <w:sz w:val="28"/>
          <w:szCs w:val="28"/>
        </w:rPr>
        <w:t>додати звіт по залишкам ПТП на конкретну дату;</w:t>
      </w:r>
    </w:p>
    <w:p w:rsidR="00E81EC1" w:rsidRPr="003044AA" w:rsidRDefault="00E81EC1" w:rsidP="00D4485E">
      <w:pPr>
        <w:pStyle w:val="ListParagraph"/>
        <w:numPr>
          <w:ilvl w:val="0"/>
          <w:numId w:val="2"/>
        </w:numPr>
        <w:spacing w:after="160" w:line="259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3044AA">
        <w:rPr>
          <w:rFonts w:ascii="Times New Roman" w:eastAsia="Calibri" w:hAnsi="Times New Roman" w:cs="Times New Roman"/>
          <w:sz w:val="28"/>
          <w:szCs w:val="28"/>
        </w:rPr>
        <w:t>додати можливість бачити</w:t>
      </w:r>
      <w:r w:rsidR="000E7A98" w:rsidRPr="003044AA">
        <w:rPr>
          <w:rFonts w:ascii="Times New Roman" w:eastAsia="Calibri" w:hAnsi="Times New Roman" w:cs="Times New Roman"/>
          <w:sz w:val="28"/>
          <w:szCs w:val="28"/>
        </w:rPr>
        <w:t xml:space="preserve"> в Звіті по області</w:t>
      </w:r>
      <w:r w:rsidRPr="003044AA">
        <w:rPr>
          <w:rFonts w:ascii="Times New Roman" w:eastAsia="Calibri" w:hAnsi="Times New Roman" w:cs="Times New Roman"/>
          <w:sz w:val="28"/>
          <w:szCs w:val="28"/>
        </w:rPr>
        <w:t>, в яких ТБ-закладах знаходяться серії, термін придатності</w:t>
      </w:r>
      <w:r w:rsidR="003044AA">
        <w:rPr>
          <w:rFonts w:ascii="Times New Roman" w:eastAsia="Calibri" w:hAnsi="Times New Roman" w:cs="Times New Roman"/>
          <w:sz w:val="28"/>
          <w:szCs w:val="28"/>
        </w:rPr>
        <w:t>, яких</w:t>
      </w:r>
      <w:r w:rsidRPr="003044AA">
        <w:rPr>
          <w:rFonts w:ascii="Times New Roman" w:eastAsia="Calibri" w:hAnsi="Times New Roman" w:cs="Times New Roman"/>
          <w:sz w:val="28"/>
          <w:szCs w:val="28"/>
        </w:rPr>
        <w:t xml:space="preserve"> закінчується</w:t>
      </w:r>
      <w:r w:rsidR="000E7A98" w:rsidRPr="003044A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E7A98" w:rsidRPr="003044AA" w:rsidRDefault="000E7A98" w:rsidP="00D4485E">
      <w:pPr>
        <w:pStyle w:val="ListParagraph"/>
        <w:numPr>
          <w:ilvl w:val="0"/>
          <w:numId w:val="2"/>
        </w:numPr>
        <w:spacing w:after="160" w:line="259" w:lineRule="auto"/>
        <w:ind w:left="426"/>
        <w:rPr>
          <w:rFonts w:ascii="Times New Roman" w:eastAsia="Calibri" w:hAnsi="Times New Roman" w:cs="Times New Roman"/>
          <w:sz w:val="28"/>
          <w:szCs w:val="28"/>
        </w:rPr>
      </w:pPr>
      <w:r w:rsidRPr="003044AA">
        <w:rPr>
          <w:rFonts w:ascii="Times New Roman" w:eastAsia="Calibri" w:hAnsi="Times New Roman" w:cs="Times New Roman"/>
          <w:sz w:val="28"/>
          <w:szCs w:val="28"/>
        </w:rPr>
        <w:t>додати відображення номеру інвойса/накладної до списку отримань.</w:t>
      </w:r>
    </w:p>
    <w:p w:rsidR="008C02B9" w:rsidRPr="003044AA" w:rsidRDefault="008C02B9" w:rsidP="005368F9">
      <w:pPr>
        <w:pStyle w:val="Heading1"/>
        <w:rPr>
          <w:rFonts w:ascii="Times New Roman" w:eastAsia="Times New Roman" w:hAnsi="Times New Roman" w:cs="Times New Roman"/>
          <w:sz w:val="28"/>
        </w:rPr>
      </w:pPr>
      <w:r w:rsidRPr="003044AA">
        <w:rPr>
          <w:rFonts w:ascii="Times New Roman" w:eastAsia="Times New Roman" w:hAnsi="Times New Roman" w:cs="Times New Roman"/>
          <w:sz w:val="28"/>
        </w:rPr>
        <w:t>Зміни у програмному забезпеченні</w:t>
      </w:r>
    </w:p>
    <w:p w:rsidR="00880360" w:rsidRPr="003044AA" w:rsidRDefault="00E91CEA" w:rsidP="005368F9">
      <w:pPr>
        <w:pStyle w:val="Heading2"/>
        <w:rPr>
          <w:rFonts w:ascii="Times New Roman" w:eastAsia="Times New Roman" w:hAnsi="Times New Roman" w:cs="Times New Roman"/>
          <w:sz w:val="28"/>
          <w:szCs w:val="28"/>
        </w:rPr>
      </w:pPr>
      <w:r w:rsidRPr="003044AA">
        <w:rPr>
          <w:rFonts w:ascii="Times New Roman" w:eastAsia="Times New Roman" w:hAnsi="Times New Roman" w:cs="Times New Roman"/>
          <w:sz w:val="28"/>
          <w:szCs w:val="28"/>
        </w:rPr>
        <w:t>Передання</w:t>
      </w:r>
    </w:p>
    <w:p w:rsidR="00E91CEA" w:rsidRPr="003044AA" w:rsidRDefault="00E91CEA" w:rsidP="00E91CEA">
      <w:pPr>
        <w:rPr>
          <w:rFonts w:ascii="Times New Roman" w:hAnsi="Times New Roman" w:cs="Times New Roman"/>
          <w:sz w:val="28"/>
          <w:szCs w:val="28"/>
        </w:rPr>
      </w:pPr>
      <w:r w:rsidRPr="003044AA">
        <w:rPr>
          <w:rFonts w:ascii="Times New Roman" w:hAnsi="Times New Roman" w:cs="Times New Roman"/>
          <w:sz w:val="28"/>
          <w:szCs w:val="28"/>
        </w:rPr>
        <w:t xml:space="preserve">Тепер блок ПТП джерела фінансування ГФ можна </w:t>
      </w:r>
      <w:r w:rsidR="00733855" w:rsidRPr="003044AA">
        <w:rPr>
          <w:rFonts w:ascii="Times New Roman" w:hAnsi="Times New Roman" w:cs="Times New Roman"/>
          <w:sz w:val="28"/>
          <w:szCs w:val="28"/>
        </w:rPr>
        <w:t xml:space="preserve">позначити як </w:t>
      </w:r>
      <w:r w:rsidR="003044AA">
        <w:rPr>
          <w:rFonts w:ascii="Times New Roman" w:hAnsi="Times New Roman" w:cs="Times New Roman"/>
          <w:sz w:val="28"/>
          <w:szCs w:val="28"/>
        </w:rPr>
        <w:t>«</w:t>
      </w:r>
      <w:r w:rsidRPr="003044AA">
        <w:rPr>
          <w:rFonts w:ascii="Times New Roman" w:hAnsi="Times New Roman" w:cs="Times New Roman"/>
          <w:sz w:val="28"/>
          <w:szCs w:val="28"/>
        </w:rPr>
        <w:t>призначення: ГФ для ДБ</w:t>
      </w:r>
      <w:r w:rsidR="003044AA">
        <w:rPr>
          <w:rFonts w:ascii="Times New Roman" w:hAnsi="Times New Roman" w:cs="Times New Roman"/>
          <w:sz w:val="28"/>
          <w:szCs w:val="28"/>
        </w:rPr>
        <w:t>»</w:t>
      </w:r>
      <w:r w:rsidRPr="003044AA">
        <w:rPr>
          <w:rFonts w:ascii="Times New Roman" w:hAnsi="Times New Roman" w:cs="Times New Roman"/>
          <w:sz w:val="28"/>
          <w:szCs w:val="28"/>
        </w:rPr>
        <w:t xml:space="preserve">. </w:t>
      </w:r>
      <w:r w:rsidR="00733855" w:rsidRPr="003044AA">
        <w:rPr>
          <w:rFonts w:ascii="Times New Roman" w:hAnsi="Times New Roman" w:cs="Times New Roman"/>
          <w:sz w:val="28"/>
          <w:szCs w:val="28"/>
        </w:rPr>
        <w:t>Позначити може тіль</w:t>
      </w:r>
      <w:r w:rsidRPr="003044AA">
        <w:rPr>
          <w:rFonts w:ascii="Times New Roman" w:hAnsi="Times New Roman" w:cs="Times New Roman"/>
          <w:sz w:val="28"/>
          <w:szCs w:val="28"/>
        </w:rPr>
        <w:t>ки Нац. склад</w:t>
      </w:r>
      <w:r w:rsidR="003044AA">
        <w:rPr>
          <w:rFonts w:ascii="Times New Roman" w:hAnsi="Times New Roman" w:cs="Times New Roman"/>
          <w:sz w:val="28"/>
          <w:szCs w:val="28"/>
        </w:rPr>
        <w:t>.</w:t>
      </w:r>
    </w:p>
    <w:p w:rsidR="0041693C" w:rsidRPr="003044AA" w:rsidRDefault="0041693C" w:rsidP="00E91CEA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3044AA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6120130" cy="3188546"/>
            <wp:effectExtent l="19050" t="0" r="0" b="0"/>
            <wp:docPr id="2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1885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93C" w:rsidRPr="003044AA" w:rsidRDefault="0041693C" w:rsidP="00E91CEA">
      <w:pPr>
        <w:rPr>
          <w:rFonts w:ascii="Times New Roman" w:hAnsi="Times New Roman" w:cs="Times New Roman"/>
          <w:sz w:val="28"/>
          <w:szCs w:val="28"/>
        </w:rPr>
      </w:pPr>
      <w:r w:rsidRPr="003044AA">
        <w:rPr>
          <w:rFonts w:ascii="Times New Roman" w:hAnsi="Times New Roman" w:cs="Times New Roman"/>
          <w:sz w:val="28"/>
          <w:szCs w:val="28"/>
        </w:rPr>
        <w:lastRenderedPageBreak/>
        <w:t xml:space="preserve">Для закладу, що приймає передання призначення ГФ для ДБ буде відображатись (без можливості редагування). </w:t>
      </w:r>
      <w:r w:rsidRPr="003044AA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6120130" cy="614313"/>
            <wp:effectExtent l="19050" t="0" r="0" b="0"/>
            <wp:docPr id="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4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93C" w:rsidRPr="003044AA" w:rsidRDefault="0041693C" w:rsidP="0041693C">
      <w:pPr>
        <w:rPr>
          <w:rFonts w:ascii="Times New Roman" w:hAnsi="Times New Roman" w:cs="Times New Roman"/>
          <w:noProof/>
          <w:sz w:val="28"/>
          <w:szCs w:val="28"/>
          <w:lang w:eastAsia="uk-UA"/>
        </w:rPr>
      </w:pPr>
      <w:r w:rsidRPr="003044AA">
        <w:rPr>
          <w:rFonts w:ascii="Times New Roman" w:hAnsi="Times New Roman" w:cs="Times New Roman"/>
          <w:sz w:val="28"/>
          <w:szCs w:val="28"/>
        </w:rPr>
        <w:t>У вип</w:t>
      </w:r>
      <w:r w:rsidR="003044AA">
        <w:rPr>
          <w:rFonts w:ascii="Times New Roman" w:hAnsi="Times New Roman" w:cs="Times New Roman"/>
          <w:sz w:val="28"/>
          <w:szCs w:val="28"/>
        </w:rPr>
        <w:t>адку прийняття такого передання</w:t>
      </w:r>
      <w:r w:rsidRPr="003044AA">
        <w:rPr>
          <w:rFonts w:ascii="Times New Roman" w:hAnsi="Times New Roman" w:cs="Times New Roman"/>
          <w:sz w:val="28"/>
          <w:szCs w:val="28"/>
        </w:rPr>
        <w:t>, вказані ПТП будуть зараховані на заклад, що приймає, під джерелом фінансування "ГФ для ДБ". Надалі ці серії відносяться до джерела "ГФ для ДБ"</w:t>
      </w:r>
      <w:r w:rsidR="00733855" w:rsidRPr="003044AA">
        <w:rPr>
          <w:rFonts w:ascii="Times New Roman" w:hAnsi="Times New Roman" w:cs="Times New Roman"/>
          <w:sz w:val="28"/>
          <w:szCs w:val="28"/>
        </w:rPr>
        <w:t xml:space="preserve">, не </w:t>
      </w:r>
      <w:r w:rsidRPr="003044AA">
        <w:rPr>
          <w:rFonts w:ascii="Times New Roman" w:hAnsi="Times New Roman" w:cs="Times New Roman"/>
          <w:sz w:val="28"/>
          <w:szCs w:val="28"/>
        </w:rPr>
        <w:t>до джерела "ГФ".</w:t>
      </w:r>
      <w:r w:rsidR="00274A7B" w:rsidRPr="003044AA">
        <w:rPr>
          <w:rFonts w:ascii="Times New Roman" w:hAnsi="Times New Roman" w:cs="Times New Roman"/>
          <w:sz w:val="28"/>
          <w:szCs w:val="28"/>
        </w:rPr>
        <w:t xml:space="preserve"> До звітів по препаратам та по області тепер працює розділення "ГФ" та "ГФ для ДБ".</w:t>
      </w:r>
    </w:p>
    <w:p w:rsidR="0041693C" w:rsidRPr="003044AA" w:rsidRDefault="0041693C" w:rsidP="00E91CEA">
      <w:pPr>
        <w:rPr>
          <w:rFonts w:ascii="Times New Roman" w:hAnsi="Times New Roman" w:cs="Times New Roman"/>
          <w:sz w:val="28"/>
          <w:szCs w:val="28"/>
        </w:rPr>
      </w:pPr>
      <w:r w:rsidRPr="003044AA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6120130" cy="2003286"/>
            <wp:effectExtent l="19050" t="0" r="0" b="0"/>
            <wp:docPr id="6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0032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1CEA" w:rsidRPr="003044AA" w:rsidRDefault="007B6E60" w:rsidP="00CF0803">
      <w:pPr>
        <w:pStyle w:val="Heading2"/>
        <w:rPr>
          <w:rFonts w:ascii="Times New Roman" w:eastAsia="Times New Roman" w:hAnsi="Times New Roman" w:cs="Times New Roman"/>
          <w:sz w:val="28"/>
          <w:szCs w:val="28"/>
        </w:rPr>
      </w:pPr>
      <w:r w:rsidRPr="003044AA">
        <w:rPr>
          <w:rFonts w:ascii="Times New Roman" w:eastAsia="Times New Roman" w:hAnsi="Times New Roman" w:cs="Times New Roman"/>
          <w:sz w:val="28"/>
          <w:szCs w:val="28"/>
        </w:rPr>
        <w:t>Отримання</w:t>
      </w:r>
    </w:p>
    <w:p w:rsidR="007B6E60" w:rsidRPr="003044AA" w:rsidRDefault="00017207" w:rsidP="00E91CEA">
      <w:pPr>
        <w:rPr>
          <w:rFonts w:ascii="Times New Roman" w:eastAsia="Calibri" w:hAnsi="Times New Roman" w:cs="Times New Roman"/>
          <w:sz w:val="28"/>
          <w:szCs w:val="28"/>
        </w:rPr>
      </w:pPr>
      <w:r w:rsidRPr="003044AA">
        <w:rPr>
          <w:rFonts w:ascii="Times New Roman" w:hAnsi="Times New Roman" w:cs="Times New Roman"/>
          <w:b/>
          <w:sz w:val="28"/>
          <w:szCs w:val="28"/>
        </w:rPr>
        <w:t>1)</w:t>
      </w:r>
      <w:r w:rsidRPr="003044AA">
        <w:rPr>
          <w:rFonts w:ascii="Times New Roman" w:hAnsi="Times New Roman" w:cs="Times New Roman"/>
          <w:sz w:val="28"/>
          <w:szCs w:val="28"/>
        </w:rPr>
        <w:t xml:space="preserve"> </w:t>
      </w:r>
      <w:r w:rsidR="007B6E60" w:rsidRPr="003044AA">
        <w:rPr>
          <w:rFonts w:ascii="Times New Roman" w:hAnsi="Times New Roman" w:cs="Times New Roman"/>
          <w:sz w:val="28"/>
          <w:szCs w:val="28"/>
        </w:rPr>
        <w:t>Додані поля</w:t>
      </w:r>
      <w:r w:rsidR="007B6E60" w:rsidRPr="003044AA">
        <w:rPr>
          <w:rFonts w:ascii="Times New Roman" w:eastAsia="Calibri" w:hAnsi="Times New Roman" w:cs="Times New Roman"/>
          <w:sz w:val="28"/>
          <w:szCs w:val="28"/>
        </w:rPr>
        <w:t xml:space="preserve"> у форму "Нове отримання" для обл</w:t>
      </w:r>
      <w:r w:rsidR="003044AA">
        <w:rPr>
          <w:rFonts w:ascii="Times New Roman" w:eastAsia="Calibri" w:hAnsi="Times New Roman" w:cs="Times New Roman"/>
          <w:sz w:val="28"/>
          <w:szCs w:val="28"/>
        </w:rPr>
        <w:t>асних</w:t>
      </w:r>
      <w:r w:rsidR="007B6E60" w:rsidRPr="003044AA">
        <w:rPr>
          <w:rFonts w:ascii="Times New Roman" w:eastAsia="Calibri" w:hAnsi="Times New Roman" w:cs="Times New Roman"/>
          <w:sz w:val="28"/>
          <w:szCs w:val="28"/>
        </w:rPr>
        <w:t xml:space="preserve"> складів. Всі поля є обов'язковими. Для Нац.складу залишається тільки номер інвойсу.</w:t>
      </w:r>
    </w:p>
    <w:p w:rsidR="0091206B" w:rsidRPr="003044AA" w:rsidRDefault="002E42A5" w:rsidP="00E91CEA">
      <w:pPr>
        <w:rPr>
          <w:rFonts w:ascii="Times New Roman" w:eastAsia="Calibri" w:hAnsi="Times New Roman" w:cs="Times New Roman"/>
          <w:sz w:val="28"/>
          <w:szCs w:val="28"/>
        </w:rPr>
      </w:pPr>
      <w:r w:rsidRPr="003044AA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6115050" cy="35528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06B" w:rsidRPr="003044AA" w:rsidRDefault="0091206B" w:rsidP="00E91CEA">
      <w:pPr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3044A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Список постачальників коригується в </w:t>
      </w:r>
      <w:r w:rsidRPr="003044AA">
        <w:rPr>
          <w:rFonts w:ascii="Times New Roman" w:eastAsia="Calibri" w:hAnsi="Times New Roman" w:cs="Times New Roman"/>
          <w:b/>
          <w:sz w:val="28"/>
          <w:szCs w:val="28"/>
        </w:rPr>
        <w:t>Адміністрування -&gt; Значення ТБ поля -&gt; Постачальник</w:t>
      </w:r>
      <w:r w:rsidR="002E42A5" w:rsidRPr="003044AA">
        <w:rPr>
          <w:rFonts w:ascii="Times New Roman" w:eastAsia="Calibri" w:hAnsi="Times New Roman" w:cs="Times New Roman"/>
          <w:sz w:val="28"/>
          <w:szCs w:val="28"/>
          <w:lang w:val="ru-RU"/>
        </w:rPr>
        <w:t>.</w:t>
      </w:r>
    </w:p>
    <w:p w:rsidR="00D52CB1" w:rsidRPr="003044AA" w:rsidRDefault="00D52CB1" w:rsidP="00E91CEA">
      <w:pPr>
        <w:rPr>
          <w:rFonts w:ascii="Times New Roman" w:eastAsia="Calibri" w:hAnsi="Times New Roman" w:cs="Times New Roman"/>
          <w:sz w:val="28"/>
          <w:szCs w:val="28"/>
        </w:rPr>
      </w:pPr>
    </w:p>
    <w:p w:rsidR="0091206B" w:rsidRPr="003044AA" w:rsidRDefault="00C03113" w:rsidP="00E91CEA">
      <w:pPr>
        <w:rPr>
          <w:rFonts w:ascii="Times New Roman" w:eastAsia="Calibri" w:hAnsi="Times New Roman" w:cs="Times New Roman"/>
          <w:sz w:val="28"/>
          <w:szCs w:val="28"/>
        </w:rPr>
      </w:pPr>
      <w:r w:rsidRPr="003044AA">
        <w:rPr>
          <w:rFonts w:ascii="Times New Roman" w:eastAsia="Calibri" w:hAnsi="Times New Roman" w:cs="Times New Roman"/>
          <w:sz w:val="28"/>
          <w:szCs w:val="28"/>
        </w:rPr>
        <w:t xml:space="preserve">Реєстраційне посвідчення тепер не можна </w:t>
      </w:r>
      <w:r w:rsidR="00274A7B" w:rsidRPr="003044AA">
        <w:rPr>
          <w:rFonts w:ascii="Times New Roman" w:eastAsia="Calibri" w:hAnsi="Times New Roman" w:cs="Times New Roman"/>
          <w:sz w:val="28"/>
          <w:szCs w:val="28"/>
        </w:rPr>
        <w:t>створити</w:t>
      </w:r>
      <w:r w:rsidRPr="003044AA">
        <w:rPr>
          <w:rFonts w:ascii="Times New Roman" w:eastAsia="Calibri" w:hAnsi="Times New Roman" w:cs="Times New Roman"/>
          <w:sz w:val="28"/>
          <w:szCs w:val="28"/>
        </w:rPr>
        <w:t xml:space="preserve"> у паспорті серії - лише вибрати. Список реєстраційних посвідчень формується на основі </w:t>
      </w:r>
      <w:r w:rsidRPr="003044AA">
        <w:rPr>
          <w:rFonts w:ascii="Times New Roman" w:eastAsia="Calibri" w:hAnsi="Times New Roman" w:cs="Times New Roman"/>
          <w:sz w:val="28"/>
          <w:szCs w:val="28"/>
          <w:u w:val="single"/>
        </w:rPr>
        <w:t>препарату</w:t>
      </w:r>
      <w:r w:rsidRPr="003044AA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r w:rsidRPr="003044AA">
        <w:rPr>
          <w:rFonts w:ascii="Times New Roman" w:eastAsia="Calibri" w:hAnsi="Times New Roman" w:cs="Times New Roman"/>
          <w:sz w:val="28"/>
          <w:szCs w:val="28"/>
          <w:u w:val="single"/>
        </w:rPr>
        <w:t>виробника</w:t>
      </w:r>
      <w:r w:rsidR="003044A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03113" w:rsidRPr="003044AA" w:rsidRDefault="00C03113" w:rsidP="00E91CEA">
      <w:pPr>
        <w:rPr>
          <w:rFonts w:ascii="Times New Roman" w:eastAsia="Calibri" w:hAnsi="Times New Roman" w:cs="Times New Roman"/>
          <w:sz w:val="28"/>
          <w:szCs w:val="28"/>
        </w:rPr>
      </w:pPr>
      <w:r w:rsidRPr="003044AA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2988709" cy="2124075"/>
            <wp:effectExtent l="19050" t="0" r="2141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540" cy="2122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044AA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2924175" cy="2083817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9318" cy="2087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113" w:rsidRPr="003044AA" w:rsidRDefault="00C03113" w:rsidP="00E91CEA">
      <w:pPr>
        <w:rPr>
          <w:rFonts w:ascii="Times New Roman" w:eastAsia="Calibri" w:hAnsi="Times New Roman" w:cs="Times New Roman"/>
          <w:sz w:val="28"/>
          <w:szCs w:val="28"/>
        </w:rPr>
      </w:pPr>
      <w:r w:rsidRPr="003044AA">
        <w:rPr>
          <w:rFonts w:ascii="Times New Roman" w:eastAsia="Calibri" w:hAnsi="Times New Roman" w:cs="Times New Roman"/>
          <w:sz w:val="28"/>
          <w:szCs w:val="28"/>
        </w:rPr>
        <w:t xml:space="preserve">При виборі реєстраційного посвідчення автоматично заповнюються поля "Виробник" та "Комерційна назва" (якщо вона </w:t>
      </w:r>
      <w:r w:rsidR="00274A7B" w:rsidRPr="003044AA">
        <w:rPr>
          <w:rFonts w:ascii="Times New Roman" w:eastAsia="Calibri" w:hAnsi="Times New Roman" w:cs="Times New Roman"/>
          <w:sz w:val="28"/>
          <w:szCs w:val="28"/>
        </w:rPr>
        <w:t>вказана</w:t>
      </w:r>
      <w:r w:rsidRPr="003044AA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="00274A7B" w:rsidRPr="003044AA">
        <w:rPr>
          <w:rFonts w:ascii="Times New Roman" w:eastAsia="Calibri" w:hAnsi="Times New Roman" w:cs="Times New Roman"/>
          <w:sz w:val="28"/>
          <w:szCs w:val="28"/>
        </w:rPr>
        <w:t>ля</w:t>
      </w:r>
      <w:r w:rsidRPr="003044AA">
        <w:rPr>
          <w:rFonts w:ascii="Times New Roman" w:eastAsia="Calibri" w:hAnsi="Times New Roman" w:cs="Times New Roman"/>
          <w:sz w:val="28"/>
          <w:szCs w:val="28"/>
        </w:rPr>
        <w:t xml:space="preserve"> обраного реєстраційного посвідчення).</w:t>
      </w:r>
    </w:p>
    <w:p w:rsidR="00CF0803" w:rsidRPr="003044AA" w:rsidRDefault="00017207" w:rsidP="00E91CEA">
      <w:pPr>
        <w:rPr>
          <w:rFonts w:ascii="Times New Roman" w:eastAsia="Calibri" w:hAnsi="Times New Roman" w:cs="Times New Roman"/>
          <w:sz w:val="28"/>
          <w:szCs w:val="28"/>
        </w:rPr>
      </w:pPr>
      <w:r w:rsidRPr="003044AA">
        <w:rPr>
          <w:rFonts w:ascii="Times New Roman" w:eastAsia="Calibri" w:hAnsi="Times New Roman" w:cs="Times New Roman"/>
          <w:b/>
          <w:sz w:val="28"/>
          <w:szCs w:val="28"/>
        </w:rPr>
        <w:t>2)</w:t>
      </w:r>
      <w:r w:rsidRPr="003044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0803" w:rsidRPr="003044AA">
        <w:rPr>
          <w:rFonts w:ascii="Times New Roman" w:eastAsia="Calibri" w:hAnsi="Times New Roman" w:cs="Times New Roman"/>
          <w:sz w:val="28"/>
          <w:szCs w:val="28"/>
        </w:rPr>
        <w:t>У відображення списку отримань доданий стовпець з номером інвойса (для обл</w:t>
      </w:r>
      <w:r w:rsidR="003044AA">
        <w:rPr>
          <w:rFonts w:ascii="Times New Roman" w:eastAsia="Calibri" w:hAnsi="Times New Roman" w:cs="Times New Roman"/>
          <w:sz w:val="28"/>
          <w:szCs w:val="28"/>
        </w:rPr>
        <w:t xml:space="preserve">асних </w:t>
      </w:r>
      <w:r w:rsidR="00CF0803" w:rsidRPr="003044AA">
        <w:rPr>
          <w:rFonts w:ascii="Times New Roman" w:eastAsia="Calibri" w:hAnsi="Times New Roman" w:cs="Times New Roman"/>
          <w:sz w:val="28"/>
          <w:szCs w:val="28"/>
        </w:rPr>
        <w:t>склад</w:t>
      </w:r>
      <w:r w:rsidR="003044AA">
        <w:rPr>
          <w:rFonts w:ascii="Times New Roman" w:eastAsia="Calibri" w:hAnsi="Times New Roman" w:cs="Times New Roman"/>
          <w:sz w:val="28"/>
          <w:szCs w:val="28"/>
        </w:rPr>
        <w:t>ів</w:t>
      </w:r>
      <w:r w:rsidR="00CF0803" w:rsidRPr="003044AA">
        <w:rPr>
          <w:rFonts w:ascii="Times New Roman" w:eastAsia="Calibri" w:hAnsi="Times New Roman" w:cs="Times New Roman"/>
          <w:sz w:val="28"/>
          <w:szCs w:val="28"/>
        </w:rPr>
        <w:t xml:space="preserve"> - накладної)</w:t>
      </w:r>
    </w:p>
    <w:p w:rsidR="0074401E" w:rsidRPr="003044AA" w:rsidRDefault="00017207" w:rsidP="00E91CEA">
      <w:pPr>
        <w:rPr>
          <w:rFonts w:ascii="Times New Roman" w:eastAsia="Calibri" w:hAnsi="Times New Roman" w:cs="Times New Roman"/>
          <w:sz w:val="28"/>
          <w:szCs w:val="28"/>
        </w:rPr>
      </w:pPr>
      <w:r w:rsidRPr="003044AA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6120130" cy="2146750"/>
            <wp:effectExtent l="19050" t="0" r="0" b="0"/>
            <wp:docPr id="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4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207" w:rsidRPr="003044AA" w:rsidRDefault="00017207" w:rsidP="00E91CEA">
      <w:pPr>
        <w:rPr>
          <w:rFonts w:ascii="Times New Roman" w:eastAsia="Calibri" w:hAnsi="Times New Roman" w:cs="Times New Roman"/>
          <w:sz w:val="28"/>
          <w:szCs w:val="28"/>
        </w:rPr>
      </w:pPr>
      <w:r w:rsidRPr="003044AA">
        <w:rPr>
          <w:rFonts w:ascii="Times New Roman" w:eastAsia="Calibri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6120130" cy="2161086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161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207" w:rsidRPr="003044AA" w:rsidRDefault="00017207">
      <w:pPr>
        <w:rPr>
          <w:rFonts w:ascii="Times New Roman" w:eastAsia="Times New Roman" w:hAnsi="Times New Roman" w:cs="Times New Roman"/>
          <w:bCs/>
          <w:color w:val="4F81BD" w:themeColor="accent1"/>
          <w:sz w:val="28"/>
          <w:szCs w:val="28"/>
        </w:rPr>
      </w:pPr>
      <w:r w:rsidRPr="003044AA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74401E" w:rsidRPr="003044AA" w:rsidRDefault="0074401E" w:rsidP="00017207">
      <w:pPr>
        <w:pStyle w:val="Heading2"/>
        <w:rPr>
          <w:rFonts w:ascii="Times New Roman" w:eastAsia="Times New Roman" w:hAnsi="Times New Roman" w:cs="Times New Roman"/>
          <w:sz w:val="28"/>
          <w:szCs w:val="28"/>
        </w:rPr>
      </w:pPr>
      <w:r w:rsidRPr="003044AA">
        <w:rPr>
          <w:rFonts w:ascii="Times New Roman" w:eastAsia="Times New Roman" w:hAnsi="Times New Roman" w:cs="Times New Roman"/>
          <w:sz w:val="28"/>
          <w:szCs w:val="28"/>
        </w:rPr>
        <w:lastRenderedPageBreak/>
        <w:t>Звіти ПТП</w:t>
      </w:r>
    </w:p>
    <w:p w:rsidR="0074401E" w:rsidRPr="003044AA" w:rsidRDefault="00017207" w:rsidP="00E91CEA">
      <w:pPr>
        <w:rPr>
          <w:rFonts w:ascii="Times New Roman" w:eastAsia="Calibri" w:hAnsi="Times New Roman" w:cs="Times New Roman"/>
          <w:sz w:val="28"/>
          <w:szCs w:val="28"/>
        </w:rPr>
      </w:pPr>
      <w:r w:rsidRPr="003044AA">
        <w:rPr>
          <w:rFonts w:ascii="Times New Roman" w:hAnsi="Times New Roman" w:cs="Times New Roman"/>
          <w:b/>
          <w:sz w:val="28"/>
          <w:szCs w:val="28"/>
        </w:rPr>
        <w:t>1)</w:t>
      </w:r>
      <w:r w:rsidRPr="003044AA">
        <w:rPr>
          <w:rFonts w:ascii="Times New Roman" w:hAnsi="Times New Roman" w:cs="Times New Roman"/>
          <w:sz w:val="28"/>
          <w:szCs w:val="28"/>
        </w:rPr>
        <w:t xml:space="preserve"> </w:t>
      </w:r>
      <w:r w:rsidR="0074401E" w:rsidRPr="003044AA">
        <w:rPr>
          <w:rFonts w:ascii="Times New Roman" w:hAnsi="Times New Roman" w:cs="Times New Roman"/>
          <w:sz w:val="28"/>
          <w:szCs w:val="28"/>
        </w:rPr>
        <w:t xml:space="preserve">До звітів </w:t>
      </w:r>
      <w:r w:rsidR="0074401E" w:rsidRPr="003044AA">
        <w:rPr>
          <w:rFonts w:ascii="Times New Roman" w:eastAsia="Calibri" w:hAnsi="Times New Roman" w:cs="Times New Roman"/>
          <w:sz w:val="28"/>
          <w:szCs w:val="28"/>
        </w:rPr>
        <w:t>"</w:t>
      </w:r>
      <w:r w:rsidR="0074401E" w:rsidRPr="003044AA">
        <w:rPr>
          <w:rFonts w:ascii="Times New Roman" w:hAnsi="Times New Roman" w:cs="Times New Roman"/>
          <w:sz w:val="28"/>
          <w:szCs w:val="28"/>
        </w:rPr>
        <w:t>Розрахунковий рівень запасу</w:t>
      </w:r>
      <w:r w:rsidR="0074401E" w:rsidRPr="003044AA">
        <w:rPr>
          <w:rFonts w:ascii="Times New Roman" w:eastAsia="Calibri" w:hAnsi="Times New Roman" w:cs="Times New Roman"/>
          <w:sz w:val="28"/>
          <w:szCs w:val="28"/>
        </w:rPr>
        <w:t>" та "Еволюція запасу" доданий блок вибору охоплення звіту (ТБ-заклад, район, область, країна).</w:t>
      </w:r>
    </w:p>
    <w:p w:rsidR="00017207" w:rsidRPr="003044AA" w:rsidRDefault="00017207" w:rsidP="00E91CEA">
      <w:pPr>
        <w:rPr>
          <w:rFonts w:ascii="Times New Roman" w:hAnsi="Times New Roman" w:cs="Times New Roman"/>
          <w:sz w:val="28"/>
          <w:szCs w:val="28"/>
        </w:rPr>
      </w:pPr>
      <w:r w:rsidRPr="003044AA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3095086" cy="795955"/>
            <wp:effectExtent l="19050" t="0" r="0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7589" cy="7965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207" w:rsidRPr="003044AA" w:rsidRDefault="00017207" w:rsidP="00E91CEA">
      <w:pPr>
        <w:rPr>
          <w:rFonts w:ascii="Times New Roman" w:hAnsi="Times New Roman" w:cs="Times New Roman"/>
          <w:sz w:val="28"/>
          <w:szCs w:val="28"/>
        </w:rPr>
      </w:pPr>
      <w:r w:rsidRPr="003044AA">
        <w:rPr>
          <w:rFonts w:ascii="Times New Roman" w:hAnsi="Times New Roman" w:cs="Times New Roman"/>
          <w:b/>
          <w:sz w:val="28"/>
          <w:szCs w:val="28"/>
        </w:rPr>
        <w:t>2)</w:t>
      </w:r>
      <w:r w:rsidRPr="003044AA">
        <w:rPr>
          <w:rFonts w:ascii="Times New Roman" w:hAnsi="Times New Roman" w:cs="Times New Roman"/>
          <w:sz w:val="28"/>
          <w:szCs w:val="28"/>
        </w:rPr>
        <w:t xml:space="preserve"> Звіти по препаратам та області для Нац. склад</w:t>
      </w:r>
      <w:r w:rsidR="003E27A6">
        <w:rPr>
          <w:rFonts w:ascii="Times New Roman" w:hAnsi="Times New Roman" w:cs="Times New Roman"/>
          <w:sz w:val="28"/>
          <w:szCs w:val="28"/>
        </w:rPr>
        <w:t>у</w:t>
      </w:r>
      <w:r w:rsidRPr="003044AA">
        <w:rPr>
          <w:rFonts w:ascii="Times New Roman" w:hAnsi="Times New Roman" w:cs="Times New Roman"/>
          <w:sz w:val="28"/>
          <w:szCs w:val="28"/>
        </w:rPr>
        <w:t xml:space="preserve"> відтепер будуються по країні (час побудови значно збільшився, ніж для області</w:t>
      </w:r>
      <w:r w:rsidR="003E6CB1" w:rsidRPr="003044AA">
        <w:rPr>
          <w:rFonts w:ascii="Times New Roman" w:hAnsi="Times New Roman" w:cs="Times New Roman"/>
          <w:sz w:val="28"/>
          <w:szCs w:val="28"/>
        </w:rPr>
        <w:t>,</w:t>
      </w:r>
      <w:r w:rsidRPr="003044AA">
        <w:rPr>
          <w:rFonts w:ascii="Times New Roman" w:hAnsi="Times New Roman" w:cs="Times New Roman"/>
          <w:sz w:val="28"/>
          <w:szCs w:val="28"/>
        </w:rPr>
        <w:t xml:space="preserve"> через велику кількість даних).</w:t>
      </w:r>
    </w:p>
    <w:p w:rsidR="00017207" w:rsidRPr="003044AA" w:rsidRDefault="00017207" w:rsidP="00E91CEA">
      <w:pPr>
        <w:rPr>
          <w:rFonts w:ascii="Times New Roman" w:hAnsi="Times New Roman" w:cs="Times New Roman"/>
          <w:sz w:val="28"/>
          <w:szCs w:val="28"/>
        </w:rPr>
      </w:pPr>
      <w:r w:rsidRPr="003044AA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1328723" cy="2078966"/>
            <wp:effectExtent l="19050" t="0" r="4777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738" cy="207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6CB1" w:rsidRPr="003044AA" w:rsidRDefault="003E6CB1" w:rsidP="00E91CEA">
      <w:pPr>
        <w:rPr>
          <w:rFonts w:ascii="Times New Roman" w:hAnsi="Times New Roman" w:cs="Times New Roman"/>
          <w:sz w:val="28"/>
          <w:szCs w:val="28"/>
        </w:rPr>
      </w:pPr>
      <w:r w:rsidRPr="003044AA">
        <w:rPr>
          <w:rFonts w:ascii="Times New Roman" w:hAnsi="Times New Roman" w:cs="Times New Roman"/>
          <w:b/>
          <w:sz w:val="28"/>
          <w:szCs w:val="28"/>
        </w:rPr>
        <w:t>3)</w:t>
      </w:r>
      <w:r w:rsidRPr="003044AA">
        <w:rPr>
          <w:rFonts w:ascii="Times New Roman" w:hAnsi="Times New Roman" w:cs="Times New Roman"/>
          <w:sz w:val="28"/>
          <w:szCs w:val="28"/>
        </w:rPr>
        <w:t xml:space="preserve"> Додано звіт по залишках. Частина звіту по препаратам. Можна побудувати по ТБ-закладу/області/країні, обрати джерело фінансування, підконтрольність територій та дату звіту.</w:t>
      </w:r>
    </w:p>
    <w:p w:rsidR="00017207" w:rsidRPr="003044AA" w:rsidRDefault="00017207" w:rsidP="00E91CEA">
      <w:pPr>
        <w:rPr>
          <w:rFonts w:ascii="Times New Roman" w:hAnsi="Times New Roman" w:cs="Times New Roman"/>
          <w:sz w:val="28"/>
          <w:szCs w:val="28"/>
        </w:rPr>
      </w:pPr>
      <w:r w:rsidRPr="003044AA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1312182" cy="2053087"/>
            <wp:effectExtent l="19050" t="0" r="2268" b="0"/>
            <wp:docPr id="41" name="Рисунок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913" cy="205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E6CB1" w:rsidRPr="003044AA">
        <w:rPr>
          <w:rFonts w:ascii="Times New Roman" w:hAnsi="Times New Roman" w:cs="Times New Roman"/>
          <w:sz w:val="28"/>
          <w:szCs w:val="28"/>
        </w:rPr>
        <w:t xml:space="preserve"> </w:t>
      </w:r>
      <w:r w:rsidR="003E6CB1" w:rsidRPr="003044AA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4568887" cy="1742536"/>
            <wp:effectExtent l="19050" t="0" r="3113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0888" cy="1743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855" w:rsidRPr="003044AA" w:rsidRDefault="00117953" w:rsidP="00E91CEA">
      <w:pPr>
        <w:rPr>
          <w:rFonts w:ascii="Times New Roman" w:hAnsi="Times New Roman" w:cs="Times New Roman"/>
          <w:sz w:val="28"/>
          <w:szCs w:val="28"/>
        </w:rPr>
      </w:pPr>
      <w:r w:rsidRPr="003044AA">
        <w:rPr>
          <w:rFonts w:ascii="Times New Roman" w:hAnsi="Times New Roman" w:cs="Times New Roman"/>
          <w:b/>
          <w:sz w:val="28"/>
          <w:szCs w:val="28"/>
        </w:rPr>
        <w:t>4)</w:t>
      </w:r>
      <w:r w:rsidRPr="003044AA">
        <w:rPr>
          <w:rFonts w:ascii="Times New Roman" w:hAnsi="Times New Roman" w:cs="Times New Roman"/>
          <w:sz w:val="28"/>
          <w:szCs w:val="28"/>
        </w:rPr>
        <w:t xml:space="preserve"> До звіту по області додані у вигляді коментарів</w:t>
      </w:r>
      <w:r w:rsidR="00733855" w:rsidRPr="003044AA">
        <w:rPr>
          <w:rFonts w:ascii="Times New Roman" w:hAnsi="Times New Roman" w:cs="Times New Roman"/>
          <w:sz w:val="28"/>
          <w:szCs w:val="28"/>
        </w:rPr>
        <w:t xml:space="preserve"> місцезнаходження серій, в який закінчується термін придатності</w:t>
      </w:r>
      <w:r w:rsidRPr="003044AA">
        <w:rPr>
          <w:rFonts w:ascii="Times New Roman" w:hAnsi="Times New Roman" w:cs="Times New Roman"/>
          <w:sz w:val="28"/>
          <w:szCs w:val="28"/>
        </w:rPr>
        <w:t xml:space="preserve"> (</w:t>
      </w:r>
      <w:r w:rsidR="00733855" w:rsidRPr="003044AA">
        <w:rPr>
          <w:rFonts w:ascii="Times New Roman" w:hAnsi="Times New Roman" w:cs="Times New Roman"/>
          <w:sz w:val="28"/>
          <w:szCs w:val="28"/>
        </w:rPr>
        <w:t xml:space="preserve">коментарі </w:t>
      </w:r>
      <w:r w:rsidRPr="003044AA">
        <w:rPr>
          <w:rFonts w:ascii="Times New Roman" w:hAnsi="Times New Roman" w:cs="Times New Roman"/>
          <w:sz w:val="28"/>
          <w:szCs w:val="28"/>
        </w:rPr>
        <w:t>не відображаються при дру</w:t>
      </w:r>
      <w:r w:rsidR="003E27A6">
        <w:rPr>
          <w:rFonts w:ascii="Times New Roman" w:hAnsi="Times New Roman" w:cs="Times New Roman"/>
          <w:sz w:val="28"/>
          <w:szCs w:val="28"/>
        </w:rPr>
        <w:t>куванні</w:t>
      </w:r>
      <w:r w:rsidRPr="003044AA">
        <w:rPr>
          <w:rFonts w:ascii="Times New Roman" w:hAnsi="Times New Roman" w:cs="Times New Roman"/>
          <w:sz w:val="28"/>
          <w:szCs w:val="28"/>
        </w:rPr>
        <w:t>)</w:t>
      </w:r>
      <w:r w:rsidR="003E27A6">
        <w:rPr>
          <w:rFonts w:ascii="Times New Roman" w:hAnsi="Times New Roman" w:cs="Times New Roman"/>
          <w:sz w:val="28"/>
          <w:szCs w:val="28"/>
        </w:rPr>
        <w:t>.</w:t>
      </w:r>
    </w:p>
    <w:p w:rsidR="00117953" w:rsidRPr="003044AA" w:rsidRDefault="00733855" w:rsidP="00E91CEA">
      <w:pPr>
        <w:rPr>
          <w:rFonts w:ascii="Times New Roman" w:hAnsi="Times New Roman" w:cs="Times New Roman"/>
          <w:sz w:val="28"/>
          <w:szCs w:val="28"/>
        </w:rPr>
      </w:pPr>
      <w:r w:rsidRPr="003044AA">
        <w:rPr>
          <w:rFonts w:ascii="Times New Roman" w:hAnsi="Times New Roman" w:cs="Times New Roman"/>
          <w:sz w:val="28"/>
          <w:szCs w:val="28"/>
        </w:rPr>
        <w:t>Формат &lt;кількість одиниць&gt; - &lt;номер серії&gt; - &lt;термін придатності&gt; - &lt;ТБ-заклад&gt;.</w:t>
      </w:r>
    </w:p>
    <w:p w:rsidR="004F20E5" w:rsidRPr="003044AA" w:rsidRDefault="00733855">
      <w:pPr>
        <w:rPr>
          <w:rFonts w:ascii="Times New Roman" w:eastAsiaTheme="majorEastAsia" w:hAnsi="Times New Roman" w:cs="Times New Roman"/>
          <w:bCs/>
          <w:color w:val="4F81BD" w:themeColor="accent1"/>
          <w:sz w:val="28"/>
          <w:szCs w:val="28"/>
        </w:rPr>
      </w:pPr>
      <w:r w:rsidRPr="003044AA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2767283" cy="1219863"/>
            <wp:effectExtent l="19050" t="0" r="0" b="0"/>
            <wp:docPr id="68" name="Рисунок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37446" t="50378" r="35093" b="280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283" cy="1219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20E5" w:rsidRPr="003044AA">
        <w:rPr>
          <w:rFonts w:ascii="Times New Roman" w:hAnsi="Times New Roman" w:cs="Times New Roman"/>
          <w:sz w:val="28"/>
          <w:szCs w:val="28"/>
        </w:rPr>
        <w:br w:type="page"/>
      </w:r>
    </w:p>
    <w:p w:rsidR="00017207" w:rsidRPr="003044AA" w:rsidRDefault="004F20E5" w:rsidP="004F20E5">
      <w:pPr>
        <w:pStyle w:val="Heading2"/>
        <w:rPr>
          <w:rFonts w:ascii="Times New Roman" w:hAnsi="Times New Roman" w:cs="Times New Roman"/>
          <w:sz w:val="28"/>
          <w:szCs w:val="28"/>
        </w:rPr>
      </w:pPr>
      <w:r w:rsidRPr="003044AA">
        <w:rPr>
          <w:rFonts w:ascii="Times New Roman" w:hAnsi="Times New Roman" w:cs="Times New Roman"/>
          <w:sz w:val="28"/>
          <w:szCs w:val="28"/>
        </w:rPr>
        <w:lastRenderedPageBreak/>
        <w:t>Реєстраційні посвідчення</w:t>
      </w:r>
    </w:p>
    <w:p w:rsidR="004F20E5" w:rsidRPr="003044AA" w:rsidRDefault="004F20E5" w:rsidP="004F20E5">
      <w:pPr>
        <w:rPr>
          <w:rFonts w:ascii="Times New Roman" w:hAnsi="Times New Roman" w:cs="Times New Roman"/>
          <w:sz w:val="28"/>
          <w:szCs w:val="28"/>
        </w:rPr>
      </w:pPr>
      <w:r w:rsidRPr="003044AA">
        <w:rPr>
          <w:rFonts w:ascii="Times New Roman" w:hAnsi="Times New Roman" w:cs="Times New Roman"/>
          <w:sz w:val="28"/>
          <w:szCs w:val="28"/>
        </w:rPr>
        <w:t>В лівому меню з'явився блок "Інструменти", в якому є посилання на список реєстраційних посвідчень:</w:t>
      </w:r>
    </w:p>
    <w:p w:rsidR="004F20E5" w:rsidRPr="003044AA" w:rsidRDefault="004F20E5" w:rsidP="004F20E5">
      <w:pPr>
        <w:rPr>
          <w:rFonts w:ascii="Times New Roman" w:hAnsi="Times New Roman" w:cs="Times New Roman"/>
          <w:sz w:val="28"/>
          <w:szCs w:val="28"/>
        </w:rPr>
      </w:pPr>
      <w:r w:rsidRPr="003044AA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1266286" cy="951246"/>
            <wp:effectExtent l="19050" t="0" r="0" b="0"/>
            <wp:docPr id="53" name="Рисунок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707" cy="952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20E5" w:rsidRPr="003044AA" w:rsidRDefault="004F20E5" w:rsidP="004F20E5">
      <w:pPr>
        <w:rPr>
          <w:rFonts w:ascii="Times New Roman" w:hAnsi="Times New Roman" w:cs="Times New Roman"/>
          <w:sz w:val="28"/>
          <w:szCs w:val="28"/>
        </w:rPr>
      </w:pPr>
      <w:r w:rsidRPr="003044AA">
        <w:rPr>
          <w:rFonts w:ascii="Times New Roman" w:hAnsi="Times New Roman" w:cs="Times New Roman"/>
          <w:sz w:val="28"/>
          <w:szCs w:val="28"/>
        </w:rPr>
        <w:t>Для кращого орієнтування у формі присутні фільтри по препарату та виробнику.</w:t>
      </w:r>
    </w:p>
    <w:p w:rsidR="004F20E5" w:rsidRPr="003044AA" w:rsidRDefault="004F20E5" w:rsidP="004F20E5">
      <w:pPr>
        <w:rPr>
          <w:rFonts w:ascii="Times New Roman" w:hAnsi="Times New Roman" w:cs="Times New Roman"/>
          <w:sz w:val="28"/>
          <w:szCs w:val="28"/>
        </w:rPr>
      </w:pPr>
      <w:r w:rsidRPr="003044AA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6120130" cy="4823176"/>
            <wp:effectExtent l="19050" t="0" r="0" b="0"/>
            <wp:docPr id="56" name="Рисунок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823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0FBC" w:rsidRPr="003044AA" w:rsidRDefault="00580FBC" w:rsidP="004F20E5">
      <w:pPr>
        <w:rPr>
          <w:rFonts w:ascii="Times New Roman" w:hAnsi="Times New Roman" w:cs="Times New Roman"/>
          <w:sz w:val="28"/>
          <w:szCs w:val="28"/>
        </w:rPr>
      </w:pPr>
      <w:r w:rsidRPr="003044AA">
        <w:rPr>
          <w:rFonts w:ascii="Times New Roman" w:hAnsi="Times New Roman" w:cs="Times New Roman"/>
          <w:sz w:val="28"/>
          <w:szCs w:val="28"/>
        </w:rPr>
        <w:t>При натисканні на номер реєстр</w:t>
      </w:r>
      <w:r w:rsidR="003E27A6">
        <w:rPr>
          <w:rFonts w:ascii="Times New Roman" w:hAnsi="Times New Roman" w:cs="Times New Roman"/>
          <w:sz w:val="28"/>
          <w:szCs w:val="28"/>
        </w:rPr>
        <w:t>аційного</w:t>
      </w:r>
      <w:r w:rsidRPr="003044AA">
        <w:rPr>
          <w:rFonts w:ascii="Times New Roman" w:hAnsi="Times New Roman" w:cs="Times New Roman"/>
          <w:sz w:val="28"/>
          <w:szCs w:val="28"/>
        </w:rPr>
        <w:t xml:space="preserve"> посвідчення можна перейти у форму ред</w:t>
      </w:r>
      <w:r w:rsidR="003E27A6">
        <w:rPr>
          <w:rFonts w:ascii="Times New Roman" w:hAnsi="Times New Roman" w:cs="Times New Roman"/>
          <w:sz w:val="28"/>
          <w:szCs w:val="28"/>
        </w:rPr>
        <w:t>агування.</w:t>
      </w:r>
    </w:p>
    <w:p w:rsidR="00580FBC" w:rsidRPr="003044AA" w:rsidRDefault="00580FBC" w:rsidP="004F20E5">
      <w:pPr>
        <w:rPr>
          <w:rFonts w:ascii="Times New Roman" w:hAnsi="Times New Roman" w:cs="Times New Roman"/>
          <w:sz w:val="28"/>
          <w:szCs w:val="28"/>
        </w:rPr>
      </w:pPr>
      <w:r w:rsidRPr="003044AA">
        <w:rPr>
          <w:rFonts w:ascii="Times New Roman" w:hAnsi="Times New Roman" w:cs="Times New Roman"/>
          <w:sz w:val="28"/>
          <w:szCs w:val="28"/>
        </w:rPr>
        <w:t>У формі можна побачити які серії у Реєстрі прив'язані до обраного реєстраційного посвідчення. Препарат та виробника не можна змінити при наявності прив'язаних серій.</w:t>
      </w:r>
    </w:p>
    <w:p w:rsidR="00580FBC" w:rsidRPr="003044AA" w:rsidRDefault="00580FBC" w:rsidP="004F20E5">
      <w:pPr>
        <w:rPr>
          <w:rFonts w:ascii="Times New Roman" w:hAnsi="Times New Roman" w:cs="Times New Roman"/>
          <w:sz w:val="28"/>
          <w:szCs w:val="28"/>
        </w:rPr>
      </w:pPr>
      <w:r w:rsidRPr="003044AA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6120130" cy="3688556"/>
            <wp:effectExtent l="19050" t="0" r="0" b="0"/>
            <wp:docPr id="59" name="Рисунок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688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52F" w:rsidRPr="003044AA" w:rsidRDefault="003C752F" w:rsidP="003C752F">
      <w:pPr>
        <w:rPr>
          <w:rFonts w:ascii="Times New Roman" w:hAnsi="Times New Roman" w:cs="Times New Roman"/>
          <w:sz w:val="28"/>
          <w:szCs w:val="28"/>
        </w:rPr>
      </w:pPr>
      <w:r w:rsidRPr="003044AA">
        <w:rPr>
          <w:rFonts w:ascii="Times New Roman" w:hAnsi="Times New Roman" w:cs="Times New Roman"/>
          <w:sz w:val="28"/>
          <w:szCs w:val="28"/>
        </w:rPr>
        <w:t>Також при наявності прив'язаних серій немає можливості видалити реєстр</w:t>
      </w:r>
      <w:r w:rsidR="003E27A6">
        <w:rPr>
          <w:rFonts w:ascii="Times New Roman" w:hAnsi="Times New Roman" w:cs="Times New Roman"/>
          <w:sz w:val="28"/>
          <w:szCs w:val="28"/>
        </w:rPr>
        <w:t>аційне</w:t>
      </w:r>
      <w:r w:rsidRPr="003044AA">
        <w:rPr>
          <w:rFonts w:ascii="Times New Roman" w:hAnsi="Times New Roman" w:cs="Times New Roman"/>
          <w:sz w:val="28"/>
          <w:szCs w:val="28"/>
        </w:rPr>
        <w:t xml:space="preserve"> посвідчення. Якщо обране реєстраційне є помилковим і вказаний список серій повинен відноситись до іншого реєстраційного посвідчення (в тому числі незареєстрованого), його необхідно об'єднати з правильним реєстр. посвідченням. </w:t>
      </w:r>
    </w:p>
    <w:p w:rsidR="00117953" w:rsidRPr="003044AA" w:rsidRDefault="00117953" w:rsidP="003C752F">
      <w:pPr>
        <w:rPr>
          <w:rFonts w:ascii="Times New Roman" w:hAnsi="Times New Roman" w:cs="Times New Roman"/>
          <w:sz w:val="28"/>
          <w:szCs w:val="28"/>
        </w:rPr>
      </w:pPr>
      <w:r w:rsidRPr="003044AA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6120130" cy="1567186"/>
            <wp:effectExtent l="19050" t="0" r="0" b="0"/>
            <wp:docPr id="9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5671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52F" w:rsidRPr="003044AA" w:rsidRDefault="003C752F" w:rsidP="003C752F">
      <w:pPr>
        <w:rPr>
          <w:rFonts w:ascii="Times New Roman" w:hAnsi="Times New Roman" w:cs="Times New Roman"/>
          <w:sz w:val="28"/>
          <w:szCs w:val="28"/>
        </w:rPr>
      </w:pPr>
      <w:r w:rsidRPr="003044AA">
        <w:rPr>
          <w:rFonts w:ascii="Times New Roman" w:hAnsi="Times New Roman" w:cs="Times New Roman"/>
          <w:sz w:val="28"/>
          <w:szCs w:val="28"/>
        </w:rPr>
        <w:t>Для цього:</w:t>
      </w:r>
    </w:p>
    <w:p w:rsidR="003C752F" w:rsidRPr="003044AA" w:rsidRDefault="003C752F" w:rsidP="003C752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44AA">
        <w:rPr>
          <w:rFonts w:ascii="Times New Roman" w:hAnsi="Times New Roman" w:cs="Times New Roman"/>
          <w:sz w:val="28"/>
          <w:szCs w:val="28"/>
        </w:rPr>
        <w:t>Оберіть необхідну галочку. З'явиться список посвідчень, з якими можна об'єднатись (список відбирається за принципом препарат+виробник).</w:t>
      </w:r>
    </w:p>
    <w:p w:rsidR="003C752F" w:rsidRPr="003044AA" w:rsidRDefault="003C752F" w:rsidP="003C752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44AA">
        <w:rPr>
          <w:rFonts w:ascii="Times New Roman" w:hAnsi="Times New Roman" w:cs="Times New Roman"/>
          <w:sz w:val="28"/>
          <w:szCs w:val="28"/>
        </w:rPr>
        <w:t>Оберіть правильне посвідчення, до якого повинні бути віднесені серії.</w:t>
      </w:r>
    </w:p>
    <w:p w:rsidR="003C752F" w:rsidRPr="003044AA" w:rsidRDefault="003C752F" w:rsidP="003C752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3044AA">
        <w:rPr>
          <w:rFonts w:ascii="Times New Roman" w:hAnsi="Times New Roman" w:cs="Times New Roman"/>
          <w:sz w:val="28"/>
          <w:szCs w:val="28"/>
        </w:rPr>
        <w:t>Натисніть "Виконати". Підтвердити дію. Програма виконає та поверн</w:t>
      </w:r>
      <w:r w:rsidR="00117953" w:rsidRPr="003044AA">
        <w:rPr>
          <w:rFonts w:ascii="Times New Roman" w:hAnsi="Times New Roman" w:cs="Times New Roman"/>
          <w:sz w:val="28"/>
          <w:szCs w:val="28"/>
        </w:rPr>
        <w:t>е на сторінку списку посвідчень:</w:t>
      </w:r>
    </w:p>
    <w:p w:rsidR="00117953" w:rsidRPr="003044AA" w:rsidRDefault="00117953" w:rsidP="00117953">
      <w:pPr>
        <w:rPr>
          <w:rFonts w:ascii="Times New Roman" w:hAnsi="Times New Roman" w:cs="Times New Roman"/>
          <w:sz w:val="28"/>
          <w:szCs w:val="28"/>
        </w:rPr>
      </w:pPr>
      <w:r w:rsidRPr="003044AA">
        <w:rPr>
          <w:rFonts w:ascii="Times New Roman" w:hAnsi="Times New Roman" w:cs="Times New Roman"/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6120130" cy="3901431"/>
            <wp:effectExtent l="19050" t="0" r="0" b="0"/>
            <wp:docPr id="65" name="Рисунок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01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52F" w:rsidRPr="003044AA" w:rsidRDefault="003C752F" w:rsidP="004F20E5">
      <w:pPr>
        <w:rPr>
          <w:rFonts w:ascii="Times New Roman" w:hAnsi="Times New Roman" w:cs="Times New Roman"/>
          <w:sz w:val="28"/>
          <w:szCs w:val="28"/>
        </w:rPr>
      </w:pPr>
    </w:p>
    <w:sectPr w:rsidR="003C752F" w:rsidRPr="003044AA" w:rsidSect="009B79F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29"/>
    <w:multiLevelType w:val="hybridMultilevel"/>
    <w:tmpl w:val="DAD6CCD0"/>
    <w:lvl w:ilvl="0" w:tplc="D27A0C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D667B"/>
    <w:multiLevelType w:val="hybridMultilevel"/>
    <w:tmpl w:val="970AFE6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A372B"/>
    <w:multiLevelType w:val="hybridMultilevel"/>
    <w:tmpl w:val="6016822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E3A3C"/>
    <w:multiLevelType w:val="hybridMultilevel"/>
    <w:tmpl w:val="B964C2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070310"/>
    <w:multiLevelType w:val="hybridMultilevel"/>
    <w:tmpl w:val="764A7C6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8C07E4"/>
    <w:multiLevelType w:val="hybridMultilevel"/>
    <w:tmpl w:val="34DAE450"/>
    <w:lvl w:ilvl="0" w:tplc="8AF6914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ED18F3"/>
    <w:multiLevelType w:val="hybridMultilevel"/>
    <w:tmpl w:val="8C9C9D1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9272B"/>
    <w:multiLevelType w:val="hybridMultilevel"/>
    <w:tmpl w:val="B830B59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193F15"/>
    <w:multiLevelType w:val="hybridMultilevel"/>
    <w:tmpl w:val="9410C2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02B9"/>
    <w:rsid w:val="0001556F"/>
    <w:rsid w:val="00017207"/>
    <w:rsid w:val="00017ACF"/>
    <w:rsid w:val="00026AAA"/>
    <w:rsid w:val="00033B76"/>
    <w:rsid w:val="000631FA"/>
    <w:rsid w:val="00084D2F"/>
    <w:rsid w:val="000863EF"/>
    <w:rsid w:val="000B1D48"/>
    <w:rsid w:val="000C5992"/>
    <w:rsid w:val="000E174F"/>
    <w:rsid w:val="000E7A98"/>
    <w:rsid w:val="00117953"/>
    <w:rsid w:val="0012422B"/>
    <w:rsid w:val="0016142D"/>
    <w:rsid w:val="00173907"/>
    <w:rsid w:val="001908E0"/>
    <w:rsid w:val="001A157E"/>
    <w:rsid w:val="001A7A89"/>
    <w:rsid w:val="001F1FBF"/>
    <w:rsid w:val="00206544"/>
    <w:rsid w:val="00230AEE"/>
    <w:rsid w:val="002322BF"/>
    <w:rsid w:val="00274A7B"/>
    <w:rsid w:val="002D3706"/>
    <w:rsid w:val="002E42A5"/>
    <w:rsid w:val="002E5114"/>
    <w:rsid w:val="00302850"/>
    <w:rsid w:val="00303798"/>
    <w:rsid w:val="003044AA"/>
    <w:rsid w:val="00332288"/>
    <w:rsid w:val="00394F38"/>
    <w:rsid w:val="003C752F"/>
    <w:rsid w:val="003E27A6"/>
    <w:rsid w:val="003E6CB1"/>
    <w:rsid w:val="0041693C"/>
    <w:rsid w:val="004315EA"/>
    <w:rsid w:val="004829C6"/>
    <w:rsid w:val="004D1BC6"/>
    <w:rsid w:val="004D45B1"/>
    <w:rsid w:val="004E01A4"/>
    <w:rsid w:val="004F1310"/>
    <w:rsid w:val="004F20E5"/>
    <w:rsid w:val="00502C65"/>
    <w:rsid w:val="00527EE2"/>
    <w:rsid w:val="005312C7"/>
    <w:rsid w:val="00534B66"/>
    <w:rsid w:val="005368F9"/>
    <w:rsid w:val="00546E39"/>
    <w:rsid w:val="0057133E"/>
    <w:rsid w:val="00580FBC"/>
    <w:rsid w:val="005A4AC5"/>
    <w:rsid w:val="005B03AF"/>
    <w:rsid w:val="005D7D67"/>
    <w:rsid w:val="005E692C"/>
    <w:rsid w:val="005F2492"/>
    <w:rsid w:val="005F3614"/>
    <w:rsid w:val="00600394"/>
    <w:rsid w:val="00605EF2"/>
    <w:rsid w:val="006071E4"/>
    <w:rsid w:val="006116AA"/>
    <w:rsid w:val="00632004"/>
    <w:rsid w:val="006B15CD"/>
    <w:rsid w:val="006F68E4"/>
    <w:rsid w:val="007020D2"/>
    <w:rsid w:val="0071574A"/>
    <w:rsid w:val="00715F2E"/>
    <w:rsid w:val="00733855"/>
    <w:rsid w:val="00740624"/>
    <w:rsid w:val="0074401E"/>
    <w:rsid w:val="00763823"/>
    <w:rsid w:val="00765A93"/>
    <w:rsid w:val="00774D10"/>
    <w:rsid w:val="007A41FE"/>
    <w:rsid w:val="007B6A88"/>
    <w:rsid w:val="007B6E60"/>
    <w:rsid w:val="007C08F0"/>
    <w:rsid w:val="007C2A20"/>
    <w:rsid w:val="007D0152"/>
    <w:rsid w:val="007D1CEC"/>
    <w:rsid w:val="007E4982"/>
    <w:rsid w:val="00805F14"/>
    <w:rsid w:val="00807893"/>
    <w:rsid w:val="0083051B"/>
    <w:rsid w:val="00857FCC"/>
    <w:rsid w:val="00874E91"/>
    <w:rsid w:val="00880360"/>
    <w:rsid w:val="008A136D"/>
    <w:rsid w:val="008C02B9"/>
    <w:rsid w:val="008F0C71"/>
    <w:rsid w:val="008F1CB8"/>
    <w:rsid w:val="00910B91"/>
    <w:rsid w:val="0091206B"/>
    <w:rsid w:val="00950751"/>
    <w:rsid w:val="009530C2"/>
    <w:rsid w:val="0095701B"/>
    <w:rsid w:val="009953B0"/>
    <w:rsid w:val="009B011E"/>
    <w:rsid w:val="009B79F4"/>
    <w:rsid w:val="009C3E91"/>
    <w:rsid w:val="009D2E0A"/>
    <w:rsid w:val="009D2F75"/>
    <w:rsid w:val="009D4096"/>
    <w:rsid w:val="009E5C3A"/>
    <w:rsid w:val="009F1F4C"/>
    <w:rsid w:val="00A759A2"/>
    <w:rsid w:val="00A77D67"/>
    <w:rsid w:val="00A93297"/>
    <w:rsid w:val="00AF5E31"/>
    <w:rsid w:val="00B15E6A"/>
    <w:rsid w:val="00B175F9"/>
    <w:rsid w:val="00B7177E"/>
    <w:rsid w:val="00B76692"/>
    <w:rsid w:val="00B9134B"/>
    <w:rsid w:val="00B91B2D"/>
    <w:rsid w:val="00B938CC"/>
    <w:rsid w:val="00B95D5A"/>
    <w:rsid w:val="00BD5288"/>
    <w:rsid w:val="00C03026"/>
    <w:rsid w:val="00C03113"/>
    <w:rsid w:val="00C21ED3"/>
    <w:rsid w:val="00C23A17"/>
    <w:rsid w:val="00C462C7"/>
    <w:rsid w:val="00C634EC"/>
    <w:rsid w:val="00C86C21"/>
    <w:rsid w:val="00C975EB"/>
    <w:rsid w:val="00CB1C0D"/>
    <w:rsid w:val="00CF0803"/>
    <w:rsid w:val="00D03C7F"/>
    <w:rsid w:val="00D10C28"/>
    <w:rsid w:val="00D4485E"/>
    <w:rsid w:val="00D52CB1"/>
    <w:rsid w:val="00D67B91"/>
    <w:rsid w:val="00D708F7"/>
    <w:rsid w:val="00D75364"/>
    <w:rsid w:val="00D845D6"/>
    <w:rsid w:val="00D93CC9"/>
    <w:rsid w:val="00DA063E"/>
    <w:rsid w:val="00DA0BDD"/>
    <w:rsid w:val="00E26BED"/>
    <w:rsid w:val="00E26F8A"/>
    <w:rsid w:val="00E33245"/>
    <w:rsid w:val="00E54583"/>
    <w:rsid w:val="00E62A9D"/>
    <w:rsid w:val="00E81EC1"/>
    <w:rsid w:val="00E91449"/>
    <w:rsid w:val="00E91CEA"/>
    <w:rsid w:val="00EE559E"/>
    <w:rsid w:val="00EF0170"/>
    <w:rsid w:val="00F0189A"/>
    <w:rsid w:val="00F238B9"/>
    <w:rsid w:val="00F562B8"/>
    <w:rsid w:val="00F8483A"/>
    <w:rsid w:val="00FB1B9E"/>
    <w:rsid w:val="00FB315F"/>
    <w:rsid w:val="00FB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1071DF-D7BA-4B95-B3DA-B1D1C191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2850"/>
  </w:style>
  <w:style w:type="paragraph" w:styleId="Heading1">
    <w:name w:val="heading 1"/>
    <w:basedOn w:val="Normal"/>
    <w:next w:val="Normal"/>
    <w:link w:val="Heading1Char"/>
    <w:uiPriority w:val="9"/>
    <w:qFormat/>
    <w:rsid w:val="005368F9"/>
    <w:pPr>
      <w:keepNext/>
      <w:keepLines/>
      <w:spacing w:before="480" w:after="0"/>
      <w:outlineLvl w:val="0"/>
    </w:pPr>
    <w:rPr>
      <w:rFonts w:ascii="Calibri Light" w:eastAsiaTheme="majorEastAsia" w:hAnsi="Calibri Light" w:cstheme="majorBidi"/>
      <w:bCs/>
      <w:color w:val="365F91" w:themeColor="accent1" w:themeShade="BF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68F9"/>
    <w:pPr>
      <w:keepNext/>
      <w:keepLines/>
      <w:spacing w:before="200" w:after="0"/>
      <w:outlineLvl w:val="1"/>
    </w:pPr>
    <w:rPr>
      <w:rFonts w:ascii="Calibri Light" w:eastAsiaTheme="majorEastAsia" w:hAnsi="Calibri Light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68E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E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5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9A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7133E"/>
    <w:pPr>
      <w:spacing w:after="0" w:line="240" w:lineRule="auto"/>
    </w:pPr>
  </w:style>
  <w:style w:type="character" w:customStyle="1" w:styleId="value">
    <w:name w:val="value"/>
    <w:basedOn w:val="DefaultParagraphFont"/>
    <w:rsid w:val="00715F2E"/>
  </w:style>
  <w:style w:type="character" w:customStyle="1" w:styleId="Heading1Char">
    <w:name w:val="Heading 1 Char"/>
    <w:basedOn w:val="DefaultParagraphFont"/>
    <w:link w:val="Heading1"/>
    <w:uiPriority w:val="9"/>
    <w:rsid w:val="005368F9"/>
    <w:rPr>
      <w:rFonts w:ascii="Calibri Light" w:eastAsiaTheme="majorEastAsia" w:hAnsi="Calibri Light" w:cstheme="majorBidi"/>
      <w:bCs/>
      <w:color w:val="365F91" w:themeColor="accent1" w:themeShade="BF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368F9"/>
    <w:rPr>
      <w:rFonts w:ascii="Calibri Light" w:eastAsiaTheme="majorEastAsia" w:hAnsi="Calibri Light" w:cstheme="majorBidi"/>
      <w:bCs/>
      <w:color w:val="4F81BD" w:themeColor="accent1"/>
      <w:sz w:val="26"/>
      <w:szCs w:val="26"/>
    </w:rPr>
  </w:style>
  <w:style w:type="character" w:customStyle="1" w:styleId="indicator-tables">
    <w:name w:val="indicator-tables"/>
    <w:basedOn w:val="DefaultParagraphFont"/>
    <w:rsid w:val="00B76692"/>
  </w:style>
  <w:style w:type="character" w:customStyle="1" w:styleId="Heading3Char">
    <w:name w:val="Heading 3 Char"/>
    <w:basedOn w:val="DefaultParagraphFont"/>
    <w:link w:val="Heading3"/>
    <w:uiPriority w:val="9"/>
    <w:rsid w:val="006F68E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2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3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9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2128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alexxme</dc:creator>
  <cp:lastModifiedBy>Oksana Haptyanova</cp:lastModifiedBy>
  <cp:revision>25</cp:revision>
  <dcterms:created xsi:type="dcterms:W3CDTF">2016-05-20T15:44:00Z</dcterms:created>
  <dcterms:modified xsi:type="dcterms:W3CDTF">2016-08-15T08:33:00Z</dcterms:modified>
</cp:coreProperties>
</file>