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5.xml" ContentType="application/vnd.openxmlformats-officedocument.themeOverride+xml"/>
  <Override PartName="/word/drawings/drawing1.xml" ContentType="application/vnd.openxmlformats-officedocument.drawingml.chartshapes+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drawings/drawing2.xml" ContentType="application/vnd.openxmlformats-officedocument.drawingml.chartshapes+xml"/>
  <Override PartName="/word/charts/chart49.xml" ContentType="application/vnd.openxmlformats-officedocument.drawingml.chart+xml"/>
  <Override PartName="/word/theme/themeOverride48.xml" ContentType="application/vnd.openxmlformats-officedocument.themeOverride+xml"/>
  <Override PartName="/word/drawings/drawing3.xml" ContentType="application/vnd.openxmlformats-officedocument.drawingml.chartshapes+xml"/>
  <Override PartName="/word/charts/chart5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drawings/drawing4.xml" ContentType="application/vnd.openxmlformats-officedocument.drawingml.chartshapes+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71.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66.xml" ContentType="application/vnd.openxmlformats-officedocument.themeOverride+xml"/>
  <Override PartName="/word/charts/chart72.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theme/themeOverride74.xml" ContentType="application/vnd.openxmlformats-officedocument.themeOverride+xml"/>
  <Override PartName="/word/charts/chart80.xml" ContentType="application/vnd.openxmlformats-officedocument.drawingml.chart+xml"/>
  <Override PartName="/word/theme/themeOverride75.xml" ContentType="application/vnd.openxmlformats-officedocument.themeOverride+xml"/>
  <Override PartName="/word/charts/chart81.xml" ContentType="application/vnd.openxmlformats-officedocument.drawingml.chart+xml"/>
  <Override PartName="/word/theme/themeOverride76.xml" ContentType="application/vnd.openxmlformats-officedocument.themeOverride+xml"/>
  <Override PartName="/word/charts/chart82.xml" ContentType="application/vnd.openxmlformats-officedocument.drawingml.chart+xml"/>
  <Override PartName="/word/theme/themeOverride77.xml" ContentType="application/vnd.openxmlformats-officedocument.themeOverride+xml"/>
  <Override PartName="/word/charts/chart83.xml" ContentType="application/vnd.openxmlformats-officedocument.drawingml.chart+xml"/>
  <Override PartName="/word/theme/themeOverride78.xml" ContentType="application/vnd.openxmlformats-officedocument.themeOverride+xml"/>
  <Override PartName="/word/charts/chart84.xml" ContentType="application/vnd.openxmlformats-officedocument.drawingml.chart+xml"/>
  <Override PartName="/word/theme/themeOverride79.xml" ContentType="application/vnd.openxmlformats-officedocument.themeOverride+xml"/>
  <Override PartName="/word/charts/chart85.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86.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80.xml" ContentType="application/vnd.openxmlformats-officedocument.themeOverride+xml"/>
  <Override PartName="/word/charts/chart87.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88.xml" ContentType="application/vnd.openxmlformats-officedocument.drawingml.chart+xml"/>
  <Override PartName="/word/charts/style62.xml" ContentType="application/vnd.ms-office.chartstyle+xml"/>
  <Override PartName="/word/charts/colors6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ADFF9" w14:textId="50D851FC" w:rsidR="0037225C" w:rsidRPr="0024080D" w:rsidRDefault="00770DF0" w:rsidP="00E65E76">
      <w:pPr>
        <w:ind w:firstLine="0"/>
        <w:jc w:val="center"/>
        <w:rPr>
          <w:rFonts w:cs="Times New Roman"/>
          <w:b/>
          <w:bCs/>
          <w:szCs w:val="28"/>
        </w:rPr>
      </w:pPr>
      <w:bookmarkStart w:id="0" w:name="_Toc88080216"/>
      <w:r w:rsidRPr="0024080D">
        <w:rPr>
          <w:rFonts w:cs="Times New Roman"/>
          <w:b/>
          <w:bCs/>
          <w:szCs w:val="28"/>
        </w:rPr>
        <w:t>ДУ «ЦЕНТР ГРОМАДСЬКОГО ЗДОРОВ</w:t>
      </w:r>
      <w:r w:rsidR="00935E38" w:rsidRPr="0024080D">
        <w:rPr>
          <w:rFonts w:cs="Times New Roman"/>
          <w:b/>
          <w:bCs/>
          <w:szCs w:val="28"/>
        </w:rPr>
        <w:t>’</w:t>
      </w:r>
      <w:r w:rsidRPr="0024080D">
        <w:rPr>
          <w:rFonts w:cs="Times New Roman"/>
          <w:b/>
          <w:bCs/>
          <w:szCs w:val="28"/>
        </w:rPr>
        <w:t>Я МІНІСТЕРСТВА ОХОРОНИ ЗДОРОВ</w:t>
      </w:r>
      <w:r w:rsidR="00935E38" w:rsidRPr="0024080D">
        <w:rPr>
          <w:rFonts w:cs="Times New Roman"/>
          <w:b/>
          <w:bCs/>
          <w:szCs w:val="28"/>
        </w:rPr>
        <w:t>’</w:t>
      </w:r>
      <w:r w:rsidRPr="0024080D">
        <w:rPr>
          <w:rFonts w:cs="Times New Roman"/>
          <w:b/>
          <w:bCs/>
          <w:szCs w:val="28"/>
        </w:rPr>
        <w:t>Я УКРАЇНИ»</w:t>
      </w:r>
      <w:bookmarkEnd w:id="0"/>
    </w:p>
    <w:p w14:paraId="112B9225" w14:textId="77777777" w:rsidR="00D01F6F" w:rsidRPr="0024080D" w:rsidRDefault="00D01F6F" w:rsidP="00E65E76">
      <w:pPr>
        <w:ind w:firstLine="0"/>
        <w:jc w:val="center"/>
        <w:rPr>
          <w:rFonts w:cs="Times New Roman"/>
          <w:b/>
          <w:bCs/>
          <w:szCs w:val="28"/>
        </w:rPr>
      </w:pPr>
    </w:p>
    <w:p w14:paraId="0E2471AE" w14:textId="2E12FA27" w:rsidR="00D87661" w:rsidRPr="0024080D" w:rsidRDefault="00770DF0" w:rsidP="00E65E76">
      <w:pPr>
        <w:ind w:firstLine="0"/>
        <w:jc w:val="center"/>
        <w:rPr>
          <w:rFonts w:cs="Times New Roman"/>
          <w:b/>
          <w:bCs/>
          <w:szCs w:val="28"/>
        </w:rPr>
      </w:pPr>
      <w:bookmarkStart w:id="1" w:name="_Toc88080217"/>
      <w:r w:rsidRPr="0024080D">
        <w:rPr>
          <w:rFonts w:cs="Times New Roman"/>
          <w:b/>
          <w:bCs/>
          <w:szCs w:val="28"/>
        </w:rPr>
        <w:t>ДЗ «ЦЕНТР МЕДИЧНОЇ СТАТИСТИКИ МІНІСТЕРСТВА ОХОРОНИ ЗДОРОВ</w:t>
      </w:r>
      <w:r w:rsidR="00935E38" w:rsidRPr="0024080D">
        <w:rPr>
          <w:rFonts w:cs="Times New Roman"/>
          <w:b/>
          <w:bCs/>
          <w:szCs w:val="28"/>
        </w:rPr>
        <w:t>’</w:t>
      </w:r>
      <w:r w:rsidRPr="0024080D">
        <w:rPr>
          <w:rFonts w:cs="Times New Roman"/>
          <w:b/>
          <w:bCs/>
          <w:szCs w:val="28"/>
        </w:rPr>
        <w:t>Я УКРАЇНИ»</w:t>
      </w:r>
      <w:bookmarkEnd w:id="1"/>
    </w:p>
    <w:p w14:paraId="64519E13" w14:textId="77777777" w:rsidR="00D37F9E" w:rsidRPr="0024080D" w:rsidRDefault="00D37F9E" w:rsidP="00E65E76">
      <w:pPr>
        <w:pStyle w:val="afc"/>
        <w:ind w:left="0" w:firstLine="0"/>
        <w:jc w:val="left"/>
        <w:rPr>
          <w:rFonts w:eastAsia="Times New Roman" w:cs="Times New Roman"/>
          <w:iCs/>
          <w:color w:val="000000"/>
          <w:sz w:val="28"/>
          <w:szCs w:val="28"/>
          <w:lang w:val="uk-UA" w:bidi="en-US"/>
        </w:rPr>
      </w:pPr>
    </w:p>
    <w:p w14:paraId="2A2A2BA0" w14:textId="77777777" w:rsidR="00D37F9E" w:rsidRPr="0024080D" w:rsidRDefault="00D37F9E" w:rsidP="00E65E76">
      <w:pPr>
        <w:pStyle w:val="afc"/>
        <w:ind w:left="0" w:firstLine="0"/>
        <w:jc w:val="left"/>
        <w:rPr>
          <w:rFonts w:cs="Times New Roman"/>
          <w:sz w:val="28"/>
          <w:szCs w:val="28"/>
          <w:lang w:val="uk-UA"/>
        </w:rPr>
      </w:pPr>
    </w:p>
    <w:p w14:paraId="2ED8621B" w14:textId="77777777" w:rsidR="00D37F9E" w:rsidRPr="0024080D" w:rsidRDefault="00D37F9E" w:rsidP="00E65E76">
      <w:pPr>
        <w:pStyle w:val="afc"/>
        <w:ind w:left="0" w:firstLine="0"/>
        <w:jc w:val="left"/>
        <w:rPr>
          <w:rFonts w:cs="Times New Roman"/>
          <w:sz w:val="28"/>
          <w:szCs w:val="28"/>
          <w:lang w:val="uk-UA"/>
        </w:rPr>
      </w:pPr>
    </w:p>
    <w:p w14:paraId="3E387C80" w14:textId="77777777" w:rsidR="00D37F9E" w:rsidRPr="0024080D" w:rsidRDefault="00D37F9E" w:rsidP="00E65E76">
      <w:pPr>
        <w:pStyle w:val="afc"/>
        <w:ind w:left="0" w:firstLine="0"/>
        <w:jc w:val="left"/>
        <w:rPr>
          <w:rFonts w:cs="Times New Roman"/>
          <w:sz w:val="28"/>
          <w:szCs w:val="28"/>
          <w:lang w:val="uk-UA"/>
        </w:rPr>
      </w:pPr>
    </w:p>
    <w:p w14:paraId="180D1A69" w14:textId="77777777" w:rsidR="00D37F9E" w:rsidRPr="0024080D" w:rsidRDefault="00D37F9E" w:rsidP="00E65E76">
      <w:pPr>
        <w:pStyle w:val="afc"/>
        <w:ind w:left="0" w:firstLine="0"/>
        <w:jc w:val="left"/>
        <w:rPr>
          <w:rFonts w:cs="Times New Roman"/>
          <w:sz w:val="28"/>
          <w:szCs w:val="28"/>
          <w:lang w:val="uk-UA"/>
        </w:rPr>
      </w:pPr>
    </w:p>
    <w:p w14:paraId="49BAF4CD" w14:textId="77777777" w:rsidR="00D37F9E" w:rsidRPr="0024080D" w:rsidRDefault="00D37F9E" w:rsidP="00E65E76">
      <w:pPr>
        <w:pStyle w:val="afc"/>
        <w:ind w:left="0" w:firstLine="0"/>
        <w:jc w:val="left"/>
        <w:rPr>
          <w:rFonts w:cs="Times New Roman"/>
          <w:sz w:val="28"/>
          <w:szCs w:val="28"/>
          <w:lang w:val="uk-UA"/>
        </w:rPr>
      </w:pPr>
    </w:p>
    <w:p w14:paraId="244E4154" w14:textId="77777777" w:rsidR="00D37F9E" w:rsidRPr="0024080D" w:rsidRDefault="00D37F9E" w:rsidP="00E65E76">
      <w:pPr>
        <w:pStyle w:val="afc"/>
        <w:ind w:left="0" w:firstLine="0"/>
        <w:jc w:val="left"/>
        <w:rPr>
          <w:rFonts w:cs="Times New Roman"/>
          <w:sz w:val="28"/>
          <w:szCs w:val="28"/>
          <w:lang w:val="uk-UA"/>
        </w:rPr>
      </w:pPr>
    </w:p>
    <w:p w14:paraId="692CF9B9" w14:textId="77777777" w:rsidR="00D37F9E" w:rsidRPr="0024080D" w:rsidRDefault="00D37F9E" w:rsidP="00E65E76">
      <w:pPr>
        <w:pStyle w:val="afc"/>
        <w:ind w:left="0" w:firstLine="0"/>
        <w:jc w:val="left"/>
        <w:rPr>
          <w:rFonts w:cs="Times New Roman"/>
          <w:sz w:val="28"/>
          <w:szCs w:val="28"/>
          <w:lang w:val="uk-UA"/>
        </w:rPr>
      </w:pPr>
    </w:p>
    <w:p w14:paraId="7D750F9C" w14:textId="77777777" w:rsidR="00D37F9E" w:rsidRPr="0024080D" w:rsidRDefault="00D37F9E" w:rsidP="00E65E76">
      <w:pPr>
        <w:pStyle w:val="afc"/>
        <w:ind w:left="0" w:firstLine="0"/>
        <w:jc w:val="left"/>
        <w:rPr>
          <w:rFonts w:cs="Times New Roman"/>
          <w:sz w:val="28"/>
          <w:szCs w:val="28"/>
          <w:lang w:val="uk-UA"/>
        </w:rPr>
      </w:pPr>
    </w:p>
    <w:p w14:paraId="0EE4D8F9" w14:textId="77777777" w:rsidR="00D37F9E" w:rsidRPr="0024080D" w:rsidRDefault="00D37F9E" w:rsidP="00E65E76">
      <w:pPr>
        <w:pStyle w:val="afc"/>
        <w:ind w:left="0" w:firstLine="0"/>
        <w:jc w:val="left"/>
        <w:rPr>
          <w:rFonts w:cs="Times New Roman"/>
          <w:sz w:val="28"/>
          <w:szCs w:val="28"/>
          <w:lang w:val="uk-UA"/>
        </w:rPr>
      </w:pPr>
    </w:p>
    <w:p w14:paraId="7C648153" w14:textId="77777777" w:rsidR="00D37F9E" w:rsidRPr="0024080D" w:rsidRDefault="00D37F9E" w:rsidP="00E65E76">
      <w:pPr>
        <w:pStyle w:val="afc"/>
        <w:ind w:left="0" w:firstLine="0"/>
        <w:jc w:val="left"/>
        <w:rPr>
          <w:rFonts w:cs="Times New Roman"/>
          <w:sz w:val="28"/>
          <w:szCs w:val="28"/>
          <w:lang w:val="uk-UA"/>
        </w:rPr>
      </w:pPr>
    </w:p>
    <w:p w14:paraId="36C2482F" w14:textId="77777777" w:rsidR="00D37F9E" w:rsidRPr="0024080D" w:rsidRDefault="00D37F9E" w:rsidP="00E65E76">
      <w:pPr>
        <w:pStyle w:val="afc"/>
        <w:ind w:left="0" w:firstLine="0"/>
        <w:jc w:val="left"/>
        <w:rPr>
          <w:rFonts w:cs="Times New Roman"/>
          <w:sz w:val="28"/>
          <w:szCs w:val="28"/>
          <w:lang w:val="uk-UA"/>
        </w:rPr>
      </w:pPr>
    </w:p>
    <w:p w14:paraId="565816A7" w14:textId="77777777" w:rsidR="00D37F9E" w:rsidRPr="0024080D" w:rsidRDefault="00D37F9E" w:rsidP="00E65E76">
      <w:pPr>
        <w:pStyle w:val="afc"/>
        <w:ind w:left="0" w:firstLine="0"/>
        <w:jc w:val="left"/>
        <w:rPr>
          <w:rFonts w:cs="Times New Roman"/>
          <w:sz w:val="28"/>
          <w:szCs w:val="28"/>
          <w:lang w:val="uk-UA"/>
        </w:rPr>
      </w:pPr>
    </w:p>
    <w:p w14:paraId="0C69EDDF" w14:textId="77777777" w:rsidR="00D37F9E" w:rsidRPr="0024080D" w:rsidRDefault="00D37F9E" w:rsidP="00E65E76">
      <w:pPr>
        <w:pStyle w:val="afc"/>
        <w:ind w:left="0" w:firstLine="0"/>
        <w:jc w:val="left"/>
        <w:rPr>
          <w:rFonts w:cs="Times New Roman"/>
          <w:sz w:val="28"/>
          <w:szCs w:val="28"/>
          <w:lang w:val="uk-UA"/>
        </w:rPr>
      </w:pPr>
    </w:p>
    <w:p w14:paraId="56D73863" w14:textId="77777777" w:rsidR="00D37F9E" w:rsidRPr="0024080D" w:rsidRDefault="00D37F9E" w:rsidP="00E65E76">
      <w:pPr>
        <w:pStyle w:val="afc"/>
        <w:ind w:left="0" w:firstLine="0"/>
        <w:jc w:val="left"/>
        <w:rPr>
          <w:rFonts w:cs="Times New Roman"/>
          <w:sz w:val="28"/>
          <w:szCs w:val="28"/>
          <w:lang w:val="uk-UA"/>
        </w:rPr>
      </w:pPr>
    </w:p>
    <w:p w14:paraId="2729CFDE" w14:textId="58DE9407" w:rsidR="00D87661" w:rsidRPr="0024080D" w:rsidRDefault="00770DF0" w:rsidP="00E65E76">
      <w:pPr>
        <w:widowControl w:val="0"/>
        <w:pBdr>
          <w:top w:val="nil"/>
          <w:left w:val="nil"/>
          <w:bottom w:val="nil"/>
          <w:right w:val="nil"/>
          <w:between w:val="nil"/>
        </w:pBdr>
        <w:ind w:firstLine="0"/>
        <w:jc w:val="center"/>
        <w:rPr>
          <w:rFonts w:cs="Times New Roman"/>
          <w:b/>
          <w:szCs w:val="28"/>
        </w:rPr>
      </w:pPr>
      <w:r w:rsidRPr="0024080D">
        <w:rPr>
          <w:rFonts w:cs="Times New Roman"/>
          <w:b/>
          <w:szCs w:val="28"/>
        </w:rPr>
        <w:t>ТУБЕРКУЛЬОЗ В УКРАЇНІ</w:t>
      </w:r>
    </w:p>
    <w:p w14:paraId="7B83E7FB" w14:textId="18091584" w:rsidR="00BF203D" w:rsidRPr="0024080D" w:rsidRDefault="00770DF0" w:rsidP="00E65E76">
      <w:pPr>
        <w:widowControl w:val="0"/>
        <w:pBdr>
          <w:top w:val="nil"/>
          <w:left w:val="nil"/>
          <w:bottom w:val="nil"/>
          <w:right w:val="nil"/>
          <w:between w:val="nil"/>
        </w:pBdr>
        <w:ind w:firstLine="0"/>
        <w:jc w:val="center"/>
        <w:rPr>
          <w:rFonts w:cs="Times New Roman"/>
          <w:b/>
          <w:szCs w:val="28"/>
        </w:rPr>
      </w:pPr>
      <w:r w:rsidRPr="0024080D">
        <w:rPr>
          <w:rFonts w:cs="Times New Roman"/>
          <w:b/>
          <w:szCs w:val="28"/>
        </w:rPr>
        <w:t>Аналітичн</w:t>
      </w:r>
      <w:r w:rsidR="00893F18" w:rsidRPr="0024080D">
        <w:rPr>
          <w:rFonts w:cs="Times New Roman"/>
          <w:b/>
          <w:szCs w:val="28"/>
        </w:rPr>
        <w:t>о</w:t>
      </w:r>
      <w:r w:rsidRPr="0024080D">
        <w:rPr>
          <w:rFonts w:cs="Times New Roman"/>
          <w:b/>
          <w:szCs w:val="28"/>
        </w:rPr>
        <w:t>-статистичний довідник за 20</w:t>
      </w:r>
      <w:r w:rsidR="00CA568A" w:rsidRPr="0024080D">
        <w:rPr>
          <w:rFonts w:cs="Times New Roman"/>
          <w:b/>
          <w:szCs w:val="28"/>
        </w:rPr>
        <w:t>2</w:t>
      </w:r>
      <w:r w:rsidR="006F6D91">
        <w:rPr>
          <w:rFonts w:cs="Times New Roman"/>
          <w:b/>
          <w:szCs w:val="28"/>
        </w:rPr>
        <w:t>1</w:t>
      </w:r>
      <w:r w:rsidR="00D37F9E" w:rsidRPr="0024080D">
        <w:rPr>
          <w:rFonts w:cs="Times New Roman"/>
          <w:b/>
          <w:szCs w:val="28"/>
        </w:rPr>
        <w:t> </w:t>
      </w:r>
      <w:r w:rsidR="00893F18" w:rsidRPr="0024080D">
        <w:rPr>
          <w:rFonts w:cs="Times New Roman"/>
          <w:b/>
          <w:szCs w:val="28"/>
        </w:rPr>
        <w:t>р</w:t>
      </w:r>
      <w:r w:rsidR="00D37F9E" w:rsidRPr="0024080D">
        <w:rPr>
          <w:rFonts w:cs="Times New Roman"/>
          <w:b/>
          <w:szCs w:val="28"/>
        </w:rPr>
        <w:t>.</w:t>
      </w:r>
    </w:p>
    <w:p w14:paraId="63EB0D80"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69D30D15"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6AB79E05"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3535214D"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2DE27EDC"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07372AF2"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7DC161E4"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5913AE89"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3665B865"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3007D27F"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683411C8"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309B2316"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4A9DDF61"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258F64A8"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09154166"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0F7A9AA8"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6D8BE623"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2B08B504"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08152E4D"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2F9DFD44" w14:textId="77777777" w:rsidR="00D37F9E" w:rsidRPr="0024080D" w:rsidRDefault="00D37F9E" w:rsidP="00E65E76">
      <w:pPr>
        <w:widowControl w:val="0"/>
        <w:pBdr>
          <w:top w:val="nil"/>
          <w:left w:val="nil"/>
          <w:bottom w:val="nil"/>
          <w:right w:val="nil"/>
          <w:between w:val="nil"/>
        </w:pBdr>
        <w:ind w:firstLine="0"/>
        <w:rPr>
          <w:rFonts w:cs="Times New Roman"/>
          <w:szCs w:val="28"/>
        </w:rPr>
      </w:pPr>
    </w:p>
    <w:p w14:paraId="5A01F703" w14:textId="77777777" w:rsidR="00356700" w:rsidRPr="0024080D" w:rsidRDefault="00356700" w:rsidP="00E65E76">
      <w:pPr>
        <w:widowControl w:val="0"/>
        <w:pBdr>
          <w:top w:val="nil"/>
          <w:left w:val="nil"/>
          <w:bottom w:val="nil"/>
          <w:right w:val="nil"/>
          <w:between w:val="nil"/>
        </w:pBdr>
        <w:ind w:firstLine="0"/>
        <w:rPr>
          <w:rFonts w:cs="Times New Roman"/>
          <w:szCs w:val="28"/>
        </w:rPr>
      </w:pPr>
    </w:p>
    <w:p w14:paraId="120BE025" w14:textId="0B12C87E" w:rsidR="007343C2" w:rsidRPr="0024080D" w:rsidRDefault="00D37F9E" w:rsidP="007343C2">
      <w:pPr>
        <w:widowControl w:val="0"/>
        <w:pBdr>
          <w:top w:val="nil"/>
          <w:left w:val="nil"/>
          <w:bottom w:val="nil"/>
          <w:right w:val="nil"/>
          <w:between w:val="nil"/>
        </w:pBdr>
        <w:ind w:firstLine="0"/>
        <w:jc w:val="center"/>
        <w:rPr>
          <w:rFonts w:cs="Times New Roman"/>
          <w:szCs w:val="28"/>
        </w:rPr>
      </w:pPr>
      <w:r w:rsidRPr="0024080D">
        <w:rPr>
          <w:rFonts w:cs="Times New Roman"/>
          <w:szCs w:val="28"/>
        </w:rPr>
        <w:t xml:space="preserve">Київ </w:t>
      </w:r>
      <w:r w:rsidR="00770DF0" w:rsidRPr="0024080D">
        <w:rPr>
          <w:rFonts w:cs="Times New Roman"/>
          <w:szCs w:val="28"/>
        </w:rPr>
        <w:t>– 202</w:t>
      </w:r>
      <w:r w:rsidR="006F6D91">
        <w:rPr>
          <w:rFonts w:cs="Times New Roman"/>
          <w:szCs w:val="28"/>
        </w:rPr>
        <w:t>2</w:t>
      </w:r>
    </w:p>
    <w:p w14:paraId="79530F48" w14:textId="77777777" w:rsidR="007343C2" w:rsidRPr="0024080D" w:rsidRDefault="007343C2">
      <w:pPr>
        <w:spacing w:line="276" w:lineRule="auto"/>
        <w:ind w:firstLine="0"/>
        <w:jc w:val="left"/>
        <w:rPr>
          <w:rFonts w:cs="Times New Roman"/>
          <w:szCs w:val="28"/>
        </w:rPr>
      </w:pPr>
      <w:r w:rsidRPr="0024080D">
        <w:rPr>
          <w:rFonts w:cs="Times New Roman"/>
          <w:szCs w:val="28"/>
        </w:rPr>
        <w:br w:type="page"/>
      </w:r>
    </w:p>
    <w:p w14:paraId="593BE3B2" w14:textId="2B90D179" w:rsidR="00D87661" w:rsidRPr="0024080D" w:rsidRDefault="00770DF0" w:rsidP="00F12716">
      <w:pPr>
        <w:widowControl w:val="0"/>
        <w:pBdr>
          <w:top w:val="nil"/>
          <w:left w:val="nil"/>
          <w:bottom w:val="nil"/>
          <w:right w:val="nil"/>
          <w:between w:val="nil"/>
        </w:pBdr>
        <w:rPr>
          <w:rFonts w:cs="Times New Roman"/>
          <w:szCs w:val="28"/>
        </w:rPr>
      </w:pPr>
      <w:r w:rsidRPr="0024080D">
        <w:rPr>
          <w:rFonts w:cs="Times New Roman"/>
          <w:szCs w:val="28"/>
        </w:rPr>
        <w:lastRenderedPageBreak/>
        <w:t>Державна установа «Центр громадського здоров</w:t>
      </w:r>
      <w:r w:rsidR="00935E38" w:rsidRPr="0024080D">
        <w:rPr>
          <w:rFonts w:cs="Times New Roman"/>
          <w:szCs w:val="28"/>
        </w:rPr>
        <w:t>’</w:t>
      </w:r>
      <w:r w:rsidRPr="0024080D">
        <w:rPr>
          <w:rFonts w:cs="Times New Roman"/>
          <w:szCs w:val="28"/>
        </w:rPr>
        <w:t>я Міністерства охорони здоров</w:t>
      </w:r>
      <w:r w:rsidR="00935E38" w:rsidRPr="0024080D">
        <w:rPr>
          <w:rFonts w:cs="Times New Roman"/>
          <w:szCs w:val="28"/>
        </w:rPr>
        <w:t>’</w:t>
      </w:r>
      <w:r w:rsidRPr="0024080D">
        <w:rPr>
          <w:rFonts w:cs="Times New Roman"/>
          <w:szCs w:val="28"/>
        </w:rPr>
        <w:t>я</w:t>
      </w:r>
      <w:r w:rsidR="00F601B5" w:rsidRPr="0024080D">
        <w:rPr>
          <w:rFonts w:cs="Times New Roman"/>
          <w:szCs w:val="28"/>
        </w:rPr>
        <w:t xml:space="preserve"> </w:t>
      </w:r>
      <w:r w:rsidRPr="0024080D">
        <w:rPr>
          <w:rFonts w:cs="Times New Roman"/>
          <w:szCs w:val="28"/>
        </w:rPr>
        <w:t>України» (</w:t>
      </w:r>
      <w:r w:rsidR="00164F50" w:rsidRPr="0024080D">
        <w:rPr>
          <w:rFonts w:cs="Times New Roman"/>
          <w:i/>
          <w:szCs w:val="28"/>
        </w:rPr>
        <w:t>далі</w:t>
      </w:r>
      <w:r w:rsidR="00164F50" w:rsidRPr="0024080D">
        <w:rPr>
          <w:rFonts w:cs="Times New Roman"/>
          <w:szCs w:val="28"/>
        </w:rPr>
        <w:t xml:space="preserve"> – Центр</w:t>
      </w:r>
      <w:r w:rsidRPr="0024080D">
        <w:rPr>
          <w:rFonts w:cs="Times New Roman"/>
          <w:szCs w:val="28"/>
        </w:rPr>
        <w:t xml:space="preserve">) </w:t>
      </w:r>
      <w:r w:rsidR="00D37F9E" w:rsidRPr="0024080D">
        <w:rPr>
          <w:rFonts w:cs="Times New Roman"/>
          <w:szCs w:val="28"/>
        </w:rPr>
        <w:t>–</w:t>
      </w:r>
      <w:r w:rsidRPr="0024080D">
        <w:rPr>
          <w:rFonts w:cs="Times New Roman"/>
          <w:szCs w:val="28"/>
        </w:rPr>
        <w:t xml:space="preserve"> заклад охорони здоров</w:t>
      </w:r>
      <w:r w:rsidR="00935E38" w:rsidRPr="0024080D">
        <w:rPr>
          <w:rFonts w:cs="Times New Roman"/>
          <w:szCs w:val="28"/>
        </w:rPr>
        <w:t>’</w:t>
      </w:r>
      <w:r w:rsidRPr="0024080D">
        <w:rPr>
          <w:rFonts w:cs="Times New Roman"/>
          <w:szCs w:val="28"/>
        </w:rPr>
        <w:t xml:space="preserve">я, що відповідає за збереження </w:t>
      </w:r>
      <w:r w:rsidR="00D37F9E" w:rsidRPr="0024080D">
        <w:rPr>
          <w:rFonts w:cs="Times New Roman"/>
          <w:szCs w:val="28"/>
        </w:rPr>
        <w:t xml:space="preserve">та </w:t>
      </w:r>
      <w:r w:rsidRPr="0024080D">
        <w:rPr>
          <w:rFonts w:cs="Times New Roman"/>
          <w:szCs w:val="28"/>
        </w:rPr>
        <w:t>зміцнення</w:t>
      </w:r>
      <w:r w:rsidR="00F601B5" w:rsidRPr="0024080D">
        <w:rPr>
          <w:rFonts w:cs="Times New Roman"/>
          <w:szCs w:val="28"/>
        </w:rPr>
        <w:t xml:space="preserve"> </w:t>
      </w:r>
      <w:r w:rsidRPr="0024080D">
        <w:rPr>
          <w:rFonts w:cs="Times New Roman"/>
          <w:szCs w:val="28"/>
        </w:rPr>
        <w:t>здоров</w:t>
      </w:r>
      <w:r w:rsidR="00935E38" w:rsidRPr="0024080D">
        <w:rPr>
          <w:rFonts w:cs="Times New Roman"/>
          <w:szCs w:val="28"/>
        </w:rPr>
        <w:t>’</w:t>
      </w:r>
      <w:r w:rsidRPr="0024080D">
        <w:rPr>
          <w:rFonts w:cs="Times New Roman"/>
          <w:szCs w:val="28"/>
        </w:rPr>
        <w:t>я населення, соціально-гігієнічний моніторинг захворювань, епідеміологічний</w:t>
      </w:r>
      <w:r w:rsidR="00F601B5" w:rsidRPr="0024080D">
        <w:rPr>
          <w:rFonts w:cs="Times New Roman"/>
          <w:szCs w:val="28"/>
        </w:rPr>
        <w:t xml:space="preserve"> </w:t>
      </w:r>
      <w:r w:rsidRPr="0024080D">
        <w:rPr>
          <w:rFonts w:cs="Times New Roman"/>
          <w:szCs w:val="28"/>
        </w:rPr>
        <w:t>нагляд і біологічну безпеку, групову та популяційну профілактику захворюваності,</w:t>
      </w:r>
      <w:r w:rsidR="00F601B5" w:rsidRPr="0024080D">
        <w:rPr>
          <w:rFonts w:cs="Times New Roman"/>
          <w:szCs w:val="28"/>
        </w:rPr>
        <w:t xml:space="preserve"> </w:t>
      </w:r>
      <w:r w:rsidR="00170D76" w:rsidRPr="0024080D">
        <w:rPr>
          <w:rFonts w:cs="Times New Roman"/>
          <w:szCs w:val="28"/>
        </w:rPr>
        <w:t>боротьбу з </w:t>
      </w:r>
      <w:r w:rsidRPr="0024080D">
        <w:rPr>
          <w:rFonts w:cs="Times New Roman"/>
          <w:szCs w:val="28"/>
        </w:rPr>
        <w:t>епідеміями та стратегічне управління у сфері громадського здоров</w:t>
      </w:r>
      <w:r w:rsidR="00935E38" w:rsidRPr="0024080D">
        <w:rPr>
          <w:rFonts w:cs="Times New Roman"/>
          <w:szCs w:val="28"/>
        </w:rPr>
        <w:t>’</w:t>
      </w:r>
      <w:r w:rsidRPr="0024080D">
        <w:rPr>
          <w:rFonts w:cs="Times New Roman"/>
          <w:szCs w:val="28"/>
        </w:rPr>
        <w:t xml:space="preserve">я. Утворений на виконання розпорядження КМУ Наказом МОЗ України від 18.09.2015 </w:t>
      </w:r>
      <w:r w:rsidR="00D37F9E" w:rsidRPr="0024080D">
        <w:rPr>
          <w:rFonts w:cs="Times New Roman"/>
          <w:szCs w:val="28"/>
        </w:rPr>
        <w:t>№</w:t>
      </w:r>
      <w:r w:rsidRPr="0024080D">
        <w:rPr>
          <w:rFonts w:cs="Times New Roman"/>
          <w:szCs w:val="28"/>
        </w:rPr>
        <w:t xml:space="preserve">604. </w:t>
      </w:r>
    </w:p>
    <w:p w14:paraId="699B0990" w14:textId="58E1D96B" w:rsidR="00D87661" w:rsidRPr="0024080D" w:rsidRDefault="00770DF0" w:rsidP="00F12716">
      <w:pPr>
        <w:widowControl w:val="0"/>
        <w:pBdr>
          <w:top w:val="nil"/>
          <w:left w:val="nil"/>
          <w:bottom w:val="nil"/>
          <w:right w:val="nil"/>
          <w:between w:val="nil"/>
        </w:pBdr>
        <w:rPr>
          <w:rFonts w:cs="Times New Roman"/>
          <w:szCs w:val="28"/>
        </w:rPr>
      </w:pPr>
      <w:r w:rsidRPr="0024080D">
        <w:rPr>
          <w:rFonts w:cs="Times New Roman"/>
          <w:szCs w:val="28"/>
        </w:rPr>
        <w:t xml:space="preserve">Головним завданням </w:t>
      </w:r>
      <w:r w:rsidR="00164F50" w:rsidRPr="0024080D">
        <w:rPr>
          <w:rFonts w:cs="Times New Roman"/>
          <w:szCs w:val="28"/>
        </w:rPr>
        <w:t>Центру</w:t>
      </w:r>
      <w:r w:rsidRPr="0024080D">
        <w:rPr>
          <w:rFonts w:cs="Times New Roman"/>
          <w:szCs w:val="28"/>
        </w:rPr>
        <w:t xml:space="preserve"> є діяльність у сфері громадського здоров</w:t>
      </w:r>
      <w:r w:rsidR="00935E38" w:rsidRPr="0024080D">
        <w:rPr>
          <w:rFonts w:cs="Times New Roman"/>
          <w:szCs w:val="28"/>
        </w:rPr>
        <w:t>’</w:t>
      </w:r>
      <w:r w:rsidRPr="0024080D">
        <w:rPr>
          <w:rFonts w:cs="Times New Roman"/>
          <w:szCs w:val="28"/>
        </w:rPr>
        <w:t>я. Центр виконує</w:t>
      </w:r>
      <w:r w:rsidR="00F601B5" w:rsidRPr="0024080D">
        <w:rPr>
          <w:rFonts w:cs="Times New Roman"/>
          <w:szCs w:val="28"/>
        </w:rPr>
        <w:t xml:space="preserve"> </w:t>
      </w:r>
      <w:r w:rsidRPr="0024080D">
        <w:rPr>
          <w:rFonts w:cs="Times New Roman"/>
          <w:szCs w:val="28"/>
        </w:rPr>
        <w:t>лікувально-профілактичні, науково-практичні та організаційно-методичні функції у сфері</w:t>
      </w:r>
      <w:r w:rsidR="00F601B5" w:rsidRPr="0024080D">
        <w:rPr>
          <w:rFonts w:cs="Times New Roman"/>
          <w:szCs w:val="28"/>
        </w:rPr>
        <w:t xml:space="preserve"> </w:t>
      </w:r>
      <w:r w:rsidRPr="0024080D">
        <w:rPr>
          <w:rFonts w:cs="Times New Roman"/>
          <w:szCs w:val="28"/>
        </w:rPr>
        <w:t>охорони здоров</w:t>
      </w:r>
      <w:r w:rsidR="00935E38" w:rsidRPr="0024080D">
        <w:rPr>
          <w:rFonts w:cs="Times New Roman"/>
          <w:szCs w:val="28"/>
        </w:rPr>
        <w:t>’</w:t>
      </w:r>
      <w:r w:rsidRPr="0024080D">
        <w:rPr>
          <w:rFonts w:cs="Times New Roman"/>
          <w:szCs w:val="28"/>
        </w:rPr>
        <w:t xml:space="preserve">я </w:t>
      </w:r>
      <w:r w:rsidR="00D37F9E" w:rsidRPr="0024080D">
        <w:rPr>
          <w:rFonts w:cs="Times New Roman"/>
          <w:szCs w:val="28"/>
        </w:rPr>
        <w:t xml:space="preserve">для </w:t>
      </w:r>
      <w:r w:rsidRPr="0024080D">
        <w:rPr>
          <w:rFonts w:cs="Times New Roman"/>
          <w:szCs w:val="28"/>
        </w:rPr>
        <w:t>забезпечення якості лікування хворих на соціально-небезпечні</w:t>
      </w:r>
      <w:r w:rsidR="00F601B5" w:rsidRPr="0024080D">
        <w:rPr>
          <w:rFonts w:cs="Times New Roman"/>
          <w:szCs w:val="28"/>
        </w:rPr>
        <w:t xml:space="preserve"> </w:t>
      </w:r>
      <w:r w:rsidRPr="0024080D">
        <w:rPr>
          <w:rFonts w:cs="Times New Roman"/>
          <w:szCs w:val="28"/>
        </w:rPr>
        <w:t>захворювання, зокрема ВІЛ/СНІД, туберкульоз, наркозалежність, вірусні гепатити тощо,</w:t>
      </w:r>
      <w:r w:rsidR="00F601B5" w:rsidRPr="0024080D">
        <w:rPr>
          <w:rFonts w:cs="Times New Roman"/>
          <w:szCs w:val="28"/>
        </w:rPr>
        <w:t xml:space="preserve"> </w:t>
      </w:r>
      <w:r w:rsidRPr="0024080D">
        <w:rPr>
          <w:rFonts w:cs="Times New Roman"/>
          <w:szCs w:val="28"/>
        </w:rPr>
        <w:t>попередження захворювань у контексті розбудови системи громадського здоров</w:t>
      </w:r>
      <w:r w:rsidR="00935E38" w:rsidRPr="0024080D">
        <w:rPr>
          <w:rFonts w:cs="Times New Roman"/>
          <w:szCs w:val="28"/>
        </w:rPr>
        <w:t>’</w:t>
      </w:r>
      <w:r w:rsidRPr="0024080D">
        <w:rPr>
          <w:rFonts w:cs="Times New Roman"/>
          <w:szCs w:val="28"/>
        </w:rPr>
        <w:t>я.</w:t>
      </w:r>
      <w:r w:rsidR="00F601B5" w:rsidRPr="0024080D">
        <w:rPr>
          <w:rFonts w:cs="Times New Roman"/>
          <w:szCs w:val="28"/>
        </w:rPr>
        <w:t xml:space="preserve"> </w:t>
      </w:r>
      <w:r w:rsidR="00164F50" w:rsidRPr="0024080D">
        <w:rPr>
          <w:rFonts w:cs="Times New Roman"/>
          <w:szCs w:val="28"/>
        </w:rPr>
        <w:t xml:space="preserve">Центр </w:t>
      </w:r>
      <w:r w:rsidRPr="0024080D">
        <w:rPr>
          <w:rFonts w:cs="Times New Roman"/>
          <w:szCs w:val="28"/>
        </w:rPr>
        <w:t>бере участь у формуванні регуляторної політики та взаємодіє з іншими</w:t>
      </w:r>
      <w:r w:rsidR="00F601B5" w:rsidRPr="0024080D">
        <w:rPr>
          <w:rFonts w:cs="Times New Roman"/>
          <w:szCs w:val="28"/>
        </w:rPr>
        <w:t xml:space="preserve"> </w:t>
      </w:r>
      <w:r w:rsidRPr="0024080D">
        <w:rPr>
          <w:rFonts w:cs="Times New Roman"/>
          <w:szCs w:val="28"/>
        </w:rPr>
        <w:t>міністерствами, науково-дослідними установами, міжнародними, громадськими</w:t>
      </w:r>
      <w:r w:rsidR="00F601B5" w:rsidRPr="0024080D">
        <w:rPr>
          <w:rFonts w:cs="Times New Roman"/>
          <w:szCs w:val="28"/>
        </w:rPr>
        <w:t xml:space="preserve"> </w:t>
      </w:r>
      <w:r w:rsidRPr="0024080D">
        <w:rPr>
          <w:rFonts w:cs="Times New Roman"/>
          <w:szCs w:val="28"/>
        </w:rPr>
        <w:t>організаціями, що працюють у сфері громадського здоров</w:t>
      </w:r>
      <w:r w:rsidR="00935E38" w:rsidRPr="0024080D">
        <w:rPr>
          <w:rFonts w:cs="Times New Roman"/>
          <w:szCs w:val="28"/>
        </w:rPr>
        <w:t>’</w:t>
      </w:r>
      <w:r w:rsidRPr="0024080D">
        <w:rPr>
          <w:rFonts w:cs="Times New Roman"/>
          <w:szCs w:val="28"/>
        </w:rPr>
        <w:t>я та протидії соціально</w:t>
      </w:r>
      <w:r w:rsidR="00F601B5" w:rsidRPr="0024080D">
        <w:rPr>
          <w:rFonts w:cs="Times New Roman"/>
          <w:szCs w:val="28"/>
        </w:rPr>
        <w:t xml:space="preserve"> </w:t>
      </w:r>
      <w:r w:rsidRPr="0024080D">
        <w:rPr>
          <w:rFonts w:cs="Times New Roman"/>
          <w:szCs w:val="28"/>
        </w:rPr>
        <w:t xml:space="preserve">небезпечним захворюванням. </w:t>
      </w:r>
    </w:p>
    <w:p w14:paraId="7BCADAB6" w14:textId="34517AE1" w:rsidR="00D87661" w:rsidRPr="0024080D" w:rsidRDefault="00711EDD" w:rsidP="00F12716">
      <w:pPr>
        <w:widowControl w:val="0"/>
        <w:pBdr>
          <w:top w:val="nil"/>
          <w:left w:val="nil"/>
          <w:bottom w:val="nil"/>
          <w:right w:val="nil"/>
          <w:between w:val="nil"/>
        </w:pBdr>
        <w:rPr>
          <w:rFonts w:cs="Times New Roman"/>
          <w:szCs w:val="28"/>
        </w:rPr>
      </w:pPr>
      <w:proofErr w:type="spellStart"/>
      <w:r w:rsidRPr="0024080D">
        <w:rPr>
          <w:rFonts w:cs="Times New Roman"/>
          <w:b/>
          <w:szCs w:val="28"/>
        </w:rPr>
        <w:t>Візія</w:t>
      </w:r>
      <w:proofErr w:type="spellEnd"/>
    </w:p>
    <w:p w14:paraId="31F5A617" w14:textId="78E0EF2F" w:rsidR="00023266" w:rsidRPr="0024080D" w:rsidRDefault="00770DF0" w:rsidP="00F12716">
      <w:pPr>
        <w:widowControl w:val="0"/>
        <w:pBdr>
          <w:top w:val="nil"/>
          <w:left w:val="nil"/>
          <w:bottom w:val="nil"/>
          <w:right w:val="nil"/>
          <w:between w:val="nil"/>
        </w:pBdr>
        <w:rPr>
          <w:rFonts w:cs="Times New Roman"/>
          <w:szCs w:val="28"/>
        </w:rPr>
      </w:pPr>
      <w:r w:rsidRPr="0024080D">
        <w:rPr>
          <w:rFonts w:cs="Times New Roman"/>
          <w:szCs w:val="28"/>
        </w:rPr>
        <w:t>Стати національним лідером з формування культури здоров</w:t>
      </w:r>
      <w:r w:rsidR="00935E38" w:rsidRPr="0024080D">
        <w:rPr>
          <w:rFonts w:cs="Times New Roman"/>
          <w:szCs w:val="28"/>
        </w:rPr>
        <w:t>’</w:t>
      </w:r>
      <w:r w:rsidRPr="0024080D">
        <w:rPr>
          <w:rFonts w:cs="Times New Roman"/>
          <w:szCs w:val="28"/>
        </w:rPr>
        <w:t>я у</w:t>
      </w:r>
      <w:r w:rsidR="00711EDD" w:rsidRPr="0024080D">
        <w:rPr>
          <w:rFonts w:cs="Times New Roman"/>
          <w:szCs w:val="28"/>
        </w:rPr>
        <w:t> </w:t>
      </w:r>
      <w:r w:rsidRPr="0024080D">
        <w:rPr>
          <w:rFonts w:cs="Times New Roman"/>
          <w:szCs w:val="28"/>
        </w:rPr>
        <w:t xml:space="preserve">населення </w:t>
      </w:r>
      <w:r w:rsidR="00081546" w:rsidRPr="0024080D">
        <w:rPr>
          <w:rFonts w:cs="Times New Roman"/>
          <w:szCs w:val="28"/>
        </w:rPr>
        <w:t>У</w:t>
      </w:r>
      <w:r w:rsidRPr="0024080D">
        <w:rPr>
          <w:rFonts w:cs="Times New Roman"/>
          <w:szCs w:val="28"/>
        </w:rPr>
        <w:t>країни.</w:t>
      </w:r>
      <w:r w:rsidR="00F601B5" w:rsidRPr="0024080D">
        <w:rPr>
          <w:rFonts w:cs="Times New Roman"/>
          <w:szCs w:val="28"/>
        </w:rPr>
        <w:t xml:space="preserve"> </w:t>
      </w:r>
    </w:p>
    <w:p w14:paraId="30356C8F" w14:textId="2A4ED8D9" w:rsidR="00D87661" w:rsidRPr="0024080D" w:rsidRDefault="00711EDD" w:rsidP="00F12716">
      <w:pPr>
        <w:widowControl w:val="0"/>
        <w:pBdr>
          <w:top w:val="nil"/>
          <w:left w:val="nil"/>
          <w:bottom w:val="nil"/>
          <w:right w:val="nil"/>
          <w:between w:val="nil"/>
        </w:pBdr>
        <w:rPr>
          <w:rFonts w:cs="Times New Roman"/>
          <w:b/>
          <w:szCs w:val="28"/>
        </w:rPr>
      </w:pPr>
      <w:r w:rsidRPr="0024080D">
        <w:rPr>
          <w:rFonts w:cs="Times New Roman"/>
          <w:b/>
          <w:szCs w:val="28"/>
        </w:rPr>
        <w:t>Місія</w:t>
      </w:r>
    </w:p>
    <w:p w14:paraId="2DE1C7D6" w14:textId="33F0A879" w:rsidR="00711EDD" w:rsidRPr="0024080D" w:rsidRDefault="00711EDD" w:rsidP="00F12716">
      <w:pPr>
        <w:widowControl w:val="0"/>
        <w:pBdr>
          <w:top w:val="nil"/>
          <w:left w:val="nil"/>
          <w:bottom w:val="nil"/>
          <w:right w:val="nil"/>
          <w:between w:val="nil"/>
        </w:pBdr>
        <w:rPr>
          <w:rFonts w:cs="Times New Roman"/>
          <w:szCs w:val="28"/>
        </w:rPr>
      </w:pPr>
      <w:r w:rsidRPr="0024080D">
        <w:rPr>
          <w:rFonts w:cs="Times New Roman"/>
          <w:szCs w:val="28"/>
        </w:rPr>
        <w:t>Бути</w:t>
      </w:r>
      <w:r w:rsidR="00770DF0" w:rsidRPr="0024080D">
        <w:rPr>
          <w:rFonts w:cs="Times New Roman"/>
          <w:szCs w:val="28"/>
        </w:rPr>
        <w:t xml:space="preserve"> на варті зміцнення, збереження та захисту здоров</w:t>
      </w:r>
      <w:r w:rsidR="00935E38" w:rsidRPr="0024080D">
        <w:rPr>
          <w:rFonts w:cs="Times New Roman"/>
          <w:szCs w:val="28"/>
        </w:rPr>
        <w:t>’</w:t>
      </w:r>
      <w:r w:rsidR="00770DF0" w:rsidRPr="0024080D">
        <w:rPr>
          <w:rFonts w:cs="Times New Roman"/>
          <w:szCs w:val="28"/>
        </w:rPr>
        <w:t>я населення України</w:t>
      </w:r>
      <w:r w:rsidRPr="0024080D">
        <w:rPr>
          <w:rFonts w:cs="Times New Roman"/>
          <w:szCs w:val="28"/>
        </w:rPr>
        <w:t xml:space="preserve">, </w:t>
      </w:r>
      <w:r w:rsidR="00770DF0" w:rsidRPr="0024080D">
        <w:rPr>
          <w:rFonts w:cs="Times New Roman"/>
          <w:szCs w:val="28"/>
        </w:rPr>
        <w:t>працю</w:t>
      </w:r>
      <w:r w:rsidRPr="0024080D">
        <w:rPr>
          <w:rFonts w:cs="Times New Roman"/>
          <w:szCs w:val="28"/>
        </w:rPr>
        <w:t xml:space="preserve">ючи </w:t>
      </w:r>
      <w:r w:rsidR="00770DF0" w:rsidRPr="0024080D">
        <w:rPr>
          <w:rFonts w:cs="Times New Roman"/>
          <w:szCs w:val="28"/>
        </w:rPr>
        <w:t xml:space="preserve">для: </w:t>
      </w:r>
    </w:p>
    <w:p w14:paraId="0C9267EB" w14:textId="3689C9C4" w:rsidR="00D87661" w:rsidRPr="0024080D" w:rsidRDefault="00711EDD" w:rsidP="00F12716">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b/>
          <w:i/>
          <w:szCs w:val="28"/>
        </w:rPr>
        <w:t>професійної спільноти</w:t>
      </w:r>
      <w:r w:rsidR="00770DF0" w:rsidRPr="0024080D">
        <w:rPr>
          <w:rFonts w:cs="Times New Roman"/>
          <w:b/>
          <w:i/>
          <w:szCs w:val="28"/>
        </w:rPr>
        <w:t>:</w:t>
      </w:r>
      <w:r w:rsidR="00770DF0" w:rsidRPr="0024080D">
        <w:rPr>
          <w:rFonts w:cs="Times New Roman"/>
          <w:szCs w:val="28"/>
        </w:rPr>
        <w:t xml:space="preserve"> </w:t>
      </w:r>
      <w:r w:rsidRPr="0024080D">
        <w:rPr>
          <w:rFonts w:cs="Times New Roman"/>
          <w:szCs w:val="28"/>
        </w:rPr>
        <w:t xml:space="preserve">визначення </w:t>
      </w:r>
      <w:r w:rsidR="00770DF0" w:rsidRPr="0024080D">
        <w:rPr>
          <w:rFonts w:cs="Times New Roman"/>
          <w:szCs w:val="28"/>
        </w:rPr>
        <w:t>професійн</w:t>
      </w:r>
      <w:r w:rsidRPr="0024080D">
        <w:rPr>
          <w:rFonts w:cs="Times New Roman"/>
          <w:szCs w:val="28"/>
        </w:rPr>
        <w:t xml:space="preserve">их </w:t>
      </w:r>
      <w:r w:rsidR="00770DF0" w:rsidRPr="0024080D">
        <w:rPr>
          <w:rFonts w:cs="Times New Roman"/>
          <w:szCs w:val="28"/>
        </w:rPr>
        <w:t>та освітні</w:t>
      </w:r>
      <w:r w:rsidRPr="0024080D">
        <w:rPr>
          <w:rFonts w:cs="Times New Roman"/>
          <w:szCs w:val="28"/>
        </w:rPr>
        <w:t>х</w:t>
      </w:r>
      <w:r w:rsidR="00770DF0" w:rsidRPr="0024080D">
        <w:rPr>
          <w:rFonts w:cs="Times New Roman"/>
          <w:szCs w:val="28"/>
        </w:rPr>
        <w:t xml:space="preserve"> стандарт</w:t>
      </w:r>
      <w:r w:rsidRPr="0024080D">
        <w:rPr>
          <w:rFonts w:cs="Times New Roman"/>
          <w:szCs w:val="28"/>
        </w:rPr>
        <w:t>ів</w:t>
      </w:r>
      <w:r w:rsidR="00770DF0" w:rsidRPr="0024080D">
        <w:rPr>
          <w:rFonts w:cs="Times New Roman"/>
          <w:szCs w:val="28"/>
        </w:rPr>
        <w:t>, створ</w:t>
      </w:r>
      <w:r w:rsidRPr="0024080D">
        <w:rPr>
          <w:rFonts w:cs="Times New Roman"/>
          <w:szCs w:val="28"/>
        </w:rPr>
        <w:t xml:space="preserve">ення </w:t>
      </w:r>
      <w:r w:rsidR="00770DF0" w:rsidRPr="0024080D">
        <w:rPr>
          <w:rFonts w:cs="Times New Roman"/>
          <w:szCs w:val="28"/>
        </w:rPr>
        <w:t>умов</w:t>
      </w:r>
      <w:r w:rsidRPr="0024080D">
        <w:rPr>
          <w:rFonts w:cs="Times New Roman"/>
          <w:szCs w:val="28"/>
        </w:rPr>
        <w:t xml:space="preserve"> </w:t>
      </w:r>
      <w:r w:rsidR="00770DF0" w:rsidRPr="0024080D">
        <w:rPr>
          <w:rFonts w:cs="Times New Roman"/>
          <w:szCs w:val="28"/>
        </w:rPr>
        <w:t>для безперервного професійного розвитку та покращення якості освіти,</w:t>
      </w:r>
      <w:r w:rsidR="00F601B5" w:rsidRPr="0024080D">
        <w:rPr>
          <w:rFonts w:cs="Times New Roman"/>
          <w:szCs w:val="28"/>
        </w:rPr>
        <w:t xml:space="preserve"> </w:t>
      </w:r>
      <w:r w:rsidR="00770DF0" w:rsidRPr="0024080D">
        <w:rPr>
          <w:rFonts w:cs="Times New Roman"/>
          <w:szCs w:val="28"/>
        </w:rPr>
        <w:t>розробл</w:t>
      </w:r>
      <w:r w:rsidRPr="0024080D">
        <w:rPr>
          <w:rFonts w:cs="Times New Roman"/>
          <w:szCs w:val="28"/>
        </w:rPr>
        <w:t xml:space="preserve">ення </w:t>
      </w:r>
      <w:r w:rsidR="00770DF0" w:rsidRPr="0024080D">
        <w:rPr>
          <w:rFonts w:cs="Times New Roman"/>
          <w:szCs w:val="28"/>
        </w:rPr>
        <w:t>освітні</w:t>
      </w:r>
      <w:r w:rsidRPr="0024080D">
        <w:rPr>
          <w:rFonts w:cs="Times New Roman"/>
          <w:szCs w:val="28"/>
        </w:rPr>
        <w:t>х</w:t>
      </w:r>
      <w:r w:rsidR="00770DF0" w:rsidRPr="0024080D">
        <w:rPr>
          <w:rFonts w:cs="Times New Roman"/>
          <w:szCs w:val="28"/>
        </w:rPr>
        <w:t xml:space="preserve"> продукт</w:t>
      </w:r>
      <w:r w:rsidRPr="0024080D">
        <w:rPr>
          <w:rFonts w:cs="Times New Roman"/>
          <w:szCs w:val="28"/>
        </w:rPr>
        <w:t>ів;</w:t>
      </w:r>
    </w:p>
    <w:p w14:paraId="53812F92" w14:textId="5A292099" w:rsidR="00711EDD" w:rsidRPr="0024080D" w:rsidRDefault="00711EDD" w:rsidP="00F12716">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b/>
          <w:i/>
          <w:szCs w:val="28"/>
        </w:rPr>
        <w:t>населення України</w:t>
      </w:r>
      <w:r w:rsidR="00770DF0" w:rsidRPr="0024080D">
        <w:rPr>
          <w:rFonts w:cs="Times New Roman"/>
          <w:b/>
          <w:i/>
          <w:szCs w:val="28"/>
        </w:rPr>
        <w:t>:</w:t>
      </w:r>
      <w:r w:rsidR="00770DF0" w:rsidRPr="0024080D">
        <w:rPr>
          <w:rFonts w:cs="Times New Roman"/>
          <w:szCs w:val="28"/>
        </w:rPr>
        <w:t xml:space="preserve"> нада</w:t>
      </w:r>
      <w:r w:rsidRPr="0024080D">
        <w:rPr>
          <w:rFonts w:cs="Times New Roman"/>
          <w:szCs w:val="28"/>
        </w:rPr>
        <w:t xml:space="preserve">ння </w:t>
      </w:r>
      <w:r w:rsidR="00770DF0" w:rsidRPr="0024080D">
        <w:rPr>
          <w:rFonts w:cs="Times New Roman"/>
          <w:szCs w:val="28"/>
        </w:rPr>
        <w:t>достовірн</w:t>
      </w:r>
      <w:r w:rsidRPr="0024080D">
        <w:rPr>
          <w:rFonts w:cs="Times New Roman"/>
          <w:szCs w:val="28"/>
        </w:rPr>
        <w:t xml:space="preserve">их </w:t>
      </w:r>
      <w:r w:rsidR="00770DF0" w:rsidRPr="0024080D">
        <w:rPr>
          <w:rFonts w:cs="Times New Roman"/>
          <w:szCs w:val="28"/>
        </w:rPr>
        <w:t>дан</w:t>
      </w:r>
      <w:r w:rsidRPr="0024080D">
        <w:rPr>
          <w:rFonts w:cs="Times New Roman"/>
          <w:szCs w:val="28"/>
        </w:rPr>
        <w:t xml:space="preserve">их </w:t>
      </w:r>
      <w:r w:rsidR="00770DF0" w:rsidRPr="0024080D">
        <w:rPr>
          <w:rFonts w:cs="Times New Roman"/>
          <w:szCs w:val="28"/>
        </w:rPr>
        <w:t>щодо захворювань та епідемій;</w:t>
      </w:r>
      <w:r w:rsidR="00F601B5" w:rsidRPr="0024080D">
        <w:rPr>
          <w:rFonts w:cs="Times New Roman"/>
          <w:szCs w:val="28"/>
        </w:rPr>
        <w:t xml:space="preserve"> </w:t>
      </w:r>
      <w:r w:rsidR="00770DF0" w:rsidRPr="0024080D">
        <w:rPr>
          <w:rFonts w:cs="Times New Roman"/>
          <w:szCs w:val="28"/>
        </w:rPr>
        <w:t>промоці</w:t>
      </w:r>
      <w:r w:rsidRPr="0024080D">
        <w:rPr>
          <w:rFonts w:cs="Times New Roman"/>
          <w:szCs w:val="28"/>
        </w:rPr>
        <w:t xml:space="preserve">я </w:t>
      </w:r>
      <w:r w:rsidR="00770DF0" w:rsidRPr="0024080D">
        <w:rPr>
          <w:rFonts w:cs="Times New Roman"/>
          <w:szCs w:val="28"/>
        </w:rPr>
        <w:t>здорового способу життя для населення різних вікових категорій;</w:t>
      </w:r>
      <w:r w:rsidR="00F601B5" w:rsidRPr="0024080D">
        <w:rPr>
          <w:rFonts w:cs="Times New Roman"/>
          <w:szCs w:val="28"/>
        </w:rPr>
        <w:t xml:space="preserve"> </w:t>
      </w:r>
      <w:r w:rsidR="00770DF0" w:rsidRPr="0024080D">
        <w:rPr>
          <w:rFonts w:cs="Times New Roman"/>
          <w:szCs w:val="28"/>
        </w:rPr>
        <w:t>ефективн</w:t>
      </w:r>
      <w:r w:rsidRPr="0024080D">
        <w:rPr>
          <w:rFonts w:cs="Times New Roman"/>
          <w:szCs w:val="28"/>
        </w:rPr>
        <w:t xml:space="preserve">е </w:t>
      </w:r>
      <w:r w:rsidR="00770DF0" w:rsidRPr="0024080D">
        <w:rPr>
          <w:rFonts w:cs="Times New Roman"/>
          <w:szCs w:val="28"/>
        </w:rPr>
        <w:t>реагу</w:t>
      </w:r>
      <w:r w:rsidRPr="0024080D">
        <w:rPr>
          <w:rFonts w:cs="Times New Roman"/>
          <w:szCs w:val="28"/>
        </w:rPr>
        <w:t xml:space="preserve">вання </w:t>
      </w:r>
      <w:r w:rsidR="00770DF0" w:rsidRPr="0024080D">
        <w:rPr>
          <w:rFonts w:cs="Times New Roman"/>
          <w:szCs w:val="28"/>
        </w:rPr>
        <w:t>на надзвичайні ситуації та загрози здоров</w:t>
      </w:r>
      <w:r w:rsidR="00935E38" w:rsidRPr="0024080D">
        <w:rPr>
          <w:rFonts w:cs="Times New Roman"/>
          <w:szCs w:val="28"/>
        </w:rPr>
        <w:t>’</w:t>
      </w:r>
      <w:r w:rsidR="000B32FA" w:rsidRPr="0024080D">
        <w:rPr>
          <w:rFonts w:cs="Times New Roman"/>
          <w:szCs w:val="28"/>
        </w:rPr>
        <w:t xml:space="preserve">ю </w:t>
      </w:r>
      <w:r w:rsidR="00770DF0" w:rsidRPr="0024080D">
        <w:rPr>
          <w:rFonts w:cs="Times New Roman"/>
          <w:szCs w:val="28"/>
        </w:rPr>
        <w:t>населенн</w:t>
      </w:r>
      <w:r w:rsidR="000B32FA" w:rsidRPr="0024080D">
        <w:rPr>
          <w:rFonts w:cs="Times New Roman"/>
          <w:szCs w:val="28"/>
        </w:rPr>
        <w:t>я</w:t>
      </w:r>
      <w:r w:rsidRPr="0024080D">
        <w:rPr>
          <w:rFonts w:cs="Times New Roman"/>
          <w:szCs w:val="28"/>
        </w:rPr>
        <w:t>;</w:t>
      </w:r>
    </w:p>
    <w:p w14:paraId="67A95E29" w14:textId="1F047AD5" w:rsidR="00D87661" w:rsidRPr="0024080D" w:rsidRDefault="00711EDD" w:rsidP="00F12716">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b/>
          <w:i/>
          <w:szCs w:val="28"/>
        </w:rPr>
        <w:t xml:space="preserve">державних органів: </w:t>
      </w:r>
      <w:r w:rsidR="00770DF0" w:rsidRPr="0024080D">
        <w:rPr>
          <w:rFonts w:cs="Times New Roman"/>
          <w:szCs w:val="28"/>
        </w:rPr>
        <w:t>форму</w:t>
      </w:r>
      <w:r w:rsidR="000B32FA" w:rsidRPr="0024080D">
        <w:rPr>
          <w:rFonts w:cs="Times New Roman"/>
          <w:szCs w:val="28"/>
        </w:rPr>
        <w:t xml:space="preserve">вання </w:t>
      </w:r>
      <w:r w:rsidR="00770DF0" w:rsidRPr="0024080D">
        <w:rPr>
          <w:rFonts w:cs="Times New Roman"/>
          <w:szCs w:val="28"/>
        </w:rPr>
        <w:t>доказов</w:t>
      </w:r>
      <w:r w:rsidR="000B32FA" w:rsidRPr="0024080D">
        <w:rPr>
          <w:rFonts w:cs="Times New Roman"/>
          <w:szCs w:val="28"/>
        </w:rPr>
        <w:t xml:space="preserve">ої </w:t>
      </w:r>
      <w:r w:rsidR="00770DF0" w:rsidRPr="0024080D">
        <w:rPr>
          <w:rFonts w:cs="Times New Roman"/>
          <w:szCs w:val="28"/>
        </w:rPr>
        <w:t>баз</w:t>
      </w:r>
      <w:r w:rsidR="000B32FA" w:rsidRPr="0024080D">
        <w:rPr>
          <w:rFonts w:cs="Times New Roman"/>
          <w:szCs w:val="28"/>
        </w:rPr>
        <w:t xml:space="preserve">и </w:t>
      </w:r>
      <w:r w:rsidR="00770DF0" w:rsidRPr="0024080D">
        <w:rPr>
          <w:rFonts w:cs="Times New Roman"/>
          <w:szCs w:val="28"/>
        </w:rPr>
        <w:t>для підготовки управлінських рішень,</w:t>
      </w:r>
      <w:r w:rsidR="00F601B5" w:rsidRPr="0024080D">
        <w:rPr>
          <w:rFonts w:cs="Times New Roman"/>
          <w:szCs w:val="28"/>
        </w:rPr>
        <w:t xml:space="preserve"> </w:t>
      </w:r>
      <w:r w:rsidR="00770DF0" w:rsidRPr="0024080D">
        <w:rPr>
          <w:rFonts w:cs="Times New Roman"/>
          <w:szCs w:val="28"/>
        </w:rPr>
        <w:t>нормативно-правових актів та галузевих програм</w:t>
      </w:r>
      <w:r w:rsidRPr="0024080D">
        <w:rPr>
          <w:rFonts w:cs="Times New Roman"/>
          <w:szCs w:val="28"/>
        </w:rPr>
        <w:t>;</w:t>
      </w:r>
    </w:p>
    <w:p w14:paraId="678E4926" w14:textId="2E96F3B9" w:rsidR="00D87661" w:rsidRPr="0024080D" w:rsidRDefault="00711EDD" w:rsidP="00F12716">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b/>
          <w:i/>
          <w:szCs w:val="28"/>
        </w:rPr>
        <w:t xml:space="preserve">органів місцевого самоврядування: </w:t>
      </w:r>
      <w:r w:rsidR="00770DF0" w:rsidRPr="0024080D">
        <w:rPr>
          <w:rFonts w:cs="Times New Roman"/>
          <w:szCs w:val="28"/>
        </w:rPr>
        <w:t>нада</w:t>
      </w:r>
      <w:r w:rsidR="000B32FA" w:rsidRPr="0024080D">
        <w:rPr>
          <w:rFonts w:cs="Times New Roman"/>
          <w:szCs w:val="28"/>
        </w:rPr>
        <w:t xml:space="preserve">ння </w:t>
      </w:r>
      <w:r w:rsidR="00770DF0" w:rsidRPr="0024080D">
        <w:rPr>
          <w:rFonts w:cs="Times New Roman"/>
          <w:szCs w:val="28"/>
        </w:rPr>
        <w:t>експертн</w:t>
      </w:r>
      <w:r w:rsidR="000B32FA" w:rsidRPr="0024080D">
        <w:rPr>
          <w:rFonts w:cs="Times New Roman"/>
          <w:szCs w:val="28"/>
        </w:rPr>
        <w:t xml:space="preserve">их </w:t>
      </w:r>
      <w:r w:rsidR="00770DF0" w:rsidRPr="0024080D">
        <w:rPr>
          <w:rFonts w:cs="Times New Roman"/>
          <w:szCs w:val="28"/>
        </w:rPr>
        <w:t>висновк</w:t>
      </w:r>
      <w:r w:rsidR="000B32FA" w:rsidRPr="0024080D">
        <w:rPr>
          <w:rFonts w:cs="Times New Roman"/>
          <w:szCs w:val="28"/>
        </w:rPr>
        <w:t>ів</w:t>
      </w:r>
      <w:r w:rsidR="00770DF0" w:rsidRPr="0024080D">
        <w:rPr>
          <w:rFonts w:cs="Times New Roman"/>
          <w:szCs w:val="28"/>
        </w:rPr>
        <w:t>, профільн</w:t>
      </w:r>
      <w:r w:rsidR="000B32FA" w:rsidRPr="0024080D">
        <w:rPr>
          <w:rFonts w:cs="Times New Roman"/>
          <w:szCs w:val="28"/>
        </w:rPr>
        <w:t xml:space="preserve">их </w:t>
      </w:r>
      <w:r w:rsidR="00770DF0" w:rsidRPr="0024080D">
        <w:rPr>
          <w:rFonts w:cs="Times New Roman"/>
          <w:szCs w:val="28"/>
        </w:rPr>
        <w:t>рекомендаці</w:t>
      </w:r>
      <w:r w:rsidR="000B32FA" w:rsidRPr="0024080D">
        <w:rPr>
          <w:rFonts w:cs="Times New Roman"/>
          <w:szCs w:val="28"/>
        </w:rPr>
        <w:t xml:space="preserve">й </w:t>
      </w:r>
      <w:r w:rsidR="00770DF0" w:rsidRPr="0024080D">
        <w:rPr>
          <w:rFonts w:cs="Times New Roman"/>
          <w:szCs w:val="28"/>
        </w:rPr>
        <w:t>та прогноз</w:t>
      </w:r>
      <w:r w:rsidR="000B32FA" w:rsidRPr="0024080D">
        <w:rPr>
          <w:rFonts w:cs="Times New Roman"/>
          <w:szCs w:val="28"/>
        </w:rPr>
        <w:t xml:space="preserve">ування </w:t>
      </w:r>
      <w:r w:rsidR="00770DF0" w:rsidRPr="0024080D">
        <w:rPr>
          <w:rFonts w:cs="Times New Roman"/>
          <w:szCs w:val="28"/>
        </w:rPr>
        <w:t xml:space="preserve">на місцевому рівні. </w:t>
      </w:r>
    </w:p>
    <w:p w14:paraId="6FC52EE0" w14:textId="7010C67D" w:rsidR="000B32FA" w:rsidRPr="0024080D" w:rsidRDefault="000B32FA" w:rsidP="00F12716">
      <w:pPr>
        <w:rPr>
          <w:rFonts w:cs="Times New Roman"/>
          <w:szCs w:val="28"/>
        </w:rPr>
      </w:pPr>
      <w:r w:rsidRPr="0024080D">
        <w:rPr>
          <w:rFonts w:cs="Times New Roman"/>
          <w:szCs w:val="28"/>
        </w:rPr>
        <w:br w:type="page"/>
      </w:r>
    </w:p>
    <w:p w14:paraId="037F3759" w14:textId="5C212B85" w:rsidR="00D87661" w:rsidRPr="0024080D" w:rsidRDefault="00C8317B" w:rsidP="00E65E76">
      <w:pPr>
        <w:widowControl w:val="0"/>
        <w:pBdr>
          <w:top w:val="nil"/>
          <w:left w:val="nil"/>
          <w:bottom w:val="nil"/>
          <w:right w:val="nil"/>
          <w:between w:val="nil"/>
        </w:pBdr>
        <w:ind w:firstLine="0"/>
        <w:rPr>
          <w:rFonts w:cs="Times New Roman"/>
          <w:b/>
          <w:szCs w:val="28"/>
        </w:rPr>
      </w:pPr>
      <w:r w:rsidRPr="0024080D">
        <w:rPr>
          <w:rFonts w:cs="Times New Roman"/>
          <w:b/>
          <w:szCs w:val="28"/>
        </w:rPr>
        <w:lastRenderedPageBreak/>
        <w:t>АВТОРСЬКИЙ КОЛЕКТИВ</w:t>
      </w:r>
    </w:p>
    <w:p w14:paraId="566EAE0C" w14:textId="53A665F2" w:rsidR="00893F18" w:rsidRPr="0024080D" w:rsidRDefault="00770DF0" w:rsidP="007343C2">
      <w:pPr>
        <w:widowControl w:val="0"/>
        <w:pBdr>
          <w:top w:val="nil"/>
          <w:left w:val="nil"/>
          <w:bottom w:val="nil"/>
          <w:right w:val="nil"/>
          <w:between w:val="nil"/>
        </w:pBdr>
        <w:spacing w:after="120"/>
        <w:ind w:firstLine="0"/>
        <w:jc w:val="left"/>
        <w:rPr>
          <w:rFonts w:cs="Times New Roman"/>
          <w:b/>
          <w:szCs w:val="28"/>
        </w:rPr>
      </w:pPr>
      <w:r w:rsidRPr="0024080D">
        <w:rPr>
          <w:rFonts w:cs="Times New Roman"/>
          <w:b/>
          <w:szCs w:val="28"/>
        </w:rPr>
        <w:t>Д</w:t>
      </w:r>
      <w:r w:rsidR="00C8317B" w:rsidRPr="0024080D">
        <w:rPr>
          <w:rFonts w:cs="Times New Roman"/>
          <w:b/>
          <w:szCs w:val="28"/>
        </w:rPr>
        <w:t xml:space="preserve">ержавна установа </w:t>
      </w:r>
      <w:r w:rsidRPr="0024080D">
        <w:rPr>
          <w:rFonts w:cs="Times New Roman"/>
          <w:b/>
          <w:szCs w:val="28"/>
        </w:rPr>
        <w:t>«Центр громадського здоров</w:t>
      </w:r>
      <w:r w:rsidR="00935E38" w:rsidRPr="0024080D">
        <w:rPr>
          <w:rFonts w:cs="Times New Roman"/>
          <w:b/>
          <w:szCs w:val="28"/>
        </w:rPr>
        <w:t>’</w:t>
      </w:r>
      <w:r w:rsidRPr="0024080D">
        <w:rPr>
          <w:rFonts w:cs="Times New Roman"/>
          <w:b/>
          <w:szCs w:val="28"/>
        </w:rPr>
        <w:t>я</w:t>
      </w:r>
      <w:r w:rsidR="00C8317B" w:rsidRPr="0024080D">
        <w:rPr>
          <w:rFonts w:cs="Times New Roman"/>
          <w:b/>
          <w:szCs w:val="28"/>
        </w:rPr>
        <w:t xml:space="preserve"> </w:t>
      </w:r>
      <w:r w:rsidR="00C8317B" w:rsidRPr="0024080D">
        <w:rPr>
          <w:rFonts w:cs="Times New Roman"/>
          <w:b/>
          <w:szCs w:val="28"/>
        </w:rPr>
        <w:br/>
      </w:r>
      <w:r w:rsidRPr="0024080D">
        <w:rPr>
          <w:rFonts w:cs="Times New Roman"/>
          <w:b/>
          <w:szCs w:val="28"/>
        </w:rPr>
        <w:t>Міністерства охорони здоров</w:t>
      </w:r>
      <w:r w:rsidR="00935E38" w:rsidRPr="0024080D">
        <w:rPr>
          <w:rFonts w:cs="Times New Roman"/>
          <w:b/>
          <w:szCs w:val="28"/>
        </w:rPr>
        <w:t>’</w:t>
      </w:r>
      <w:r w:rsidRPr="0024080D">
        <w:rPr>
          <w:rFonts w:cs="Times New Roman"/>
          <w:b/>
          <w:szCs w:val="28"/>
        </w:rPr>
        <w:t xml:space="preserve">я України»: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367964" w:rsidRPr="0024080D" w14:paraId="39D6D6B7" w14:textId="77777777" w:rsidTr="00C8317B">
        <w:tc>
          <w:tcPr>
            <w:tcW w:w="3227" w:type="dxa"/>
          </w:tcPr>
          <w:p w14:paraId="1A0B72B0" w14:textId="7207AC4B" w:rsidR="00367964" w:rsidRPr="0024080D" w:rsidRDefault="00367964" w:rsidP="00E65E76">
            <w:pPr>
              <w:widowControl w:val="0"/>
              <w:spacing w:after="120"/>
              <w:ind w:firstLine="0"/>
              <w:rPr>
                <w:szCs w:val="28"/>
                <w:lang w:val="uk-UA"/>
              </w:rPr>
            </w:pPr>
            <w:proofErr w:type="spellStart"/>
            <w:r w:rsidRPr="0024080D">
              <w:rPr>
                <w:szCs w:val="28"/>
                <w:lang w:val="uk-UA"/>
              </w:rPr>
              <w:t>Матюшкіна</w:t>
            </w:r>
            <w:proofErr w:type="spellEnd"/>
            <w:r w:rsidRPr="0024080D">
              <w:rPr>
                <w:szCs w:val="28"/>
                <w:lang w:val="uk-UA"/>
              </w:rPr>
              <w:t xml:space="preserve"> К. </w:t>
            </w:r>
          </w:p>
        </w:tc>
        <w:tc>
          <w:tcPr>
            <w:tcW w:w="6344" w:type="dxa"/>
          </w:tcPr>
          <w:p w14:paraId="443B8129" w14:textId="30DA3F5B" w:rsidR="00367964" w:rsidRPr="0024080D" w:rsidRDefault="00367964"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начальник відділу статистики та аналізу</w:t>
            </w:r>
          </w:p>
        </w:tc>
      </w:tr>
      <w:tr w:rsidR="00367964" w:rsidRPr="0024080D" w14:paraId="16D5C24D" w14:textId="77777777" w:rsidTr="00C8317B">
        <w:tc>
          <w:tcPr>
            <w:tcW w:w="3227" w:type="dxa"/>
          </w:tcPr>
          <w:p w14:paraId="64021E92" w14:textId="5DF2C2AA" w:rsidR="00367964" w:rsidRPr="0024080D" w:rsidRDefault="00367964" w:rsidP="00E65E76">
            <w:pPr>
              <w:widowControl w:val="0"/>
              <w:spacing w:after="120"/>
              <w:ind w:firstLine="0"/>
              <w:rPr>
                <w:szCs w:val="28"/>
                <w:lang w:val="uk-UA"/>
              </w:rPr>
            </w:pPr>
            <w:proofErr w:type="spellStart"/>
            <w:r w:rsidRPr="0024080D">
              <w:rPr>
                <w:szCs w:val="28"/>
                <w:lang w:val="uk-UA"/>
              </w:rPr>
              <w:t>Прилепіна</w:t>
            </w:r>
            <w:proofErr w:type="spellEnd"/>
            <w:r w:rsidRPr="0024080D">
              <w:rPr>
                <w:szCs w:val="28"/>
                <w:lang w:val="uk-UA"/>
              </w:rPr>
              <w:t> Л.</w:t>
            </w:r>
          </w:p>
        </w:tc>
        <w:tc>
          <w:tcPr>
            <w:tcW w:w="6344" w:type="dxa"/>
          </w:tcPr>
          <w:p w14:paraId="405BA500" w14:textId="493753E9" w:rsidR="00367964" w:rsidRPr="0024080D" w:rsidRDefault="00367964"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фахівець відділу статистики та аналізу</w:t>
            </w:r>
          </w:p>
        </w:tc>
      </w:tr>
      <w:tr w:rsidR="00367964" w:rsidRPr="0024080D" w14:paraId="5B40D77F" w14:textId="77777777" w:rsidTr="00C8317B">
        <w:tc>
          <w:tcPr>
            <w:tcW w:w="3227" w:type="dxa"/>
          </w:tcPr>
          <w:p w14:paraId="56BBB523" w14:textId="2B5D91DA" w:rsidR="00367964" w:rsidRPr="0024080D" w:rsidRDefault="00367964" w:rsidP="00E65E76">
            <w:pPr>
              <w:widowControl w:val="0"/>
              <w:spacing w:after="120"/>
              <w:ind w:firstLine="0"/>
              <w:rPr>
                <w:szCs w:val="28"/>
                <w:lang w:val="uk-UA"/>
              </w:rPr>
            </w:pPr>
            <w:proofErr w:type="spellStart"/>
            <w:r w:rsidRPr="0024080D">
              <w:rPr>
                <w:szCs w:val="28"/>
                <w:lang w:val="uk-UA"/>
              </w:rPr>
              <w:t>Терлеєва</w:t>
            </w:r>
            <w:proofErr w:type="spellEnd"/>
            <w:r w:rsidRPr="0024080D">
              <w:rPr>
                <w:szCs w:val="28"/>
                <w:lang w:val="uk-UA"/>
              </w:rPr>
              <w:t> Я.</w:t>
            </w:r>
          </w:p>
        </w:tc>
        <w:tc>
          <w:tcPr>
            <w:tcW w:w="6344" w:type="dxa"/>
          </w:tcPr>
          <w:p w14:paraId="7A20E6BD" w14:textId="0CF57117" w:rsidR="00367964" w:rsidRPr="0024080D" w:rsidRDefault="00367964" w:rsidP="007343C2">
            <w:pPr>
              <w:widowControl w:val="0"/>
              <w:pBdr>
                <w:top w:val="nil"/>
                <w:left w:val="nil"/>
                <w:bottom w:val="nil"/>
                <w:right w:val="nil"/>
                <w:between w:val="nil"/>
              </w:pBdr>
              <w:ind w:firstLine="0"/>
              <w:jc w:val="left"/>
              <w:rPr>
                <w:szCs w:val="28"/>
                <w:lang w:val="uk-UA"/>
              </w:rPr>
            </w:pPr>
            <w:r w:rsidRPr="0024080D">
              <w:rPr>
                <w:szCs w:val="28"/>
                <w:lang w:val="uk-UA"/>
              </w:rPr>
              <w:t>завідувач відділу координації програм діагностики та лікування туберкульозу</w:t>
            </w:r>
          </w:p>
        </w:tc>
      </w:tr>
      <w:tr w:rsidR="00367964" w:rsidRPr="0024080D" w14:paraId="17324A47" w14:textId="77777777" w:rsidTr="00C8317B">
        <w:tc>
          <w:tcPr>
            <w:tcW w:w="3227" w:type="dxa"/>
          </w:tcPr>
          <w:p w14:paraId="5D27CF65" w14:textId="566208C2" w:rsidR="00367964" w:rsidRPr="0024080D" w:rsidRDefault="00367964" w:rsidP="00E65E76">
            <w:pPr>
              <w:widowControl w:val="0"/>
              <w:spacing w:after="120"/>
              <w:ind w:firstLine="0"/>
              <w:rPr>
                <w:szCs w:val="28"/>
                <w:lang w:val="uk-UA"/>
              </w:rPr>
            </w:pPr>
            <w:r w:rsidRPr="0024080D">
              <w:rPr>
                <w:szCs w:val="28"/>
                <w:lang w:val="uk-UA"/>
              </w:rPr>
              <w:t xml:space="preserve">Варченко Ю. </w:t>
            </w:r>
          </w:p>
        </w:tc>
        <w:tc>
          <w:tcPr>
            <w:tcW w:w="6344" w:type="dxa"/>
          </w:tcPr>
          <w:p w14:paraId="5B4C3FA3" w14:textId="54BDAB6C" w:rsidR="00367964" w:rsidRPr="0024080D" w:rsidRDefault="00367964"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головний фахівець відділу координації програм діагностики та лікування туберкульозу</w:t>
            </w:r>
          </w:p>
        </w:tc>
      </w:tr>
      <w:tr w:rsidR="00367964" w:rsidRPr="0024080D" w14:paraId="6CAB0B90" w14:textId="77777777" w:rsidTr="00C8317B">
        <w:tc>
          <w:tcPr>
            <w:tcW w:w="3227" w:type="dxa"/>
          </w:tcPr>
          <w:p w14:paraId="536DCF9F" w14:textId="4E8E1BBF" w:rsidR="00367964" w:rsidRPr="0024080D" w:rsidRDefault="00367964" w:rsidP="00E65E76">
            <w:pPr>
              <w:widowControl w:val="0"/>
              <w:spacing w:after="120"/>
              <w:ind w:firstLine="0"/>
              <w:rPr>
                <w:szCs w:val="28"/>
                <w:lang w:val="uk-UA"/>
              </w:rPr>
            </w:pPr>
            <w:proofErr w:type="spellStart"/>
            <w:r w:rsidRPr="0024080D">
              <w:rPr>
                <w:szCs w:val="28"/>
                <w:lang w:val="uk-UA"/>
              </w:rPr>
              <w:t>Галстян</w:t>
            </w:r>
            <w:proofErr w:type="spellEnd"/>
            <w:r w:rsidRPr="0024080D">
              <w:rPr>
                <w:szCs w:val="28"/>
                <w:lang w:val="uk-UA"/>
              </w:rPr>
              <w:t xml:space="preserve"> В. </w:t>
            </w:r>
          </w:p>
        </w:tc>
        <w:tc>
          <w:tcPr>
            <w:tcW w:w="6344" w:type="dxa"/>
          </w:tcPr>
          <w:p w14:paraId="36C2DD28" w14:textId="208E81EC" w:rsidR="00367964" w:rsidRPr="0024080D" w:rsidRDefault="00367964"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головний фахівець відділу координації програм діагностики та лікування туберкульозу</w:t>
            </w:r>
          </w:p>
        </w:tc>
      </w:tr>
      <w:tr w:rsidR="00367964" w:rsidRPr="0024080D" w14:paraId="2C04CD8D" w14:textId="77777777" w:rsidTr="00C8317B">
        <w:tc>
          <w:tcPr>
            <w:tcW w:w="3227" w:type="dxa"/>
          </w:tcPr>
          <w:p w14:paraId="3100B202" w14:textId="7CC5F7E5" w:rsidR="00367964" w:rsidRPr="0024080D" w:rsidRDefault="00367964" w:rsidP="00E65E76">
            <w:pPr>
              <w:widowControl w:val="0"/>
              <w:spacing w:after="120"/>
              <w:ind w:firstLine="0"/>
              <w:rPr>
                <w:szCs w:val="28"/>
                <w:lang w:val="uk-UA"/>
              </w:rPr>
            </w:pPr>
            <w:r w:rsidRPr="0024080D">
              <w:rPr>
                <w:szCs w:val="28"/>
                <w:lang w:val="uk-UA"/>
              </w:rPr>
              <w:t xml:space="preserve">Денисенко Я. </w:t>
            </w:r>
          </w:p>
        </w:tc>
        <w:tc>
          <w:tcPr>
            <w:tcW w:w="6344" w:type="dxa"/>
          </w:tcPr>
          <w:p w14:paraId="02B9C69B" w14:textId="138D20B9" w:rsidR="00367964" w:rsidRPr="0024080D" w:rsidRDefault="00367964"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головний фахівець відділу координації програм діагностики та лікування туберкульозу</w:t>
            </w:r>
          </w:p>
        </w:tc>
      </w:tr>
      <w:tr w:rsidR="00E21927" w:rsidRPr="0024080D" w14:paraId="4F716153" w14:textId="77777777" w:rsidTr="00C8317B">
        <w:tc>
          <w:tcPr>
            <w:tcW w:w="3227" w:type="dxa"/>
          </w:tcPr>
          <w:p w14:paraId="5152E6D6" w14:textId="2CC5457F" w:rsidR="00E21927" w:rsidRPr="0024080D" w:rsidRDefault="00E21927" w:rsidP="00E65E76">
            <w:pPr>
              <w:widowControl w:val="0"/>
              <w:spacing w:after="120"/>
              <w:ind w:firstLine="0"/>
              <w:rPr>
                <w:szCs w:val="28"/>
                <w:lang w:val="uk-UA"/>
              </w:rPr>
            </w:pPr>
            <w:proofErr w:type="spellStart"/>
            <w:r w:rsidRPr="0024080D">
              <w:rPr>
                <w:szCs w:val="28"/>
                <w:lang w:val="uk-UA"/>
              </w:rPr>
              <w:t>Кампос</w:t>
            </w:r>
            <w:proofErr w:type="spellEnd"/>
            <w:r w:rsidRPr="0024080D">
              <w:rPr>
                <w:szCs w:val="28"/>
                <w:lang w:val="uk-UA"/>
              </w:rPr>
              <w:t>-Родрігес Н.</w:t>
            </w:r>
          </w:p>
        </w:tc>
        <w:tc>
          <w:tcPr>
            <w:tcW w:w="6344" w:type="dxa"/>
          </w:tcPr>
          <w:p w14:paraId="746E8857" w14:textId="1525A7D9" w:rsidR="00E21927" w:rsidRPr="0024080D" w:rsidRDefault="00E21927"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лікар-бактеріолог відділу координації програм діагностики та лікування туберкульозу</w:t>
            </w:r>
          </w:p>
        </w:tc>
      </w:tr>
      <w:tr w:rsidR="00E21927" w:rsidRPr="0024080D" w14:paraId="365394F2" w14:textId="77777777" w:rsidTr="00C8317B">
        <w:tc>
          <w:tcPr>
            <w:tcW w:w="3227" w:type="dxa"/>
          </w:tcPr>
          <w:p w14:paraId="06A4FDB7" w14:textId="2BE20487" w:rsidR="00E21927" w:rsidRPr="0024080D" w:rsidRDefault="00E21927" w:rsidP="00E65E76">
            <w:pPr>
              <w:pStyle w:val="a7"/>
              <w:widowControl w:val="0"/>
              <w:pBdr>
                <w:top w:val="nil"/>
                <w:left w:val="nil"/>
                <w:bottom w:val="nil"/>
                <w:right w:val="nil"/>
                <w:between w:val="nil"/>
              </w:pBdr>
              <w:ind w:left="0" w:firstLine="0"/>
              <w:contextualSpacing w:val="0"/>
              <w:rPr>
                <w:szCs w:val="28"/>
                <w:lang w:val="uk-UA"/>
              </w:rPr>
            </w:pPr>
            <w:r w:rsidRPr="0024080D">
              <w:rPr>
                <w:szCs w:val="28"/>
                <w:lang w:val="uk-UA"/>
              </w:rPr>
              <w:t>Зайцева О.</w:t>
            </w:r>
          </w:p>
        </w:tc>
        <w:tc>
          <w:tcPr>
            <w:tcW w:w="6344" w:type="dxa"/>
          </w:tcPr>
          <w:p w14:paraId="02A6067D" w14:textId="5BB25A75" w:rsidR="00E21927" w:rsidRPr="0024080D" w:rsidRDefault="00E21927"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лікар-фтизіатр відділу координації програм діагностики та лікування туберкульозу</w:t>
            </w:r>
          </w:p>
        </w:tc>
      </w:tr>
      <w:tr w:rsidR="007B4027" w:rsidRPr="0024080D" w14:paraId="69857F1C" w14:textId="77777777" w:rsidTr="00C8317B">
        <w:tc>
          <w:tcPr>
            <w:tcW w:w="3227" w:type="dxa"/>
          </w:tcPr>
          <w:p w14:paraId="1B892348" w14:textId="39685DFF" w:rsidR="007B4027" w:rsidRPr="007B4027" w:rsidRDefault="007B4027" w:rsidP="007B4027">
            <w:pPr>
              <w:pStyle w:val="a7"/>
              <w:widowControl w:val="0"/>
              <w:pBdr>
                <w:top w:val="nil"/>
                <w:left w:val="nil"/>
                <w:bottom w:val="nil"/>
                <w:right w:val="nil"/>
                <w:between w:val="nil"/>
              </w:pBdr>
              <w:ind w:left="0" w:firstLine="0"/>
              <w:contextualSpacing w:val="0"/>
              <w:rPr>
                <w:szCs w:val="28"/>
                <w:lang w:val="uk-UA"/>
              </w:rPr>
            </w:pPr>
            <w:r w:rsidRPr="0024080D">
              <w:rPr>
                <w:szCs w:val="28"/>
                <w:lang w:val="uk-UA"/>
              </w:rPr>
              <w:t>Колесник Р.</w:t>
            </w:r>
          </w:p>
        </w:tc>
        <w:tc>
          <w:tcPr>
            <w:tcW w:w="6344" w:type="dxa"/>
          </w:tcPr>
          <w:p w14:paraId="771B3321" w14:textId="73EADE58" w:rsidR="007B4027" w:rsidRPr="007B4027" w:rsidRDefault="007B4027" w:rsidP="007B4027">
            <w:pPr>
              <w:widowControl w:val="0"/>
              <w:pBdr>
                <w:top w:val="nil"/>
                <w:left w:val="nil"/>
                <w:bottom w:val="nil"/>
                <w:right w:val="nil"/>
                <w:between w:val="nil"/>
              </w:pBdr>
              <w:spacing w:after="120"/>
              <w:ind w:firstLine="0"/>
              <w:jc w:val="left"/>
              <w:rPr>
                <w:szCs w:val="28"/>
                <w:lang w:val="uk-UA"/>
              </w:rPr>
            </w:pPr>
            <w:r w:rsidRPr="0024080D">
              <w:rPr>
                <w:szCs w:val="28"/>
                <w:lang w:val="uk-UA"/>
              </w:rPr>
              <w:t xml:space="preserve">завідувач відділу антимікробної резистентності </w:t>
            </w:r>
            <w:r w:rsidRPr="0024080D">
              <w:rPr>
                <w:szCs w:val="28"/>
                <w:lang w:val="uk-UA"/>
              </w:rPr>
              <w:br/>
              <w:t>та інфекційного контролю</w:t>
            </w:r>
          </w:p>
        </w:tc>
      </w:tr>
      <w:tr w:rsidR="007B4027" w:rsidRPr="0024080D" w14:paraId="6300C902" w14:textId="77777777" w:rsidTr="00C8317B">
        <w:tc>
          <w:tcPr>
            <w:tcW w:w="3227" w:type="dxa"/>
          </w:tcPr>
          <w:p w14:paraId="55CB1225" w14:textId="373EAAF2" w:rsidR="007B4027" w:rsidRPr="0024080D" w:rsidRDefault="007B4027" w:rsidP="007B4027">
            <w:pPr>
              <w:pStyle w:val="a7"/>
              <w:widowControl w:val="0"/>
              <w:pBdr>
                <w:top w:val="nil"/>
                <w:left w:val="nil"/>
                <w:bottom w:val="nil"/>
                <w:right w:val="nil"/>
                <w:between w:val="nil"/>
              </w:pBdr>
              <w:ind w:left="0" w:firstLine="0"/>
              <w:contextualSpacing w:val="0"/>
              <w:rPr>
                <w:szCs w:val="28"/>
                <w:lang w:val="uk-UA"/>
              </w:rPr>
            </w:pPr>
            <w:proofErr w:type="spellStart"/>
            <w:r>
              <w:rPr>
                <w:szCs w:val="28"/>
                <w:lang w:val="uk-UA"/>
              </w:rPr>
              <w:t>Бріндак</w:t>
            </w:r>
            <w:proofErr w:type="spellEnd"/>
            <w:r>
              <w:rPr>
                <w:szCs w:val="28"/>
                <w:lang w:val="uk-UA"/>
              </w:rPr>
              <w:t xml:space="preserve"> Д.</w:t>
            </w:r>
          </w:p>
        </w:tc>
        <w:tc>
          <w:tcPr>
            <w:tcW w:w="6344" w:type="dxa"/>
          </w:tcPr>
          <w:p w14:paraId="6A83F2A6" w14:textId="2CCD8314" w:rsidR="007B4027" w:rsidRPr="0024080D" w:rsidRDefault="007B4027" w:rsidP="007B4027">
            <w:pPr>
              <w:widowControl w:val="0"/>
              <w:pBdr>
                <w:top w:val="nil"/>
                <w:left w:val="nil"/>
                <w:bottom w:val="nil"/>
                <w:right w:val="nil"/>
                <w:between w:val="nil"/>
              </w:pBdr>
              <w:spacing w:after="120"/>
              <w:ind w:firstLine="0"/>
              <w:jc w:val="left"/>
              <w:rPr>
                <w:szCs w:val="28"/>
                <w:lang w:val="uk-UA"/>
              </w:rPr>
            </w:pPr>
            <w:r>
              <w:rPr>
                <w:szCs w:val="28"/>
                <w:lang w:val="uk-UA"/>
              </w:rPr>
              <w:t>Лікар-лаборант-гігієніст відділу антимікробної резистентності та інфекційного контролю</w:t>
            </w:r>
          </w:p>
        </w:tc>
      </w:tr>
    </w:tbl>
    <w:p w14:paraId="538E1B87" w14:textId="77777777" w:rsidR="001C6F3F" w:rsidRPr="0024080D" w:rsidRDefault="001C6F3F" w:rsidP="00E65E76">
      <w:pPr>
        <w:widowControl w:val="0"/>
        <w:pBdr>
          <w:top w:val="nil"/>
          <w:left w:val="nil"/>
          <w:bottom w:val="nil"/>
          <w:right w:val="nil"/>
          <w:between w:val="nil"/>
        </w:pBdr>
        <w:ind w:firstLine="0"/>
        <w:rPr>
          <w:rFonts w:cs="Times New Roman"/>
          <w:szCs w:val="28"/>
        </w:rPr>
      </w:pPr>
    </w:p>
    <w:p w14:paraId="5DA2B827" w14:textId="21573BF0" w:rsidR="00D87661" w:rsidRPr="0024080D" w:rsidRDefault="00770DF0" w:rsidP="007343C2">
      <w:pPr>
        <w:widowControl w:val="0"/>
        <w:pBdr>
          <w:top w:val="nil"/>
          <w:left w:val="nil"/>
          <w:bottom w:val="nil"/>
          <w:right w:val="nil"/>
          <w:between w:val="nil"/>
        </w:pBdr>
        <w:spacing w:after="120"/>
        <w:ind w:firstLine="0"/>
        <w:jc w:val="left"/>
        <w:rPr>
          <w:rFonts w:cs="Times New Roman"/>
          <w:b/>
          <w:szCs w:val="28"/>
        </w:rPr>
      </w:pPr>
      <w:r w:rsidRPr="0024080D">
        <w:rPr>
          <w:rFonts w:cs="Times New Roman"/>
          <w:b/>
          <w:szCs w:val="28"/>
        </w:rPr>
        <w:t>Державний заклад «Центр медичної статистики МОЗ України»</w:t>
      </w:r>
      <w:r w:rsidR="00356700" w:rsidRPr="0024080D">
        <w:rPr>
          <w:rFonts w:cs="Times New Roman"/>
          <w:b/>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E21927" w:rsidRPr="0024080D" w14:paraId="60E87192" w14:textId="77777777" w:rsidTr="00C8317B">
        <w:tc>
          <w:tcPr>
            <w:tcW w:w="3227" w:type="dxa"/>
          </w:tcPr>
          <w:p w14:paraId="2914D986" w14:textId="636E1865" w:rsidR="00E21927" w:rsidRPr="0024080D" w:rsidRDefault="00E21927" w:rsidP="00E65E76">
            <w:pPr>
              <w:pStyle w:val="a7"/>
              <w:widowControl w:val="0"/>
              <w:pBdr>
                <w:top w:val="nil"/>
                <w:left w:val="nil"/>
                <w:bottom w:val="nil"/>
                <w:right w:val="nil"/>
                <w:between w:val="nil"/>
              </w:pBdr>
              <w:ind w:left="0" w:firstLine="0"/>
              <w:contextualSpacing w:val="0"/>
              <w:rPr>
                <w:szCs w:val="28"/>
                <w:lang w:val="uk-UA"/>
              </w:rPr>
            </w:pPr>
            <w:proofErr w:type="spellStart"/>
            <w:r w:rsidRPr="0024080D">
              <w:rPr>
                <w:szCs w:val="28"/>
                <w:lang w:val="uk-UA"/>
              </w:rPr>
              <w:t>Недоспасова</w:t>
            </w:r>
            <w:proofErr w:type="spellEnd"/>
            <w:r w:rsidRPr="0024080D">
              <w:rPr>
                <w:szCs w:val="28"/>
                <w:lang w:val="uk-UA"/>
              </w:rPr>
              <w:t xml:space="preserve"> О.П. </w:t>
            </w:r>
          </w:p>
        </w:tc>
        <w:tc>
          <w:tcPr>
            <w:tcW w:w="6344" w:type="dxa"/>
          </w:tcPr>
          <w:p w14:paraId="1FE9A194" w14:textId="26D35BCE" w:rsidR="00E21927" w:rsidRPr="0024080D" w:rsidRDefault="00E21927" w:rsidP="007343C2">
            <w:pPr>
              <w:widowControl w:val="0"/>
              <w:pBdr>
                <w:top w:val="nil"/>
                <w:left w:val="nil"/>
                <w:bottom w:val="nil"/>
                <w:right w:val="nil"/>
                <w:between w:val="nil"/>
              </w:pBdr>
              <w:spacing w:after="120"/>
              <w:ind w:firstLine="0"/>
              <w:jc w:val="left"/>
              <w:rPr>
                <w:szCs w:val="28"/>
                <w:lang w:val="uk-UA"/>
              </w:rPr>
            </w:pPr>
            <w:r w:rsidRPr="0024080D">
              <w:rPr>
                <w:szCs w:val="28"/>
                <w:lang w:val="uk-UA"/>
              </w:rPr>
              <w:t>лікар-статистик відділу статистики стану здоров</w:t>
            </w:r>
            <w:r w:rsidR="00935E38" w:rsidRPr="0024080D">
              <w:rPr>
                <w:szCs w:val="28"/>
                <w:lang w:val="uk-UA"/>
              </w:rPr>
              <w:t>’</w:t>
            </w:r>
            <w:r w:rsidRPr="0024080D">
              <w:rPr>
                <w:szCs w:val="28"/>
                <w:lang w:val="uk-UA"/>
              </w:rPr>
              <w:t>я дорослого населення</w:t>
            </w:r>
          </w:p>
        </w:tc>
      </w:tr>
    </w:tbl>
    <w:p w14:paraId="5F66618F" w14:textId="77777777" w:rsidR="003427BD" w:rsidRPr="0024080D" w:rsidRDefault="003427BD" w:rsidP="00E65E76">
      <w:pPr>
        <w:widowControl w:val="0"/>
        <w:pBdr>
          <w:top w:val="nil"/>
          <w:left w:val="nil"/>
          <w:bottom w:val="nil"/>
          <w:right w:val="nil"/>
          <w:between w:val="nil"/>
        </w:pBdr>
        <w:ind w:firstLine="0"/>
        <w:rPr>
          <w:rFonts w:cs="Times New Roman"/>
          <w:szCs w:val="28"/>
        </w:rPr>
      </w:pPr>
    </w:p>
    <w:p w14:paraId="66508E69" w14:textId="77777777" w:rsidR="00C8317B" w:rsidRPr="0024080D" w:rsidRDefault="00C8317B" w:rsidP="00E65E76">
      <w:pPr>
        <w:widowControl w:val="0"/>
        <w:pBdr>
          <w:top w:val="nil"/>
          <w:left w:val="nil"/>
          <w:bottom w:val="nil"/>
          <w:right w:val="nil"/>
          <w:between w:val="nil"/>
        </w:pBdr>
        <w:ind w:firstLine="0"/>
        <w:rPr>
          <w:rFonts w:cs="Times New Roman"/>
          <w:szCs w:val="28"/>
        </w:rPr>
      </w:pPr>
    </w:p>
    <w:p w14:paraId="3B744875" w14:textId="77777777" w:rsidR="00C8317B" w:rsidRPr="0024080D" w:rsidRDefault="00C8317B" w:rsidP="00E65E76">
      <w:pPr>
        <w:widowControl w:val="0"/>
        <w:pBdr>
          <w:top w:val="nil"/>
          <w:left w:val="nil"/>
          <w:bottom w:val="nil"/>
          <w:right w:val="nil"/>
          <w:between w:val="nil"/>
        </w:pBdr>
        <w:ind w:firstLine="0"/>
        <w:rPr>
          <w:rFonts w:cs="Times New Roman"/>
          <w:szCs w:val="28"/>
        </w:rPr>
      </w:pPr>
    </w:p>
    <w:p w14:paraId="22BA9AC0" w14:textId="2367E57C" w:rsidR="00356700" w:rsidRPr="0024080D" w:rsidRDefault="00770DF0" w:rsidP="00E65E76">
      <w:pPr>
        <w:widowControl w:val="0"/>
        <w:pBdr>
          <w:top w:val="nil"/>
          <w:left w:val="nil"/>
          <w:bottom w:val="nil"/>
          <w:right w:val="nil"/>
          <w:between w:val="nil"/>
        </w:pBdr>
        <w:ind w:firstLine="0"/>
        <w:rPr>
          <w:rFonts w:cs="Times New Roman"/>
          <w:szCs w:val="28"/>
        </w:rPr>
      </w:pPr>
      <w:r w:rsidRPr="0024080D">
        <w:rPr>
          <w:rFonts w:cs="Times New Roman"/>
          <w:szCs w:val="28"/>
        </w:rPr>
        <w:t>Використання, передрук та цитування матеріалів Інформаційного бюлетеню можливе за умови посилання</w:t>
      </w:r>
      <w:r w:rsidR="00F601B5" w:rsidRPr="0024080D">
        <w:rPr>
          <w:rFonts w:cs="Times New Roman"/>
          <w:szCs w:val="28"/>
        </w:rPr>
        <w:t xml:space="preserve"> </w:t>
      </w:r>
      <w:r w:rsidRPr="0024080D">
        <w:rPr>
          <w:rFonts w:cs="Times New Roman"/>
          <w:szCs w:val="28"/>
        </w:rPr>
        <w:t>на ДУ «Центр громадського здоров</w:t>
      </w:r>
      <w:r w:rsidR="00935E38" w:rsidRPr="0024080D">
        <w:rPr>
          <w:rFonts w:cs="Times New Roman"/>
          <w:szCs w:val="28"/>
        </w:rPr>
        <w:t>’</w:t>
      </w:r>
      <w:r w:rsidRPr="0024080D">
        <w:rPr>
          <w:rFonts w:cs="Times New Roman"/>
          <w:szCs w:val="28"/>
        </w:rPr>
        <w:t>я Міністерства охорони здоров</w:t>
      </w:r>
      <w:r w:rsidR="00935E38" w:rsidRPr="0024080D">
        <w:rPr>
          <w:rFonts w:cs="Times New Roman"/>
          <w:szCs w:val="28"/>
        </w:rPr>
        <w:t>’</w:t>
      </w:r>
      <w:r w:rsidRPr="0024080D">
        <w:rPr>
          <w:rFonts w:cs="Times New Roman"/>
          <w:szCs w:val="28"/>
        </w:rPr>
        <w:t>я України»</w:t>
      </w:r>
      <w:r w:rsidR="00C8317B" w:rsidRPr="0024080D">
        <w:rPr>
          <w:rFonts w:cs="Times New Roman"/>
          <w:szCs w:val="28"/>
        </w:rPr>
        <w:t>.</w:t>
      </w:r>
    </w:p>
    <w:p w14:paraId="7486F3D9" w14:textId="3AFDA7D9" w:rsidR="00C8317B" w:rsidRPr="00D551BD" w:rsidRDefault="00C8317B" w:rsidP="00F12716">
      <w:pPr>
        <w:rPr>
          <w:rFonts w:cs="Times New Roman"/>
          <w:szCs w:val="28"/>
          <w:lang w:val="ru-RU"/>
        </w:rPr>
      </w:pPr>
      <w:r w:rsidRPr="0024080D">
        <w:rPr>
          <w:rFonts w:cs="Times New Roman"/>
          <w:szCs w:val="28"/>
        </w:rPr>
        <w:br w:type="page"/>
      </w:r>
    </w:p>
    <w:bookmarkStart w:id="2" w:name="_Toc88088813" w:displacedByCustomXml="next"/>
    <w:sdt>
      <w:sdtPr>
        <w:rPr>
          <w:rFonts w:ascii="Times New Roman" w:eastAsia="Arial" w:hAnsi="Times New Roman" w:cs="Arial"/>
          <w:b/>
          <w:caps w:val="0"/>
          <w:color w:val="auto"/>
          <w:sz w:val="28"/>
          <w:szCs w:val="22"/>
          <w:lang w:val="uk-UA" w:eastAsia="uk-UA"/>
        </w:rPr>
        <w:id w:val="2135364577"/>
        <w:docPartObj>
          <w:docPartGallery w:val="Table of Contents"/>
          <w:docPartUnique/>
        </w:docPartObj>
      </w:sdtPr>
      <w:sdtEndPr>
        <w:rPr>
          <w:rFonts w:cs="Times New Roman"/>
          <w:bCs/>
          <w:sz w:val="24"/>
          <w:szCs w:val="24"/>
        </w:rPr>
      </w:sdtEndPr>
      <w:sdtContent>
        <w:p w14:paraId="01FE13A7" w14:textId="44F840FF" w:rsidR="00E2045F" w:rsidRPr="0024080D" w:rsidRDefault="0038110C" w:rsidP="0038110C">
          <w:pPr>
            <w:pStyle w:val="af9"/>
            <w:spacing w:before="0" w:line="240" w:lineRule="auto"/>
            <w:jc w:val="center"/>
            <w:rPr>
              <w:rFonts w:ascii="Times New Roman" w:hAnsi="Times New Roman" w:cs="Times New Roman"/>
              <w:b/>
              <w:caps w:val="0"/>
              <w:color w:val="auto"/>
              <w:sz w:val="24"/>
              <w:szCs w:val="24"/>
              <w:lang w:val="uk-UA"/>
            </w:rPr>
          </w:pPr>
          <w:r w:rsidRPr="0024080D">
            <w:rPr>
              <w:rFonts w:ascii="Times New Roman" w:hAnsi="Times New Roman" w:cs="Times New Roman"/>
              <w:b/>
              <w:caps w:val="0"/>
              <w:color w:val="auto"/>
              <w:sz w:val="24"/>
              <w:szCs w:val="24"/>
              <w:lang w:val="uk-UA"/>
            </w:rPr>
            <w:t>ЗМІСТ</w:t>
          </w:r>
        </w:p>
        <w:p w14:paraId="5DB06C45" w14:textId="5C225134" w:rsidR="006167F5" w:rsidRPr="0024080D" w:rsidRDefault="006167F5" w:rsidP="00511A5B">
          <w:pPr>
            <w:pStyle w:val="1d"/>
            <w:rPr>
              <w:rFonts w:ascii="Times New Roman" w:eastAsiaTheme="minorEastAsia" w:hAnsi="Times New Roman" w:cs="Times New Roman"/>
              <w:noProof/>
              <w:sz w:val="24"/>
              <w:szCs w:val="24"/>
            </w:rPr>
          </w:pPr>
          <w:r w:rsidRPr="0024080D">
            <w:rPr>
              <w:rFonts w:ascii="Times New Roman" w:hAnsi="Times New Roman" w:cs="Times New Roman"/>
              <w:sz w:val="24"/>
              <w:szCs w:val="24"/>
            </w:rPr>
            <w:fldChar w:fldCharType="begin"/>
          </w:r>
          <w:r w:rsidRPr="0024080D">
            <w:rPr>
              <w:rFonts w:ascii="Times New Roman" w:hAnsi="Times New Roman" w:cs="Times New Roman"/>
              <w:sz w:val="24"/>
              <w:szCs w:val="24"/>
            </w:rPr>
            <w:instrText xml:space="preserve"> TOC \o "1-4" \h \z \u </w:instrText>
          </w:r>
          <w:r w:rsidRPr="0024080D">
            <w:rPr>
              <w:rFonts w:ascii="Times New Roman" w:hAnsi="Times New Roman" w:cs="Times New Roman"/>
              <w:sz w:val="24"/>
              <w:szCs w:val="24"/>
            </w:rPr>
            <w:fldChar w:fldCharType="separate"/>
          </w:r>
          <w:hyperlink w:anchor="_Toc89149091" w:history="1">
            <w:r w:rsidRPr="0024080D">
              <w:rPr>
                <w:rStyle w:val="a8"/>
                <w:rFonts w:ascii="Times New Roman" w:hAnsi="Times New Roman" w:cs="Times New Roman"/>
                <w:caps w:val="0"/>
                <w:noProof/>
                <w:sz w:val="24"/>
                <w:szCs w:val="24"/>
              </w:rPr>
              <w:t>ПЕРЕЛІК УМОВНИХ ПОЗНАЧЕНЬ ТА СКОРОЧЕНЬ</w:t>
            </w:r>
            <w:r w:rsidRPr="0024080D">
              <w:rPr>
                <w:rFonts w:ascii="Times New Roman" w:hAnsi="Times New Roman" w:cs="Times New Roman"/>
                <w:noProof/>
                <w:webHidden/>
                <w:sz w:val="24"/>
                <w:szCs w:val="24"/>
              </w:rPr>
              <w:tab/>
            </w:r>
            <w:r w:rsidRPr="0024080D">
              <w:rPr>
                <w:rFonts w:ascii="Times New Roman" w:hAnsi="Times New Roman" w:cs="Times New Roman"/>
                <w:noProof/>
                <w:webHidden/>
                <w:sz w:val="24"/>
                <w:szCs w:val="24"/>
              </w:rPr>
              <w:fldChar w:fldCharType="begin"/>
            </w:r>
            <w:r w:rsidRPr="0024080D">
              <w:rPr>
                <w:rFonts w:ascii="Times New Roman" w:hAnsi="Times New Roman" w:cs="Times New Roman"/>
                <w:noProof/>
                <w:webHidden/>
                <w:sz w:val="24"/>
                <w:szCs w:val="24"/>
              </w:rPr>
              <w:instrText xml:space="preserve"> PAGEREF _Toc89149091 \h </w:instrText>
            </w:r>
            <w:r w:rsidRPr="0024080D">
              <w:rPr>
                <w:rFonts w:ascii="Times New Roman" w:hAnsi="Times New Roman" w:cs="Times New Roman"/>
                <w:noProof/>
                <w:webHidden/>
                <w:sz w:val="24"/>
                <w:szCs w:val="24"/>
              </w:rPr>
            </w:r>
            <w:r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6</w:t>
            </w:r>
            <w:r w:rsidRPr="0024080D">
              <w:rPr>
                <w:rFonts w:ascii="Times New Roman" w:hAnsi="Times New Roman" w:cs="Times New Roman"/>
                <w:noProof/>
                <w:webHidden/>
                <w:sz w:val="24"/>
                <w:szCs w:val="24"/>
              </w:rPr>
              <w:fldChar w:fldCharType="end"/>
            </w:r>
          </w:hyperlink>
        </w:p>
        <w:p w14:paraId="54367A18" w14:textId="6E8CCCAC" w:rsidR="006167F5" w:rsidRPr="0024080D" w:rsidRDefault="00000000" w:rsidP="00511A5B">
          <w:pPr>
            <w:pStyle w:val="1d"/>
            <w:rPr>
              <w:rFonts w:ascii="Times New Roman" w:eastAsiaTheme="minorEastAsia" w:hAnsi="Times New Roman" w:cs="Times New Roman"/>
              <w:noProof/>
              <w:sz w:val="24"/>
              <w:szCs w:val="24"/>
            </w:rPr>
          </w:pPr>
          <w:hyperlink w:anchor="_Toc89149092" w:history="1">
            <w:r w:rsidR="0038110C" w:rsidRPr="0024080D">
              <w:rPr>
                <w:rStyle w:val="a8"/>
                <w:rFonts w:ascii="Times New Roman" w:hAnsi="Times New Roman" w:cs="Times New Roman"/>
                <w:caps w:val="0"/>
                <w:noProof/>
                <w:sz w:val="24"/>
                <w:szCs w:val="24"/>
              </w:rPr>
              <w:t>РОЗДІЛ 1. УКРАЇНА У КОНТЕКСТІ ВИКОНАННЯ МІЖНАРОДНИХ ЗОБОВ’ЯЗАНЬ ЩОДО ПРОТИДІЇ ЕПІДЕМІЇ ТУБЕРКУЛЬОЗУ</w:t>
            </w:r>
            <w:r w:rsidR="0038110C"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w:t>
            </w:r>
            <w:r w:rsidR="006167F5" w:rsidRPr="0024080D">
              <w:rPr>
                <w:rFonts w:ascii="Times New Roman" w:hAnsi="Times New Roman" w:cs="Times New Roman"/>
                <w:noProof/>
                <w:webHidden/>
                <w:sz w:val="24"/>
                <w:szCs w:val="24"/>
              </w:rPr>
              <w:fldChar w:fldCharType="end"/>
            </w:r>
          </w:hyperlink>
        </w:p>
        <w:p w14:paraId="48F6BB31" w14:textId="2C816EFE"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3" w:history="1">
            <w:r w:rsidR="006167F5" w:rsidRPr="0024080D">
              <w:rPr>
                <w:rStyle w:val="a8"/>
                <w:rFonts w:ascii="Times New Roman" w:hAnsi="Times New Roman" w:cs="Times New Roman"/>
                <w:smallCaps w:val="0"/>
                <w:noProof/>
                <w:sz w:val="24"/>
                <w:szCs w:val="24"/>
              </w:rPr>
              <w:t>Огляд Національної програми ТБ, 2019 р.</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w:t>
            </w:r>
            <w:r w:rsidR="006167F5" w:rsidRPr="0024080D">
              <w:rPr>
                <w:rFonts w:ascii="Times New Roman" w:hAnsi="Times New Roman" w:cs="Times New Roman"/>
                <w:noProof/>
                <w:webHidden/>
                <w:sz w:val="24"/>
                <w:szCs w:val="24"/>
              </w:rPr>
              <w:fldChar w:fldCharType="end"/>
            </w:r>
          </w:hyperlink>
        </w:p>
        <w:p w14:paraId="3C7823CA" w14:textId="1D5827C1"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4" w:history="1">
            <w:r w:rsidR="006167F5" w:rsidRPr="0024080D">
              <w:rPr>
                <w:rStyle w:val="a8"/>
                <w:rFonts w:ascii="Times New Roman" w:hAnsi="Times New Roman" w:cs="Times New Roman"/>
                <w:smallCaps w:val="0"/>
                <w:noProof/>
                <w:sz w:val="24"/>
                <w:szCs w:val="24"/>
              </w:rPr>
              <w:t>Оцінювання тягаря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w:t>
            </w:r>
            <w:r w:rsidR="006167F5" w:rsidRPr="0024080D">
              <w:rPr>
                <w:rFonts w:ascii="Times New Roman" w:hAnsi="Times New Roman" w:cs="Times New Roman"/>
                <w:noProof/>
                <w:webHidden/>
                <w:sz w:val="24"/>
                <w:szCs w:val="24"/>
              </w:rPr>
              <w:fldChar w:fldCharType="end"/>
            </w:r>
          </w:hyperlink>
        </w:p>
        <w:p w14:paraId="6801BFD1" w14:textId="5E9317E3"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5" w:history="1">
            <w:r w:rsidR="006167F5" w:rsidRPr="0024080D">
              <w:rPr>
                <w:rStyle w:val="a8"/>
                <w:rFonts w:ascii="Times New Roman" w:hAnsi="Times New Roman" w:cs="Times New Roman"/>
                <w:smallCaps w:val="0"/>
                <w:noProof/>
                <w:sz w:val="24"/>
                <w:szCs w:val="24"/>
              </w:rPr>
              <w:t>Реєстрація випадків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_Toc89149095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10</w:t>
            </w:r>
            <w:r w:rsidR="006167F5" w:rsidRPr="0024080D">
              <w:rPr>
                <w:rFonts w:ascii="Times New Roman" w:hAnsi="Times New Roman" w:cs="Times New Roman"/>
                <w:noProof/>
                <w:webHidden/>
                <w:sz w:val="24"/>
                <w:szCs w:val="24"/>
              </w:rPr>
              <w:fldChar w:fldCharType="end"/>
            </w:r>
          </w:hyperlink>
        </w:p>
        <w:p w14:paraId="2628A10D" w14:textId="77090346"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6" w:history="1">
            <w:r w:rsidR="006167F5" w:rsidRPr="0024080D">
              <w:rPr>
                <w:rStyle w:val="a8"/>
                <w:rFonts w:ascii="Times New Roman" w:hAnsi="Times New Roman" w:cs="Times New Roman"/>
                <w:smallCaps w:val="0"/>
                <w:noProof/>
                <w:sz w:val="24"/>
                <w:szCs w:val="24"/>
              </w:rPr>
              <w:t>Діагностика випадків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_Toc89149096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10</w:t>
            </w:r>
            <w:r w:rsidR="006167F5" w:rsidRPr="0024080D">
              <w:rPr>
                <w:rFonts w:ascii="Times New Roman" w:hAnsi="Times New Roman" w:cs="Times New Roman"/>
                <w:noProof/>
                <w:webHidden/>
                <w:sz w:val="24"/>
                <w:szCs w:val="24"/>
              </w:rPr>
              <w:fldChar w:fldCharType="end"/>
            </w:r>
          </w:hyperlink>
        </w:p>
        <w:p w14:paraId="7FB72751" w14:textId="49A29B4E"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7" w:history="1">
            <w:r w:rsidR="006167F5" w:rsidRPr="0024080D">
              <w:rPr>
                <w:rStyle w:val="a8"/>
                <w:rFonts w:ascii="Times New Roman" w:hAnsi="Times New Roman" w:cs="Times New Roman"/>
                <w:smallCaps w:val="0"/>
                <w:noProof/>
                <w:sz w:val="24"/>
                <w:szCs w:val="24"/>
              </w:rPr>
              <w:t>Ведення коінфекції ТБ/ВІЛ серед нових випадків та рецидивів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_Toc89149097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10</w:t>
            </w:r>
            <w:r w:rsidR="006167F5" w:rsidRPr="0024080D">
              <w:rPr>
                <w:rFonts w:ascii="Times New Roman" w:hAnsi="Times New Roman" w:cs="Times New Roman"/>
                <w:noProof/>
                <w:webHidden/>
                <w:sz w:val="24"/>
                <w:szCs w:val="24"/>
              </w:rPr>
              <w:fldChar w:fldCharType="end"/>
            </w:r>
          </w:hyperlink>
        </w:p>
        <w:p w14:paraId="306C4616" w14:textId="1A213EAF"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8" w:history="1">
            <w:r w:rsidR="006167F5" w:rsidRPr="0024080D">
              <w:rPr>
                <w:rStyle w:val="a8"/>
                <w:rFonts w:ascii="Times New Roman" w:hAnsi="Times New Roman" w:cs="Times New Roman"/>
                <w:smallCaps w:val="0"/>
                <w:noProof/>
                <w:sz w:val="24"/>
                <w:szCs w:val="24"/>
              </w:rPr>
              <w:t>Оцінювання ТБ у дітей та жінок</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_Toc89149098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10</w:t>
            </w:r>
            <w:r w:rsidR="006167F5" w:rsidRPr="0024080D">
              <w:rPr>
                <w:rFonts w:ascii="Times New Roman" w:hAnsi="Times New Roman" w:cs="Times New Roman"/>
                <w:noProof/>
                <w:webHidden/>
                <w:sz w:val="24"/>
                <w:szCs w:val="24"/>
              </w:rPr>
              <w:fldChar w:fldCharType="end"/>
            </w:r>
          </w:hyperlink>
        </w:p>
        <w:p w14:paraId="44C996FA" w14:textId="146DDB4A"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099" w:history="1">
            <w:r w:rsidR="006167F5" w:rsidRPr="0024080D">
              <w:rPr>
                <w:rStyle w:val="a8"/>
                <w:rFonts w:ascii="Times New Roman" w:hAnsi="Times New Roman" w:cs="Times New Roman"/>
                <w:smallCaps w:val="0"/>
                <w:noProof/>
                <w:sz w:val="24"/>
                <w:szCs w:val="24"/>
              </w:rPr>
              <w:t>ТБ у в’язницях</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_Toc89149099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11</w:t>
            </w:r>
            <w:r w:rsidR="006167F5" w:rsidRPr="0024080D">
              <w:rPr>
                <w:rFonts w:ascii="Times New Roman" w:hAnsi="Times New Roman" w:cs="Times New Roman"/>
                <w:noProof/>
                <w:webHidden/>
                <w:sz w:val="24"/>
                <w:szCs w:val="24"/>
              </w:rPr>
              <w:fldChar w:fldCharType="end"/>
            </w:r>
          </w:hyperlink>
        </w:p>
        <w:p w14:paraId="04B1DE9F" w14:textId="04D32E49"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00" w:history="1">
            <w:r w:rsidR="006167F5" w:rsidRPr="0024080D">
              <w:rPr>
                <w:rStyle w:val="a8"/>
                <w:rFonts w:ascii="Times New Roman" w:hAnsi="Times New Roman" w:cs="Times New Roman"/>
                <w:smallCaps w:val="0"/>
                <w:noProof/>
                <w:sz w:val="24"/>
                <w:szCs w:val="24"/>
              </w:rPr>
              <w:t>Лікування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_Toc89149100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12</w:t>
            </w:r>
            <w:r w:rsidR="006167F5" w:rsidRPr="0024080D">
              <w:rPr>
                <w:rFonts w:ascii="Times New Roman" w:hAnsi="Times New Roman" w:cs="Times New Roman"/>
                <w:noProof/>
                <w:webHidden/>
                <w:sz w:val="24"/>
                <w:szCs w:val="24"/>
              </w:rPr>
              <w:fldChar w:fldCharType="end"/>
            </w:r>
          </w:hyperlink>
        </w:p>
        <w:p w14:paraId="36B63F85" w14:textId="7C893D3B"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01" w:history="1">
            <w:r w:rsidR="006167F5" w:rsidRPr="0024080D">
              <w:rPr>
                <w:rStyle w:val="a8"/>
                <w:rFonts w:ascii="Times New Roman" w:hAnsi="Times New Roman" w:cs="Times New Roman"/>
                <w:smallCaps w:val="0"/>
                <w:noProof/>
                <w:sz w:val="24"/>
                <w:szCs w:val="24"/>
              </w:rPr>
              <w:t>Висновки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_Toc89149101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13</w:t>
            </w:r>
            <w:r w:rsidR="006167F5" w:rsidRPr="0024080D">
              <w:rPr>
                <w:rFonts w:ascii="Times New Roman" w:hAnsi="Times New Roman" w:cs="Times New Roman"/>
                <w:noProof/>
                <w:webHidden/>
                <w:sz w:val="24"/>
                <w:szCs w:val="24"/>
              </w:rPr>
              <w:fldChar w:fldCharType="end"/>
            </w:r>
          </w:hyperlink>
        </w:p>
        <w:p w14:paraId="08AFAF48" w14:textId="4EC7E7F1" w:rsidR="006167F5" w:rsidRPr="0024080D" w:rsidRDefault="00000000" w:rsidP="00511A5B">
          <w:pPr>
            <w:pStyle w:val="1d"/>
            <w:rPr>
              <w:rFonts w:ascii="Times New Roman" w:eastAsiaTheme="minorEastAsia" w:hAnsi="Times New Roman" w:cs="Times New Roman"/>
              <w:noProof/>
              <w:sz w:val="24"/>
              <w:szCs w:val="24"/>
            </w:rPr>
          </w:pPr>
          <w:hyperlink w:anchor="_Toc89149102" w:history="1">
            <w:r w:rsidR="006167F5" w:rsidRPr="0024080D">
              <w:rPr>
                <w:rStyle w:val="a8"/>
                <w:rFonts w:ascii="Times New Roman" w:hAnsi="Times New Roman" w:cs="Times New Roman"/>
                <w:caps w:val="0"/>
                <w:noProof/>
                <w:sz w:val="24"/>
                <w:szCs w:val="24"/>
              </w:rPr>
              <w:t>РОЗДІЛ 2. ВИКОНАННЯ</w:t>
            </w:r>
            <w:r w:rsidR="0038110C" w:rsidRPr="0024080D">
              <w:rPr>
                <w:rStyle w:val="a8"/>
                <w:rFonts w:ascii="Times New Roman" w:hAnsi="Times New Roman" w:cs="Times New Roman"/>
                <w:caps w:val="0"/>
                <w:noProof/>
                <w:sz w:val="24"/>
                <w:szCs w:val="24"/>
              </w:rPr>
              <w:t xml:space="preserve"> ЦІЛЕЙ СТРАТЕГІЇ ЛІКВІДАЦІЇ ТБ </w:t>
            </w:r>
            <w:r w:rsidR="0038110C" w:rsidRPr="0024080D">
              <w:rPr>
                <w:rStyle w:val="a8"/>
                <w:rFonts w:ascii="Times New Roman" w:hAnsi="Times New Roman" w:cs="Times New Roman"/>
                <w:caps w:val="0"/>
                <w:noProof/>
                <w:sz w:val="24"/>
                <w:szCs w:val="24"/>
              </w:rPr>
              <w:br/>
            </w:r>
            <w:r w:rsidR="006167F5" w:rsidRPr="0024080D">
              <w:rPr>
                <w:rStyle w:val="a8"/>
                <w:rFonts w:ascii="Times New Roman" w:hAnsi="Times New Roman" w:cs="Times New Roman"/>
                <w:caps w:val="0"/>
                <w:noProof/>
                <w:sz w:val="24"/>
                <w:szCs w:val="24"/>
              </w:rPr>
              <w:t>(«E</w:t>
            </w:r>
            <w:r w:rsidR="00A70E1B" w:rsidRPr="0024080D">
              <w:rPr>
                <w:rStyle w:val="a8"/>
                <w:rFonts w:ascii="Times New Roman" w:hAnsi="Times New Roman" w:cs="Times New Roman"/>
                <w:caps w:val="0"/>
                <w:noProof/>
                <w:sz w:val="24"/>
                <w:szCs w:val="24"/>
              </w:rPr>
              <w:t>ND TB STRATEGY</w:t>
            </w:r>
            <w:r w:rsidR="006167F5" w:rsidRPr="0024080D">
              <w:rPr>
                <w:rStyle w:val="a8"/>
                <w:rFonts w:ascii="Times New Roman" w:hAnsi="Times New Roman" w:cs="Times New Roman"/>
                <w:caps w:val="0"/>
                <w:noProof/>
                <w:sz w:val="24"/>
                <w:szCs w:val="24"/>
              </w:rPr>
              <w:t>»)</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_Toc89149102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14</w:t>
            </w:r>
            <w:r w:rsidR="006167F5" w:rsidRPr="0024080D">
              <w:rPr>
                <w:rFonts w:ascii="Times New Roman" w:hAnsi="Times New Roman" w:cs="Times New Roman"/>
                <w:noProof/>
                <w:webHidden/>
                <w:sz w:val="24"/>
                <w:szCs w:val="24"/>
              </w:rPr>
              <w:fldChar w:fldCharType="end"/>
            </w:r>
          </w:hyperlink>
        </w:p>
        <w:p w14:paraId="56E40817" w14:textId="0A56C4C5"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03" w:history="1">
            <w:r w:rsidR="006167F5" w:rsidRPr="0024080D">
              <w:rPr>
                <w:rStyle w:val="a8"/>
                <w:rFonts w:ascii="Times New Roman" w:hAnsi="Times New Roman" w:cs="Times New Roman"/>
                <w:smallCaps w:val="0"/>
                <w:noProof/>
                <w:sz w:val="24"/>
                <w:szCs w:val="24"/>
              </w:rPr>
              <w:t>Огляд показників програми ТБ, 2020 р.</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_Toc89149103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15</w:t>
            </w:r>
            <w:r w:rsidR="006167F5" w:rsidRPr="0024080D">
              <w:rPr>
                <w:rFonts w:ascii="Times New Roman" w:hAnsi="Times New Roman" w:cs="Times New Roman"/>
                <w:noProof/>
                <w:webHidden/>
                <w:sz w:val="24"/>
                <w:szCs w:val="24"/>
              </w:rPr>
              <w:fldChar w:fldCharType="end"/>
            </w:r>
          </w:hyperlink>
        </w:p>
        <w:p w14:paraId="05173745" w14:textId="286C9CA0" w:rsidR="006167F5" w:rsidRPr="0024080D" w:rsidRDefault="00000000" w:rsidP="00580723">
          <w:pPr>
            <w:pStyle w:val="33"/>
            <w:rPr>
              <w:rFonts w:eastAsiaTheme="minorEastAsia"/>
              <w:noProof/>
            </w:rPr>
          </w:pPr>
          <w:hyperlink w:anchor="_Toc89149104" w:history="1">
            <w:r w:rsidR="006167F5" w:rsidRPr="0024080D">
              <w:rPr>
                <w:rStyle w:val="a8"/>
                <w:rFonts w:ascii="Times New Roman" w:hAnsi="Times New Roman" w:cs="Times New Roman"/>
                <w:i w:val="0"/>
                <w:noProof/>
                <w:sz w:val="24"/>
                <w:szCs w:val="24"/>
              </w:rPr>
              <w:t>Оцінювання тягаря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_Toc89149104 \h </w:instrText>
            </w:r>
            <w:r w:rsidR="006167F5" w:rsidRPr="0024080D">
              <w:rPr>
                <w:noProof/>
                <w:webHidden/>
              </w:rPr>
            </w:r>
            <w:r w:rsidR="006167F5" w:rsidRPr="0024080D">
              <w:rPr>
                <w:noProof/>
                <w:webHidden/>
              </w:rPr>
              <w:fldChar w:fldCharType="separate"/>
            </w:r>
            <w:r w:rsidR="00747D31">
              <w:rPr>
                <w:noProof/>
                <w:webHidden/>
              </w:rPr>
              <w:t>15</w:t>
            </w:r>
            <w:r w:rsidR="006167F5" w:rsidRPr="0024080D">
              <w:rPr>
                <w:noProof/>
                <w:webHidden/>
              </w:rPr>
              <w:fldChar w:fldCharType="end"/>
            </w:r>
          </w:hyperlink>
        </w:p>
        <w:p w14:paraId="66B00E88" w14:textId="3B88843F" w:rsidR="006167F5" w:rsidRPr="0024080D" w:rsidRDefault="00000000" w:rsidP="00580723">
          <w:pPr>
            <w:pStyle w:val="33"/>
            <w:rPr>
              <w:rFonts w:eastAsiaTheme="minorEastAsia"/>
              <w:noProof/>
            </w:rPr>
          </w:pPr>
          <w:hyperlink w:anchor="_Toc89149105" w:history="1">
            <w:r w:rsidR="006167F5" w:rsidRPr="0024080D">
              <w:rPr>
                <w:rStyle w:val="a8"/>
                <w:rFonts w:ascii="Times New Roman" w:hAnsi="Times New Roman" w:cs="Times New Roman"/>
                <w:i w:val="0"/>
                <w:noProof/>
                <w:sz w:val="24"/>
                <w:szCs w:val="24"/>
              </w:rPr>
              <w:t>Реєстрація випадків</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_Toc89149105 \h </w:instrText>
            </w:r>
            <w:r w:rsidR="006167F5" w:rsidRPr="0024080D">
              <w:rPr>
                <w:noProof/>
                <w:webHidden/>
              </w:rPr>
            </w:r>
            <w:r w:rsidR="006167F5" w:rsidRPr="0024080D">
              <w:rPr>
                <w:noProof/>
                <w:webHidden/>
              </w:rPr>
              <w:fldChar w:fldCharType="separate"/>
            </w:r>
            <w:r w:rsidR="00747D31">
              <w:rPr>
                <w:noProof/>
                <w:webHidden/>
              </w:rPr>
              <w:t>15</w:t>
            </w:r>
            <w:r w:rsidR="006167F5" w:rsidRPr="0024080D">
              <w:rPr>
                <w:noProof/>
                <w:webHidden/>
              </w:rPr>
              <w:fldChar w:fldCharType="end"/>
            </w:r>
          </w:hyperlink>
        </w:p>
        <w:p w14:paraId="0B2A67A7" w14:textId="41747EB0" w:rsidR="006167F5" w:rsidRPr="0024080D" w:rsidRDefault="00000000" w:rsidP="00580723">
          <w:pPr>
            <w:pStyle w:val="33"/>
            <w:rPr>
              <w:rFonts w:eastAsiaTheme="minorEastAsia"/>
              <w:noProof/>
            </w:rPr>
          </w:pPr>
          <w:hyperlink w:anchor="_Toc89149106" w:history="1">
            <w:r w:rsidR="006167F5" w:rsidRPr="0024080D">
              <w:rPr>
                <w:rStyle w:val="a8"/>
                <w:rFonts w:ascii="Times New Roman" w:hAnsi="Times New Roman" w:cs="Times New Roman"/>
                <w:i w:val="0"/>
                <w:noProof/>
                <w:sz w:val="24"/>
                <w:szCs w:val="24"/>
              </w:rPr>
              <w:t>Ведення коінфекції ТБ/ВІЛ серед нових випадків та рецидивів ТБ, 2020 р.</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_Toc89149106 \h </w:instrText>
            </w:r>
            <w:r w:rsidR="006167F5" w:rsidRPr="0024080D">
              <w:rPr>
                <w:noProof/>
                <w:webHidden/>
              </w:rPr>
            </w:r>
            <w:r w:rsidR="006167F5" w:rsidRPr="0024080D">
              <w:rPr>
                <w:noProof/>
                <w:webHidden/>
              </w:rPr>
              <w:fldChar w:fldCharType="separate"/>
            </w:r>
            <w:r w:rsidR="00747D31">
              <w:rPr>
                <w:noProof/>
                <w:webHidden/>
              </w:rPr>
              <w:t>16</w:t>
            </w:r>
            <w:r w:rsidR="006167F5" w:rsidRPr="0024080D">
              <w:rPr>
                <w:noProof/>
                <w:webHidden/>
              </w:rPr>
              <w:fldChar w:fldCharType="end"/>
            </w:r>
          </w:hyperlink>
        </w:p>
        <w:p w14:paraId="74D728E3" w14:textId="30F31743" w:rsidR="006167F5" w:rsidRPr="0024080D" w:rsidRDefault="00000000" w:rsidP="00580723">
          <w:pPr>
            <w:pStyle w:val="33"/>
            <w:rPr>
              <w:rFonts w:eastAsiaTheme="minorEastAsia"/>
              <w:noProof/>
            </w:rPr>
          </w:pPr>
          <w:hyperlink w:anchor="_Toc89149107" w:history="1">
            <w:r w:rsidR="006167F5" w:rsidRPr="0024080D">
              <w:rPr>
                <w:rStyle w:val="a8"/>
                <w:rFonts w:ascii="Times New Roman" w:hAnsi="Times New Roman" w:cs="Times New Roman"/>
                <w:i w:val="0"/>
                <w:noProof/>
                <w:sz w:val="24"/>
                <w:szCs w:val="24"/>
              </w:rPr>
              <w:t>Лікування і ведення випадків ТБ з лікарською стійкістю, 2020 р.</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_Toc89149107 \h </w:instrText>
            </w:r>
            <w:r w:rsidR="006167F5" w:rsidRPr="0024080D">
              <w:rPr>
                <w:noProof/>
                <w:webHidden/>
              </w:rPr>
            </w:r>
            <w:r w:rsidR="006167F5" w:rsidRPr="0024080D">
              <w:rPr>
                <w:noProof/>
                <w:webHidden/>
              </w:rPr>
              <w:fldChar w:fldCharType="separate"/>
            </w:r>
            <w:r w:rsidR="00747D31">
              <w:rPr>
                <w:noProof/>
                <w:webHidden/>
              </w:rPr>
              <w:t>16</w:t>
            </w:r>
            <w:r w:rsidR="006167F5" w:rsidRPr="0024080D">
              <w:rPr>
                <w:noProof/>
                <w:webHidden/>
              </w:rPr>
              <w:fldChar w:fldCharType="end"/>
            </w:r>
          </w:hyperlink>
        </w:p>
        <w:p w14:paraId="7D4887A5" w14:textId="655738F0" w:rsidR="006167F5" w:rsidRPr="0024080D" w:rsidRDefault="00000000" w:rsidP="00580723">
          <w:pPr>
            <w:pStyle w:val="33"/>
            <w:rPr>
              <w:rFonts w:eastAsiaTheme="minorEastAsia"/>
              <w:noProof/>
            </w:rPr>
          </w:pPr>
          <w:hyperlink w:anchor="_Toc89149108" w:history="1">
            <w:r w:rsidR="006167F5" w:rsidRPr="0024080D">
              <w:rPr>
                <w:rStyle w:val="a8"/>
                <w:rFonts w:ascii="Times New Roman" w:hAnsi="Times New Roman" w:cs="Times New Roman"/>
                <w:i w:val="0"/>
                <w:noProof/>
                <w:sz w:val="24"/>
                <w:szCs w:val="24"/>
              </w:rPr>
              <w:t>Показник ефективності лікування</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_Toc89149108 \h </w:instrText>
            </w:r>
            <w:r w:rsidR="006167F5" w:rsidRPr="0024080D">
              <w:rPr>
                <w:noProof/>
                <w:webHidden/>
              </w:rPr>
            </w:r>
            <w:r w:rsidR="006167F5" w:rsidRPr="0024080D">
              <w:rPr>
                <w:noProof/>
                <w:webHidden/>
              </w:rPr>
              <w:fldChar w:fldCharType="separate"/>
            </w:r>
            <w:r w:rsidR="00747D31">
              <w:rPr>
                <w:noProof/>
                <w:webHidden/>
              </w:rPr>
              <w:t>17</w:t>
            </w:r>
            <w:r w:rsidR="006167F5" w:rsidRPr="0024080D">
              <w:rPr>
                <w:noProof/>
                <w:webHidden/>
              </w:rPr>
              <w:fldChar w:fldCharType="end"/>
            </w:r>
          </w:hyperlink>
        </w:p>
        <w:p w14:paraId="6288B675" w14:textId="79CDB5C3" w:rsidR="006167F5" w:rsidRPr="0024080D" w:rsidRDefault="00000000" w:rsidP="00580723">
          <w:pPr>
            <w:pStyle w:val="33"/>
            <w:rPr>
              <w:rFonts w:eastAsiaTheme="minorEastAsia"/>
              <w:noProof/>
            </w:rPr>
          </w:pPr>
          <w:hyperlink w:anchor="_Toc89149109" w:history="1">
            <w:r w:rsidR="006167F5" w:rsidRPr="0024080D">
              <w:rPr>
                <w:rStyle w:val="a8"/>
                <w:rFonts w:ascii="Times New Roman" w:hAnsi="Times New Roman" w:cs="Times New Roman"/>
                <w:i w:val="0"/>
                <w:noProof/>
                <w:sz w:val="24"/>
                <w:szCs w:val="24"/>
              </w:rPr>
              <w:t>Профілактичне лікування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_Toc89149109 \h </w:instrText>
            </w:r>
            <w:r w:rsidR="006167F5" w:rsidRPr="0024080D">
              <w:rPr>
                <w:noProof/>
                <w:webHidden/>
              </w:rPr>
            </w:r>
            <w:r w:rsidR="006167F5" w:rsidRPr="0024080D">
              <w:rPr>
                <w:noProof/>
                <w:webHidden/>
              </w:rPr>
              <w:fldChar w:fldCharType="separate"/>
            </w:r>
            <w:r w:rsidR="00747D31">
              <w:rPr>
                <w:noProof/>
                <w:webHidden/>
              </w:rPr>
              <w:t>17</w:t>
            </w:r>
            <w:r w:rsidR="006167F5" w:rsidRPr="0024080D">
              <w:rPr>
                <w:noProof/>
                <w:webHidden/>
              </w:rPr>
              <w:fldChar w:fldCharType="end"/>
            </w:r>
          </w:hyperlink>
        </w:p>
        <w:p w14:paraId="31CC878A" w14:textId="48F115E6" w:rsidR="006167F5" w:rsidRPr="0024080D" w:rsidRDefault="00000000" w:rsidP="00580723">
          <w:pPr>
            <w:pStyle w:val="33"/>
            <w:rPr>
              <w:rFonts w:eastAsiaTheme="minorEastAsia"/>
              <w:noProof/>
            </w:rPr>
          </w:pPr>
          <w:hyperlink w:anchor="_Toc89149110" w:history="1">
            <w:r w:rsidR="006167F5" w:rsidRPr="0024080D">
              <w:rPr>
                <w:rStyle w:val="a8"/>
                <w:rFonts w:ascii="Times New Roman" w:hAnsi="Times New Roman" w:cs="Times New Roman"/>
                <w:i w:val="0"/>
                <w:noProof/>
                <w:sz w:val="24"/>
                <w:szCs w:val="24"/>
              </w:rPr>
              <w:t>Висновки</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_Toc89149110 \h </w:instrText>
            </w:r>
            <w:r w:rsidR="006167F5" w:rsidRPr="0024080D">
              <w:rPr>
                <w:noProof/>
                <w:webHidden/>
              </w:rPr>
            </w:r>
            <w:r w:rsidR="006167F5" w:rsidRPr="0024080D">
              <w:rPr>
                <w:noProof/>
                <w:webHidden/>
              </w:rPr>
              <w:fldChar w:fldCharType="separate"/>
            </w:r>
            <w:r w:rsidR="00747D31">
              <w:rPr>
                <w:noProof/>
                <w:webHidden/>
              </w:rPr>
              <w:t>18</w:t>
            </w:r>
            <w:r w:rsidR="006167F5" w:rsidRPr="0024080D">
              <w:rPr>
                <w:noProof/>
                <w:webHidden/>
              </w:rPr>
              <w:fldChar w:fldCharType="end"/>
            </w:r>
          </w:hyperlink>
        </w:p>
        <w:p w14:paraId="0E78753B" w14:textId="6FA6ACA5"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11" w:history="1">
            <w:r w:rsidR="006167F5" w:rsidRPr="0024080D">
              <w:rPr>
                <w:rStyle w:val="a8"/>
                <w:rFonts w:ascii="Times New Roman" w:hAnsi="Times New Roman" w:cs="Times New Roman"/>
                <w:smallCaps w:val="0"/>
                <w:noProof/>
                <w:sz w:val="24"/>
                <w:szCs w:val="24"/>
              </w:rPr>
              <w:t>TБ і COVID-19</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19</w:t>
            </w:r>
            <w:r w:rsidR="006167F5" w:rsidRPr="0024080D">
              <w:rPr>
                <w:rFonts w:ascii="Times New Roman" w:hAnsi="Times New Roman" w:cs="Times New Roman"/>
                <w:noProof/>
                <w:webHidden/>
                <w:sz w:val="24"/>
                <w:szCs w:val="24"/>
              </w:rPr>
              <w:fldChar w:fldCharType="end"/>
            </w:r>
          </w:hyperlink>
        </w:p>
        <w:p w14:paraId="3E35FF79" w14:textId="180BCB81" w:rsidR="006167F5" w:rsidRPr="0024080D" w:rsidRDefault="00000000" w:rsidP="00511A5B">
          <w:pPr>
            <w:pStyle w:val="1d"/>
            <w:rPr>
              <w:rFonts w:ascii="Times New Roman" w:eastAsiaTheme="minorEastAsia" w:hAnsi="Times New Roman" w:cs="Times New Roman"/>
              <w:noProof/>
              <w:sz w:val="24"/>
              <w:szCs w:val="24"/>
            </w:rPr>
          </w:pPr>
          <w:hyperlink w:anchor="_Toc89149112" w:history="1">
            <w:r w:rsidR="006167F5" w:rsidRPr="0024080D">
              <w:rPr>
                <w:rStyle w:val="a8"/>
                <w:rFonts w:ascii="Times New Roman" w:hAnsi="Times New Roman" w:cs="Times New Roman"/>
                <w:caps w:val="0"/>
                <w:noProof/>
                <w:sz w:val="24"/>
                <w:szCs w:val="24"/>
              </w:rPr>
              <w:t xml:space="preserve">РОЗДІЛ 3. ЕПІДЕМІЧНА СИТУАЦІЯ ЩОДО ТБ В УКРАЇНІ </w:t>
            </w:r>
            <w:r w:rsidR="00DD649F" w:rsidRPr="0024080D">
              <w:rPr>
                <w:rStyle w:val="a8"/>
                <w:rFonts w:ascii="Times New Roman" w:hAnsi="Times New Roman" w:cs="Times New Roman"/>
                <w:caps w:val="0"/>
                <w:noProof/>
                <w:sz w:val="24"/>
                <w:szCs w:val="24"/>
              </w:rPr>
              <w:br/>
            </w:r>
            <w:r w:rsidR="006167F5" w:rsidRPr="0024080D">
              <w:rPr>
                <w:rStyle w:val="a8"/>
                <w:rFonts w:ascii="Times New Roman" w:hAnsi="Times New Roman" w:cs="Times New Roman"/>
                <w:caps w:val="0"/>
                <w:noProof/>
                <w:sz w:val="24"/>
                <w:szCs w:val="24"/>
              </w:rPr>
              <w:t>СТАНОМ НА 01.01.2021 р.</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21</w:t>
            </w:r>
            <w:r w:rsidR="006167F5" w:rsidRPr="0024080D">
              <w:rPr>
                <w:rFonts w:ascii="Times New Roman" w:hAnsi="Times New Roman" w:cs="Times New Roman"/>
                <w:noProof/>
                <w:webHidden/>
                <w:sz w:val="24"/>
                <w:szCs w:val="24"/>
              </w:rPr>
              <w:fldChar w:fldCharType="end"/>
            </w:r>
          </w:hyperlink>
        </w:p>
        <w:p w14:paraId="389690C9" w14:textId="44782A79"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13" w:history="1">
            <w:r w:rsidR="006167F5" w:rsidRPr="0024080D">
              <w:rPr>
                <w:rStyle w:val="a8"/>
                <w:rFonts w:ascii="Times New Roman" w:hAnsi="Times New Roman" w:cs="Times New Roman"/>
                <w:smallCaps w:val="0"/>
                <w:noProof/>
                <w:sz w:val="24"/>
                <w:szCs w:val="24"/>
              </w:rPr>
              <w:t>Основні епідемічні показники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21</w:t>
            </w:r>
            <w:r w:rsidR="006167F5" w:rsidRPr="0024080D">
              <w:rPr>
                <w:rFonts w:ascii="Times New Roman" w:hAnsi="Times New Roman" w:cs="Times New Roman"/>
                <w:noProof/>
                <w:webHidden/>
                <w:sz w:val="24"/>
                <w:szCs w:val="24"/>
              </w:rPr>
              <w:fldChar w:fldCharType="end"/>
            </w:r>
          </w:hyperlink>
        </w:p>
        <w:p w14:paraId="033D41F8" w14:textId="5D6B73E5" w:rsidR="006167F5" w:rsidRPr="0024080D" w:rsidRDefault="00000000" w:rsidP="00580723">
          <w:pPr>
            <w:pStyle w:val="33"/>
            <w:rPr>
              <w:rFonts w:eastAsiaTheme="minorEastAsia"/>
              <w:noProof/>
            </w:rPr>
          </w:pPr>
          <w:hyperlink w:anchor="_Toc89149114" w:history="1">
            <w:r w:rsidR="006167F5" w:rsidRPr="0024080D">
              <w:rPr>
                <w:rStyle w:val="a8"/>
                <w:rFonts w:ascii="Times New Roman" w:hAnsi="Times New Roman" w:cs="Times New Roman"/>
                <w:i w:val="0"/>
                <w:noProof/>
                <w:sz w:val="24"/>
                <w:szCs w:val="24"/>
              </w:rPr>
              <w:t>Захворюваність на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_Toc89149114 \h </w:instrText>
            </w:r>
            <w:r w:rsidR="006167F5" w:rsidRPr="0024080D">
              <w:rPr>
                <w:noProof/>
                <w:webHidden/>
              </w:rPr>
            </w:r>
            <w:r w:rsidR="006167F5" w:rsidRPr="0024080D">
              <w:rPr>
                <w:noProof/>
                <w:webHidden/>
              </w:rPr>
              <w:fldChar w:fldCharType="separate"/>
            </w:r>
            <w:r w:rsidR="00747D31">
              <w:rPr>
                <w:noProof/>
                <w:webHidden/>
              </w:rPr>
              <w:t>21</w:t>
            </w:r>
            <w:r w:rsidR="006167F5" w:rsidRPr="0024080D">
              <w:rPr>
                <w:noProof/>
                <w:webHidden/>
              </w:rPr>
              <w:fldChar w:fldCharType="end"/>
            </w:r>
          </w:hyperlink>
        </w:p>
        <w:p w14:paraId="60187D7D" w14:textId="753E956E" w:rsidR="006167F5" w:rsidRPr="0024080D" w:rsidRDefault="00000000" w:rsidP="00580723">
          <w:pPr>
            <w:pStyle w:val="33"/>
            <w:rPr>
              <w:rFonts w:eastAsiaTheme="minorEastAsia"/>
              <w:noProof/>
            </w:rPr>
          </w:pPr>
          <w:hyperlink w:anchor="_Toc89149115" w:history="1">
            <w:r w:rsidR="006167F5" w:rsidRPr="0024080D">
              <w:rPr>
                <w:rStyle w:val="a8"/>
                <w:rFonts w:ascii="Times New Roman" w:hAnsi="Times New Roman" w:cs="Times New Roman"/>
                <w:i w:val="0"/>
                <w:noProof/>
                <w:sz w:val="24"/>
                <w:szCs w:val="24"/>
              </w:rPr>
              <w:t>Реєстрація випадків</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_Toc89149115 \h </w:instrText>
            </w:r>
            <w:r w:rsidR="006167F5" w:rsidRPr="0024080D">
              <w:rPr>
                <w:noProof/>
                <w:webHidden/>
              </w:rPr>
            </w:r>
            <w:r w:rsidR="006167F5" w:rsidRPr="0024080D">
              <w:rPr>
                <w:noProof/>
                <w:webHidden/>
              </w:rPr>
              <w:fldChar w:fldCharType="separate"/>
            </w:r>
            <w:r w:rsidR="00747D31">
              <w:rPr>
                <w:noProof/>
                <w:webHidden/>
              </w:rPr>
              <w:t>22</w:t>
            </w:r>
            <w:r w:rsidR="006167F5" w:rsidRPr="0024080D">
              <w:rPr>
                <w:noProof/>
                <w:webHidden/>
              </w:rPr>
              <w:fldChar w:fldCharType="end"/>
            </w:r>
          </w:hyperlink>
        </w:p>
        <w:p w14:paraId="26931FAC" w14:textId="40837AF5" w:rsidR="006167F5" w:rsidRPr="0024080D" w:rsidRDefault="00000000" w:rsidP="00580723">
          <w:pPr>
            <w:pStyle w:val="33"/>
            <w:rPr>
              <w:rFonts w:eastAsiaTheme="minorEastAsia"/>
              <w:noProof/>
            </w:rPr>
          </w:pPr>
          <w:hyperlink w:anchor="_Toc89149116" w:history="1">
            <w:r w:rsidR="006167F5" w:rsidRPr="0024080D">
              <w:rPr>
                <w:rStyle w:val="a8"/>
                <w:rFonts w:ascii="Times New Roman" w:hAnsi="Times New Roman" w:cs="Times New Roman"/>
                <w:i w:val="0"/>
                <w:noProof/>
                <w:sz w:val="24"/>
                <w:szCs w:val="24"/>
              </w:rPr>
              <w:t>Поширеність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_Toc89149116 \h </w:instrText>
            </w:r>
            <w:r w:rsidR="006167F5" w:rsidRPr="0024080D">
              <w:rPr>
                <w:noProof/>
                <w:webHidden/>
              </w:rPr>
            </w:r>
            <w:r w:rsidR="006167F5" w:rsidRPr="0024080D">
              <w:rPr>
                <w:noProof/>
                <w:webHidden/>
              </w:rPr>
              <w:fldChar w:fldCharType="separate"/>
            </w:r>
            <w:r w:rsidR="00747D31">
              <w:rPr>
                <w:noProof/>
                <w:webHidden/>
              </w:rPr>
              <w:t>25</w:t>
            </w:r>
            <w:r w:rsidR="006167F5" w:rsidRPr="0024080D">
              <w:rPr>
                <w:noProof/>
                <w:webHidden/>
              </w:rPr>
              <w:fldChar w:fldCharType="end"/>
            </w:r>
          </w:hyperlink>
        </w:p>
        <w:p w14:paraId="7532CC3E" w14:textId="1368A656"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17" w:history="1">
            <w:r w:rsidR="006167F5" w:rsidRPr="0024080D">
              <w:rPr>
                <w:rStyle w:val="a8"/>
                <w:rFonts w:ascii="Times New Roman" w:hAnsi="Times New Roman" w:cs="Times New Roman"/>
                <w:i/>
                <w:noProof/>
                <w:sz w:val="24"/>
                <w:szCs w:val="24"/>
              </w:rPr>
              <w:t>Динаміка за бактеріологічним підтвердженням</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_Toc89149117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26</w:t>
            </w:r>
            <w:r w:rsidR="006167F5" w:rsidRPr="0024080D">
              <w:rPr>
                <w:rFonts w:ascii="Times New Roman" w:hAnsi="Times New Roman" w:cs="Times New Roman"/>
                <w:noProof/>
                <w:webHidden/>
                <w:sz w:val="24"/>
                <w:szCs w:val="24"/>
              </w:rPr>
              <w:fldChar w:fldCharType="end"/>
            </w:r>
          </w:hyperlink>
        </w:p>
        <w:p w14:paraId="38D260A8" w14:textId="1BC61D9E"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18" w:history="1">
            <w:r w:rsidR="006167F5" w:rsidRPr="0024080D">
              <w:rPr>
                <w:rStyle w:val="a8"/>
                <w:rFonts w:ascii="Times New Roman" w:hAnsi="Times New Roman" w:cs="Times New Roman"/>
                <w:i/>
                <w:noProof/>
                <w:sz w:val="24"/>
                <w:szCs w:val="24"/>
              </w:rPr>
              <w:t>Динаміка за локалізацією захворювання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_Toc89149118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27</w:t>
            </w:r>
            <w:r w:rsidR="006167F5" w:rsidRPr="0024080D">
              <w:rPr>
                <w:rFonts w:ascii="Times New Roman" w:hAnsi="Times New Roman" w:cs="Times New Roman"/>
                <w:noProof/>
                <w:webHidden/>
                <w:sz w:val="24"/>
                <w:szCs w:val="24"/>
              </w:rPr>
              <w:fldChar w:fldCharType="end"/>
            </w:r>
          </w:hyperlink>
        </w:p>
        <w:p w14:paraId="79D2E9B7" w14:textId="164F9D5F"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19" w:history="1">
            <w:r w:rsidR="006167F5" w:rsidRPr="0024080D">
              <w:rPr>
                <w:rStyle w:val="a8"/>
                <w:rFonts w:ascii="Times New Roman" w:hAnsi="Times New Roman" w:cs="Times New Roman"/>
                <w:i/>
                <w:noProof/>
                <w:sz w:val="24"/>
                <w:szCs w:val="24"/>
              </w:rPr>
              <w:t>Динаміка за історією лікування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_Toc89149119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28</w:t>
            </w:r>
            <w:r w:rsidR="006167F5" w:rsidRPr="0024080D">
              <w:rPr>
                <w:rFonts w:ascii="Times New Roman" w:hAnsi="Times New Roman" w:cs="Times New Roman"/>
                <w:noProof/>
                <w:webHidden/>
                <w:sz w:val="24"/>
                <w:szCs w:val="24"/>
              </w:rPr>
              <w:fldChar w:fldCharType="end"/>
            </w:r>
          </w:hyperlink>
        </w:p>
        <w:p w14:paraId="2B5D05C5" w14:textId="64FA2FE3"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0" w:history="1">
            <w:r w:rsidR="006167F5" w:rsidRPr="0024080D">
              <w:rPr>
                <w:rStyle w:val="a8"/>
                <w:rFonts w:ascii="Times New Roman" w:hAnsi="Times New Roman" w:cs="Times New Roman"/>
                <w:i/>
                <w:noProof/>
                <w:sz w:val="24"/>
                <w:szCs w:val="24"/>
              </w:rPr>
              <w:t>Динаміка за повідомленнями про випадки ТБ у дітей</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_Toc89149120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29</w:t>
            </w:r>
            <w:r w:rsidR="006167F5" w:rsidRPr="0024080D">
              <w:rPr>
                <w:rFonts w:ascii="Times New Roman" w:hAnsi="Times New Roman" w:cs="Times New Roman"/>
                <w:noProof/>
                <w:webHidden/>
                <w:sz w:val="24"/>
                <w:szCs w:val="24"/>
              </w:rPr>
              <w:fldChar w:fldCharType="end"/>
            </w:r>
          </w:hyperlink>
        </w:p>
        <w:p w14:paraId="2AB32CCF" w14:textId="00293882"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1" w:history="1">
            <w:r w:rsidR="006167F5" w:rsidRPr="0024080D">
              <w:rPr>
                <w:rStyle w:val="a8"/>
                <w:rFonts w:ascii="Times New Roman" w:hAnsi="Times New Roman" w:cs="Times New Roman"/>
                <w:i/>
                <w:noProof/>
                <w:sz w:val="24"/>
                <w:szCs w:val="24"/>
              </w:rPr>
              <w:t>Динаміка повідомлення про ТБ за статтю</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31</w:t>
            </w:r>
            <w:r w:rsidR="006167F5" w:rsidRPr="0024080D">
              <w:rPr>
                <w:rFonts w:ascii="Times New Roman" w:hAnsi="Times New Roman" w:cs="Times New Roman"/>
                <w:noProof/>
                <w:webHidden/>
                <w:sz w:val="24"/>
                <w:szCs w:val="24"/>
              </w:rPr>
              <w:fldChar w:fldCharType="end"/>
            </w:r>
          </w:hyperlink>
        </w:p>
        <w:p w14:paraId="36CADDA9" w14:textId="15166569"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2" w:history="1">
            <w:r w:rsidR="006167F5" w:rsidRPr="0024080D">
              <w:rPr>
                <w:rStyle w:val="a8"/>
                <w:rFonts w:ascii="Times New Roman" w:hAnsi="Times New Roman" w:cs="Times New Roman"/>
                <w:i/>
                <w:noProof/>
                <w:sz w:val="24"/>
                <w:szCs w:val="24"/>
              </w:rPr>
              <w:t>Динаміка повідомлення про ТБ за віком</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32</w:t>
            </w:r>
            <w:r w:rsidR="006167F5" w:rsidRPr="0024080D">
              <w:rPr>
                <w:rFonts w:ascii="Times New Roman" w:hAnsi="Times New Roman" w:cs="Times New Roman"/>
                <w:noProof/>
                <w:webHidden/>
                <w:sz w:val="24"/>
                <w:szCs w:val="24"/>
              </w:rPr>
              <w:fldChar w:fldCharType="end"/>
            </w:r>
          </w:hyperlink>
        </w:p>
        <w:p w14:paraId="1FA67BC8" w14:textId="1F4D031C"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3" w:history="1">
            <w:r w:rsidR="006167F5" w:rsidRPr="0024080D">
              <w:rPr>
                <w:rStyle w:val="a8"/>
                <w:rFonts w:ascii="Times New Roman" w:hAnsi="Times New Roman" w:cs="Times New Roman"/>
                <w:i/>
                <w:noProof/>
                <w:sz w:val="24"/>
                <w:szCs w:val="24"/>
              </w:rPr>
              <w:t>Динаміка за реєстрацією коінфекції ТБ/ВІЛ</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33</w:t>
            </w:r>
            <w:r w:rsidR="006167F5" w:rsidRPr="0024080D">
              <w:rPr>
                <w:rFonts w:ascii="Times New Roman" w:hAnsi="Times New Roman" w:cs="Times New Roman"/>
                <w:noProof/>
                <w:webHidden/>
                <w:sz w:val="24"/>
                <w:szCs w:val="24"/>
              </w:rPr>
              <w:fldChar w:fldCharType="end"/>
            </w:r>
          </w:hyperlink>
        </w:p>
        <w:p w14:paraId="50E763E6" w14:textId="1E45BA5C"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4" w:history="1">
            <w:r w:rsidR="006167F5" w:rsidRPr="0024080D">
              <w:rPr>
                <w:rStyle w:val="a8"/>
                <w:rFonts w:ascii="Times New Roman" w:hAnsi="Times New Roman" w:cs="Times New Roman"/>
                <w:i/>
                <w:noProof/>
                <w:sz w:val="24"/>
                <w:szCs w:val="24"/>
              </w:rPr>
              <w:t>Динаміка показників захворюваності на МЛС/ШЛС-ТБ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35</w:t>
            </w:r>
            <w:r w:rsidR="006167F5" w:rsidRPr="0024080D">
              <w:rPr>
                <w:rFonts w:ascii="Times New Roman" w:hAnsi="Times New Roman" w:cs="Times New Roman"/>
                <w:noProof/>
                <w:webHidden/>
                <w:sz w:val="24"/>
                <w:szCs w:val="24"/>
              </w:rPr>
              <w:fldChar w:fldCharType="end"/>
            </w:r>
          </w:hyperlink>
        </w:p>
        <w:p w14:paraId="57F049E4" w14:textId="672AA085" w:rsidR="006167F5" w:rsidRPr="0024080D" w:rsidRDefault="00000000" w:rsidP="00511A5B">
          <w:pPr>
            <w:pStyle w:val="42"/>
            <w:spacing w:line="233" w:lineRule="auto"/>
            <w:rPr>
              <w:rFonts w:ascii="Times New Roman" w:eastAsiaTheme="minorEastAsia" w:hAnsi="Times New Roman" w:cs="Times New Roman"/>
              <w:noProof/>
              <w:sz w:val="24"/>
              <w:szCs w:val="24"/>
            </w:rPr>
          </w:pPr>
          <w:hyperlink w:anchor="_Toc89149125" w:history="1">
            <w:r w:rsidR="006167F5" w:rsidRPr="0024080D">
              <w:rPr>
                <w:rStyle w:val="a8"/>
                <w:rFonts w:ascii="Times New Roman" w:hAnsi="Times New Roman" w:cs="Times New Roman"/>
                <w:i/>
                <w:noProof/>
                <w:sz w:val="24"/>
                <w:szCs w:val="24"/>
              </w:rPr>
              <w:t>Динаміка реєстрації ТБ серед ув’язнених</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_Toc89149125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37</w:t>
            </w:r>
            <w:r w:rsidR="006167F5" w:rsidRPr="0024080D">
              <w:rPr>
                <w:rFonts w:ascii="Times New Roman" w:hAnsi="Times New Roman" w:cs="Times New Roman"/>
                <w:noProof/>
                <w:webHidden/>
                <w:sz w:val="24"/>
                <w:szCs w:val="24"/>
              </w:rPr>
              <w:fldChar w:fldCharType="end"/>
            </w:r>
          </w:hyperlink>
        </w:p>
        <w:p w14:paraId="60CB3AFC" w14:textId="2B629E6A" w:rsidR="006167F5" w:rsidRPr="00580723" w:rsidRDefault="00000000" w:rsidP="00580723">
          <w:pPr>
            <w:pStyle w:val="2b"/>
            <w:spacing w:line="233" w:lineRule="auto"/>
            <w:rPr>
              <w:rFonts w:ascii="Times New Roman" w:eastAsiaTheme="minorEastAsia" w:hAnsi="Times New Roman" w:cs="Times New Roman"/>
              <w:noProof/>
              <w:sz w:val="24"/>
              <w:szCs w:val="24"/>
            </w:rPr>
          </w:pPr>
          <w:hyperlink w:anchor="_Toc89149126" w:history="1">
            <w:r w:rsidR="00DD649F" w:rsidRPr="0024080D">
              <w:rPr>
                <w:rStyle w:val="a8"/>
                <w:rFonts w:ascii="Times New Roman" w:hAnsi="Times New Roman" w:cs="Times New Roman"/>
                <w:smallCaps w:val="0"/>
                <w:noProof/>
                <w:sz w:val="24"/>
                <w:szCs w:val="24"/>
              </w:rPr>
              <w:t>Детермінанти туберкульозу</w:t>
            </w:r>
            <w:r w:rsidR="00DD649F"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_Toc89149126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38</w:t>
            </w:r>
            <w:r w:rsidR="006167F5" w:rsidRPr="0024080D">
              <w:rPr>
                <w:rFonts w:ascii="Times New Roman" w:hAnsi="Times New Roman" w:cs="Times New Roman"/>
                <w:noProof/>
                <w:webHidden/>
                <w:sz w:val="24"/>
                <w:szCs w:val="24"/>
              </w:rPr>
              <w:fldChar w:fldCharType="end"/>
            </w:r>
          </w:hyperlink>
        </w:p>
        <w:p w14:paraId="6FA2D1A0" w14:textId="51E63918" w:rsidR="006167F5" w:rsidRPr="0024080D" w:rsidRDefault="00000000" w:rsidP="00580723">
          <w:pPr>
            <w:pStyle w:val="33"/>
            <w:rPr>
              <w:rFonts w:eastAsiaTheme="minorEastAsia"/>
              <w:noProof/>
            </w:rPr>
          </w:pPr>
          <w:hyperlink w:anchor="_Toc89149128" w:history="1">
            <w:r w:rsidR="006167F5" w:rsidRPr="0024080D">
              <w:rPr>
                <w:rStyle w:val="a8"/>
                <w:rFonts w:ascii="Times New Roman" w:hAnsi="Times New Roman" w:cs="Times New Roman"/>
                <w:i w:val="0"/>
                <w:noProof/>
                <w:sz w:val="24"/>
                <w:szCs w:val="24"/>
              </w:rPr>
              <w:t>Охоплення ТМЧ</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_Toc89149128 \h </w:instrText>
            </w:r>
            <w:r w:rsidR="006167F5" w:rsidRPr="0024080D">
              <w:rPr>
                <w:noProof/>
                <w:webHidden/>
              </w:rPr>
            </w:r>
            <w:r w:rsidR="006167F5" w:rsidRPr="0024080D">
              <w:rPr>
                <w:noProof/>
                <w:webHidden/>
              </w:rPr>
              <w:fldChar w:fldCharType="separate"/>
            </w:r>
            <w:r w:rsidR="00747D31">
              <w:rPr>
                <w:noProof/>
                <w:webHidden/>
              </w:rPr>
              <w:t>38</w:t>
            </w:r>
            <w:r w:rsidR="006167F5" w:rsidRPr="0024080D">
              <w:rPr>
                <w:noProof/>
                <w:webHidden/>
              </w:rPr>
              <w:fldChar w:fldCharType="end"/>
            </w:r>
          </w:hyperlink>
        </w:p>
        <w:p w14:paraId="5450DF89" w14:textId="2EDF3F1D" w:rsidR="006167F5" w:rsidRPr="0024080D" w:rsidRDefault="00000000" w:rsidP="00580723">
          <w:pPr>
            <w:pStyle w:val="33"/>
            <w:rPr>
              <w:rFonts w:eastAsiaTheme="minorEastAsia"/>
              <w:noProof/>
            </w:rPr>
          </w:pPr>
          <w:hyperlink w:anchor="_Toc89149129" w:history="1">
            <w:r w:rsidR="006167F5" w:rsidRPr="0024080D">
              <w:rPr>
                <w:rStyle w:val="a8"/>
                <w:rFonts w:ascii="Times New Roman" w:hAnsi="Times New Roman" w:cs="Times New Roman"/>
                <w:i w:val="0"/>
                <w:noProof/>
                <w:sz w:val="24"/>
                <w:szCs w:val="24"/>
              </w:rPr>
              <w:t>Використання молекулярно-генетичних методів діагностики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_Toc89149129 \h </w:instrText>
            </w:r>
            <w:r w:rsidR="006167F5" w:rsidRPr="0024080D">
              <w:rPr>
                <w:noProof/>
                <w:webHidden/>
              </w:rPr>
            </w:r>
            <w:r w:rsidR="006167F5" w:rsidRPr="0024080D">
              <w:rPr>
                <w:noProof/>
                <w:webHidden/>
              </w:rPr>
              <w:fldChar w:fldCharType="separate"/>
            </w:r>
            <w:r w:rsidR="00747D31">
              <w:rPr>
                <w:noProof/>
                <w:webHidden/>
              </w:rPr>
              <w:t>38</w:t>
            </w:r>
            <w:r w:rsidR="006167F5" w:rsidRPr="0024080D">
              <w:rPr>
                <w:noProof/>
                <w:webHidden/>
              </w:rPr>
              <w:fldChar w:fldCharType="end"/>
            </w:r>
          </w:hyperlink>
        </w:p>
        <w:p w14:paraId="3D9C60B6" w14:textId="1A479B71" w:rsidR="006167F5" w:rsidRPr="0024080D" w:rsidRDefault="00000000" w:rsidP="00580723">
          <w:pPr>
            <w:pStyle w:val="33"/>
            <w:rPr>
              <w:rFonts w:eastAsiaTheme="minorEastAsia"/>
              <w:noProof/>
            </w:rPr>
          </w:pPr>
          <w:hyperlink w:anchor="_Toc89149130" w:history="1">
            <w:r w:rsidR="006167F5" w:rsidRPr="0024080D">
              <w:rPr>
                <w:rStyle w:val="a8"/>
                <w:rFonts w:ascii="Times New Roman" w:hAnsi="Times New Roman" w:cs="Times New Roman"/>
                <w:i w:val="0"/>
                <w:noProof/>
                <w:sz w:val="24"/>
                <w:szCs w:val="24"/>
              </w:rPr>
              <w:t>Систематичний скринінг на ТБ серед визначених груп ризику</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_Toc89149130 \h </w:instrText>
            </w:r>
            <w:r w:rsidR="006167F5" w:rsidRPr="0024080D">
              <w:rPr>
                <w:noProof/>
                <w:webHidden/>
              </w:rPr>
            </w:r>
            <w:r w:rsidR="006167F5" w:rsidRPr="0024080D">
              <w:rPr>
                <w:noProof/>
                <w:webHidden/>
              </w:rPr>
              <w:fldChar w:fldCharType="separate"/>
            </w:r>
            <w:r w:rsidR="00747D31">
              <w:rPr>
                <w:noProof/>
                <w:webHidden/>
              </w:rPr>
              <w:t>39</w:t>
            </w:r>
            <w:r w:rsidR="006167F5" w:rsidRPr="0024080D">
              <w:rPr>
                <w:noProof/>
                <w:webHidden/>
              </w:rPr>
              <w:fldChar w:fldCharType="end"/>
            </w:r>
          </w:hyperlink>
        </w:p>
        <w:p w14:paraId="33370D12" w14:textId="0241DB12" w:rsidR="006167F5" w:rsidRPr="0024080D" w:rsidRDefault="00000000" w:rsidP="00580723">
          <w:pPr>
            <w:pStyle w:val="33"/>
            <w:rPr>
              <w:rFonts w:eastAsiaTheme="minorEastAsia"/>
              <w:noProof/>
            </w:rPr>
          </w:pPr>
          <w:hyperlink w:anchor="_Toc89149131" w:history="1">
            <w:r w:rsidR="006167F5" w:rsidRPr="0024080D">
              <w:rPr>
                <w:rStyle w:val="a8"/>
                <w:rFonts w:ascii="Times New Roman" w:hAnsi="Times New Roman" w:cs="Times New Roman"/>
                <w:i w:val="0"/>
                <w:noProof/>
                <w:sz w:val="24"/>
                <w:szCs w:val="24"/>
              </w:rPr>
              <w:t>Відстеження та систематичний скринінг на ТБ контактних осіб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_Toc89149131 \h </w:instrText>
            </w:r>
            <w:r w:rsidR="006167F5" w:rsidRPr="0024080D">
              <w:rPr>
                <w:noProof/>
                <w:webHidden/>
              </w:rPr>
            </w:r>
            <w:r w:rsidR="006167F5" w:rsidRPr="0024080D">
              <w:rPr>
                <w:noProof/>
                <w:webHidden/>
              </w:rPr>
              <w:fldChar w:fldCharType="separate"/>
            </w:r>
            <w:r w:rsidR="00747D31">
              <w:rPr>
                <w:noProof/>
                <w:webHidden/>
              </w:rPr>
              <w:t>40</w:t>
            </w:r>
            <w:r w:rsidR="006167F5" w:rsidRPr="0024080D">
              <w:rPr>
                <w:noProof/>
                <w:webHidden/>
              </w:rPr>
              <w:fldChar w:fldCharType="end"/>
            </w:r>
          </w:hyperlink>
        </w:p>
        <w:p w14:paraId="61FD350B" w14:textId="7F78AB4B" w:rsidR="006167F5" w:rsidRPr="0024080D" w:rsidRDefault="00000000" w:rsidP="00580723">
          <w:pPr>
            <w:pStyle w:val="33"/>
            <w:rPr>
              <w:rFonts w:eastAsiaTheme="minorEastAsia"/>
              <w:noProof/>
            </w:rPr>
          </w:pPr>
          <w:hyperlink w:anchor="_Toc89149132" w:history="1">
            <w:r w:rsidR="006167F5" w:rsidRPr="00580723">
              <w:rPr>
                <w:rStyle w:val="a8"/>
                <w:rFonts w:ascii="Times New Roman" w:hAnsi="Times New Roman" w:cs="Times New Roman"/>
                <w:i w:val="0"/>
                <w:noProof/>
                <w:sz w:val="24"/>
                <w:szCs w:val="24"/>
              </w:rPr>
              <w:t>Тестування на ВІЛ хворих на ТБ та охоплення АРТ пацієнтів з ТБ/ВІЛ</w:t>
            </w:r>
            <w:r w:rsidR="006167F5" w:rsidRPr="00580723">
              <w:rPr>
                <w:noProof/>
                <w:webHidden/>
              </w:rPr>
              <w:tab/>
            </w:r>
            <w:r w:rsidR="006167F5" w:rsidRPr="00580723">
              <w:rPr>
                <w:noProof/>
                <w:webHidden/>
              </w:rPr>
              <w:fldChar w:fldCharType="begin"/>
            </w:r>
            <w:r w:rsidR="006167F5" w:rsidRPr="00580723">
              <w:rPr>
                <w:noProof/>
                <w:webHidden/>
              </w:rPr>
              <w:instrText xml:space="preserve"> PAGEREF _Toc89149132 \h </w:instrText>
            </w:r>
            <w:r w:rsidR="006167F5" w:rsidRPr="00580723">
              <w:rPr>
                <w:noProof/>
                <w:webHidden/>
              </w:rPr>
            </w:r>
            <w:r w:rsidR="006167F5" w:rsidRPr="00580723">
              <w:rPr>
                <w:noProof/>
                <w:webHidden/>
              </w:rPr>
              <w:fldChar w:fldCharType="separate"/>
            </w:r>
            <w:r w:rsidR="00747D31" w:rsidRPr="00580723">
              <w:rPr>
                <w:noProof/>
                <w:webHidden/>
              </w:rPr>
              <w:t>46</w:t>
            </w:r>
            <w:r w:rsidR="006167F5" w:rsidRPr="00580723">
              <w:rPr>
                <w:noProof/>
                <w:webHidden/>
              </w:rPr>
              <w:fldChar w:fldCharType="end"/>
            </w:r>
          </w:hyperlink>
        </w:p>
        <w:p w14:paraId="49E8C81A" w14:textId="49F51C2F" w:rsidR="006167F5" w:rsidRPr="0024080D" w:rsidRDefault="00000000" w:rsidP="00511A5B">
          <w:pPr>
            <w:pStyle w:val="1d"/>
            <w:rPr>
              <w:rFonts w:ascii="Times New Roman" w:eastAsiaTheme="minorEastAsia" w:hAnsi="Times New Roman" w:cs="Times New Roman"/>
              <w:noProof/>
              <w:sz w:val="24"/>
              <w:szCs w:val="24"/>
            </w:rPr>
          </w:pPr>
          <w:hyperlink w:anchor="_Toc89149133" w:history="1">
            <w:r w:rsidR="006167F5" w:rsidRPr="0024080D">
              <w:rPr>
                <w:rStyle w:val="a8"/>
                <w:rFonts w:ascii="Times New Roman" w:hAnsi="Times New Roman" w:cs="Times New Roman"/>
                <w:caps w:val="0"/>
                <w:noProof/>
                <w:sz w:val="24"/>
                <w:szCs w:val="24"/>
              </w:rPr>
              <w:t>РОЗДІЛ 4. ВИЯВЛЕННЯ ТА ДІАГНОСТИКА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48</w:t>
            </w:r>
            <w:r w:rsidR="006167F5" w:rsidRPr="0024080D">
              <w:rPr>
                <w:rFonts w:ascii="Times New Roman" w:hAnsi="Times New Roman" w:cs="Times New Roman"/>
                <w:noProof/>
                <w:webHidden/>
                <w:sz w:val="24"/>
                <w:szCs w:val="24"/>
              </w:rPr>
              <w:fldChar w:fldCharType="end"/>
            </w:r>
          </w:hyperlink>
        </w:p>
        <w:p w14:paraId="025176E0" w14:textId="50245565"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34" w:history="1">
            <w:r w:rsidR="006167F5" w:rsidRPr="0024080D">
              <w:rPr>
                <w:rStyle w:val="a8"/>
                <w:rFonts w:ascii="Times New Roman" w:hAnsi="Times New Roman" w:cs="Times New Roman"/>
                <w:smallCaps w:val="0"/>
                <w:noProof/>
                <w:sz w:val="24"/>
                <w:szCs w:val="24"/>
              </w:rPr>
              <w:t>Виявлення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48</w:t>
            </w:r>
            <w:r w:rsidR="006167F5" w:rsidRPr="0024080D">
              <w:rPr>
                <w:rFonts w:ascii="Times New Roman" w:hAnsi="Times New Roman" w:cs="Times New Roman"/>
                <w:noProof/>
                <w:webHidden/>
                <w:sz w:val="24"/>
                <w:szCs w:val="24"/>
              </w:rPr>
              <w:fldChar w:fldCharType="end"/>
            </w:r>
          </w:hyperlink>
        </w:p>
        <w:p w14:paraId="0A4A124C" w14:textId="4762CBEA"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35" w:history="1">
            <w:r w:rsidR="006167F5" w:rsidRPr="0024080D">
              <w:rPr>
                <w:rStyle w:val="a8"/>
                <w:rFonts w:ascii="Times New Roman" w:hAnsi="Times New Roman" w:cs="Times New Roman"/>
                <w:smallCaps w:val="0"/>
                <w:noProof/>
                <w:sz w:val="24"/>
                <w:szCs w:val="24"/>
              </w:rPr>
              <w:t>Виявлення ТБ серед ВІЛ-інфікованих осіб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_Toc89149135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49</w:t>
            </w:r>
            <w:r w:rsidR="006167F5" w:rsidRPr="0024080D">
              <w:rPr>
                <w:rFonts w:ascii="Times New Roman" w:hAnsi="Times New Roman" w:cs="Times New Roman"/>
                <w:noProof/>
                <w:webHidden/>
                <w:sz w:val="24"/>
                <w:szCs w:val="24"/>
              </w:rPr>
              <w:fldChar w:fldCharType="end"/>
            </w:r>
          </w:hyperlink>
        </w:p>
        <w:p w14:paraId="56AC9373" w14:textId="073AF89B"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36" w:history="1">
            <w:r w:rsidR="006167F5" w:rsidRPr="0024080D">
              <w:rPr>
                <w:rStyle w:val="a8"/>
                <w:rFonts w:ascii="Times New Roman" w:hAnsi="Times New Roman" w:cs="Times New Roman"/>
                <w:smallCaps w:val="0"/>
                <w:noProof/>
                <w:sz w:val="24"/>
                <w:szCs w:val="24"/>
              </w:rPr>
              <w:t>Осередкові контакти осіб з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_Toc89149136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49</w:t>
            </w:r>
            <w:r w:rsidR="006167F5" w:rsidRPr="0024080D">
              <w:rPr>
                <w:rFonts w:ascii="Times New Roman" w:hAnsi="Times New Roman" w:cs="Times New Roman"/>
                <w:noProof/>
                <w:webHidden/>
                <w:sz w:val="24"/>
                <w:szCs w:val="24"/>
              </w:rPr>
              <w:fldChar w:fldCharType="end"/>
            </w:r>
          </w:hyperlink>
        </w:p>
        <w:p w14:paraId="35A18932" w14:textId="0BB39738"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37" w:history="1">
            <w:r w:rsidR="006167F5" w:rsidRPr="0024080D">
              <w:rPr>
                <w:rStyle w:val="a8"/>
                <w:rFonts w:ascii="Times New Roman" w:hAnsi="Times New Roman" w:cs="Times New Roman"/>
                <w:smallCaps w:val="0"/>
                <w:noProof/>
                <w:sz w:val="24"/>
                <w:szCs w:val="24"/>
              </w:rPr>
              <w:t>Виявлення ТБ серед інших груп ризику</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_Toc89149137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51</w:t>
            </w:r>
            <w:r w:rsidR="006167F5" w:rsidRPr="0024080D">
              <w:rPr>
                <w:rFonts w:ascii="Times New Roman" w:hAnsi="Times New Roman" w:cs="Times New Roman"/>
                <w:noProof/>
                <w:webHidden/>
                <w:sz w:val="24"/>
                <w:szCs w:val="24"/>
              </w:rPr>
              <w:fldChar w:fldCharType="end"/>
            </w:r>
          </w:hyperlink>
        </w:p>
        <w:p w14:paraId="11191956" w14:textId="0465A0D3" w:rsidR="006167F5" w:rsidRPr="0024080D" w:rsidRDefault="00000000" w:rsidP="00511A5B">
          <w:pPr>
            <w:pStyle w:val="2b"/>
            <w:spacing w:line="233" w:lineRule="auto"/>
            <w:rPr>
              <w:rFonts w:ascii="Times New Roman" w:eastAsiaTheme="minorEastAsia" w:hAnsi="Times New Roman" w:cs="Times New Roman"/>
              <w:noProof/>
              <w:sz w:val="24"/>
              <w:szCs w:val="24"/>
            </w:rPr>
          </w:pPr>
          <w:hyperlink w:anchor="_Toc89149138" w:history="1">
            <w:r w:rsidR="006167F5" w:rsidRPr="0024080D">
              <w:rPr>
                <w:rStyle w:val="a8"/>
                <w:rFonts w:ascii="Times New Roman" w:hAnsi="Times New Roman" w:cs="Times New Roman"/>
                <w:smallCaps w:val="0"/>
                <w:noProof/>
                <w:sz w:val="24"/>
                <w:szCs w:val="24"/>
              </w:rPr>
              <w:t>Діагностика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_Toc89149138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53</w:t>
            </w:r>
            <w:r w:rsidR="006167F5" w:rsidRPr="0024080D">
              <w:rPr>
                <w:rFonts w:ascii="Times New Roman" w:hAnsi="Times New Roman" w:cs="Times New Roman"/>
                <w:noProof/>
                <w:webHidden/>
                <w:sz w:val="24"/>
                <w:szCs w:val="24"/>
              </w:rPr>
              <w:fldChar w:fldCharType="end"/>
            </w:r>
          </w:hyperlink>
        </w:p>
        <w:p w14:paraId="0AEDA760" w14:textId="7B858CC0" w:rsidR="006167F5" w:rsidRPr="0024080D" w:rsidRDefault="00000000" w:rsidP="00580723">
          <w:pPr>
            <w:pStyle w:val="33"/>
            <w:rPr>
              <w:rFonts w:eastAsiaTheme="minorEastAsia"/>
              <w:noProof/>
            </w:rPr>
          </w:pPr>
          <w:hyperlink w:anchor="_Toc89149139" w:history="1">
            <w:r w:rsidR="006167F5" w:rsidRPr="0024080D">
              <w:rPr>
                <w:rStyle w:val="a8"/>
                <w:rFonts w:ascii="Times New Roman" w:hAnsi="Times New Roman" w:cs="Times New Roman"/>
                <w:i w:val="0"/>
                <w:noProof/>
                <w:sz w:val="24"/>
                <w:szCs w:val="24"/>
              </w:rPr>
              <w:t>Підвищення якості лабораторних послуг</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_Toc89149139 \h </w:instrText>
            </w:r>
            <w:r w:rsidR="006167F5" w:rsidRPr="0024080D">
              <w:rPr>
                <w:noProof/>
                <w:webHidden/>
              </w:rPr>
            </w:r>
            <w:r w:rsidR="006167F5" w:rsidRPr="0024080D">
              <w:rPr>
                <w:noProof/>
                <w:webHidden/>
              </w:rPr>
              <w:fldChar w:fldCharType="separate"/>
            </w:r>
            <w:r w:rsidR="00747D31">
              <w:rPr>
                <w:b/>
                <w:bCs/>
                <w:noProof/>
                <w:webHidden/>
              </w:rPr>
              <w:t>Помилка! Закладку не визначено.</w:t>
            </w:r>
            <w:r w:rsidR="006167F5" w:rsidRPr="0024080D">
              <w:rPr>
                <w:noProof/>
                <w:webHidden/>
              </w:rPr>
              <w:fldChar w:fldCharType="end"/>
            </w:r>
          </w:hyperlink>
        </w:p>
        <w:p w14:paraId="5A3ACB04" w14:textId="35AA75C4" w:rsidR="006167F5" w:rsidRPr="0024080D" w:rsidRDefault="00000000" w:rsidP="00580723">
          <w:pPr>
            <w:pStyle w:val="33"/>
            <w:rPr>
              <w:rFonts w:eastAsiaTheme="minorEastAsia"/>
              <w:noProof/>
            </w:rPr>
          </w:pPr>
          <w:hyperlink w:anchor="_Toc89149140" w:history="1">
            <w:r w:rsidR="006167F5" w:rsidRPr="0024080D">
              <w:rPr>
                <w:rStyle w:val="a8"/>
                <w:rFonts w:ascii="Times New Roman" w:hAnsi="Times New Roman" w:cs="Times New Roman"/>
                <w:i w:val="0"/>
                <w:noProof/>
                <w:sz w:val="24"/>
                <w:szCs w:val="24"/>
              </w:rPr>
              <w:t>Розширення доступу до швидкого та точного виявлення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_Toc89149140 \h </w:instrText>
            </w:r>
            <w:r w:rsidR="006167F5" w:rsidRPr="0024080D">
              <w:rPr>
                <w:noProof/>
                <w:webHidden/>
              </w:rPr>
            </w:r>
            <w:r w:rsidR="006167F5" w:rsidRPr="0024080D">
              <w:rPr>
                <w:noProof/>
                <w:webHidden/>
              </w:rPr>
              <w:fldChar w:fldCharType="separate"/>
            </w:r>
            <w:r w:rsidR="00747D31">
              <w:rPr>
                <w:noProof/>
                <w:webHidden/>
              </w:rPr>
              <w:t>53</w:t>
            </w:r>
            <w:r w:rsidR="006167F5" w:rsidRPr="0024080D">
              <w:rPr>
                <w:noProof/>
                <w:webHidden/>
              </w:rPr>
              <w:fldChar w:fldCharType="end"/>
            </w:r>
          </w:hyperlink>
        </w:p>
        <w:p w14:paraId="1C8B3AB0" w14:textId="0004585C" w:rsidR="006167F5" w:rsidRPr="0024080D" w:rsidRDefault="00000000" w:rsidP="002E00DA">
          <w:pPr>
            <w:pStyle w:val="1d"/>
            <w:rPr>
              <w:rFonts w:ascii="Times New Roman" w:eastAsiaTheme="minorEastAsia" w:hAnsi="Times New Roman" w:cs="Times New Roman"/>
              <w:noProof/>
              <w:sz w:val="24"/>
              <w:szCs w:val="24"/>
            </w:rPr>
          </w:pPr>
          <w:hyperlink w:anchor="_Toc89149141" w:history="1">
            <w:r w:rsidR="006167F5" w:rsidRPr="0024080D">
              <w:rPr>
                <w:rStyle w:val="a8"/>
                <w:rFonts w:ascii="Times New Roman" w:hAnsi="Times New Roman" w:cs="Times New Roman"/>
                <w:caps w:val="0"/>
                <w:noProof/>
                <w:sz w:val="24"/>
                <w:szCs w:val="24"/>
              </w:rPr>
              <w:t>РОЗДІЛ 5. ОРГАНІЗАЦІЯ ЛІКУВАННЯ ХВОРИХ НА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_Toc89149141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53</w:t>
            </w:r>
            <w:r w:rsidR="006167F5" w:rsidRPr="0024080D">
              <w:rPr>
                <w:rFonts w:ascii="Times New Roman" w:hAnsi="Times New Roman" w:cs="Times New Roman"/>
                <w:noProof/>
                <w:webHidden/>
                <w:sz w:val="24"/>
                <w:szCs w:val="24"/>
              </w:rPr>
              <w:fldChar w:fldCharType="end"/>
            </w:r>
          </w:hyperlink>
        </w:p>
        <w:p w14:paraId="24572A6F" w14:textId="41415C9E" w:rsidR="006167F5" w:rsidRPr="0024080D" w:rsidRDefault="00000000" w:rsidP="002E00DA">
          <w:pPr>
            <w:pStyle w:val="2b"/>
            <w:rPr>
              <w:rFonts w:ascii="Times New Roman" w:eastAsiaTheme="minorEastAsia" w:hAnsi="Times New Roman" w:cs="Times New Roman"/>
              <w:noProof/>
              <w:sz w:val="24"/>
              <w:szCs w:val="24"/>
            </w:rPr>
          </w:pPr>
          <w:hyperlink w:anchor="_Toc89149142" w:history="1">
            <w:r w:rsidR="006167F5" w:rsidRPr="0024080D">
              <w:rPr>
                <w:rStyle w:val="a8"/>
                <w:rFonts w:ascii="Times New Roman" w:hAnsi="Times New Roman" w:cs="Times New Roman"/>
                <w:smallCaps w:val="0"/>
                <w:noProof/>
                <w:sz w:val="24"/>
                <w:szCs w:val="24"/>
              </w:rPr>
              <w:t>Структура протитуберкульозної служби в Україні</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_Toc89149142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59</w:t>
            </w:r>
            <w:r w:rsidR="006167F5" w:rsidRPr="0024080D">
              <w:rPr>
                <w:rFonts w:ascii="Times New Roman" w:hAnsi="Times New Roman" w:cs="Times New Roman"/>
                <w:noProof/>
                <w:webHidden/>
                <w:sz w:val="24"/>
                <w:szCs w:val="24"/>
              </w:rPr>
              <w:fldChar w:fldCharType="end"/>
            </w:r>
          </w:hyperlink>
        </w:p>
        <w:p w14:paraId="3F03BC84" w14:textId="0565B40B" w:rsidR="006167F5" w:rsidRPr="0024080D" w:rsidRDefault="00000000" w:rsidP="002E00DA">
          <w:pPr>
            <w:pStyle w:val="2b"/>
            <w:rPr>
              <w:rFonts w:ascii="Times New Roman" w:eastAsiaTheme="minorEastAsia" w:hAnsi="Times New Roman" w:cs="Times New Roman"/>
              <w:noProof/>
              <w:sz w:val="24"/>
              <w:szCs w:val="24"/>
            </w:rPr>
          </w:pPr>
          <w:hyperlink w:anchor="_Toc89149143" w:history="1">
            <w:r w:rsidR="006167F5" w:rsidRPr="0024080D">
              <w:rPr>
                <w:rStyle w:val="a8"/>
                <w:rFonts w:ascii="Times New Roman" w:hAnsi="Times New Roman" w:cs="Times New Roman"/>
                <w:smallCaps w:val="0"/>
                <w:noProof/>
                <w:sz w:val="24"/>
                <w:szCs w:val="24"/>
              </w:rPr>
              <w:t>Стан реформування протитуберкульозної служби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_Toc89149143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59</w:t>
            </w:r>
            <w:r w:rsidR="006167F5" w:rsidRPr="0024080D">
              <w:rPr>
                <w:rFonts w:ascii="Times New Roman" w:hAnsi="Times New Roman" w:cs="Times New Roman"/>
                <w:noProof/>
                <w:webHidden/>
                <w:sz w:val="24"/>
                <w:szCs w:val="24"/>
              </w:rPr>
              <w:fldChar w:fldCharType="end"/>
            </w:r>
          </w:hyperlink>
        </w:p>
        <w:p w14:paraId="0D63E5C7" w14:textId="2D77F195" w:rsidR="006167F5" w:rsidRPr="0024080D" w:rsidRDefault="00000000" w:rsidP="002E00DA">
          <w:pPr>
            <w:pStyle w:val="2b"/>
            <w:rPr>
              <w:rFonts w:ascii="Times New Roman" w:eastAsiaTheme="minorEastAsia" w:hAnsi="Times New Roman" w:cs="Times New Roman"/>
              <w:noProof/>
              <w:sz w:val="24"/>
              <w:szCs w:val="24"/>
            </w:rPr>
          </w:pPr>
          <w:hyperlink w:anchor="_Toc89149144" w:history="1">
            <w:r w:rsidR="006167F5" w:rsidRPr="0024080D">
              <w:rPr>
                <w:rStyle w:val="a8"/>
                <w:rFonts w:ascii="Times New Roman" w:hAnsi="Times New Roman" w:cs="Times New Roman"/>
                <w:smallCaps w:val="0"/>
                <w:noProof/>
                <w:sz w:val="24"/>
                <w:szCs w:val="24"/>
              </w:rPr>
              <w:t>Організація лікування хворих на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_Toc89149144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62</w:t>
            </w:r>
            <w:r w:rsidR="006167F5" w:rsidRPr="0024080D">
              <w:rPr>
                <w:rFonts w:ascii="Times New Roman" w:hAnsi="Times New Roman" w:cs="Times New Roman"/>
                <w:noProof/>
                <w:webHidden/>
                <w:sz w:val="24"/>
                <w:szCs w:val="24"/>
              </w:rPr>
              <w:fldChar w:fldCharType="end"/>
            </w:r>
          </w:hyperlink>
        </w:p>
        <w:p w14:paraId="4C72C441" w14:textId="3B3FB61E" w:rsidR="006167F5" w:rsidRPr="0024080D" w:rsidRDefault="00000000" w:rsidP="00580723">
          <w:pPr>
            <w:pStyle w:val="33"/>
            <w:rPr>
              <w:rFonts w:eastAsiaTheme="minorEastAsia"/>
              <w:noProof/>
            </w:rPr>
          </w:pPr>
          <w:hyperlink w:anchor="_Toc89149145" w:history="1">
            <w:r w:rsidR="006167F5" w:rsidRPr="0024080D">
              <w:rPr>
                <w:rStyle w:val="a8"/>
                <w:rFonts w:ascii="Times New Roman" w:hAnsi="Times New Roman" w:cs="Times New Roman"/>
                <w:i w:val="0"/>
                <w:noProof/>
                <w:sz w:val="24"/>
                <w:szCs w:val="24"/>
              </w:rPr>
              <w:t xml:space="preserve">Забезпечення належного доступу до безпечного інноваційного сучасного </w:t>
            </w:r>
            <w:r w:rsidR="00DD649F" w:rsidRPr="0024080D">
              <w:rPr>
                <w:rStyle w:val="a8"/>
                <w:rFonts w:ascii="Times New Roman" w:hAnsi="Times New Roman" w:cs="Times New Roman"/>
                <w:i w:val="0"/>
                <w:noProof/>
                <w:sz w:val="24"/>
                <w:szCs w:val="24"/>
              </w:rPr>
              <w:br/>
            </w:r>
            <w:r w:rsidR="006167F5" w:rsidRPr="0024080D">
              <w:rPr>
                <w:rStyle w:val="a8"/>
                <w:rFonts w:ascii="Times New Roman" w:hAnsi="Times New Roman" w:cs="Times New Roman"/>
                <w:i w:val="0"/>
                <w:noProof/>
                <w:sz w:val="24"/>
                <w:szCs w:val="24"/>
              </w:rPr>
              <w:t>лікування з урахуванням рекомендацій ВООЗ</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_Toc89149145 \h </w:instrText>
            </w:r>
            <w:r w:rsidR="006167F5" w:rsidRPr="0024080D">
              <w:rPr>
                <w:noProof/>
                <w:webHidden/>
              </w:rPr>
            </w:r>
            <w:r w:rsidR="006167F5" w:rsidRPr="0024080D">
              <w:rPr>
                <w:noProof/>
                <w:webHidden/>
              </w:rPr>
              <w:fldChar w:fldCharType="separate"/>
            </w:r>
            <w:r w:rsidR="00747D31">
              <w:rPr>
                <w:noProof/>
                <w:webHidden/>
              </w:rPr>
              <w:t>62</w:t>
            </w:r>
            <w:r w:rsidR="006167F5" w:rsidRPr="0024080D">
              <w:rPr>
                <w:noProof/>
                <w:webHidden/>
              </w:rPr>
              <w:fldChar w:fldCharType="end"/>
            </w:r>
          </w:hyperlink>
        </w:p>
        <w:p w14:paraId="69DFDDF5" w14:textId="5915A2EC" w:rsidR="006167F5" w:rsidRPr="0024080D" w:rsidRDefault="00000000" w:rsidP="00580723">
          <w:pPr>
            <w:pStyle w:val="33"/>
            <w:rPr>
              <w:rFonts w:eastAsiaTheme="minorEastAsia"/>
              <w:noProof/>
            </w:rPr>
          </w:pPr>
          <w:hyperlink w:anchor="_Toc89149146" w:history="1">
            <w:r w:rsidR="006167F5" w:rsidRPr="0024080D">
              <w:rPr>
                <w:rStyle w:val="a8"/>
                <w:rFonts w:ascii="Times New Roman" w:hAnsi="Times New Roman" w:cs="Times New Roman"/>
                <w:i w:val="0"/>
                <w:noProof/>
                <w:sz w:val="24"/>
                <w:szCs w:val="24"/>
              </w:rPr>
              <w:t xml:space="preserve">Діяльність Координаційної групи з реалізації заходів щодо впровадження </w:t>
            </w:r>
            <w:r w:rsidR="002E00DA" w:rsidRPr="0024080D">
              <w:rPr>
                <w:rStyle w:val="a8"/>
                <w:rFonts w:ascii="Times New Roman" w:hAnsi="Times New Roman" w:cs="Times New Roman"/>
                <w:i w:val="0"/>
                <w:noProof/>
                <w:sz w:val="24"/>
                <w:szCs w:val="24"/>
              </w:rPr>
              <w:br/>
            </w:r>
            <w:r w:rsidR="006167F5" w:rsidRPr="0024080D">
              <w:rPr>
                <w:rStyle w:val="a8"/>
                <w:rFonts w:ascii="Times New Roman" w:hAnsi="Times New Roman" w:cs="Times New Roman"/>
                <w:i w:val="0"/>
                <w:noProof/>
                <w:sz w:val="24"/>
                <w:szCs w:val="24"/>
              </w:rPr>
              <w:t>в Україні нових АМБП</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_Toc89149146 \h </w:instrText>
            </w:r>
            <w:r w:rsidR="006167F5" w:rsidRPr="0024080D">
              <w:rPr>
                <w:noProof/>
                <w:webHidden/>
              </w:rPr>
            </w:r>
            <w:r w:rsidR="006167F5" w:rsidRPr="0024080D">
              <w:rPr>
                <w:noProof/>
                <w:webHidden/>
              </w:rPr>
              <w:fldChar w:fldCharType="separate"/>
            </w:r>
            <w:r w:rsidR="00747D31">
              <w:rPr>
                <w:noProof/>
                <w:webHidden/>
              </w:rPr>
              <w:t>64</w:t>
            </w:r>
            <w:r w:rsidR="006167F5" w:rsidRPr="0024080D">
              <w:rPr>
                <w:noProof/>
                <w:webHidden/>
              </w:rPr>
              <w:fldChar w:fldCharType="end"/>
            </w:r>
          </w:hyperlink>
        </w:p>
        <w:p w14:paraId="4C52F2DE" w14:textId="6CBD4231" w:rsidR="006167F5" w:rsidRPr="0024080D" w:rsidRDefault="00000000" w:rsidP="00580723">
          <w:pPr>
            <w:pStyle w:val="33"/>
            <w:rPr>
              <w:rFonts w:eastAsiaTheme="minorEastAsia"/>
              <w:noProof/>
            </w:rPr>
          </w:pPr>
          <w:hyperlink w:anchor="_Toc89149147" w:history="1">
            <w:r w:rsidR="006167F5" w:rsidRPr="0024080D">
              <w:rPr>
                <w:rStyle w:val="a8"/>
                <w:rFonts w:ascii="Times New Roman" w:hAnsi="Times New Roman" w:cs="Times New Roman"/>
                <w:i w:val="0"/>
                <w:noProof/>
                <w:sz w:val="24"/>
                <w:szCs w:val="24"/>
              </w:rPr>
              <w:t>Впровадження пацієнт-орієнтованих моделей лікування</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_Toc89149147 \h </w:instrText>
            </w:r>
            <w:r w:rsidR="006167F5" w:rsidRPr="0024080D">
              <w:rPr>
                <w:noProof/>
                <w:webHidden/>
              </w:rPr>
            </w:r>
            <w:r w:rsidR="006167F5" w:rsidRPr="0024080D">
              <w:rPr>
                <w:noProof/>
                <w:webHidden/>
              </w:rPr>
              <w:fldChar w:fldCharType="separate"/>
            </w:r>
            <w:r w:rsidR="00747D31">
              <w:rPr>
                <w:noProof/>
                <w:webHidden/>
              </w:rPr>
              <w:t>65</w:t>
            </w:r>
            <w:r w:rsidR="006167F5" w:rsidRPr="0024080D">
              <w:rPr>
                <w:noProof/>
                <w:webHidden/>
              </w:rPr>
              <w:fldChar w:fldCharType="end"/>
            </w:r>
          </w:hyperlink>
        </w:p>
        <w:p w14:paraId="253C19F3" w14:textId="4D7AD1A1" w:rsidR="006167F5" w:rsidRPr="0024080D" w:rsidRDefault="00000000" w:rsidP="00580723">
          <w:pPr>
            <w:pStyle w:val="33"/>
            <w:rPr>
              <w:rFonts w:eastAsiaTheme="minorEastAsia"/>
              <w:noProof/>
            </w:rPr>
          </w:pPr>
          <w:hyperlink w:anchor="_Toc89149148" w:history="1">
            <w:r w:rsidR="006167F5" w:rsidRPr="0024080D">
              <w:rPr>
                <w:rStyle w:val="a8"/>
                <w:rFonts w:ascii="Times New Roman" w:hAnsi="Times New Roman" w:cs="Times New Roman"/>
                <w:i w:val="0"/>
                <w:noProof/>
                <w:sz w:val="24"/>
                <w:szCs w:val="24"/>
              </w:rPr>
              <w:t>Медико-соціальний супровід пацієнтів з ТБ</w:t>
            </w:r>
            <w:r w:rsidR="006167F5" w:rsidRPr="0024080D">
              <w:rPr>
                <w:noProof/>
                <w:webHidden/>
              </w:rPr>
              <w:tab/>
            </w:r>
            <w:r w:rsidR="006167F5" w:rsidRPr="0024080D">
              <w:rPr>
                <w:noProof/>
                <w:webHidden/>
              </w:rPr>
              <w:fldChar w:fldCharType="begin"/>
            </w:r>
            <w:r w:rsidR="006167F5" w:rsidRPr="0024080D">
              <w:rPr>
                <w:noProof/>
                <w:webHidden/>
              </w:rPr>
              <w:instrText xml:space="preserve"> PAGEREF _Toc89149148 \h </w:instrText>
            </w:r>
            <w:r w:rsidR="006167F5" w:rsidRPr="0024080D">
              <w:rPr>
                <w:noProof/>
                <w:webHidden/>
              </w:rPr>
            </w:r>
            <w:r w:rsidR="006167F5" w:rsidRPr="0024080D">
              <w:rPr>
                <w:noProof/>
                <w:webHidden/>
              </w:rPr>
              <w:fldChar w:fldCharType="separate"/>
            </w:r>
            <w:r w:rsidR="00747D31">
              <w:rPr>
                <w:noProof/>
                <w:webHidden/>
              </w:rPr>
              <w:t>66</w:t>
            </w:r>
            <w:r w:rsidR="006167F5" w:rsidRPr="0024080D">
              <w:rPr>
                <w:noProof/>
                <w:webHidden/>
              </w:rPr>
              <w:fldChar w:fldCharType="end"/>
            </w:r>
          </w:hyperlink>
        </w:p>
        <w:p w14:paraId="0DBC36F4" w14:textId="65B86F2D" w:rsidR="006167F5" w:rsidRPr="0024080D" w:rsidRDefault="00000000" w:rsidP="002E00DA">
          <w:pPr>
            <w:pStyle w:val="2b"/>
            <w:rPr>
              <w:rFonts w:ascii="Times New Roman" w:eastAsiaTheme="minorEastAsia" w:hAnsi="Times New Roman" w:cs="Times New Roman"/>
              <w:noProof/>
              <w:sz w:val="24"/>
              <w:szCs w:val="24"/>
            </w:rPr>
          </w:pPr>
          <w:hyperlink w:anchor="_Toc89149149" w:history="1">
            <w:r w:rsidR="006167F5" w:rsidRPr="0024080D">
              <w:rPr>
                <w:rStyle w:val="a8"/>
                <w:rFonts w:ascii="Times New Roman" w:hAnsi="Times New Roman" w:cs="Times New Roman"/>
                <w:smallCaps w:val="0"/>
                <w:noProof/>
                <w:sz w:val="24"/>
                <w:szCs w:val="24"/>
              </w:rPr>
              <w:t>Результати лікування хворих на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_Toc89149149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69</w:t>
            </w:r>
            <w:r w:rsidR="006167F5" w:rsidRPr="0024080D">
              <w:rPr>
                <w:rFonts w:ascii="Times New Roman" w:hAnsi="Times New Roman" w:cs="Times New Roman"/>
                <w:noProof/>
                <w:webHidden/>
                <w:sz w:val="24"/>
                <w:szCs w:val="24"/>
              </w:rPr>
              <w:fldChar w:fldCharType="end"/>
            </w:r>
          </w:hyperlink>
        </w:p>
        <w:p w14:paraId="0894E08C" w14:textId="364FF666" w:rsidR="006167F5" w:rsidRPr="0024080D" w:rsidRDefault="00000000" w:rsidP="002E00DA">
          <w:pPr>
            <w:pStyle w:val="1d"/>
            <w:rPr>
              <w:rFonts w:ascii="Times New Roman" w:eastAsiaTheme="minorEastAsia" w:hAnsi="Times New Roman" w:cs="Times New Roman"/>
              <w:noProof/>
              <w:sz w:val="24"/>
              <w:szCs w:val="24"/>
            </w:rPr>
          </w:pPr>
          <w:hyperlink w:anchor="_Toc89149150" w:history="1">
            <w:r w:rsidR="006167F5" w:rsidRPr="0024080D">
              <w:rPr>
                <w:rStyle w:val="a8"/>
                <w:rFonts w:ascii="Times New Roman" w:hAnsi="Times New Roman" w:cs="Times New Roman"/>
                <w:caps w:val="0"/>
                <w:noProof/>
                <w:sz w:val="24"/>
                <w:szCs w:val="24"/>
              </w:rPr>
              <w:t>РОЗДІЛ 6. ІНФЕКЦІЙНИЙ КОНТРОЛЬ</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_Toc89149150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77</w:t>
            </w:r>
            <w:r w:rsidR="006167F5" w:rsidRPr="0024080D">
              <w:rPr>
                <w:rFonts w:ascii="Times New Roman" w:hAnsi="Times New Roman" w:cs="Times New Roman"/>
                <w:noProof/>
                <w:webHidden/>
                <w:sz w:val="24"/>
                <w:szCs w:val="24"/>
              </w:rPr>
              <w:fldChar w:fldCharType="end"/>
            </w:r>
          </w:hyperlink>
        </w:p>
        <w:p w14:paraId="52770D49" w14:textId="57023812" w:rsidR="006167F5" w:rsidRPr="0024080D" w:rsidRDefault="00000000" w:rsidP="002E00DA">
          <w:pPr>
            <w:pStyle w:val="2b"/>
            <w:rPr>
              <w:rFonts w:ascii="Times New Roman" w:eastAsiaTheme="minorEastAsia" w:hAnsi="Times New Roman" w:cs="Times New Roman"/>
              <w:noProof/>
              <w:sz w:val="24"/>
              <w:szCs w:val="24"/>
            </w:rPr>
          </w:pPr>
          <w:hyperlink w:anchor="_Toc89149151" w:history="1">
            <w:r w:rsidR="006167F5" w:rsidRPr="0024080D">
              <w:rPr>
                <w:rStyle w:val="a8"/>
                <w:rFonts w:ascii="Times New Roman" w:hAnsi="Times New Roman" w:cs="Times New Roman"/>
                <w:smallCaps w:val="0"/>
                <w:noProof/>
                <w:sz w:val="24"/>
                <w:szCs w:val="24"/>
              </w:rPr>
              <w:t>Організаційний компонент</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77</w:t>
            </w:r>
            <w:r w:rsidR="006167F5" w:rsidRPr="0024080D">
              <w:rPr>
                <w:rFonts w:ascii="Times New Roman" w:hAnsi="Times New Roman" w:cs="Times New Roman"/>
                <w:noProof/>
                <w:webHidden/>
                <w:sz w:val="24"/>
                <w:szCs w:val="24"/>
              </w:rPr>
              <w:fldChar w:fldCharType="end"/>
            </w:r>
          </w:hyperlink>
        </w:p>
        <w:p w14:paraId="3C458CBA" w14:textId="7E1A46D1" w:rsidR="006167F5" w:rsidRPr="0024080D" w:rsidRDefault="00000000" w:rsidP="002E00DA">
          <w:pPr>
            <w:pStyle w:val="2b"/>
            <w:rPr>
              <w:rFonts w:ascii="Times New Roman" w:eastAsiaTheme="minorEastAsia" w:hAnsi="Times New Roman" w:cs="Times New Roman"/>
              <w:noProof/>
              <w:sz w:val="24"/>
              <w:szCs w:val="24"/>
            </w:rPr>
          </w:pPr>
          <w:hyperlink w:anchor="_Toc89149152" w:history="1">
            <w:r w:rsidR="006167F5" w:rsidRPr="0024080D">
              <w:rPr>
                <w:rStyle w:val="a8"/>
                <w:rFonts w:ascii="Times New Roman" w:hAnsi="Times New Roman" w:cs="Times New Roman"/>
                <w:smallCaps w:val="0"/>
                <w:noProof/>
                <w:sz w:val="24"/>
                <w:szCs w:val="24"/>
              </w:rPr>
              <w:t>Адміністративний компонент</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78</w:t>
            </w:r>
            <w:r w:rsidR="006167F5" w:rsidRPr="0024080D">
              <w:rPr>
                <w:rFonts w:ascii="Times New Roman" w:hAnsi="Times New Roman" w:cs="Times New Roman"/>
                <w:noProof/>
                <w:webHidden/>
                <w:sz w:val="24"/>
                <w:szCs w:val="24"/>
              </w:rPr>
              <w:fldChar w:fldCharType="end"/>
            </w:r>
          </w:hyperlink>
        </w:p>
        <w:p w14:paraId="533481ED" w14:textId="2EDA986E" w:rsidR="006167F5" w:rsidRPr="0024080D" w:rsidRDefault="00000000" w:rsidP="002E00DA">
          <w:pPr>
            <w:pStyle w:val="2b"/>
            <w:rPr>
              <w:rFonts w:ascii="Times New Roman" w:eastAsiaTheme="minorEastAsia" w:hAnsi="Times New Roman" w:cs="Times New Roman"/>
              <w:noProof/>
              <w:sz w:val="24"/>
              <w:szCs w:val="24"/>
            </w:rPr>
          </w:pPr>
          <w:hyperlink w:anchor="_Toc89149153" w:history="1">
            <w:r w:rsidR="006167F5" w:rsidRPr="0024080D">
              <w:rPr>
                <w:rStyle w:val="a8"/>
                <w:rFonts w:ascii="Times New Roman" w:hAnsi="Times New Roman" w:cs="Times New Roman"/>
                <w:smallCaps w:val="0"/>
                <w:noProof/>
                <w:sz w:val="24"/>
                <w:szCs w:val="24"/>
              </w:rPr>
              <w:t>Захворюваність медичних працівників на ТБ</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78</w:t>
            </w:r>
            <w:r w:rsidR="006167F5" w:rsidRPr="0024080D">
              <w:rPr>
                <w:rFonts w:ascii="Times New Roman" w:hAnsi="Times New Roman" w:cs="Times New Roman"/>
                <w:noProof/>
                <w:webHidden/>
                <w:sz w:val="24"/>
                <w:szCs w:val="24"/>
              </w:rPr>
              <w:fldChar w:fldCharType="end"/>
            </w:r>
          </w:hyperlink>
        </w:p>
        <w:p w14:paraId="20695071" w14:textId="5F990DB1" w:rsidR="006167F5" w:rsidRPr="0024080D" w:rsidRDefault="00000000" w:rsidP="002E00DA">
          <w:pPr>
            <w:pStyle w:val="2b"/>
            <w:rPr>
              <w:rFonts w:ascii="Times New Roman" w:eastAsiaTheme="minorEastAsia" w:hAnsi="Times New Roman" w:cs="Times New Roman"/>
              <w:noProof/>
              <w:sz w:val="24"/>
              <w:szCs w:val="24"/>
            </w:rPr>
          </w:pPr>
          <w:hyperlink w:anchor="_Toc89149154" w:history="1">
            <w:r w:rsidR="006167F5" w:rsidRPr="0024080D">
              <w:rPr>
                <w:rStyle w:val="a8"/>
                <w:rFonts w:ascii="Times New Roman" w:hAnsi="Times New Roman" w:cs="Times New Roman"/>
                <w:smallCaps w:val="0"/>
                <w:noProof/>
                <w:sz w:val="24"/>
                <w:szCs w:val="24"/>
              </w:rPr>
              <w:t>Інженерний компонент</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79</w:t>
            </w:r>
            <w:r w:rsidR="006167F5" w:rsidRPr="0024080D">
              <w:rPr>
                <w:rFonts w:ascii="Times New Roman" w:hAnsi="Times New Roman" w:cs="Times New Roman"/>
                <w:noProof/>
                <w:webHidden/>
                <w:sz w:val="24"/>
                <w:szCs w:val="24"/>
              </w:rPr>
              <w:fldChar w:fldCharType="end"/>
            </w:r>
          </w:hyperlink>
        </w:p>
        <w:p w14:paraId="033FD5BF" w14:textId="134A15E6" w:rsidR="006167F5" w:rsidRPr="0024080D" w:rsidRDefault="00000000" w:rsidP="002E00DA">
          <w:pPr>
            <w:pStyle w:val="2b"/>
            <w:rPr>
              <w:rFonts w:ascii="Times New Roman" w:eastAsiaTheme="minorEastAsia" w:hAnsi="Times New Roman" w:cs="Times New Roman"/>
              <w:noProof/>
              <w:sz w:val="24"/>
              <w:szCs w:val="24"/>
            </w:rPr>
          </w:pPr>
          <w:hyperlink w:anchor="_Toc89149155" w:history="1">
            <w:r w:rsidR="006167F5" w:rsidRPr="0024080D">
              <w:rPr>
                <w:rStyle w:val="a8"/>
                <w:rFonts w:ascii="Times New Roman" w:hAnsi="Times New Roman" w:cs="Times New Roman"/>
                <w:smallCaps w:val="0"/>
                <w:noProof/>
                <w:sz w:val="24"/>
                <w:szCs w:val="24"/>
              </w:rPr>
              <w:t>Засоби індивідуального захисту органів дихання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_Toc89149155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80</w:t>
            </w:r>
            <w:r w:rsidR="006167F5" w:rsidRPr="0024080D">
              <w:rPr>
                <w:rFonts w:ascii="Times New Roman" w:hAnsi="Times New Roman" w:cs="Times New Roman"/>
                <w:noProof/>
                <w:webHidden/>
                <w:sz w:val="24"/>
                <w:szCs w:val="24"/>
              </w:rPr>
              <w:fldChar w:fldCharType="end"/>
            </w:r>
          </w:hyperlink>
        </w:p>
        <w:p w14:paraId="42F7B9EF" w14:textId="7C49CB91" w:rsidR="006167F5" w:rsidRPr="0024080D" w:rsidRDefault="00000000" w:rsidP="002E00DA">
          <w:pPr>
            <w:pStyle w:val="2b"/>
            <w:rPr>
              <w:rFonts w:ascii="Times New Roman" w:eastAsiaTheme="minorEastAsia" w:hAnsi="Times New Roman" w:cs="Times New Roman"/>
              <w:noProof/>
              <w:sz w:val="24"/>
              <w:szCs w:val="24"/>
            </w:rPr>
          </w:pPr>
          <w:hyperlink w:anchor="_Toc89149156" w:history="1">
            <w:r w:rsidR="006167F5" w:rsidRPr="0024080D">
              <w:rPr>
                <w:rStyle w:val="a8"/>
                <w:rFonts w:ascii="Times New Roman" w:hAnsi="Times New Roman" w:cs="Times New Roman"/>
                <w:smallCaps w:val="0"/>
                <w:noProof/>
                <w:sz w:val="24"/>
                <w:szCs w:val="24"/>
              </w:rPr>
              <w:t>Висновки з питань організації інфекційного контролю</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_Toc89149156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81</w:t>
            </w:r>
            <w:r w:rsidR="006167F5" w:rsidRPr="0024080D">
              <w:rPr>
                <w:rFonts w:ascii="Times New Roman" w:hAnsi="Times New Roman" w:cs="Times New Roman"/>
                <w:noProof/>
                <w:webHidden/>
                <w:sz w:val="24"/>
                <w:szCs w:val="24"/>
              </w:rPr>
              <w:fldChar w:fldCharType="end"/>
            </w:r>
          </w:hyperlink>
        </w:p>
        <w:p w14:paraId="34A4CC7C" w14:textId="24E6D686" w:rsidR="006167F5" w:rsidRPr="0024080D" w:rsidRDefault="00000000" w:rsidP="002E00DA">
          <w:pPr>
            <w:pStyle w:val="1d"/>
            <w:rPr>
              <w:rFonts w:ascii="Times New Roman" w:eastAsiaTheme="minorEastAsia" w:hAnsi="Times New Roman" w:cs="Times New Roman"/>
              <w:noProof/>
              <w:sz w:val="24"/>
              <w:szCs w:val="24"/>
            </w:rPr>
          </w:pPr>
          <w:hyperlink w:anchor="_Toc89149157" w:history="1">
            <w:r w:rsidR="002E00DA" w:rsidRPr="0024080D">
              <w:rPr>
                <w:rStyle w:val="a8"/>
                <w:rFonts w:ascii="Times New Roman" w:hAnsi="Times New Roman" w:cs="Times New Roman"/>
                <w:caps w:val="0"/>
                <w:noProof/>
                <w:sz w:val="24"/>
                <w:szCs w:val="24"/>
              </w:rPr>
              <w:t>РОЗДІЛ 7. МОНІТОРИНГ І ОЦІНЮВАННЯ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_Toc89149157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82</w:t>
            </w:r>
            <w:r w:rsidR="006167F5" w:rsidRPr="0024080D">
              <w:rPr>
                <w:rFonts w:ascii="Times New Roman" w:hAnsi="Times New Roman" w:cs="Times New Roman"/>
                <w:noProof/>
                <w:webHidden/>
                <w:sz w:val="24"/>
                <w:szCs w:val="24"/>
              </w:rPr>
              <w:fldChar w:fldCharType="end"/>
            </w:r>
          </w:hyperlink>
        </w:p>
        <w:p w14:paraId="3145868B" w14:textId="6568815D" w:rsidR="006167F5" w:rsidRPr="0024080D" w:rsidRDefault="00000000" w:rsidP="002E00DA">
          <w:pPr>
            <w:pStyle w:val="2b"/>
            <w:rPr>
              <w:rFonts w:ascii="Times New Roman" w:eastAsiaTheme="minorEastAsia" w:hAnsi="Times New Roman" w:cs="Times New Roman"/>
              <w:noProof/>
              <w:sz w:val="24"/>
              <w:szCs w:val="24"/>
            </w:rPr>
          </w:pPr>
          <w:hyperlink w:anchor="_Toc89149158" w:history="1">
            <w:r w:rsidR="006167F5" w:rsidRPr="0024080D">
              <w:rPr>
                <w:rStyle w:val="a8"/>
                <w:rFonts w:ascii="Times New Roman" w:hAnsi="Times New Roman" w:cs="Times New Roman"/>
                <w:smallCaps w:val="0"/>
                <w:noProof/>
                <w:sz w:val="24"/>
                <w:szCs w:val="24"/>
              </w:rPr>
              <w:t>Методологія оцінювання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_Toc89149158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82</w:t>
            </w:r>
            <w:r w:rsidR="006167F5" w:rsidRPr="0024080D">
              <w:rPr>
                <w:rFonts w:ascii="Times New Roman" w:hAnsi="Times New Roman" w:cs="Times New Roman"/>
                <w:noProof/>
                <w:webHidden/>
                <w:sz w:val="24"/>
                <w:szCs w:val="24"/>
              </w:rPr>
              <w:fldChar w:fldCharType="end"/>
            </w:r>
          </w:hyperlink>
        </w:p>
        <w:p w14:paraId="53473FA3" w14:textId="7330F798" w:rsidR="006167F5" w:rsidRPr="0024080D" w:rsidRDefault="00000000" w:rsidP="002E00DA">
          <w:pPr>
            <w:pStyle w:val="2b"/>
            <w:rPr>
              <w:rFonts w:ascii="Times New Roman" w:eastAsiaTheme="minorEastAsia" w:hAnsi="Times New Roman" w:cs="Times New Roman"/>
              <w:noProof/>
              <w:sz w:val="24"/>
              <w:szCs w:val="24"/>
            </w:rPr>
          </w:pPr>
          <w:hyperlink w:anchor="_Toc89149159" w:history="1">
            <w:r w:rsidR="006167F5" w:rsidRPr="0024080D">
              <w:rPr>
                <w:rStyle w:val="a8"/>
                <w:rFonts w:ascii="Times New Roman" w:hAnsi="Times New Roman" w:cs="Times New Roman"/>
                <w:smallCaps w:val="0"/>
                <w:noProof/>
                <w:sz w:val="24"/>
                <w:szCs w:val="24"/>
              </w:rPr>
              <w:t>Сильні сторони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_Toc89149159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82</w:t>
            </w:r>
            <w:r w:rsidR="006167F5" w:rsidRPr="0024080D">
              <w:rPr>
                <w:rFonts w:ascii="Times New Roman" w:hAnsi="Times New Roman" w:cs="Times New Roman"/>
                <w:noProof/>
                <w:webHidden/>
                <w:sz w:val="24"/>
                <w:szCs w:val="24"/>
              </w:rPr>
              <w:fldChar w:fldCharType="end"/>
            </w:r>
          </w:hyperlink>
        </w:p>
        <w:p w14:paraId="6F613271" w14:textId="2864B01F" w:rsidR="006167F5" w:rsidRPr="0024080D" w:rsidRDefault="00000000" w:rsidP="002E00DA">
          <w:pPr>
            <w:pStyle w:val="2b"/>
            <w:rPr>
              <w:rFonts w:ascii="Times New Roman" w:eastAsiaTheme="minorEastAsia" w:hAnsi="Times New Roman" w:cs="Times New Roman"/>
              <w:noProof/>
              <w:sz w:val="24"/>
              <w:szCs w:val="24"/>
            </w:rPr>
          </w:pPr>
          <w:hyperlink w:anchor="_Toc89149160" w:history="1">
            <w:r w:rsidR="006167F5" w:rsidRPr="0024080D">
              <w:rPr>
                <w:rStyle w:val="a8"/>
                <w:rFonts w:ascii="Times New Roman" w:hAnsi="Times New Roman" w:cs="Times New Roman"/>
                <w:smallCaps w:val="0"/>
                <w:noProof/>
                <w:sz w:val="24"/>
                <w:szCs w:val="24"/>
              </w:rPr>
              <w:t>Слабкі сторони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_Toc89149160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82</w:t>
            </w:r>
            <w:r w:rsidR="006167F5" w:rsidRPr="0024080D">
              <w:rPr>
                <w:rFonts w:ascii="Times New Roman" w:hAnsi="Times New Roman" w:cs="Times New Roman"/>
                <w:noProof/>
                <w:webHidden/>
                <w:sz w:val="24"/>
                <w:szCs w:val="24"/>
              </w:rPr>
              <w:fldChar w:fldCharType="end"/>
            </w:r>
          </w:hyperlink>
        </w:p>
        <w:p w14:paraId="7ED91E45" w14:textId="615BE2A1" w:rsidR="006167F5" w:rsidRPr="0024080D" w:rsidRDefault="00000000" w:rsidP="002E00DA">
          <w:pPr>
            <w:pStyle w:val="2b"/>
            <w:rPr>
              <w:rFonts w:ascii="Times New Roman" w:eastAsiaTheme="minorEastAsia" w:hAnsi="Times New Roman" w:cs="Times New Roman"/>
              <w:noProof/>
              <w:sz w:val="24"/>
              <w:szCs w:val="24"/>
            </w:rPr>
          </w:pPr>
          <w:hyperlink w:anchor="_Toc89149161" w:history="1">
            <w:r w:rsidR="006167F5" w:rsidRPr="0024080D">
              <w:rPr>
                <w:rStyle w:val="a8"/>
                <w:rFonts w:ascii="Times New Roman" w:hAnsi="Times New Roman" w:cs="Times New Roman"/>
                <w:smallCaps w:val="0"/>
                <w:noProof/>
                <w:sz w:val="24"/>
                <w:szCs w:val="24"/>
              </w:rPr>
              <w:t>Можливості МіО</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_Toc89149161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83</w:t>
            </w:r>
            <w:r w:rsidR="006167F5" w:rsidRPr="0024080D">
              <w:rPr>
                <w:rFonts w:ascii="Times New Roman" w:hAnsi="Times New Roman" w:cs="Times New Roman"/>
                <w:noProof/>
                <w:webHidden/>
                <w:sz w:val="24"/>
                <w:szCs w:val="24"/>
              </w:rPr>
              <w:fldChar w:fldCharType="end"/>
            </w:r>
          </w:hyperlink>
        </w:p>
        <w:p w14:paraId="6A6B3B9E" w14:textId="5EFDCE7F" w:rsidR="006167F5" w:rsidRPr="0024080D" w:rsidRDefault="00000000" w:rsidP="002E00DA">
          <w:pPr>
            <w:pStyle w:val="2b"/>
            <w:rPr>
              <w:rFonts w:ascii="Times New Roman" w:eastAsiaTheme="minorEastAsia" w:hAnsi="Times New Roman" w:cs="Times New Roman"/>
              <w:noProof/>
              <w:sz w:val="24"/>
              <w:szCs w:val="24"/>
            </w:rPr>
          </w:pPr>
          <w:hyperlink w:anchor="_Toc89149162" w:history="1">
            <w:r w:rsidR="006167F5" w:rsidRPr="0024080D">
              <w:rPr>
                <w:rStyle w:val="a8"/>
                <w:rFonts w:ascii="Times New Roman" w:hAnsi="Times New Roman" w:cs="Times New Roman"/>
                <w:smallCaps w:val="0"/>
                <w:noProof/>
                <w:sz w:val="24"/>
                <w:szCs w:val="24"/>
              </w:rPr>
              <w:t>Загрози МіО</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_Toc89149162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84</w:t>
            </w:r>
            <w:r w:rsidR="006167F5" w:rsidRPr="0024080D">
              <w:rPr>
                <w:rFonts w:ascii="Times New Roman" w:hAnsi="Times New Roman" w:cs="Times New Roman"/>
                <w:noProof/>
                <w:webHidden/>
                <w:sz w:val="24"/>
                <w:szCs w:val="24"/>
              </w:rPr>
              <w:fldChar w:fldCharType="end"/>
            </w:r>
          </w:hyperlink>
        </w:p>
        <w:p w14:paraId="2EDB14A9" w14:textId="5DD6B1F5" w:rsidR="006167F5" w:rsidRPr="0024080D" w:rsidRDefault="00000000" w:rsidP="002E00DA">
          <w:pPr>
            <w:pStyle w:val="2b"/>
            <w:rPr>
              <w:rFonts w:ascii="Times New Roman" w:eastAsiaTheme="minorEastAsia" w:hAnsi="Times New Roman" w:cs="Times New Roman"/>
              <w:noProof/>
              <w:sz w:val="24"/>
              <w:szCs w:val="24"/>
            </w:rPr>
          </w:pPr>
          <w:hyperlink w:anchor="_Toc89149163" w:history="1">
            <w:r w:rsidR="006167F5" w:rsidRPr="0024080D">
              <w:rPr>
                <w:rStyle w:val="a8"/>
                <w:rFonts w:ascii="Times New Roman" w:hAnsi="Times New Roman" w:cs="Times New Roman"/>
                <w:smallCaps w:val="0"/>
                <w:noProof/>
                <w:sz w:val="24"/>
                <w:szCs w:val="24"/>
              </w:rPr>
              <w:t>Обмеженість оцінювання</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_Toc89149163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84</w:t>
            </w:r>
            <w:r w:rsidR="006167F5" w:rsidRPr="0024080D">
              <w:rPr>
                <w:rFonts w:ascii="Times New Roman" w:hAnsi="Times New Roman" w:cs="Times New Roman"/>
                <w:noProof/>
                <w:webHidden/>
                <w:sz w:val="24"/>
                <w:szCs w:val="24"/>
              </w:rPr>
              <w:fldChar w:fldCharType="end"/>
            </w:r>
          </w:hyperlink>
        </w:p>
        <w:p w14:paraId="25B45F54" w14:textId="19A92125" w:rsidR="006167F5" w:rsidRPr="0024080D" w:rsidRDefault="00000000" w:rsidP="002E00DA">
          <w:pPr>
            <w:pStyle w:val="2b"/>
            <w:rPr>
              <w:rFonts w:ascii="Times New Roman" w:eastAsiaTheme="minorEastAsia" w:hAnsi="Times New Roman" w:cs="Times New Roman"/>
              <w:noProof/>
              <w:sz w:val="24"/>
              <w:szCs w:val="24"/>
            </w:rPr>
          </w:pPr>
          <w:hyperlink w:anchor="_Toc89149164" w:history="1">
            <w:r w:rsidR="006167F5" w:rsidRPr="0024080D">
              <w:rPr>
                <w:rStyle w:val="a8"/>
                <w:rFonts w:ascii="Times New Roman" w:hAnsi="Times New Roman" w:cs="Times New Roman"/>
                <w:smallCaps w:val="0"/>
                <w:noProof/>
                <w:sz w:val="24"/>
                <w:szCs w:val="24"/>
              </w:rPr>
              <w:t>Висновки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_Toc89149164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84</w:t>
            </w:r>
            <w:r w:rsidR="006167F5" w:rsidRPr="0024080D">
              <w:rPr>
                <w:rFonts w:ascii="Times New Roman" w:hAnsi="Times New Roman" w:cs="Times New Roman"/>
                <w:noProof/>
                <w:webHidden/>
                <w:sz w:val="24"/>
                <w:szCs w:val="24"/>
              </w:rPr>
              <w:fldChar w:fldCharType="end"/>
            </w:r>
          </w:hyperlink>
        </w:p>
        <w:p w14:paraId="13B9DB61" w14:textId="4AE6F89E" w:rsidR="006167F5" w:rsidRPr="0024080D" w:rsidRDefault="00000000" w:rsidP="002E00DA">
          <w:pPr>
            <w:pStyle w:val="1d"/>
            <w:rPr>
              <w:rFonts w:ascii="Times New Roman" w:eastAsiaTheme="minorEastAsia" w:hAnsi="Times New Roman" w:cs="Times New Roman"/>
              <w:noProof/>
              <w:sz w:val="24"/>
              <w:szCs w:val="24"/>
            </w:rPr>
          </w:pPr>
          <w:hyperlink w:anchor="_Toc89149165" w:history="1">
            <w:r w:rsidR="002E00DA" w:rsidRPr="0024080D">
              <w:rPr>
                <w:rStyle w:val="a8"/>
                <w:rFonts w:ascii="Times New Roman" w:hAnsi="Times New Roman" w:cs="Times New Roman"/>
                <w:caps w:val="0"/>
                <w:noProof/>
                <w:sz w:val="24"/>
                <w:szCs w:val="24"/>
              </w:rPr>
              <w:t>ВИСНОВКИ</w:t>
            </w:r>
            <w:r w:rsidR="002E00DA" w:rsidRPr="0024080D">
              <w:rPr>
                <w:rFonts w:ascii="Times New Roman" w:hAnsi="Times New Roman" w:cs="Times New Roman"/>
                <w:caps w:val="0"/>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_Toc89149165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89</w:t>
            </w:r>
            <w:r w:rsidR="006167F5" w:rsidRPr="0024080D">
              <w:rPr>
                <w:rFonts w:ascii="Times New Roman" w:hAnsi="Times New Roman" w:cs="Times New Roman"/>
                <w:noProof/>
                <w:webHidden/>
                <w:sz w:val="24"/>
                <w:szCs w:val="24"/>
              </w:rPr>
              <w:fldChar w:fldCharType="end"/>
            </w:r>
          </w:hyperlink>
        </w:p>
        <w:p w14:paraId="5C21E51D" w14:textId="3F2C2076" w:rsidR="006167F5" w:rsidRPr="0024080D" w:rsidRDefault="00000000" w:rsidP="002E00DA">
          <w:pPr>
            <w:pStyle w:val="2b"/>
            <w:rPr>
              <w:rFonts w:ascii="Times New Roman" w:eastAsiaTheme="minorEastAsia" w:hAnsi="Times New Roman" w:cs="Times New Roman"/>
              <w:noProof/>
              <w:sz w:val="24"/>
              <w:szCs w:val="24"/>
            </w:rPr>
          </w:pPr>
          <w:hyperlink w:anchor="_Toc89149166" w:history="1">
            <w:r w:rsidR="006167F5" w:rsidRPr="0024080D">
              <w:rPr>
                <w:rStyle w:val="a8"/>
                <w:rFonts w:ascii="Times New Roman" w:hAnsi="Times New Roman" w:cs="Times New Roman"/>
                <w:smallCaps w:val="0"/>
                <w:noProof/>
                <w:sz w:val="24"/>
                <w:szCs w:val="24"/>
              </w:rPr>
              <w:t xml:space="preserve">Реформування і децентралізація системи охорони здоров’я </w:t>
            </w:r>
            <w:r w:rsidR="002E00DA" w:rsidRPr="0024080D">
              <w:rPr>
                <w:rStyle w:val="a8"/>
                <w:rFonts w:ascii="Times New Roman" w:hAnsi="Times New Roman" w:cs="Times New Roman"/>
                <w:smallCaps w:val="0"/>
                <w:noProof/>
                <w:sz w:val="24"/>
                <w:szCs w:val="24"/>
              </w:rPr>
              <w:br/>
            </w:r>
            <w:r w:rsidR="006167F5" w:rsidRPr="0024080D">
              <w:rPr>
                <w:rStyle w:val="a8"/>
                <w:rFonts w:ascii="Times New Roman" w:hAnsi="Times New Roman" w:cs="Times New Roman"/>
                <w:smallCaps w:val="0"/>
                <w:noProof/>
                <w:sz w:val="24"/>
                <w:szCs w:val="24"/>
              </w:rPr>
              <w:t>та виявлення туберкульозу</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_Toc89149166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89</w:t>
            </w:r>
            <w:r w:rsidR="006167F5" w:rsidRPr="0024080D">
              <w:rPr>
                <w:rFonts w:ascii="Times New Roman" w:hAnsi="Times New Roman" w:cs="Times New Roman"/>
                <w:noProof/>
                <w:webHidden/>
                <w:sz w:val="24"/>
                <w:szCs w:val="24"/>
              </w:rPr>
              <w:fldChar w:fldCharType="end"/>
            </w:r>
          </w:hyperlink>
        </w:p>
        <w:p w14:paraId="1B5F7150" w14:textId="0C9483D5" w:rsidR="006167F5" w:rsidRPr="0024080D" w:rsidRDefault="00000000" w:rsidP="002E00DA">
          <w:pPr>
            <w:pStyle w:val="2b"/>
            <w:rPr>
              <w:rFonts w:ascii="Times New Roman" w:eastAsiaTheme="minorEastAsia" w:hAnsi="Times New Roman" w:cs="Times New Roman"/>
              <w:noProof/>
              <w:sz w:val="24"/>
              <w:szCs w:val="24"/>
            </w:rPr>
          </w:pPr>
          <w:hyperlink w:anchor="_Toc89149167" w:history="1">
            <w:r w:rsidR="006167F5" w:rsidRPr="0024080D">
              <w:rPr>
                <w:rStyle w:val="a8"/>
                <w:rFonts w:ascii="Times New Roman" w:hAnsi="Times New Roman" w:cs="Times New Roman"/>
                <w:smallCaps w:val="0"/>
                <w:noProof/>
                <w:sz w:val="24"/>
                <w:szCs w:val="24"/>
              </w:rPr>
              <w:t>Лікування із застосуванням нових препаратів</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_Toc89149167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90</w:t>
            </w:r>
            <w:r w:rsidR="006167F5" w:rsidRPr="0024080D">
              <w:rPr>
                <w:rFonts w:ascii="Times New Roman" w:hAnsi="Times New Roman" w:cs="Times New Roman"/>
                <w:noProof/>
                <w:webHidden/>
                <w:sz w:val="24"/>
                <w:szCs w:val="24"/>
              </w:rPr>
              <w:fldChar w:fldCharType="end"/>
            </w:r>
          </w:hyperlink>
        </w:p>
        <w:p w14:paraId="378AD37E" w14:textId="5C70C0FF" w:rsidR="006167F5" w:rsidRPr="0024080D" w:rsidRDefault="00000000" w:rsidP="002E00DA">
          <w:pPr>
            <w:pStyle w:val="2b"/>
            <w:rPr>
              <w:rFonts w:ascii="Times New Roman" w:eastAsiaTheme="minorEastAsia" w:hAnsi="Times New Roman" w:cs="Times New Roman"/>
              <w:noProof/>
              <w:sz w:val="24"/>
              <w:szCs w:val="24"/>
            </w:rPr>
          </w:pPr>
          <w:hyperlink w:anchor="_Toc89149168" w:history="1">
            <w:r w:rsidR="006167F5" w:rsidRPr="0024080D">
              <w:rPr>
                <w:rStyle w:val="a8"/>
                <w:rFonts w:ascii="Times New Roman" w:hAnsi="Times New Roman" w:cs="Times New Roman"/>
                <w:smallCaps w:val="0"/>
                <w:noProof/>
                <w:sz w:val="24"/>
                <w:szCs w:val="24"/>
              </w:rPr>
              <w:t>ВІЛ-інфекція і туберкульоз</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_Toc89149168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90</w:t>
            </w:r>
            <w:r w:rsidR="006167F5" w:rsidRPr="0024080D">
              <w:rPr>
                <w:rFonts w:ascii="Times New Roman" w:hAnsi="Times New Roman" w:cs="Times New Roman"/>
                <w:noProof/>
                <w:webHidden/>
                <w:sz w:val="24"/>
                <w:szCs w:val="24"/>
              </w:rPr>
              <w:fldChar w:fldCharType="end"/>
            </w:r>
          </w:hyperlink>
        </w:p>
        <w:p w14:paraId="63E062E9" w14:textId="251035F3" w:rsidR="006167F5" w:rsidRPr="0024080D" w:rsidRDefault="00000000" w:rsidP="002E00DA">
          <w:pPr>
            <w:pStyle w:val="2b"/>
            <w:rPr>
              <w:rFonts w:ascii="Times New Roman" w:eastAsiaTheme="minorEastAsia" w:hAnsi="Times New Roman" w:cs="Times New Roman"/>
              <w:noProof/>
              <w:sz w:val="24"/>
              <w:szCs w:val="24"/>
            </w:rPr>
          </w:pPr>
          <w:hyperlink w:anchor="_Toc89149169" w:history="1">
            <w:r w:rsidR="006167F5" w:rsidRPr="0024080D">
              <w:rPr>
                <w:rStyle w:val="a8"/>
                <w:rFonts w:ascii="Times New Roman" w:hAnsi="Times New Roman" w:cs="Times New Roman"/>
                <w:smallCaps w:val="0"/>
                <w:noProof/>
                <w:sz w:val="24"/>
                <w:szCs w:val="24"/>
              </w:rPr>
              <w:t>Психосоціальна підтримка та робота з ключовими групами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_Toc89149169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90</w:t>
            </w:r>
            <w:r w:rsidR="006167F5" w:rsidRPr="0024080D">
              <w:rPr>
                <w:rFonts w:ascii="Times New Roman" w:hAnsi="Times New Roman" w:cs="Times New Roman"/>
                <w:noProof/>
                <w:webHidden/>
                <w:sz w:val="24"/>
                <w:szCs w:val="24"/>
              </w:rPr>
              <w:fldChar w:fldCharType="end"/>
            </w:r>
          </w:hyperlink>
        </w:p>
        <w:p w14:paraId="323F7231" w14:textId="641E0D48" w:rsidR="006167F5" w:rsidRPr="0024080D" w:rsidRDefault="00000000" w:rsidP="002E00DA">
          <w:pPr>
            <w:pStyle w:val="2b"/>
            <w:rPr>
              <w:rFonts w:ascii="Times New Roman" w:eastAsiaTheme="minorEastAsia" w:hAnsi="Times New Roman" w:cs="Times New Roman"/>
              <w:noProof/>
              <w:sz w:val="24"/>
              <w:szCs w:val="24"/>
            </w:rPr>
          </w:pPr>
          <w:hyperlink w:anchor="_Toc89149170" w:history="1">
            <w:r w:rsidR="006167F5" w:rsidRPr="0024080D">
              <w:rPr>
                <w:rStyle w:val="a8"/>
                <w:rFonts w:ascii="Times New Roman" w:hAnsi="Times New Roman" w:cs="Times New Roman"/>
                <w:smallCaps w:val="0"/>
                <w:noProof/>
                <w:sz w:val="24"/>
                <w:szCs w:val="24"/>
              </w:rPr>
              <w:t>Моніторинг програми</w:t>
            </w:r>
            <w:r w:rsidR="006167F5" w:rsidRPr="0024080D">
              <w:rPr>
                <w:rFonts w:ascii="Times New Roman" w:hAnsi="Times New Roman" w:cs="Times New Roman"/>
                <w:noProof/>
                <w:webHidden/>
                <w:sz w:val="24"/>
                <w:szCs w:val="24"/>
              </w:rPr>
              <w:tab/>
            </w:r>
            <w:r w:rsidR="006167F5" w:rsidRPr="0024080D">
              <w:rPr>
                <w:rFonts w:ascii="Times New Roman" w:hAnsi="Times New Roman" w:cs="Times New Roman"/>
                <w:noProof/>
                <w:webHidden/>
                <w:sz w:val="24"/>
                <w:szCs w:val="24"/>
              </w:rPr>
              <w:fldChar w:fldCharType="begin"/>
            </w:r>
            <w:r w:rsidR="006167F5" w:rsidRPr="0024080D">
              <w:rPr>
                <w:rFonts w:ascii="Times New Roman" w:hAnsi="Times New Roman" w:cs="Times New Roman"/>
                <w:noProof/>
                <w:webHidden/>
                <w:sz w:val="24"/>
                <w:szCs w:val="24"/>
              </w:rPr>
              <w:instrText xml:space="preserve"> PAGEREF _Toc89149170 \h </w:instrText>
            </w:r>
            <w:r w:rsidR="006167F5" w:rsidRPr="0024080D">
              <w:rPr>
                <w:rFonts w:ascii="Times New Roman" w:hAnsi="Times New Roman" w:cs="Times New Roman"/>
                <w:noProof/>
                <w:webHidden/>
                <w:sz w:val="24"/>
                <w:szCs w:val="24"/>
              </w:rPr>
            </w:r>
            <w:r w:rsidR="006167F5" w:rsidRPr="0024080D">
              <w:rPr>
                <w:rFonts w:ascii="Times New Roman" w:hAnsi="Times New Roman" w:cs="Times New Roman"/>
                <w:noProof/>
                <w:webHidden/>
                <w:sz w:val="24"/>
                <w:szCs w:val="24"/>
              </w:rPr>
              <w:fldChar w:fldCharType="separate"/>
            </w:r>
            <w:r w:rsidR="00747D31">
              <w:rPr>
                <w:rFonts w:ascii="Times New Roman" w:hAnsi="Times New Roman" w:cs="Times New Roman"/>
                <w:noProof/>
                <w:webHidden/>
                <w:sz w:val="24"/>
                <w:szCs w:val="24"/>
              </w:rPr>
              <w:t>91</w:t>
            </w:r>
            <w:r w:rsidR="006167F5" w:rsidRPr="0024080D">
              <w:rPr>
                <w:rFonts w:ascii="Times New Roman" w:hAnsi="Times New Roman" w:cs="Times New Roman"/>
                <w:noProof/>
                <w:webHidden/>
                <w:sz w:val="24"/>
                <w:szCs w:val="24"/>
              </w:rPr>
              <w:fldChar w:fldCharType="end"/>
            </w:r>
          </w:hyperlink>
        </w:p>
        <w:p w14:paraId="0B44A98A" w14:textId="2196A60F" w:rsidR="00E2045F" w:rsidRPr="0024080D" w:rsidRDefault="006167F5" w:rsidP="006167F5">
          <w:pPr>
            <w:ind w:firstLine="0"/>
            <w:jc w:val="left"/>
            <w:rPr>
              <w:rFonts w:cs="Times New Roman"/>
              <w:sz w:val="24"/>
              <w:szCs w:val="24"/>
            </w:rPr>
          </w:pPr>
          <w:r w:rsidRPr="0024080D">
            <w:rPr>
              <w:rFonts w:cs="Times New Roman"/>
              <w:b/>
              <w:bCs/>
              <w:sz w:val="24"/>
              <w:szCs w:val="24"/>
            </w:rPr>
            <w:fldChar w:fldCharType="end"/>
          </w:r>
        </w:p>
      </w:sdtContent>
    </w:sdt>
    <w:p w14:paraId="1A77C2E6" w14:textId="77777777" w:rsidR="00E2045F" w:rsidRPr="0024080D" w:rsidRDefault="00E2045F" w:rsidP="00F12716">
      <w:pPr>
        <w:rPr>
          <w:rFonts w:cs="Times New Roman"/>
          <w:szCs w:val="28"/>
        </w:rPr>
      </w:pPr>
    </w:p>
    <w:p w14:paraId="1674866E" w14:textId="77777777" w:rsidR="008E1120" w:rsidRPr="0024080D" w:rsidRDefault="008E1120" w:rsidP="00F12716">
      <w:pPr>
        <w:rPr>
          <w:rFonts w:cs="Times New Roman"/>
          <w:szCs w:val="28"/>
        </w:rPr>
      </w:pPr>
      <w:r w:rsidRPr="0024080D">
        <w:rPr>
          <w:rFonts w:cs="Times New Roman"/>
          <w:szCs w:val="28"/>
        </w:rPr>
        <w:br w:type="page"/>
      </w:r>
    </w:p>
    <w:p w14:paraId="435810BF" w14:textId="77777777" w:rsidR="0046311D" w:rsidRPr="0024080D" w:rsidRDefault="0046311D" w:rsidP="0046311D">
      <w:pPr>
        <w:pStyle w:val="1"/>
      </w:pPr>
      <w:bookmarkStart w:id="3" w:name="_Toc89149091"/>
      <w:bookmarkEnd w:id="2"/>
      <w:r w:rsidRPr="0024080D">
        <w:lastRenderedPageBreak/>
        <w:t>ПЕРЕЛІК УМОВНИХ ПОЗНАЧЕНЬ ТА СКОРОЧЕНЬ</w:t>
      </w:r>
      <w:bookmarkEnd w:id="3"/>
    </w:p>
    <w:tbl>
      <w:tblPr>
        <w:tblW w:w="9598" w:type="dxa"/>
        <w:tblLayout w:type="fixed"/>
        <w:tblLook w:val="0600" w:firstRow="0" w:lastRow="0" w:firstColumn="0" w:lastColumn="0" w:noHBand="1" w:noVBand="1"/>
      </w:tblPr>
      <w:tblGrid>
        <w:gridCol w:w="2794"/>
        <w:gridCol w:w="6804"/>
      </w:tblGrid>
      <w:tr w:rsidR="00C752BA" w:rsidRPr="0024080D" w14:paraId="22127E43" w14:textId="77777777" w:rsidTr="0046311D">
        <w:trPr>
          <w:trHeight w:val="20"/>
        </w:trPr>
        <w:tc>
          <w:tcPr>
            <w:tcW w:w="2794" w:type="dxa"/>
            <w:shd w:val="clear" w:color="auto" w:fill="auto"/>
            <w:tcMar>
              <w:top w:w="0" w:type="dxa"/>
              <w:left w:w="100" w:type="dxa"/>
              <w:bottom w:w="0" w:type="dxa"/>
              <w:right w:w="100" w:type="dxa"/>
            </w:tcMar>
          </w:tcPr>
          <w:p w14:paraId="5A3FC031"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DOT</w:t>
            </w:r>
          </w:p>
        </w:tc>
        <w:tc>
          <w:tcPr>
            <w:tcW w:w="6804" w:type="dxa"/>
            <w:shd w:val="clear" w:color="auto" w:fill="auto"/>
            <w:tcMar>
              <w:top w:w="0" w:type="dxa"/>
              <w:left w:w="100" w:type="dxa"/>
              <w:bottom w:w="0" w:type="dxa"/>
              <w:right w:w="100" w:type="dxa"/>
            </w:tcMar>
          </w:tcPr>
          <w:p w14:paraId="5ABD0FC2"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лікування туберкульозу під безпосереднім наглядом </w:t>
            </w:r>
            <w:r w:rsidRPr="0024080D">
              <w:rPr>
                <w:rFonts w:cs="Times New Roman"/>
                <w:szCs w:val="28"/>
              </w:rPr>
              <w:br/>
              <w:t xml:space="preserve">за прийомом </w:t>
            </w:r>
            <w:proofErr w:type="spellStart"/>
            <w:r w:rsidRPr="0024080D">
              <w:rPr>
                <w:rFonts w:cs="Times New Roman"/>
                <w:szCs w:val="28"/>
              </w:rPr>
              <w:t>антимікобактеріальних</w:t>
            </w:r>
            <w:proofErr w:type="spellEnd"/>
            <w:r w:rsidRPr="0024080D">
              <w:rPr>
                <w:rFonts w:cs="Times New Roman"/>
                <w:szCs w:val="28"/>
              </w:rPr>
              <w:t xml:space="preserve"> препаратів </w:t>
            </w:r>
            <w:r w:rsidRPr="0024080D">
              <w:rPr>
                <w:rFonts w:cs="Times New Roman"/>
                <w:szCs w:val="28"/>
              </w:rPr>
              <w:br/>
              <w:t>(</w:t>
            </w:r>
            <w:proofErr w:type="spellStart"/>
            <w:r w:rsidRPr="0024080D">
              <w:rPr>
                <w:rFonts w:cs="Times New Roman"/>
                <w:szCs w:val="28"/>
              </w:rPr>
              <w:t>directly</w:t>
            </w:r>
            <w:proofErr w:type="spellEnd"/>
            <w:r w:rsidRPr="0024080D">
              <w:rPr>
                <w:rFonts w:cs="Times New Roman"/>
                <w:szCs w:val="28"/>
              </w:rPr>
              <w:t xml:space="preserve"> </w:t>
            </w:r>
            <w:proofErr w:type="spellStart"/>
            <w:r w:rsidRPr="0024080D">
              <w:rPr>
                <w:rFonts w:cs="Times New Roman"/>
                <w:szCs w:val="28"/>
              </w:rPr>
              <w:t>observed</w:t>
            </w:r>
            <w:proofErr w:type="spellEnd"/>
            <w:r w:rsidRPr="0024080D">
              <w:rPr>
                <w:rFonts w:cs="Times New Roman"/>
                <w:szCs w:val="28"/>
              </w:rPr>
              <w:t xml:space="preserve"> </w:t>
            </w:r>
            <w:proofErr w:type="spellStart"/>
            <w:r w:rsidRPr="0024080D">
              <w:rPr>
                <w:rFonts w:cs="Times New Roman"/>
                <w:szCs w:val="28"/>
              </w:rPr>
              <w:t>treatment</w:t>
            </w:r>
            <w:proofErr w:type="spellEnd"/>
            <w:r w:rsidRPr="0024080D">
              <w:rPr>
                <w:rFonts w:cs="Times New Roman"/>
                <w:szCs w:val="28"/>
              </w:rPr>
              <w:t>)</w:t>
            </w:r>
          </w:p>
        </w:tc>
      </w:tr>
      <w:tr w:rsidR="00C752BA" w:rsidRPr="0024080D" w14:paraId="08E0C3EE" w14:textId="77777777" w:rsidTr="0046311D">
        <w:trPr>
          <w:trHeight w:val="20"/>
        </w:trPr>
        <w:tc>
          <w:tcPr>
            <w:tcW w:w="2794" w:type="dxa"/>
            <w:shd w:val="clear" w:color="auto" w:fill="auto"/>
            <w:tcMar>
              <w:top w:w="0" w:type="dxa"/>
              <w:left w:w="100" w:type="dxa"/>
              <w:bottom w:w="0" w:type="dxa"/>
              <w:right w:w="100" w:type="dxa"/>
            </w:tcMar>
          </w:tcPr>
          <w:p w14:paraId="3A82A2B0"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LF-LAM </w:t>
            </w:r>
          </w:p>
        </w:tc>
        <w:tc>
          <w:tcPr>
            <w:tcW w:w="6804" w:type="dxa"/>
            <w:shd w:val="clear" w:color="auto" w:fill="auto"/>
            <w:tcMar>
              <w:top w:w="0" w:type="dxa"/>
              <w:left w:w="100" w:type="dxa"/>
              <w:bottom w:w="0" w:type="dxa"/>
              <w:right w:w="100" w:type="dxa"/>
            </w:tcMar>
          </w:tcPr>
          <w:p w14:paraId="40A80551"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proofErr w:type="spellStart"/>
            <w:r w:rsidRPr="0024080D">
              <w:rPr>
                <w:rFonts w:cs="Times New Roman"/>
                <w:szCs w:val="28"/>
              </w:rPr>
              <w:t>ліпоарабіноманановий</w:t>
            </w:r>
            <w:proofErr w:type="spellEnd"/>
            <w:r w:rsidRPr="0024080D">
              <w:rPr>
                <w:rFonts w:cs="Times New Roman"/>
                <w:szCs w:val="28"/>
              </w:rPr>
              <w:t xml:space="preserve"> тест бокового зсуву </w:t>
            </w:r>
            <w:r w:rsidRPr="0024080D">
              <w:rPr>
                <w:rFonts w:cs="Times New Roman"/>
                <w:szCs w:val="28"/>
              </w:rPr>
              <w:br/>
              <w:t>(тест сечі LM-LAM)</w:t>
            </w:r>
          </w:p>
        </w:tc>
      </w:tr>
      <w:tr w:rsidR="00C752BA" w:rsidRPr="0024080D" w14:paraId="0E9F26F3" w14:textId="77777777" w:rsidTr="0046311D">
        <w:trPr>
          <w:trHeight w:val="20"/>
        </w:trPr>
        <w:tc>
          <w:tcPr>
            <w:tcW w:w="2794" w:type="dxa"/>
            <w:shd w:val="clear" w:color="auto" w:fill="auto"/>
            <w:tcMar>
              <w:top w:w="0" w:type="dxa"/>
              <w:left w:w="100" w:type="dxa"/>
              <w:bottom w:w="0" w:type="dxa"/>
              <w:right w:w="100" w:type="dxa"/>
            </w:tcMar>
          </w:tcPr>
          <w:p w14:paraId="31C92A39" w14:textId="77777777" w:rsidR="00C752BA" w:rsidRPr="0024080D" w:rsidRDefault="00C752BA" w:rsidP="0046311D">
            <w:pPr>
              <w:spacing w:after="120"/>
              <w:ind w:firstLine="0"/>
              <w:jc w:val="left"/>
              <w:rPr>
                <w:rFonts w:cs="Times New Roman"/>
                <w:szCs w:val="28"/>
              </w:rPr>
            </w:pPr>
            <w:r w:rsidRPr="0024080D">
              <w:rPr>
                <w:rFonts w:cs="Times New Roman"/>
                <w:b/>
                <w:szCs w:val="28"/>
              </w:rPr>
              <w:t>VOT</w:t>
            </w:r>
          </w:p>
        </w:tc>
        <w:tc>
          <w:tcPr>
            <w:tcW w:w="6804" w:type="dxa"/>
            <w:shd w:val="clear" w:color="auto" w:fill="auto"/>
            <w:tcMar>
              <w:top w:w="0" w:type="dxa"/>
              <w:left w:w="100" w:type="dxa"/>
              <w:bottom w:w="0" w:type="dxa"/>
              <w:right w:w="100" w:type="dxa"/>
            </w:tcMar>
          </w:tcPr>
          <w:p w14:paraId="0D659F5B" w14:textId="77777777" w:rsidR="00C752BA" w:rsidRPr="0024080D" w:rsidRDefault="00C752BA" w:rsidP="0046311D">
            <w:pPr>
              <w:spacing w:after="120"/>
              <w:ind w:firstLine="0"/>
              <w:jc w:val="left"/>
              <w:rPr>
                <w:rFonts w:cs="Times New Roman"/>
                <w:szCs w:val="28"/>
              </w:rPr>
            </w:pPr>
            <w:r w:rsidRPr="0024080D">
              <w:rPr>
                <w:rFonts w:cs="Times New Roman"/>
                <w:szCs w:val="28"/>
              </w:rPr>
              <w:t xml:space="preserve">лікування під безпосереднім наглядом за допомогою </w:t>
            </w:r>
            <w:proofErr w:type="spellStart"/>
            <w:r w:rsidRPr="0024080D">
              <w:rPr>
                <w:rFonts w:cs="Times New Roman"/>
                <w:szCs w:val="28"/>
              </w:rPr>
              <w:t>відеозв’язку</w:t>
            </w:r>
            <w:proofErr w:type="spellEnd"/>
            <w:r w:rsidRPr="0024080D">
              <w:rPr>
                <w:rFonts w:cs="Times New Roman"/>
                <w:szCs w:val="28"/>
              </w:rPr>
              <w:t xml:space="preserve"> (</w:t>
            </w:r>
            <w:proofErr w:type="spellStart"/>
            <w:r w:rsidRPr="0024080D">
              <w:rPr>
                <w:rFonts w:cs="Times New Roman"/>
                <w:szCs w:val="28"/>
              </w:rPr>
              <w:t>video-observed</w:t>
            </w:r>
            <w:proofErr w:type="spellEnd"/>
            <w:r w:rsidRPr="0024080D">
              <w:rPr>
                <w:rFonts w:cs="Times New Roman"/>
                <w:szCs w:val="28"/>
              </w:rPr>
              <w:t xml:space="preserve"> </w:t>
            </w:r>
            <w:proofErr w:type="spellStart"/>
            <w:r w:rsidRPr="0024080D">
              <w:rPr>
                <w:rFonts w:cs="Times New Roman"/>
                <w:szCs w:val="28"/>
              </w:rPr>
              <w:t>treatment</w:t>
            </w:r>
            <w:proofErr w:type="spellEnd"/>
            <w:r w:rsidRPr="0024080D">
              <w:rPr>
                <w:rFonts w:cs="Times New Roman"/>
                <w:szCs w:val="28"/>
              </w:rPr>
              <w:t>)</w:t>
            </w:r>
          </w:p>
        </w:tc>
      </w:tr>
      <w:tr w:rsidR="00C752BA" w:rsidRPr="0024080D" w14:paraId="3182D793" w14:textId="77777777" w:rsidTr="0046311D">
        <w:trPr>
          <w:trHeight w:val="20"/>
        </w:trPr>
        <w:tc>
          <w:tcPr>
            <w:tcW w:w="2794" w:type="dxa"/>
            <w:shd w:val="clear" w:color="auto" w:fill="auto"/>
            <w:tcMar>
              <w:top w:w="0" w:type="dxa"/>
              <w:left w:w="100" w:type="dxa"/>
              <w:bottom w:w="0" w:type="dxa"/>
              <w:right w:w="100" w:type="dxa"/>
            </w:tcMar>
          </w:tcPr>
          <w:p w14:paraId="0AA5F74C"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АМБП</w:t>
            </w:r>
          </w:p>
        </w:tc>
        <w:tc>
          <w:tcPr>
            <w:tcW w:w="6804" w:type="dxa"/>
            <w:shd w:val="clear" w:color="auto" w:fill="auto"/>
            <w:tcMar>
              <w:top w:w="0" w:type="dxa"/>
              <w:left w:w="100" w:type="dxa"/>
              <w:bottom w:w="0" w:type="dxa"/>
              <w:right w:w="100" w:type="dxa"/>
            </w:tcMar>
          </w:tcPr>
          <w:p w14:paraId="1C0CC8DF"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proofErr w:type="spellStart"/>
            <w:r w:rsidRPr="0024080D">
              <w:rPr>
                <w:rFonts w:cs="Times New Roman"/>
                <w:szCs w:val="28"/>
              </w:rPr>
              <w:t>антимікобактеріальні</w:t>
            </w:r>
            <w:proofErr w:type="spellEnd"/>
            <w:r w:rsidRPr="0024080D">
              <w:rPr>
                <w:rFonts w:cs="Times New Roman"/>
                <w:szCs w:val="28"/>
              </w:rPr>
              <w:t xml:space="preserve"> препарати</w:t>
            </w:r>
          </w:p>
        </w:tc>
      </w:tr>
      <w:tr w:rsidR="00C752BA" w:rsidRPr="0024080D" w14:paraId="5DCB3245" w14:textId="77777777" w:rsidTr="0046311D">
        <w:trPr>
          <w:trHeight w:val="20"/>
        </w:trPr>
        <w:tc>
          <w:tcPr>
            <w:tcW w:w="2794" w:type="dxa"/>
            <w:shd w:val="clear" w:color="auto" w:fill="auto"/>
            <w:tcMar>
              <w:top w:w="0" w:type="dxa"/>
              <w:left w:w="100" w:type="dxa"/>
              <w:bottom w:w="0" w:type="dxa"/>
              <w:right w:w="100" w:type="dxa"/>
            </w:tcMar>
          </w:tcPr>
          <w:p w14:paraId="0394DD9A"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АРТ </w:t>
            </w:r>
          </w:p>
        </w:tc>
        <w:tc>
          <w:tcPr>
            <w:tcW w:w="6804" w:type="dxa"/>
            <w:shd w:val="clear" w:color="auto" w:fill="auto"/>
            <w:tcMar>
              <w:top w:w="0" w:type="dxa"/>
              <w:left w:w="100" w:type="dxa"/>
              <w:bottom w:w="0" w:type="dxa"/>
              <w:right w:w="100" w:type="dxa"/>
            </w:tcMar>
          </w:tcPr>
          <w:p w14:paraId="0105FD18"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proofErr w:type="spellStart"/>
            <w:r w:rsidRPr="0024080D">
              <w:rPr>
                <w:rFonts w:cs="Times New Roman"/>
                <w:szCs w:val="28"/>
              </w:rPr>
              <w:t>антиретровірусна</w:t>
            </w:r>
            <w:proofErr w:type="spellEnd"/>
            <w:r w:rsidRPr="0024080D">
              <w:rPr>
                <w:rFonts w:cs="Times New Roman"/>
                <w:szCs w:val="28"/>
              </w:rPr>
              <w:t xml:space="preserve"> терапія</w:t>
            </w:r>
          </w:p>
        </w:tc>
      </w:tr>
      <w:tr w:rsidR="00C752BA" w:rsidRPr="0024080D" w14:paraId="1E01E9E2" w14:textId="77777777" w:rsidTr="0046311D">
        <w:trPr>
          <w:trHeight w:val="20"/>
        </w:trPr>
        <w:tc>
          <w:tcPr>
            <w:tcW w:w="2794" w:type="dxa"/>
            <w:shd w:val="clear" w:color="auto" w:fill="auto"/>
            <w:tcMar>
              <w:top w:w="0" w:type="dxa"/>
              <w:left w:w="100" w:type="dxa"/>
              <w:bottom w:w="0" w:type="dxa"/>
              <w:right w:w="100" w:type="dxa"/>
            </w:tcMar>
          </w:tcPr>
          <w:p w14:paraId="575475E1"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ВІЛ </w:t>
            </w:r>
          </w:p>
        </w:tc>
        <w:tc>
          <w:tcPr>
            <w:tcW w:w="6804" w:type="dxa"/>
            <w:shd w:val="clear" w:color="auto" w:fill="auto"/>
            <w:tcMar>
              <w:top w:w="0" w:type="dxa"/>
              <w:left w:w="100" w:type="dxa"/>
              <w:bottom w:w="0" w:type="dxa"/>
              <w:right w:w="100" w:type="dxa"/>
            </w:tcMar>
          </w:tcPr>
          <w:p w14:paraId="5E3B24DC"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вірус імунодефіциту людини</w:t>
            </w:r>
          </w:p>
        </w:tc>
      </w:tr>
      <w:tr w:rsidR="00C752BA" w:rsidRPr="0024080D" w14:paraId="20D54B90" w14:textId="77777777" w:rsidTr="0046311D">
        <w:trPr>
          <w:trHeight w:val="20"/>
        </w:trPr>
        <w:tc>
          <w:tcPr>
            <w:tcW w:w="2794" w:type="dxa"/>
            <w:shd w:val="clear" w:color="auto" w:fill="auto"/>
            <w:tcMar>
              <w:top w:w="0" w:type="dxa"/>
              <w:left w:w="100" w:type="dxa"/>
              <w:bottom w:w="0" w:type="dxa"/>
              <w:right w:w="100" w:type="dxa"/>
            </w:tcMar>
          </w:tcPr>
          <w:p w14:paraId="4A765466"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ВООЗ </w:t>
            </w:r>
          </w:p>
        </w:tc>
        <w:tc>
          <w:tcPr>
            <w:tcW w:w="6804" w:type="dxa"/>
            <w:shd w:val="clear" w:color="auto" w:fill="auto"/>
            <w:tcMar>
              <w:top w:w="0" w:type="dxa"/>
              <w:left w:w="100" w:type="dxa"/>
              <w:bottom w:w="0" w:type="dxa"/>
              <w:right w:w="100" w:type="dxa"/>
            </w:tcMar>
          </w:tcPr>
          <w:p w14:paraId="3890A9F7"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Всесвітня організація охорони здоров’я</w:t>
            </w:r>
          </w:p>
        </w:tc>
      </w:tr>
      <w:tr w:rsidR="00C752BA" w:rsidRPr="0024080D" w14:paraId="587530C8" w14:textId="77777777" w:rsidTr="0046311D">
        <w:trPr>
          <w:trHeight w:val="20"/>
        </w:trPr>
        <w:tc>
          <w:tcPr>
            <w:tcW w:w="2794" w:type="dxa"/>
            <w:shd w:val="clear" w:color="auto" w:fill="auto"/>
            <w:tcMar>
              <w:top w:w="0" w:type="dxa"/>
              <w:left w:w="100" w:type="dxa"/>
              <w:bottom w:w="0" w:type="dxa"/>
              <w:right w:w="100" w:type="dxa"/>
            </w:tcMar>
          </w:tcPr>
          <w:p w14:paraId="31C09D31"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ВПС</w:t>
            </w:r>
          </w:p>
        </w:tc>
        <w:tc>
          <w:tcPr>
            <w:tcW w:w="6804" w:type="dxa"/>
            <w:shd w:val="clear" w:color="auto" w:fill="auto"/>
            <w:tcMar>
              <w:top w:w="0" w:type="dxa"/>
              <w:left w:w="100" w:type="dxa"/>
              <w:bottom w:w="0" w:type="dxa"/>
              <w:right w:w="100" w:type="dxa"/>
            </w:tcMar>
          </w:tcPr>
          <w:p w14:paraId="455B3E63"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втрачені для подальшого спостереження</w:t>
            </w:r>
          </w:p>
        </w:tc>
      </w:tr>
      <w:tr w:rsidR="00C752BA" w:rsidRPr="0024080D" w14:paraId="46513B0A" w14:textId="77777777" w:rsidTr="0046311D">
        <w:trPr>
          <w:trHeight w:val="20"/>
        </w:trPr>
        <w:tc>
          <w:tcPr>
            <w:tcW w:w="2794" w:type="dxa"/>
            <w:shd w:val="clear" w:color="auto" w:fill="auto"/>
            <w:tcMar>
              <w:top w:w="0" w:type="dxa"/>
              <w:left w:w="100" w:type="dxa"/>
              <w:bottom w:w="0" w:type="dxa"/>
              <w:right w:w="100" w:type="dxa"/>
            </w:tcMar>
          </w:tcPr>
          <w:p w14:paraId="22DD5A2D"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ГВК</w:t>
            </w:r>
          </w:p>
        </w:tc>
        <w:tc>
          <w:tcPr>
            <w:tcW w:w="6804" w:type="dxa"/>
            <w:shd w:val="clear" w:color="auto" w:fill="auto"/>
            <w:tcMar>
              <w:top w:w="0" w:type="dxa"/>
              <w:left w:w="100" w:type="dxa"/>
              <w:bottom w:w="0" w:type="dxa"/>
              <w:right w:w="100" w:type="dxa"/>
            </w:tcMar>
          </w:tcPr>
          <w:p w14:paraId="20D92AF2"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група </w:t>
            </w:r>
            <w:proofErr w:type="spellStart"/>
            <w:r w:rsidRPr="0024080D">
              <w:rPr>
                <w:rFonts w:cs="Times New Roman"/>
                <w:szCs w:val="28"/>
              </w:rPr>
              <w:t>високопріоритетних</w:t>
            </w:r>
            <w:proofErr w:type="spellEnd"/>
            <w:r w:rsidRPr="0024080D">
              <w:rPr>
                <w:rFonts w:cs="Times New Roman"/>
                <w:szCs w:val="28"/>
              </w:rPr>
              <w:t xml:space="preserve"> країн</w:t>
            </w:r>
          </w:p>
        </w:tc>
      </w:tr>
      <w:tr w:rsidR="00C752BA" w:rsidRPr="0024080D" w14:paraId="70945F03" w14:textId="77777777" w:rsidTr="0046311D">
        <w:trPr>
          <w:trHeight w:val="20"/>
        </w:trPr>
        <w:tc>
          <w:tcPr>
            <w:tcW w:w="2794" w:type="dxa"/>
            <w:shd w:val="clear" w:color="auto" w:fill="auto"/>
            <w:tcMar>
              <w:top w:w="0" w:type="dxa"/>
              <w:left w:w="100" w:type="dxa"/>
              <w:bottom w:w="0" w:type="dxa"/>
              <w:right w:w="100" w:type="dxa"/>
            </w:tcMar>
          </w:tcPr>
          <w:p w14:paraId="3552C028"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Глобальний фонд </w:t>
            </w:r>
          </w:p>
        </w:tc>
        <w:tc>
          <w:tcPr>
            <w:tcW w:w="6804" w:type="dxa"/>
            <w:shd w:val="clear" w:color="auto" w:fill="auto"/>
            <w:tcMar>
              <w:top w:w="0" w:type="dxa"/>
              <w:left w:w="100" w:type="dxa"/>
              <w:bottom w:w="0" w:type="dxa"/>
              <w:right w:w="100" w:type="dxa"/>
            </w:tcMar>
          </w:tcPr>
          <w:p w14:paraId="42A289FC"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Глобальний фонд для боротьби зі СНІДом, туберкульозом та малярією</w:t>
            </w:r>
          </w:p>
        </w:tc>
      </w:tr>
      <w:tr w:rsidR="00C752BA" w:rsidRPr="0024080D" w14:paraId="1D224648" w14:textId="77777777" w:rsidTr="0046311D">
        <w:trPr>
          <w:trHeight w:val="20"/>
        </w:trPr>
        <w:tc>
          <w:tcPr>
            <w:tcW w:w="2794" w:type="dxa"/>
            <w:shd w:val="clear" w:color="auto" w:fill="auto"/>
            <w:tcMar>
              <w:top w:w="0" w:type="dxa"/>
              <w:left w:w="100" w:type="dxa"/>
              <w:bottom w:w="0" w:type="dxa"/>
              <w:right w:w="100" w:type="dxa"/>
            </w:tcMar>
          </w:tcPr>
          <w:p w14:paraId="070DE776"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ДКВС України </w:t>
            </w:r>
          </w:p>
        </w:tc>
        <w:tc>
          <w:tcPr>
            <w:tcW w:w="6804" w:type="dxa"/>
            <w:shd w:val="clear" w:color="auto" w:fill="auto"/>
            <w:tcMar>
              <w:top w:w="0" w:type="dxa"/>
              <w:left w:w="100" w:type="dxa"/>
              <w:bottom w:w="0" w:type="dxa"/>
              <w:right w:w="100" w:type="dxa"/>
            </w:tcMar>
          </w:tcPr>
          <w:p w14:paraId="3B75469A"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заклади охорони здоров’я Державної кримінально-виконавчої служби України</w:t>
            </w:r>
          </w:p>
        </w:tc>
      </w:tr>
      <w:tr w:rsidR="00C752BA" w:rsidRPr="0024080D" w14:paraId="1FAB2456" w14:textId="77777777" w:rsidTr="0046311D">
        <w:trPr>
          <w:trHeight w:val="20"/>
        </w:trPr>
        <w:tc>
          <w:tcPr>
            <w:tcW w:w="2794" w:type="dxa"/>
            <w:shd w:val="clear" w:color="auto" w:fill="auto"/>
            <w:tcMar>
              <w:top w:w="0" w:type="dxa"/>
              <w:left w:w="100" w:type="dxa"/>
              <w:bottom w:w="0" w:type="dxa"/>
              <w:right w:w="100" w:type="dxa"/>
            </w:tcMar>
          </w:tcPr>
          <w:p w14:paraId="46EF04CF"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ЗКЯ </w:t>
            </w:r>
          </w:p>
        </w:tc>
        <w:tc>
          <w:tcPr>
            <w:tcW w:w="6804" w:type="dxa"/>
            <w:shd w:val="clear" w:color="auto" w:fill="auto"/>
            <w:tcMar>
              <w:top w:w="0" w:type="dxa"/>
              <w:left w:w="100" w:type="dxa"/>
              <w:bottom w:w="0" w:type="dxa"/>
              <w:right w:w="100" w:type="dxa"/>
            </w:tcMar>
          </w:tcPr>
          <w:p w14:paraId="5A984C12"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зовнішній контроль якості </w:t>
            </w:r>
          </w:p>
        </w:tc>
      </w:tr>
      <w:tr w:rsidR="00C752BA" w:rsidRPr="0024080D" w14:paraId="4DEAE28B" w14:textId="77777777" w:rsidTr="0046311D">
        <w:trPr>
          <w:trHeight w:val="20"/>
        </w:trPr>
        <w:tc>
          <w:tcPr>
            <w:tcW w:w="2794" w:type="dxa"/>
            <w:shd w:val="clear" w:color="auto" w:fill="auto"/>
            <w:tcMar>
              <w:top w:w="0" w:type="dxa"/>
              <w:left w:w="100" w:type="dxa"/>
              <w:bottom w:w="0" w:type="dxa"/>
              <w:right w:w="100" w:type="dxa"/>
            </w:tcMar>
          </w:tcPr>
          <w:p w14:paraId="039DA9E6"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ЗОЗ </w:t>
            </w:r>
          </w:p>
        </w:tc>
        <w:tc>
          <w:tcPr>
            <w:tcW w:w="6804" w:type="dxa"/>
            <w:shd w:val="clear" w:color="auto" w:fill="auto"/>
            <w:tcMar>
              <w:top w:w="0" w:type="dxa"/>
              <w:left w:w="100" w:type="dxa"/>
              <w:bottom w:w="0" w:type="dxa"/>
              <w:right w:w="100" w:type="dxa"/>
            </w:tcMar>
          </w:tcPr>
          <w:p w14:paraId="528B87F0"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заклад охорони здоров’я </w:t>
            </w:r>
          </w:p>
        </w:tc>
      </w:tr>
      <w:tr w:rsidR="00C752BA" w:rsidRPr="0024080D" w14:paraId="245D4161" w14:textId="77777777" w:rsidTr="0046311D">
        <w:trPr>
          <w:trHeight w:val="20"/>
        </w:trPr>
        <w:tc>
          <w:tcPr>
            <w:tcW w:w="2794" w:type="dxa"/>
            <w:shd w:val="clear" w:color="auto" w:fill="auto"/>
            <w:tcMar>
              <w:top w:w="0" w:type="dxa"/>
              <w:left w:w="100" w:type="dxa"/>
              <w:bottom w:w="0" w:type="dxa"/>
              <w:right w:w="100" w:type="dxa"/>
            </w:tcMar>
          </w:tcPr>
          <w:p w14:paraId="4701DEF7"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ІК </w:t>
            </w:r>
          </w:p>
        </w:tc>
        <w:tc>
          <w:tcPr>
            <w:tcW w:w="6804" w:type="dxa"/>
            <w:shd w:val="clear" w:color="auto" w:fill="auto"/>
            <w:tcMar>
              <w:top w:w="0" w:type="dxa"/>
              <w:left w:w="100" w:type="dxa"/>
              <w:bottom w:w="0" w:type="dxa"/>
              <w:right w:w="100" w:type="dxa"/>
            </w:tcMar>
          </w:tcPr>
          <w:p w14:paraId="2DD375DC"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інфекційний контроль</w:t>
            </w:r>
          </w:p>
        </w:tc>
      </w:tr>
      <w:tr w:rsidR="00C752BA" w:rsidRPr="0024080D" w14:paraId="5238825E" w14:textId="77777777" w:rsidTr="0046311D">
        <w:trPr>
          <w:trHeight w:val="20"/>
        </w:trPr>
        <w:tc>
          <w:tcPr>
            <w:tcW w:w="2794" w:type="dxa"/>
            <w:shd w:val="clear" w:color="auto" w:fill="auto"/>
            <w:tcMar>
              <w:top w:w="0" w:type="dxa"/>
              <w:left w:w="100" w:type="dxa"/>
              <w:bottom w:w="0" w:type="dxa"/>
              <w:right w:w="100" w:type="dxa"/>
            </w:tcMar>
          </w:tcPr>
          <w:p w14:paraId="28A1F284"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ЛЖВ</w:t>
            </w:r>
          </w:p>
        </w:tc>
        <w:tc>
          <w:tcPr>
            <w:tcW w:w="6804" w:type="dxa"/>
            <w:shd w:val="clear" w:color="auto" w:fill="auto"/>
            <w:tcMar>
              <w:top w:w="0" w:type="dxa"/>
              <w:left w:w="100" w:type="dxa"/>
              <w:bottom w:w="0" w:type="dxa"/>
              <w:right w:w="100" w:type="dxa"/>
            </w:tcMar>
          </w:tcPr>
          <w:p w14:paraId="67E18858"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люди, що живуть з ВІЛ</w:t>
            </w:r>
          </w:p>
        </w:tc>
      </w:tr>
      <w:tr w:rsidR="00C752BA" w:rsidRPr="0024080D" w14:paraId="64AF6974" w14:textId="77777777" w:rsidTr="0046311D">
        <w:trPr>
          <w:trHeight w:val="20"/>
        </w:trPr>
        <w:tc>
          <w:tcPr>
            <w:tcW w:w="2794" w:type="dxa"/>
            <w:shd w:val="clear" w:color="auto" w:fill="auto"/>
            <w:tcMar>
              <w:top w:w="0" w:type="dxa"/>
              <w:left w:w="100" w:type="dxa"/>
              <w:bottom w:w="0" w:type="dxa"/>
              <w:right w:w="100" w:type="dxa"/>
            </w:tcMar>
          </w:tcPr>
          <w:p w14:paraId="5CEE274A"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ЛС-ТБ</w:t>
            </w:r>
          </w:p>
        </w:tc>
        <w:tc>
          <w:tcPr>
            <w:tcW w:w="6804" w:type="dxa"/>
            <w:shd w:val="clear" w:color="auto" w:fill="auto"/>
            <w:tcMar>
              <w:top w:w="0" w:type="dxa"/>
              <w:left w:w="100" w:type="dxa"/>
              <w:bottom w:w="0" w:type="dxa"/>
              <w:right w:w="100" w:type="dxa"/>
            </w:tcMar>
          </w:tcPr>
          <w:p w14:paraId="3766253D"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лікарсько-стійкий туберкульоз (раніше використовували термін «</w:t>
            </w:r>
            <w:proofErr w:type="spellStart"/>
            <w:r w:rsidRPr="0024080D">
              <w:rPr>
                <w:rFonts w:cs="Times New Roman"/>
                <w:szCs w:val="28"/>
              </w:rPr>
              <w:t>хіміорезистентний</w:t>
            </w:r>
            <w:proofErr w:type="spellEnd"/>
            <w:r w:rsidRPr="0024080D">
              <w:rPr>
                <w:rFonts w:cs="Times New Roman"/>
                <w:szCs w:val="28"/>
              </w:rPr>
              <w:t xml:space="preserve"> туберкульоз»)</w:t>
            </w:r>
          </w:p>
        </w:tc>
      </w:tr>
      <w:tr w:rsidR="00C752BA" w:rsidRPr="0024080D" w14:paraId="65433798" w14:textId="77777777" w:rsidTr="0046311D">
        <w:trPr>
          <w:trHeight w:val="20"/>
        </w:trPr>
        <w:tc>
          <w:tcPr>
            <w:tcW w:w="2794" w:type="dxa"/>
            <w:shd w:val="clear" w:color="auto" w:fill="auto"/>
            <w:tcMar>
              <w:top w:w="0" w:type="dxa"/>
              <w:left w:w="100" w:type="dxa"/>
              <w:bottom w:w="0" w:type="dxa"/>
              <w:right w:w="100" w:type="dxa"/>
            </w:tcMar>
          </w:tcPr>
          <w:p w14:paraId="386D6E3E" w14:textId="77777777" w:rsidR="00C752BA" w:rsidRPr="0024080D" w:rsidRDefault="00C752BA" w:rsidP="003436C2">
            <w:pPr>
              <w:pBdr>
                <w:top w:val="nil"/>
                <w:left w:val="nil"/>
                <w:bottom w:val="nil"/>
                <w:right w:val="nil"/>
                <w:between w:val="nil"/>
              </w:pBdr>
              <w:spacing w:after="120"/>
              <w:ind w:firstLine="0"/>
              <w:jc w:val="left"/>
              <w:rPr>
                <w:rFonts w:cs="Times New Roman"/>
                <w:b/>
                <w:szCs w:val="28"/>
              </w:rPr>
            </w:pPr>
            <w:r w:rsidRPr="0024080D">
              <w:rPr>
                <w:rFonts w:cs="Times New Roman"/>
                <w:b/>
                <w:szCs w:val="28"/>
              </w:rPr>
              <w:t>ЛТБІ</w:t>
            </w:r>
          </w:p>
        </w:tc>
        <w:tc>
          <w:tcPr>
            <w:tcW w:w="6804" w:type="dxa"/>
            <w:shd w:val="clear" w:color="auto" w:fill="auto"/>
            <w:tcMar>
              <w:top w:w="0" w:type="dxa"/>
              <w:left w:w="100" w:type="dxa"/>
              <w:bottom w:w="0" w:type="dxa"/>
              <w:right w:w="100" w:type="dxa"/>
            </w:tcMar>
          </w:tcPr>
          <w:p w14:paraId="592B17F7" w14:textId="77777777" w:rsidR="00C752BA" w:rsidRPr="0024080D" w:rsidRDefault="00C752BA" w:rsidP="00E2045F">
            <w:pPr>
              <w:pBdr>
                <w:top w:val="nil"/>
                <w:left w:val="nil"/>
                <w:bottom w:val="nil"/>
                <w:right w:val="nil"/>
                <w:between w:val="nil"/>
              </w:pBdr>
              <w:ind w:firstLine="0"/>
              <w:jc w:val="left"/>
              <w:rPr>
                <w:rFonts w:cs="Times New Roman"/>
                <w:i/>
                <w:szCs w:val="28"/>
              </w:rPr>
            </w:pPr>
            <w:r w:rsidRPr="0024080D">
              <w:rPr>
                <w:rFonts w:cs="Times New Roman"/>
                <w:szCs w:val="28"/>
              </w:rPr>
              <w:t>латентна туберкульозна інфекція</w:t>
            </w:r>
          </w:p>
        </w:tc>
      </w:tr>
      <w:tr w:rsidR="00C752BA" w:rsidRPr="0024080D" w14:paraId="222553D1" w14:textId="77777777" w:rsidTr="0046311D">
        <w:trPr>
          <w:trHeight w:val="20"/>
        </w:trPr>
        <w:tc>
          <w:tcPr>
            <w:tcW w:w="2794" w:type="dxa"/>
            <w:shd w:val="clear" w:color="auto" w:fill="auto"/>
            <w:tcMar>
              <w:top w:w="0" w:type="dxa"/>
              <w:left w:w="100" w:type="dxa"/>
              <w:bottom w:w="0" w:type="dxa"/>
              <w:right w:w="100" w:type="dxa"/>
            </w:tcMar>
          </w:tcPr>
          <w:p w14:paraId="5EB8AC64"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МГМ </w:t>
            </w:r>
          </w:p>
        </w:tc>
        <w:tc>
          <w:tcPr>
            <w:tcW w:w="6804" w:type="dxa"/>
            <w:shd w:val="clear" w:color="auto" w:fill="auto"/>
            <w:tcMar>
              <w:top w:w="0" w:type="dxa"/>
              <w:left w:w="100" w:type="dxa"/>
              <w:bottom w:w="0" w:type="dxa"/>
              <w:right w:w="100" w:type="dxa"/>
            </w:tcMar>
          </w:tcPr>
          <w:p w14:paraId="6DBA60ED"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молекулярно-генетичний метод</w:t>
            </w:r>
          </w:p>
        </w:tc>
      </w:tr>
      <w:tr w:rsidR="00C752BA" w:rsidRPr="0024080D" w14:paraId="176CD664" w14:textId="77777777" w:rsidTr="0046311D">
        <w:trPr>
          <w:trHeight w:val="20"/>
        </w:trPr>
        <w:tc>
          <w:tcPr>
            <w:tcW w:w="2794" w:type="dxa"/>
            <w:shd w:val="clear" w:color="auto" w:fill="auto"/>
            <w:tcMar>
              <w:top w:w="0" w:type="dxa"/>
              <w:left w:w="100" w:type="dxa"/>
              <w:bottom w:w="0" w:type="dxa"/>
              <w:right w:w="100" w:type="dxa"/>
            </w:tcMar>
          </w:tcPr>
          <w:p w14:paraId="0D0D4C2D"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proofErr w:type="spellStart"/>
            <w:r w:rsidRPr="0024080D">
              <w:rPr>
                <w:rFonts w:cs="Times New Roman"/>
                <w:b/>
                <w:szCs w:val="28"/>
              </w:rPr>
              <w:t>МіО</w:t>
            </w:r>
            <w:proofErr w:type="spellEnd"/>
          </w:p>
        </w:tc>
        <w:tc>
          <w:tcPr>
            <w:tcW w:w="6804" w:type="dxa"/>
            <w:shd w:val="clear" w:color="auto" w:fill="auto"/>
            <w:tcMar>
              <w:top w:w="0" w:type="dxa"/>
              <w:left w:w="100" w:type="dxa"/>
              <w:bottom w:w="0" w:type="dxa"/>
              <w:right w:w="100" w:type="dxa"/>
            </w:tcMar>
          </w:tcPr>
          <w:p w14:paraId="52300641"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моніторинг </w:t>
            </w:r>
            <w:r w:rsidRPr="0024080D">
              <w:rPr>
                <w:szCs w:val="28"/>
              </w:rPr>
              <w:t>і</w:t>
            </w:r>
            <w:r w:rsidRPr="0024080D">
              <w:rPr>
                <w:rFonts w:cs="Times New Roman"/>
                <w:szCs w:val="28"/>
              </w:rPr>
              <w:t xml:space="preserve"> оцінювання</w:t>
            </w:r>
          </w:p>
        </w:tc>
      </w:tr>
      <w:tr w:rsidR="00C752BA" w:rsidRPr="0024080D" w14:paraId="5D8A84B1" w14:textId="77777777" w:rsidTr="0046311D">
        <w:trPr>
          <w:trHeight w:val="20"/>
        </w:trPr>
        <w:tc>
          <w:tcPr>
            <w:tcW w:w="2794" w:type="dxa"/>
            <w:shd w:val="clear" w:color="auto" w:fill="auto"/>
            <w:tcMar>
              <w:top w:w="0" w:type="dxa"/>
              <w:left w:w="100" w:type="dxa"/>
              <w:bottom w:w="0" w:type="dxa"/>
              <w:right w:w="100" w:type="dxa"/>
            </w:tcMar>
          </w:tcPr>
          <w:p w14:paraId="45696796"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МЛС-ТБ </w:t>
            </w:r>
          </w:p>
        </w:tc>
        <w:tc>
          <w:tcPr>
            <w:tcW w:w="6804" w:type="dxa"/>
            <w:shd w:val="clear" w:color="auto" w:fill="auto"/>
            <w:tcMar>
              <w:top w:w="0" w:type="dxa"/>
              <w:left w:w="100" w:type="dxa"/>
              <w:bottom w:w="0" w:type="dxa"/>
              <w:right w:w="100" w:type="dxa"/>
            </w:tcMar>
          </w:tcPr>
          <w:p w14:paraId="77B7B43D"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туберкульоз із множинною лікарською стійкістю (раніше використовували термін «</w:t>
            </w:r>
            <w:proofErr w:type="spellStart"/>
            <w:r w:rsidRPr="0024080D">
              <w:rPr>
                <w:rFonts w:cs="Times New Roman"/>
                <w:szCs w:val="28"/>
              </w:rPr>
              <w:t>мультирезистентний</w:t>
            </w:r>
            <w:proofErr w:type="spellEnd"/>
            <w:r w:rsidRPr="0024080D">
              <w:rPr>
                <w:rFonts w:cs="Times New Roman"/>
                <w:szCs w:val="28"/>
              </w:rPr>
              <w:t xml:space="preserve"> туберкульоз»)</w:t>
            </w:r>
          </w:p>
        </w:tc>
      </w:tr>
      <w:tr w:rsidR="00C752BA" w:rsidRPr="0024080D" w14:paraId="0376337C" w14:textId="77777777" w:rsidTr="0046311D">
        <w:trPr>
          <w:trHeight w:val="20"/>
        </w:trPr>
        <w:tc>
          <w:tcPr>
            <w:tcW w:w="2794" w:type="dxa"/>
            <w:shd w:val="clear" w:color="auto" w:fill="auto"/>
            <w:tcMar>
              <w:top w:w="0" w:type="dxa"/>
              <w:left w:w="100" w:type="dxa"/>
              <w:bottom w:w="0" w:type="dxa"/>
              <w:right w:w="100" w:type="dxa"/>
            </w:tcMar>
          </w:tcPr>
          <w:p w14:paraId="26114FCC"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МОЗ України </w:t>
            </w:r>
          </w:p>
        </w:tc>
        <w:tc>
          <w:tcPr>
            <w:tcW w:w="6804" w:type="dxa"/>
            <w:shd w:val="clear" w:color="auto" w:fill="auto"/>
            <w:tcMar>
              <w:top w:w="0" w:type="dxa"/>
              <w:left w:w="100" w:type="dxa"/>
              <w:bottom w:w="0" w:type="dxa"/>
              <w:right w:w="100" w:type="dxa"/>
            </w:tcMar>
          </w:tcPr>
          <w:p w14:paraId="012F0241"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Міністерство охорони здоров’я України</w:t>
            </w:r>
          </w:p>
        </w:tc>
      </w:tr>
      <w:tr w:rsidR="00C752BA" w:rsidRPr="0024080D" w14:paraId="44375DF2" w14:textId="77777777" w:rsidTr="0046311D">
        <w:trPr>
          <w:trHeight w:val="20"/>
        </w:trPr>
        <w:tc>
          <w:tcPr>
            <w:tcW w:w="2794" w:type="dxa"/>
            <w:shd w:val="clear" w:color="auto" w:fill="auto"/>
            <w:tcMar>
              <w:top w:w="0" w:type="dxa"/>
              <w:left w:w="100" w:type="dxa"/>
              <w:bottom w:w="0" w:type="dxa"/>
              <w:right w:w="100" w:type="dxa"/>
            </w:tcMar>
          </w:tcPr>
          <w:p w14:paraId="68A1D48B"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НУО </w:t>
            </w:r>
          </w:p>
        </w:tc>
        <w:tc>
          <w:tcPr>
            <w:tcW w:w="6804" w:type="dxa"/>
            <w:shd w:val="clear" w:color="auto" w:fill="auto"/>
            <w:tcMar>
              <w:top w:w="0" w:type="dxa"/>
              <w:left w:w="100" w:type="dxa"/>
              <w:bottom w:w="0" w:type="dxa"/>
              <w:right w:w="100" w:type="dxa"/>
            </w:tcMar>
          </w:tcPr>
          <w:p w14:paraId="2363BC31"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неурядові організації</w:t>
            </w:r>
          </w:p>
        </w:tc>
      </w:tr>
      <w:tr w:rsidR="00C752BA" w:rsidRPr="0024080D" w14:paraId="507E4A08" w14:textId="77777777" w:rsidTr="0046311D">
        <w:trPr>
          <w:trHeight w:val="20"/>
        </w:trPr>
        <w:tc>
          <w:tcPr>
            <w:tcW w:w="2794" w:type="dxa"/>
            <w:shd w:val="clear" w:color="auto" w:fill="auto"/>
            <w:tcMar>
              <w:top w:w="0" w:type="dxa"/>
              <w:left w:w="100" w:type="dxa"/>
              <w:bottom w:w="0" w:type="dxa"/>
              <w:right w:w="100" w:type="dxa"/>
            </w:tcMar>
          </w:tcPr>
          <w:p w14:paraId="1B1BE4F5"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ПЛ ТБІ</w:t>
            </w:r>
          </w:p>
        </w:tc>
        <w:tc>
          <w:tcPr>
            <w:tcW w:w="6804" w:type="dxa"/>
            <w:shd w:val="clear" w:color="auto" w:fill="auto"/>
            <w:tcMar>
              <w:top w:w="0" w:type="dxa"/>
              <w:left w:w="100" w:type="dxa"/>
              <w:bottom w:w="0" w:type="dxa"/>
              <w:right w:w="100" w:type="dxa"/>
            </w:tcMar>
          </w:tcPr>
          <w:p w14:paraId="182B4EE4"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профілактичне лікування туберкульозної інфекції</w:t>
            </w:r>
          </w:p>
        </w:tc>
      </w:tr>
      <w:tr w:rsidR="00C752BA" w:rsidRPr="0024080D" w14:paraId="023E0BEE" w14:textId="77777777" w:rsidTr="0046311D">
        <w:trPr>
          <w:trHeight w:val="20"/>
        </w:trPr>
        <w:tc>
          <w:tcPr>
            <w:tcW w:w="2794" w:type="dxa"/>
            <w:shd w:val="clear" w:color="auto" w:fill="auto"/>
            <w:tcMar>
              <w:top w:w="0" w:type="dxa"/>
              <w:left w:w="100" w:type="dxa"/>
              <w:bottom w:w="0" w:type="dxa"/>
              <w:right w:w="100" w:type="dxa"/>
            </w:tcMar>
          </w:tcPr>
          <w:p w14:paraId="17EB0082"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ПМСД </w:t>
            </w:r>
          </w:p>
        </w:tc>
        <w:tc>
          <w:tcPr>
            <w:tcW w:w="6804" w:type="dxa"/>
            <w:shd w:val="clear" w:color="auto" w:fill="auto"/>
            <w:tcMar>
              <w:top w:w="0" w:type="dxa"/>
              <w:left w:w="100" w:type="dxa"/>
              <w:bottom w:w="0" w:type="dxa"/>
              <w:right w:w="100" w:type="dxa"/>
            </w:tcMar>
          </w:tcPr>
          <w:p w14:paraId="2D7F2869"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первинна медико-санітарна допомога</w:t>
            </w:r>
          </w:p>
        </w:tc>
      </w:tr>
      <w:tr w:rsidR="00C752BA" w:rsidRPr="0024080D" w14:paraId="54AD47A8" w14:textId="77777777" w:rsidTr="0046311D">
        <w:trPr>
          <w:trHeight w:val="20"/>
        </w:trPr>
        <w:tc>
          <w:tcPr>
            <w:tcW w:w="2794" w:type="dxa"/>
            <w:shd w:val="clear" w:color="auto" w:fill="auto"/>
            <w:tcMar>
              <w:top w:w="0" w:type="dxa"/>
              <w:left w:w="100" w:type="dxa"/>
              <w:bottom w:w="0" w:type="dxa"/>
              <w:right w:w="100" w:type="dxa"/>
            </w:tcMar>
          </w:tcPr>
          <w:p w14:paraId="215C5D63"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lastRenderedPageBreak/>
              <w:t xml:space="preserve">ПТД </w:t>
            </w:r>
          </w:p>
        </w:tc>
        <w:tc>
          <w:tcPr>
            <w:tcW w:w="6804" w:type="dxa"/>
            <w:shd w:val="clear" w:color="auto" w:fill="auto"/>
            <w:tcMar>
              <w:top w:w="0" w:type="dxa"/>
              <w:left w:w="100" w:type="dxa"/>
              <w:bottom w:w="0" w:type="dxa"/>
              <w:right w:w="100" w:type="dxa"/>
            </w:tcMar>
          </w:tcPr>
          <w:p w14:paraId="6F777415"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протитуберкульозний диспансер</w:t>
            </w:r>
          </w:p>
        </w:tc>
      </w:tr>
      <w:tr w:rsidR="00C752BA" w:rsidRPr="0024080D" w14:paraId="5627FEE1" w14:textId="77777777" w:rsidTr="0046311D">
        <w:trPr>
          <w:trHeight w:val="20"/>
        </w:trPr>
        <w:tc>
          <w:tcPr>
            <w:tcW w:w="2794" w:type="dxa"/>
            <w:shd w:val="clear" w:color="auto" w:fill="auto"/>
            <w:tcMar>
              <w:top w:w="0" w:type="dxa"/>
              <w:left w:w="100" w:type="dxa"/>
              <w:bottom w:w="0" w:type="dxa"/>
              <w:right w:w="100" w:type="dxa"/>
            </w:tcMar>
          </w:tcPr>
          <w:p w14:paraId="16A2E5CE"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ПТЗ </w:t>
            </w:r>
          </w:p>
        </w:tc>
        <w:tc>
          <w:tcPr>
            <w:tcW w:w="6804" w:type="dxa"/>
            <w:shd w:val="clear" w:color="auto" w:fill="auto"/>
            <w:tcMar>
              <w:top w:w="0" w:type="dxa"/>
              <w:left w:w="100" w:type="dxa"/>
              <w:bottom w:w="0" w:type="dxa"/>
              <w:right w:w="100" w:type="dxa"/>
            </w:tcMar>
          </w:tcPr>
          <w:p w14:paraId="0256C749"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протитуберкульозні заклади</w:t>
            </w:r>
          </w:p>
        </w:tc>
      </w:tr>
      <w:tr w:rsidR="00C752BA" w:rsidRPr="0024080D" w14:paraId="667E01DD" w14:textId="77777777" w:rsidTr="0046311D">
        <w:trPr>
          <w:trHeight w:val="20"/>
        </w:trPr>
        <w:tc>
          <w:tcPr>
            <w:tcW w:w="2794" w:type="dxa"/>
            <w:shd w:val="clear" w:color="auto" w:fill="auto"/>
            <w:tcMar>
              <w:top w:w="0" w:type="dxa"/>
              <w:left w:w="100" w:type="dxa"/>
              <w:bottom w:w="0" w:type="dxa"/>
              <w:right w:w="100" w:type="dxa"/>
            </w:tcMar>
          </w:tcPr>
          <w:p w14:paraId="5769E2E5"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Риф-ТБ </w:t>
            </w:r>
          </w:p>
        </w:tc>
        <w:tc>
          <w:tcPr>
            <w:tcW w:w="6804" w:type="dxa"/>
            <w:shd w:val="clear" w:color="auto" w:fill="auto"/>
            <w:tcMar>
              <w:top w:w="0" w:type="dxa"/>
              <w:left w:w="100" w:type="dxa"/>
              <w:bottom w:w="0" w:type="dxa"/>
              <w:right w:w="100" w:type="dxa"/>
            </w:tcMar>
          </w:tcPr>
          <w:p w14:paraId="14323DEA"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proofErr w:type="spellStart"/>
            <w:r w:rsidRPr="0024080D">
              <w:rPr>
                <w:rFonts w:cs="Times New Roman"/>
                <w:szCs w:val="28"/>
              </w:rPr>
              <w:t>рифампіцин</w:t>
            </w:r>
            <w:proofErr w:type="spellEnd"/>
            <w:r w:rsidRPr="0024080D">
              <w:rPr>
                <w:rFonts w:cs="Times New Roman"/>
                <w:szCs w:val="28"/>
              </w:rPr>
              <w:t>-резистентний туберкульоз</w:t>
            </w:r>
          </w:p>
        </w:tc>
      </w:tr>
      <w:tr w:rsidR="00C752BA" w:rsidRPr="0024080D" w14:paraId="4674F62D" w14:textId="77777777" w:rsidTr="0046311D">
        <w:trPr>
          <w:trHeight w:val="20"/>
        </w:trPr>
        <w:tc>
          <w:tcPr>
            <w:tcW w:w="2794" w:type="dxa"/>
            <w:shd w:val="clear" w:color="auto" w:fill="auto"/>
            <w:tcMar>
              <w:top w:w="0" w:type="dxa"/>
              <w:left w:w="100" w:type="dxa"/>
              <w:bottom w:w="0" w:type="dxa"/>
              <w:right w:w="100" w:type="dxa"/>
            </w:tcMar>
          </w:tcPr>
          <w:p w14:paraId="0B1A5C8C"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ТБ</w:t>
            </w:r>
          </w:p>
        </w:tc>
        <w:tc>
          <w:tcPr>
            <w:tcW w:w="6804" w:type="dxa"/>
            <w:shd w:val="clear" w:color="auto" w:fill="auto"/>
            <w:tcMar>
              <w:top w:w="0" w:type="dxa"/>
              <w:left w:w="100" w:type="dxa"/>
              <w:bottom w:w="0" w:type="dxa"/>
              <w:right w:w="100" w:type="dxa"/>
            </w:tcMar>
          </w:tcPr>
          <w:p w14:paraId="0D5D117F"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туберкульоз</w:t>
            </w:r>
          </w:p>
        </w:tc>
      </w:tr>
      <w:tr w:rsidR="00C752BA" w:rsidRPr="0024080D" w14:paraId="768C235D" w14:textId="77777777" w:rsidTr="0046311D">
        <w:trPr>
          <w:trHeight w:val="20"/>
        </w:trPr>
        <w:tc>
          <w:tcPr>
            <w:tcW w:w="2794" w:type="dxa"/>
            <w:shd w:val="clear" w:color="auto" w:fill="auto"/>
            <w:tcMar>
              <w:top w:w="0" w:type="dxa"/>
              <w:left w:w="100" w:type="dxa"/>
              <w:bottom w:w="0" w:type="dxa"/>
              <w:right w:w="100" w:type="dxa"/>
            </w:tcMar>
          </w:tcPr>
          <w:p w14:paraId="1014E94D"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ТМЧ </w:t>
            </w:r>
          </w:p>
        </w:tc>
        <w:tc>
          <w:tcPr>
            <w:tcW w:w="6804" w:type="dxa"/>
            <w:shd w:val="clear" w:color="auto" w:fill="auto"/>
            <w:tcMar>
              <w:top w:w="0" w:type="dxa"/>
              <w:left w:w="100" w:type="dxa"/>
              <w:bottom w:w="0" w:type="dxa"/>
              <w:right w:w="100" w:type="dxa"/>
            </w:tcMar>
          </w:tcPr>
          <w:p w14:paraId="0D46F75B"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тест на медикаментозну чутливість</w:t>
            </w:r>
          </w:p>
        </w:tc>
      </w:tr>
      <w:tr w:rsidR="00C752BA" w:rsidRPr="0024080D" w14:paraId="057A2B9D" w14:textId="77777777" w:rsidTr="0046311D">
        <w:trPr>
          <w:trHeight w:val="20"/>
        </w:trPr>
        <w:tc>
          <w:tcPr>
            <w:tcW w:w="2794" w:type="dxa"/>
            <w:shd w:val="clear" w:color="auto" w:fill="auto"/>
            <w:tcMar>
              <w:top w:w="0" w:type="dxa"/>
              <w:left w:w="100" w:type="dxa"/>
              <w:bottom w:w="0" w:type="dxa"/>
              <w:right w:w="100" w:type="dxa"/>
            </w:tcMar>
          </w:tcPr>
          <w:p w14:paraId="7935A7A9"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Центр </w:t>
            </w:r>
          </w:p>
        </w:tc>
        <w:tc>
          <w:tcPr>
            <w:tcW w:w="6804" w:type="dxa"/>
            <w:shd w:val="clear" w:color="auto" w:fill="auto"/>
            <w:tcMar>
              <w:top w:w="0" w:type="dxa"/>
              <w:left w:w="100" w:type="dxa"/>
              <w:bottom w:w="0" w:type="dxa"/>
              <w:right w:w="100" w:type="dxa"/>
            </w:tcMar>
          </w:tcPr>
          <w:p w14:paraId="1A6DE86C"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Державна установа «Центр громадського здоров’я МОЗ України» </w:t>
            </w:r>
          </w:p>
        </w:tc>
      </w:tr>
      <w:tr w:rsidR="00C752BA" w:rsidRPr="0024080D" w14:paraId="46840397" w14:textId="77777777" w:rsidTr="0046311D">
        <w:trPr>
          <w:trHeight w:val="20"/>
        </w:trPr>
        <w:tc>
          <w:tcPr>
            <w:tcW w:w="2794" w:type="dxa"/>
            <w:shd w:val="clear" w:color="auto" w:fill="auto"/>
            <w:tcMar>
              <w:top w:w="0" w:type="dxa"/>
              <w:left w:w="100" w:type="dxa"/>
              <w:bottom w:w="0" w:type="dxa"/>
              <w:right w:w="100" w:type="dxa"/>
            </w:tcMar>
          </w:tcPr>
          <w:p w14:paraId="3AE7D83D" w14:textId="77777777" w:rsidR="00C752BA" w:rsidRPr="0024080D" w:rsidRDefault="00C752BA" w:rsidP="0046311D">
            <w:pPr>
              <w:pBdr>
                <w:top w:val="nil"/>
                <w:left w:val="nil"/>
                <w:bottom w:val="nil"/>
                <w:right w:val="nil"/>
                <w:between w:val="nil"/>
              </w:pBdr>
              <w:spacing w:after="120"/>
              <w:ind w:firstLine="0"/>
              <w:jc w:val="left"/>
              <w:rPr>
                <w:rFonts w:cs="Times New Roman"/>
                <w:b/>
                <w:szCs w:val="28"/>
              </w:rPr>
            </w:pPr>
            <w:r w:rsidRPr="0024080D">
              <w:rPr>
                <w:rFonts w:cs="Times New Roman"/>
                <w:b/>
                <w:szCs w:val="28"/>
              </w:rPr>
              <w:t xml:space="preserve">ШЛС-ТБ </w:t>
            </w:r>
          </w:p>
        </w:tc>
        <w:tc>
          <w:tcPr>
            <w:tcW w:w="6804" w:type="dxa"/>
            <w:shd w:val="clear" w:color="auto" w:fill="auto"/>
            <w:tcMar>
              <w:top w:w="0" w:type="dxa"/>
              <w:left w:w="100" w:type="dxa"/>
              <w:bottom w:w="0" w:type="dxa"/>
              <w:right w:w="100" w:type="dxa"/>
            </w:tcMar>
          </w:tcPr>
          <w:p w14:paraId="6B5F6A75" w14:textId="77777777" w:rsidR="00C752BA" w:rsidRPr="0024080D" w:rsidRDefault="00C752BA" w:rsidP="0046311D">
            <w:pPr>
              <w:pBdr>
                <w:top w:val="nil"/>
                <w:left w:val="nil"/>
                <w:bottom w:val="nil"/>
                <w:right w:val="nil"/>
                <w:between w:val="nil"/>
              </w:pBdr>
              <w:spacing w:after="120"/>
              <w:ind w:firstLine="0"/>
              <w:jc w:val="left"/>
              <w:rPr>
                <w:rFonts w:cs="Times New Roman"/>
                <w:szCs w:val="28"/>
              </w:rPr>
            </w:pPr>
            <w:r w:rsidRPr="0024080D">
              <w:rPr>
                <w:rFonts w:cs="Times New Roman"/>
                <w:szCs w:val="28"/>
              </w:rPr>
              <w:t xml:space="preserve">туберкульоз із широкою лікарською стійкістю </w:t>
            </w:r>
            <w:r w:rsidRPr="0024080D">
              <w:rPr>
                <w:rFonts w:cs="Times New Roman"/>
                <w:szCs w:val="28"/>
              </w:rPr>
              <w:br/>
              <w:t xml:space="preserve">(раніше використовували термін «туберкульоз з розширеною резистентністю») </w:t>
            </w:r>
          </w:p>
        </w:tc>
      </w:tr>
    </w:tbl>
    <w:p w14:paraId="31FA484F" w14:textId="012A20F7" w:rsidR="008E1120" w:rsidRPr="0024080D" w:rsidRDefault="008E1120" w:rsidP="00F12716">
      <w:pPr>
        <w:rPr>
          <w:rFonts w:cs="Times New Roman"/>
          <w:szCs w:val="28"/>
        </w:rPr>
      </w:pPr>
      <w:r w:rsidRPr="0024080D">
        <w:rPr>
          <w:rFonts w:cs="Times New Roman"/>
          <w:szCs w:val="28"/>
        </w:rPr>
        <w:br w:type="page"/>
      </w:r>
    </w:p>
    <w:p w14:paraId="78A78E03"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bookmarkStart w:id="4" w:name="_Toc88088814"/>
      <w:r w:rsidRPr="00C61C77">
        <w:rPr>
          <w:sz w:val="27"/>
          <w:szCs w:val="27"/>
        </w:rPr>
        <w:lastRenderedPageBreak/>
        <w:t>Дорогі колеги та друзі!</w:t>
      </w:r>
    </w:p>
    <w:p w14:paraId="4F0001A6"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Маю честь представити вам національний довідник з туберкульозу, який традиційно підбиває щорічні підсумки, дозволяє провести розбір успішних сторін програми та одержаних уроків, оцінити нові можливості та потенційні загрози.</w:t>
      </w:r>
    </w:p>
    <w:p w14:paraId="4E4C212F"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Цей довідник підбиває підсумки 2021 року, коли ми всіма силами боролися з наслідками COVID-19 . Багато викликів та завдань було подолано, зусилля були спрямовані на відновлення доступу до основних послуг з боротьби з ТБ та їх надання, щоб показники ТБ могли відновитись як мінімум до рівня 2019 року.</w:t>
      </w:r>
    </w:p>
    <w:p w14:paraId="59A1E6C8"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p>
    <w:p w14:paraId="331F7746"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Протягом усього року велася інтенсивна робота в багатьох напрямках з протидії викликам і загрозам, що виникли, і в деяких питаннях спостерігаються позитивні зміни. Багато наших досягнень вже знайшли своє відображення на практиці.</w:t>
      </w:r>
    </w:p>
    <w:p w14:paraId="592F927E"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У найкоротші терміни було розроблено національний план з нівелювання наслідків COVID-19  для національної програми. Було також подано заявку на додаткове фінансування щодо пом'якшення наслідків COVID-19  на національну програму, яка була успішно схвалена.</w:t>
      </w:r>
    </w:p>
    <w:p w14:paraId="1113D25A"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p>
    <w:p w14:paraId="407993B9"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 xml:space="preserve">Створено громадську платформу в рамках </w:t>
      </w:r>
      <w:proofErr w:type="spellStart"/>
      <w:r w:rsidRPr="00C61C77">
        <w:rPr>
          <w:sz w:val="27"/>
          <w:szCs w:val="27"/>
        </w:rPr>
        <w:t>багатосекторальної</w:t>
      </w:r>
      <w:proofErr w:type="spellEnd"/>
      <w:r w:rsidRPr="00C61C77">
        <w:rPr>
          <w:sz w:val="27"/>
          <w:szCs w:val="27"/>
        </w:rPr>
        <w:t xml:space="preserve"> підзвітності з туберкульозу, яка є обов'язковою умовою та механізмом досягнення цілей наради ООН. Цей важливий крок було досягнуто завдяки об'єднанню зусиль Міністерства охорони здоров'я, відділу управління та протидії туберкульозу ЦГЗ, депутатів Верховної Ради України та Парламентської платформи боротьби з туберкульозом, Національної ради з питань протидії туберкульозу та ВІЛ-інфекції, громадянського суспільства. Це досягнення знаменує високу підтримку та відданість держави та національних лідерів у досягненні цілей наради ООН.</w:t>
      </w:r>
    </w:p>
    <w:p w14:paraId="1324EF8F"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p>
    <w:p w14:paraId="0B070224"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 xml:space="preserve">Розроблено цілу низку стратегічних документів і стандартів: оновлено, відповідно до рекомендацій ВООЗ перелік груп ризику по ТБ, визначено підходи до їх систематичного скринінгу, регламентовано критерії якості профілактики та раннього виявлення захворювання, затверджено новітні алгоритми діагностики ТБ з використанням молекулярно-генетичних методів визначення чутливості Національна </w:t>
      </w:r>
      <w:proofErr w:type="spellStart"/>
      <w:r w:rsidRPr="00C61C77">
        <w:rPr>
          <w:sz w:val="27"/>
          <w:szCs w:val="27"/>
        </w:rPr>
        <w:t>референс</w:t>
      </w:r>
      <w:proofErr w:type="spellEnd"/>
      <w:r w:rsidRPr="00C61C77">
        <w:rPr>
          <w:sz w:val="27"/>
          <w:szCs w:val="27"/>
        </w:rPr>
        <w:t xml:space="preserve">-лабораторія успішно пройшла зовнішню міжнародну оцінку якості від центру </w:t>
      </w:r>
      <w:proofErr w:type="spellStart"/>
      <w:r w:rsidRPr="00C61C77">
        <w:rPr>
          <w:sz w:val="27"/>
          <w:szCs w:val="27"/>
        </w:rPr>
        <w:t>Гаутінг</w:t>
      </w:r>
      <w:proofErr w:type="spellEnd"/>
      <w:r w:rsidRPr="00C61C77">
        <w:rPr>
          <w:sz w:val="27"/>
          <w:szCs w:val="27"/>
        </w:rPr>
        <w:t xml:space="preserve">. </w:t>
      </w:r>
    </w:p>
    <w:p w14:paraId="26E9D39B"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p>
    <w:p w14:paraId="7367A172" w14:textId="77777777" w:rsidR="00C61C77" w:rsidRPr="00C61C77" w:rsidRDefault="00C61C77" w:rsidP="00C61C77">
      <w:pPr>
        <w:widowControl w:val="0"/>
        <w:pBdr>
          <w:top w:val="nil"/>
          <w:left w:val="nil"/>
          <w:bottom w:val="nil"/>
          <w:right w:val="nil"/>
          <w:between w:val="nil"/>
        </w:pBdr>
        <w:spacing w:line="230" w:lineRule="auto"/>
        <w:ind w:firstLine="0"/>
        <w:rPr>
          <w:sz w:val="27"/>
          <w:szCs w:val="27"/>
        </w:rPr>
      </w:pPr>
      <w:r w:rsidRPr="00C61C77">
        <w:rPr>
          <w:sz w:val="27"/>
          <w:szCs w:val="27"/>
        </w:rPr>
        <w:t>Розроблено стратегію переходу на сучасні пероральні режими лікування. Триває реформування системи охорони здоров'я, це торкається і служби боротьби з туберкульозом, розробляються механізми стимуляції роботи та критерії ефективності надання послуг.</w:t>
      </w:r>
    </w:p>
    <w:p w14:paraId="7DA7AB85" w14:textId="69A97ED5" w:rsidR="00205273" w:rsidRPr="006F6D91" w:rsidRDefault="00C61C77" w:rsidP="00C61C77">
      <w:pPr>
        <w:widowControl w:val="0"/>
        <w:pBdr>
          <w:top w:val="nil"/>
          <w:left w:val="nil"/>
          <w:bottom w:val="nil"/>
          <w:right w:val="nil"/>
          <w:between w:val="nil"/>
        </w:pBdr>
        <w:spacing w:line="230" w:lineRule="auto"/>
        <w:ind w:firstLine="0"/>
        <w:rPr>
          <w:rFonts w:cs="Times New Roman"/>
          <w:sz w:val="27"/>
          <w:szCs w:val="27"/>
          <w:highlight w:val="yellow"/>
        </w:rPr>
      </w:pPr>
      <w:r w:rsidRPr="00C61C77">
        <w:rPr>
          <w:sz w:val="27"/>
          <w:szCs w:val="27"/>
        </w:rPr>
        <w:t>Всі ці невеликі кроки роблять нас ближчими до досягнення цілей ліквідації туберкульозу. Ми цінуємо та відзначаємо внесок кожного з вас на цьому шляху!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508"/>
      </w:tblGrid>
      <w:tr w:rsidR="00205273" w:rsidRPr="00C61C77" w14:paraId="7150B4DA" w14:textId="77777777" w:rsidTr="00205273">
        <w:tc>
          <w:tcPr>
            <w:tcW w:w="6062" w:type="dxa"/>
          </w:tcPr>
          <w:p w14:paraId="3E7EFDAA" w14:textId="77777777" w:rsidR="00C61C77" w:rsidRPr="00C61C77" w:rsidRDefault="00C61C77" w:rsidP="00FD0379">
            <w:pPr>
              <w:widowControl w:val="0"/>
              <w:spacing w:line="230" w:lineRule="auto"/>
              <w:ind w:firstLine="0"/>
              <w:jc w:val="left"/>
              <w:rPr>
                <w:spacing w:val="-2"/>
                <w:sz w:val="27"/>
                <w:szCs w:val="27"/>
                <w:lang w:val="uk-UA"/>
              </w:rPr>
            </w:pPr>
          </w:p>
          <w:p w14:paraId="246C1B88" w14:textId="0D5B3D4E" w:rsidR="00205273" w:rsidRPr="00C61C77" w:rsidRDefault="00C61C77" w:rsidP="00FD0379">
            <w:pPr>
              <w:widowControl w:val="0"/>
              <w:spacing w:line="230" w:lineRule="auto"/>
              <w:ind w:firstLine="0"/>
              <w:jc w:val="left"/>
              <w:rPr>
                <w:spacing w:val="-2"/>
                <w:sz w:val="27"/>
                <w:szCs w:val="27"/>
                <w:lang w:val="uk-UA"/>
              </w:rPr>
            </w:pPr>
            <w:r>
              <w:rPr>
                <w:spacing w:val="-2"/>
                <w:sz w:val="27"/>
                <w:szCs w:val="27"/>
                <w:lang w:val="uk-UA"/>
              </w:rPr>
              <w:t>Г</w:t>
            </w:r>
            <w:r w:rsidR="00205273" w:rsidRPr="00C61C77">
              <w:rPr>
                <w:spacing w:val="-2"/>
                <w:sz w:val="27"/>
                <w:szCs w:val="27"/>
                <w:lang w:val="uk-UA"/>
              </w:rPr>
              <w:t>енеральн</w:t>
            </w:r>
            <w:r>
              <w:rPr>
                <w:spacing w:val="-2"/>
                <w:sz w:val="27"/>
                <w:szCs w:val="27"/>
                <w:lang w:val="uk-UA"/>
              </w:rPr>
              <w:t>ий</w:t>
            </w:r>
            <w:r w:rsidR="00205273" w:rsidRPr="00C61C77">
              <w:rPr>
                <w:spacing w:val="-2"/>
                <w:sz w:val="27"/>
                <w:szCs w:val="27"/>
                <w:lang w:val="uk-UA"/>
              </w:rPr>
              <w:t xml:space="preserve"> директор Державної установи </w:t>
            </w:r>
            <w:r w:rsidR="00205273" w:rsidRPr="00C61C77">
              <w:rPr>
                <w:spacing w:val="-2"/>
                <w:sz w:val="27"/>
                <w:szCs w:val="27"/>
                <w:lang w:val="uk-UA"/>
              </w:rPr>
              <w:br/>
              <w:t>«Центр громадського здоров’я Міністерства охорони здоров’я України»</w:t>
            </w:r>
          </w:p>
        </w:tc>
        <w:tc>
          <w:tcPr>
            <w:tcW w:w="3508" w:type="dxa"/>
          </w:tcPr>
          <w:p w14:paraId="3DF0CA7A" w14:textId="77777777" w:rsidR="00C61C77" w:rsidRPr="00C61C77" w:rsidRDefault="00C61C77" w:rsidP="00FD0379">
            <w:pPr>
              <w:widowControl w:val="0"/>
              <w:spacing w:line="230" w:lineRule="auto"/>
              <w:ind w:firstLine="0"/>
              <w:jc w:val="right"/>
              <w:rPr>
                <w:sz w:val="27"/>
                <w:szCs w:val="27"/>
                <w:lang w:val="uk-UA"/>
              </w:rPr>
            </w:pPr>
          </w:p>
          <w:p w14:paraId="626900CD" w14:textId="28D63D0C" w:rsidR="00205273" w:rsidRPr="00C61C77" w:rsidRDefault="00205273" w:rsidP="00FD0379">
            <w:pPr>
              <w:widowControl w:val="0"/>
              <w:spacing w:line="230" w:lineRule="auto"/>
              <w:ind w:firstLine="0"/>
              <w:jc w:val="right"/>
              <w:rPr>
                <w:sz w:val="27"/>
                <w:szCs w:val="27"/>
                <w:lang w:val="uk-UA"/>
              </w:rPr>
            </w:pPr>
            <w:r w:rsidRPr="00C61C77">
              <w:rPr>
                <w:sz w:val="27"/>
                <w:szCs w:val="27"/>
                <w:lang w:val="uk-UA"/>
              </w:rPr>
              <w:t>Людмила Черненко</w:t>
            </w:r>
          </w:p>
        </w:tc>
      </w:tr>
    </w:tbl>
    <w:p w14:paraId="5E4A73A1" w14:textId="58C1DD6A" w:rsidR="00DC0C09" w:rsidRPr="0024080D" w:rsidRDefault="00DC0C09" w:rsidP="00F12716">
      <w:pPr>
        <w:widowControl w:val="0"/>
        <w:pBdr>
          <w:top w:val="nil"/>
          <w:left w:val="nil"/>
          <w:bottom w:val="nil"/>
          <w:right w:val="nil"/>
          <w:between w:val="nil"/>
        </w:pBdr>
        <w:rPr>
          <w:rFonts w:cs="Times New Roman"/>
          <w:szCs w:val="28"/>
        </w:rPr>
      </w:pPr>
      <w:r w:rsidRPr="0024080D">
        <w:rPr>
          <w:rFonts w:cs="Times New Roman"/>
          <w:szCs w:val="28"/>
        </w:rPr>
        <w:br w:type="page"/>
      </w:r>
    </w:p>
    <w:p w14:paraId="037617DF" w14:textId="55EFB720" w:rsidR="00C61C77" w:rsidRPr="00C61C77" w:rsidRDefault="00C61C77" w:rsidP="00C61C77">
      <w:pPr>
        <w:pStyle w:val="2"/>
        <w:spacing w:line="228" w:lineRule="auto"/>
        <w:rPr>
          <w:rFonts w:cs="Times New Roman"/>
          <w:szCs w:val="28"/>
        </w:rPr>
      </w:pPr>
      <w:bookmarkStart w:id="5" w:name="_Toc89149092"/>
      <w:bookmarkStart w:id="6" w:name="_Toc88088823"/>
      <w:bookmarkEnd w:id="4"/>
      <w:r w:rsidRPr="00C61C77">
        <w:rPr>
          <w:rFonts w:cs="Times New Roman"/>
          <w:szCs w:val="28"/>
        </w:rPr>
        <w:lastRenderedPageBreak/>
        <w:t>Звернення у зв'язку із початком війни в Україні</w:t>
      </w:r>
    </w:p>
    <w:p w14:paraId="13D93933" w14:textId="77777777" w:rsidR="00C61C77" w:rsidRPr="00C61C77" w:rsidRDefault="00C61C77" w:rsidP="00C61C77">
      <w:pPr>
        <w:rPr>
          <w:rFonts w:cs="Times New Roman"/>
          <w:szCs w:val="28"/>
        </w:rPr>
      </w:pPr>
      <w:r w:rsidRPr="00C61C77">
        <w:rPr>
          <w:rFonts w:cs="Times New Roman"/>
          <w:szCs w:val="28"/>
        </w:rPr>
        <w:t>З початком повномасштабних бойових дій акценти в охороні здоров'я змістилися у бік більш актуальних за умов війни питань оборони та захисту громадян країни. Війна і пов'язані з нею труднощі кидають виклик у питаннях забезпечення санітарного благополуччя, забезпечення доступу до медичної допомоги, недопущення знищення медичної інфраструктури наших міст та сіл.</w:t>
      </w:r>
    </w:p>
    <w:p w14:paraId="0F742462" w14:textId="25DF68E8" w:rsidR="00C61C77" w:rsidRPr="00C61C77" w:rsidRDefault="00C61C77" w:rsidP="00C61C77">
      <w:pPr>
        <w:rPr>
          <w:rFonts w:cs="Times New Roman"/>
          <w:szCs w:val="28"/>
        </w:rPr>
      </w:pPr>
      <w:r w:rsidRPr="00C61C77">
        <w:rPr>
          <w:rFonts w:cs="Times New Roman"/>
          <w:szCs w:val="28"/>
        </w:rPr>
        <w:t>До початку війни отримувало лікування близько 11 600 осіб з ТБ, з них 4600 з лікарсько</w:t>
      </w:r>
      <w:r w:rsidR="00933D04">
        <w:rPr>
          <w:rFonts w:cs="Times New Roman"/>
          <w:szCs w:val="28"/>
        </w:rPr>
        <w:t>-</w:t>
      </w:r>
      <w:r w:rsidRPr="00C61C77">
        <w:rPr>
          <w:rFonts w:cs="Times New Roman"/>
          <w:szCs w:val="28"/>
        </w:rPr>
        <w:t>стійкими формами. Ми можемо сказати, що всі ці люди перебувають у небезпеці та маємо повідомлення про недотримання прав людини під час надання медичної допомоги українцям, які перебувають у полоні або на окупованих територіях.</w:t>
      </w:r>
    </w:p>
    <w:p w14:paraId="75A488AF" w14:textId="1B690E83" w:rsidR="00C61C77" w:rsidRPr="00C61C77" w:rsidRDefault="00C61C77" w:rsidP="00C61C77">
      <w:pPr>
        <w:rPr>
          <w:rFonts w:cs="Times New Roman"/>
          <w:szCs w:val="28"/>
        </w:rPr>
      </w:pPr>
      <w:r w:rsidRPr="00C61C77">
        <w:rPr>
          <w:rFonts w:cs="Times New Roman"/>
          <w:szCs w:val="28"/>
        </w:rPr>
        <w:t>Кулі та снаряди російських військових пошкодили вже 600 закладів охорони здоров'я</w:t>
      </w:r>
      <w:r w:rsidR="00327766">
        <w:rPr>
          <w:rFonts w:cs="Times New Roman"/>
          <w:szCs w:val="28"/>
        </w:rPr>
        <w:t>:</w:t>
      </w:r>
      <w:r w:rsidRPr="00C61C77">
        <w:rPr>
          <w:rFonts w:cs="Times New Roman"/>
          <w:szCs w:val="28"/>
        </w:rPr>
        <w:t xml:space="preserve"> бомбардування пологового будинку у Маріуполі</w:t>
      </w:r>
      <w:r w:rsidR="00933D04">
        <w:rPr>
          <w:rFonts w:cs="Times New Roman"/>
          <w:szCs w:val="28"/>
        </w:rPr>
        <w:t>,</w:t>
      </w:r>
      <w:r w:rsidRPr="00C61C77">
        <w:rPr>
          <w:rFonts w:cs="Times New Roman"/>
          <w:szCs w:val="28"/>
        </w:rPr>
        <w:t xml:space="preserve"> прицільні постріли по лікарні у місті Тростянець, </w:t>
      </w:r>
      <w:r w:rsidR="00933D04">
        <w:rPr>
          <w:rFonts w:cs="Times New Roman"/>
          <w:szCs w:val="28"/>
        </w:rPr>
        <w:t xml:space="preserve">зруйновано </w:t>
      </w:r>
      <w:r w:rsidR="00933D04" w:rsidRPr="00933D04">
        <w:rPr>
          <w:rFonts w:cs="Times New Roman"/>
          <w:szCs w:val="28"/>
        </w:rPr>
        <w:t xml:space="preserve">КНП "Чернігівський обласний медичний центр соціально значущих та небезпечних </w:t>
      </w:r>
      <w:proofErr w:type="spellStart"/>
      <w:r w:rsidR="00933D04" w:rsidRPr="00933D04">
        <w:rPr>
          <w:rFonts w:cs="Times New Roman"/>
          <w:szCs w:val="28"/>
        </w:rPr>
        <w:t>хвороб</w:t>
      </w:r>
      <w:proofErr w:type="spellEnd"/>
      <w:r w:rsidR="00933D04" w:rsidRPr="00933D04">
        <w:rPr>
          <w:rFonts w:cs="Times New Roman"/>
          <w:szCs w:val="28"/>
        </w:rPr>
        <w:t>"</w:t>
      </w:r>
      <w:r w:rsidR="00933D04">
        <w:rPr>
          <w:rFonts w:cs="Times New Roman"/>
          <w:szCs w:val="28"/>
        </w:rPr>
        <w:t xml:space="preserve">, </w:t>
      </w:r>
      <w:r w:rsidRPr="00C61C77">
        <w:rPr>
          <w:rFonts w:cs="Times New Roman"/>
          <w:szCs w:val="28"/>
        </w:rPr>
        <w:t>ще 100 медичних установ зруйновано та відновленню не підлягають.</w:t>
      </w:r>
    </w:p>
    <w:p w14:paraId="441C8D8C" w14:textId="77777777" w:rsidR="00C61C77" w:rsidRPr="00C61C77" w:rsidRDefault="00C61C77" w:rsidP="00C61C77">
      <w:pPr>
        <w:rPr>
          <w:rFonts w:cs="Times New Roman"/>
          <w:szCs w:val="28"/>
        </w:rPr>
      </w:pPr>
      <w:r w:rsidRPr="00C61C77">
        <w:rPr>
          <w:rFonts w:cs="Times New Roman"/>
          <w:szCs w:val="28"/>
        </w:rPr>
        <w:t>Протитуберкульозна служба з першого дня війни вжила невідкладних заходів для адаптації під нові реалії, щоб кожен з наших пацієнтів мав можливість для продовження лікування туберкульозу, вжито додаткових заходів безпеки, забезпечено доступ до ліків, медико-соціальних послуг.</w:t>
      </w:r>
    </w:p>
    <w:p w14:paraId="166F03F6" w14:textId="77777777" w:rsidR="00C61C77" w:rsidRPr="00C61C77" w:rsidRDefault="00C61C77" w:rsidP="00C61C77">
      <w:pPr>
        <w:rPr>
          <w:rFonts w:cs="Times New Roman"/>
          <w:szCs w:val="28"/>
        </w:rPr>
      </w:pPr>
      <w:r w:rsidRPr="00C61C77">
        <w:rPr>
          <w:rFonts w:cs="Times New Roman"/>
          <w:szCs w:val="28"/>
        </w:rPr>
        <w:t>Фактично сьогодні кожен регіональний ТБ заклад продовжує надати медичну допомогу, незважаючи на військові дії, гуманітарну кризу та психологічне виснаження.</w:t>
      </w:r>
    </w:p>
    <w:p w14:paraId="3BF7AE83" w14:textId="77777777" w:rsidR="00C61C77" w:rsidRPr="00C61C77" w:rsidRDefault="00C61C77" w:rsidP="00C61C77">
      <w:pPr>
        <w:rPr>
          <w:rFonts w:cs="Times New Roman"/>
          <w:szCs w:val="28"/>
        </w:rPr>
      </w:pPr>
      <w:r w:rsidRPr="00C61C77">
        <w:rPr>
          <w:rFonts w:cs="Times New Roman"/>
          <w:szCs w:val="28"/>
        </w:rPr>
        <w:t>Ми створили систему обліку переміщених усередині країни та за межами країни, і працюємо з іншими країнами, щоб кожен пацієнт міг продовжити лікування та безперервне лікування, вживаються заходи щодо налагодження логістики, скоординовано роботу партнерів та гуманітарну допомогу.</w:t>
      </w:r>
    </w:p>
    <w:p w14:paraId="27EEAFA2" w14:textId="77777777" w:rsidR="00C61C77" w:rsidRPr="00C61C77" w:rsidRDefault="00C61C77" w:rsidP="00C61C77">
      <w:pPr>
        <w:rPr>
          <w:rFonts w:cs="Times New Roman"/>
          <w:szCs w:val="28"/>
        </w:rPr>
      </w:pPr>
      <w:r w:rsidRPr="00C61C77">
        <w:rPr>
          <w:rFonts w:cs="Times New Roman"/>
          <w:szCs w:val="28"/>
        </w:rPr>
        <w:t>В останні місяці українська система охорони здоров'я та медичні працівники продемонстрували надзвичайну стійкість. Багато хто сам постраждав від війни, але продовжує працювати, щоб рятувати життя. Зараз вже через кілька місяців від моменту початку війни ми можемо сміливо всіх вас - наших медпрацівників називати нашими супер героями, які зійшли зі сторінок книг і живуть серед нас. Ваша щоденна самовіддана праця - це і є справжнісінький героїзм. Ви всі бійці невидимого фронту в протистоянні хворобам ТБ і COVID-19 , і в той же час ви бійці видимого фронту, тому що ви протидієте несправедливій та нелюдській окупації та реальним загрозам.</w:t>
      </w:r>
    </w:p>
    <w:p w14:paraId="0AD49DBD" w14:textId="77777777" w:rsidR="00C61C77" w:rsidRPr="00C61C77" w:rsidRDefault="00C61C77" w:rsidP="00C61C77">
      <w:pPr>
        <w:rPr>
          <w:rFonts w:cs="Times New Roman"/>
          <w:szCs w:val="28"/>
        </w:rPr>
      </w:pPr>
      <w:r w:rsidRPr="00C61C77">
        <w:rPr>
          <w:rFonts w:cs="Times New Roman"/>
          <w:szCs w:val="28"/>
        </w:rPr>
        <w:t>Система охорони здоров'я працює та модернізується. І це відбувається навіть у цих надскладних для держави умовах. Все це відбувається завдяки вашій допомозі та підтримці.</w:t>
      </w:r>
    </w:p>
    <w:p w14:paraId="6C357AEA" w14:textId="19B424DE" w:rsidR="00C61C77" w:rsidRPr="00C61C77" w:rsidRDefault="00C61C77" w:rsidP="00C61C77">
      <w:r w:rsidRPr="00C61C77">
        <w:rPr>
          <w:rFonts w:cs="Times New Roman"/>
          <w:szCs w:val="28"/>
        </w:rPr>
        <w:t>Ми твердо віримо, що ми на вірному шляху і ми переможемо. Настане новий день, і ми перевернемо цю сумну сторінку нашої історії. Все буде Україна! Перемога буде за нами!</w:t>
      </w:r>
    </w:p>
    <w:p w14:paraId="55E1DAB5" w14:textId="5D9DA2A9" w:rsidR="00F12716" w:rsidRPr="0024080D" w:rsidRDefault="00F12716" w:rsidP="00170D76">
      <w:pPr>
        <w:pStyle w:val="1"/>
        <w:spacing w:line="228" w:lineRule="auto"/>
        <w:jc w:val="left"/>
      </w:pPr>
      <w:r w:rsidRPr="001B09F9">
        <w:lastRenderedPageBreak/>
        <w:t>розділ 1. україна</w:t>
      </w:r>
      <w:r w:rsidRPr="0024080D">
        <w:t xml:space="preserve"> у контексті виконання міжнародних зобов’язань щодо протидії епідемії туберкульозу</w:t>
      </w:r>
      <w:bookmarkEnd w:id="5"/>
    </w:p>
    <w:p w14:paraId="549022FA" w14:textId="0F38ED8C" w:rsidR="00F12716" w:rsidRPr="0024080D" w:rsidRDefault="00F12716" w:rsidP="00170D76">
      <w:pPr>
        <w:pStyle w:val="2"/>
        <w:spacing w:line="228" w:lineRule="auto"/>
        <w:rPr>
          <w:rFonts w:cs="Times New Roman"/>
          <w:szCs w:val="28"/>
        </w:rPr>
      </w:pPr>
      <w:bookmarkStart w:id="7" w:name="_Toc88088815"/>
      <w:bookmarkStart w:id="8" w:name="_Toc89149093"/>
      <w:r w:rsidRPr="0024080D">
        <w:rPr>
          <w:rFonts w:cs="Times New Roman"/>
          <w:szCs w:val="28"/>
        </w:rPr>
        <w:t>Огляд Національної програми ТБ, 20</w:t>
      </w:r>
      <w:bookmarkEnd w:id="7"/>
      <w:r w:rsidR="001E1E23">
        <w:rPr>
          <w:rFonts w:cs="Times New Roman"/>
          <w:szCs w:val="28"/>
        </w:rPr>
        <w:t>20</w:t>
      </w:r>
      <w:r w:rsidRPr="0024080D">
        <w:rPr>
          <w:rFonts w:cs="Times New Roman"/>
          <w:szCs w:val="28"/>
        </w:rPr>
        <w:t> р.</w:t>
      </w:r>
      <w:bookmarkEnd w:id="8"/>
      <w:r w:rsidRPr="0024080D">
        <w:rPr>
          <w:rFonts w:cs="Times New Roman"/>
          <w:szCs w:val="28"/>
        </w:rPr>
        <w:t xml:space="preserve"> </w:t>
      </w:r>
    </w:p>
    <w:p w14:paraId="30AE6E3C" w14:textId="77777777" w:rsidR="001B09F9" w:rsidRPr="001B09F9" w:rsidRDefault="001B09F9" w:rsidP="001B09F9">
      <w:pPr>
        <w:spacing w:line="228" w:lineRule="auto"/>
        <w:rPr>
          <w:rFonts w:cs="Times New Roman"/>
          <w:szCs w:val="28"/>
        </w:rPr>
      </w:pPr>
      <w:r w:rsidRPr="001B09F9">
        <w:rPr>
          <w:rFonts w:cs="Times New Roman"/>
          <w:szCs w:val="28"/>
        </w:rPr>
        <w:t>Досягнення миру вільного від туберкульозу шляхом поетапного зниження захворюваності та смертності, зменшення людських страждань, зумовлених туберкульозом, є основними принципами глобальної стратегії з ліквідації туберкульозу. Подібне бачення знайшло своє відображення і в національній стратегії боротьби з туберкульозом, в якій досягнення 2020 року відводиться особливе місце. Результати 2020 року є віхою для підведення попередніх висновків національної програми, координації подальших тактик та стратегій.</w:t>
      </w:r>
    </w:p>
    <w:p w14:paraId="2EC7BCA1" w14:textId="62C605F7" w:rsidR="001B09F9" w:rsidRPr="001B09F9" w:rsidRDefault="001B09F9" w:rsidP="001B09F9">
      <w:pPr>
        <w:spacing w:line="228" w:lineRule="auto"/>
        <w:rPr>
          <w:rFonts w:cs="Times New Roman"/>
          <w:szCs w:val="28"/>
        </w:rPr>
      </w:pPr>
      <w:r w:rsidRPr="001B09F9">
        <w:rPr>
          <w:rFonts w:cs="Times New Roman"/>
          <w:szCs w:val="28"/>
        </w:rPr>
        <w:t xml:space="preserve">Захворюваність на туберкульоз в останнє десятиліття повільно знижується, і смертність знизилася майже на третину, але глобальний тягар залишається значним і становить понад 10 млн. осіб на рік, які вперше захворіли на це захворювання. Хоча </w:t>
      </w:r>
      <w:r w:rsidR="001E1E23">
        <w:rPr>
          <w:rFonts w:cs="Times New Roman"/>
          <w:szCs w:val="28"/>
        </w:rPr>
        <w:t>тенденція</w:t>
      </w:r>
      <w:r w:rsidRPr="001B09F9">
        <w:rPr>
          <w:rFonts w:cs="Times New Roman"/>
          <w:szCs w:val="28"/>
        </w:rPr>
        <w:t xml:space="preserve"> зниження </w:t>
      </w:r>
      <w:r w:rsidR="001E1E23">
        <w:rPr>
          <w:rFonts w:cs="Times New Roman"/>
          <w:szCs w:val="28"/>
        </w:rPr>
        <w:t xml:space="preserve">захворюваності на </w:t>
      </w:r>
      <w:r w:rsidRPr="001B09F9">
        <w:rPr>
          <w:rFonts w:cs="Times New Roman"/>
          <w:szCs w:val="28"/>
        </w:rPr>
        <w:t>туберкульоз у світі була далека від віхи, викладеної в документі ООН зі сталого розвитку Цілей та Стратегії ВООЗ з ліквідації туберкульозу, пандемія COVID-19  завдала ще більшої шкоди програмі, відкинувши назад досягнення довгих років боротьби.</w:t>
      </w:r>
    </w:p>
    <w:p w14:paraId="1FFC6DCB" w14:textId="67B3E3F0" w:rsidR="00F12716" w:rsidRPr="0024080D" w:rsidRDefault="001B09F9" w:rsidP="001B09F9">
      <w:pPr>
        <w:spacing w:line="228" w:lineRule="auto"/>
        <w:rPr>
          <w:rFonts w:cs="Times New Roman"/>
          <w:szCs w:val="28"/>
        </w:rPr>
      </w:pPr>
      <w:r w:rsidRPr="001E1E23">
        <w:rPr>
          <w:rFonts w:cs="Times New Roman"/>
          <w:szCs w:val="28"/>
        </w:rPr>
        <w:t>Після значного збільшення глобальної кількості зареєстрованих випадків ТБ на рік у період з 2017 по 2019 р. порівнювані аналогічні дані свідчать про суттєве зниження на 18% у період з 2019 по 2020 р.</w:t>
      </w:r>
      <w:r w:rsidR="00BE767A">
        <w:rPr>
          <w:rFonts w:cs="Times New Roman"/>
          <w:szCs w:val="28"/>
        </w:rPr>
        <w:t>:</w:t>
      </w:r>
      <w:r w:rsidRPr="001E1E23">
        <w:rPr>
          <w:rFonts w:cs="Times New Roman"/>
          <w:szCs w:val="28"/>
        </w:rPr>
        <w:t xml:space="preserve"> з 7,1 мільйона до 5,8 мільйона випадків. При цьому </w:t>
      </w:r>
      <w:proofErr w:type="spellStart"/>
      <w:r w:rsidRPr="001E1E23">
        <w:rPr>
          <w:rFonts w:cs="Times New Roman"/>
          <w:szCs w:val="28"/>
        </w:rPr>
        <w:t>збої</w:t>
      </w:r>
      <w:proofErr w:type="spellEnd"/>
      <w:r w:rsidRPr="001E1E23">
        <w:rPr>
          <w:rFonts w:cs="Times New Roman"/>
          <w:szCs w:val="28"/>
        </w:rPr>
        <w:t xml:space="preserve">, що продовжуються в 2021 році </w:t>
      </w:r>
      <w:r w:rsidR="00BE767A">
        <w:rPr>
          <w:rFonts w:cs="Times New Roman"/>
          <w:szCs w:val="28"/>
        </w:rPr>
        <w:t>швидше за все призведуть до того</w:t>
      </w:r>
      <w:r w:rsidRPr="001E1E23">
        <w:rPr>
          <w:rFonts w:cs="Times New Roman"/>
          <w:szCs w:val="28"/>
        </w:rPr>
        <w:t xml:space="preserve">, що </w:t>
      </w:r>
      <w:r w:rsidR="00BE767A">
        <w:rPr>
          <w:rFonts w:cs="Times New Roman"/>
          <w:szCs w:val="28"/>
        </w:rPr>
        <w:t>ціль, задекларована на</w:t>
      </w:r>
      <w:r w:rsidRPr="001E1E23">
        <w:rPr>
          <w:rFonts w:cs="Times New Roman"/>
          <w:szCs w:val="28"/>
        </w:rPr>
        <w:t xml:space="preserve"> зустрічі високого рівня Організації Об'єднаних Націй (ООН) з лікування 40 мільйонів осіб з діагнозом ТБ за п'ятирічний період з 2018 по 2022 рік не </w:t>
      </w:r>
      <w:r w:rsidR="00BE767A">
        <w:rPr>
          <w:rFonts w:cs="Times New Roman"/>
          <w:szCs w:val="28"/>
        </w:rPr>
        <w:t>буде досягнута</w:t>
      </w:r>
      <w:r w:rsidRPr="001E1E23">
        <w:rPr>
          <w:rFonts w:cs="Times New Roman"/>
          <w:szCs w:val="28"/>
        </w:rPr>
        <w:t>.</w:t>
      </w:r>
      <w:r w:rsidR="00F12716" w:rsidRPr="001E1E23">
        <w:rPr>
          <w:rStyle w:val="ac"/>
          <w:rFonts w:cs="Times New Roman"/>
          <w:szCs w:val="28"/>
        </w:rPr>
        <w:footnoteReference w:id="1"/>
      </w:r>
      <w:r w:rsidR="00F12716" w:rsidRPr="001E1E23">
        <w:rPr>
          <w:rFonts w:cs="Times New Roman"/>
          <w:szCs w:val="28"/>
        </w:rPr>
        <w:t>.</w:t>
      </w:r>
    </w:p>
    <w:p w14:paraId="320CCE40" w14:textId="2B62B6F9" w:rsidR="00F12716" w:rsidRDefault="00F12716" w:rsidP="00170D76">
      <w:pPr>
        <w:pStyle w:val="2"/>
        <w:spacing w:line="228" w:lineRule="auto"/>
        <w:rPr>
          <w:rFonts w:cs="Times New Roman"/>
          <w:szCs w:val="28"/>
        </w:rPr>
      </w:pPr>
      <w:bookmarkStart w:id="10" w:name="_Toc88088816"/>
      <w:bookmarkStart w:id="11" w:name="_Toc89149094"/>
      <w:r w:rsidRPr="0024080D">
        <w:rPr>
          <w:rFonts w:cs="Times New Roman"/>
          <w:szCs w:val="28"/>
        </w:rPr>
        <w:t>Оцінювання тягаря ТБ</w:t>
      </w:r>
      <w:bookmarkEnd w:id="10"/>
      <w:bookmarkEnd w:id="11"/>
      <w:r w:rsidRPr="0024080D">
        <w:rPr>
          <w:rFonts w:cs="Times New Roman"/>
          <w:szCs w:val="28"/>
        </w:rPr>
        <w:t xml:space="preserve"> </w:t>
      </w:r>
    </w:p>
    <w:p w14:paraId="5D078F24" w14:textId="77777777" w:rsidR="001B09F9" w:rsidRDefault="001B09F9" w:rsidP="001B09F9">
      <w:r>
        <w:t xml:space="preserve">При порівнянні проміжних результатів виявляється найбільша ефективність у Європейському регіоні, потім слідують виконання показників на національному рівні та замикають виконання на глобальному рівні. В цілому, виконання показника зниження захворюваності максимально наблизилося до поставленої мети (19% до 20%). Показник зниження смертності значно відстає (13% до 35%). </w:t>
      </w:r>
    </w:p>
    <w:p w14:paraId="05122B87" w14:textId="316B700C" w:rsidR="001B09F9" w:rsidRPr="001B09F9" w:rsidRDefault="001B09F9" w:rsidP="001B09F9">
      <w:r>
        <w:t>В цілому, не дивлячись на складно</w:t>
      </w:r>
      <w:r w:rsidR="00C46798">
        <w:t>щ</w:t>
      </w:r>
      <w:r>
        <w:t>і і пандемію, що триває, ситуація в країні відображає глобальні і світові тенденції, а в деяких аспектах навіть досягає значного прогресу. Нижче наведено таблицю звірки останніх доступних ключових показників на глобальному регіональному та національному рівнях за 2020 рік.</w:t>
      </w:r>
    </w:p>
    <w:p w14:paraId="016FDD80" w14:textId="2830A1CB" w:rsidR="001B09F9" w:rsidRDefault="001B09F9" w:rsidP="00170D76">
      <w:pPr>
        <w:spacing w:after="120" w:line="228" w:lineRule="auto"/>
        <w:ind w:firstLine="0"/>
        <w:jc w:val="center"/>
        <w:rPr>
          <w:rFonts w:cs="Times New Roman"/>
          <w:b/>
          <w:szCs w:val="28"/>
        </w:rPr>
      </w:pPr>
      <w:bookmarkStart w:id="12" w:name="_Toc88088817"/>
      <w:r>
        <w:rPr>
          <w:noProof/>
        </w:rPr>
        <w:lastRenderedPageBreak/>
        <w:drawing>
          <wp:inline distT="0" distB="0" distL="0" distR="0" wp14:anchorId="1618567D" wp14:editId="41D09799">
            <wp:extent cx="4216400" cy="2667000"/>
            <wp:effectExtent l="0" t="0" r="12700" b="0"/>
            <wp:docPr id="5" name="Діаграма 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BBBEC3" w14:textId="63F8921E" w:rsidR="001B09F9" w:rsidRDefault="001B09F9" w:rsidP="00170D76">
      <w:pPr>
        <w:spacing w:after="120" w:line="228" w:lineRule="auto"/>
        <w:ind w:firstLine="0"/>
        <w:jc w:val="center"/>
        <w:rPr>
          <w:rFonts w:cs="Times New Roman"/>
          <w:b/>
          <w:szCs w:val="28"/>
        </w:rPr>
      </w:pPr>
      <w:r w:rsidRPr="0024080D">
        <w:rPr>
          <w:rFonts w:cs="Times New Roman"/>
          <w:b/>
          <w:szCs w:val="28"/>
        </w:rPr>
        <w:t>Рисунок 1.</w:t>
      </w:r>
      <w:r w:rsidR="00E15F75">
        <w:rPr>
          <w:rFonts w:cs="Times New Roman"/>
          <w:b/>
          <w:szCs w:val="28"/>
        </w:rPr>
        <w:t>1.</w:t>
      </w:r>
      <w:r w:rsidRPr="0024080D">
        <w:rPr>
          <w:rFonts w:cs="Times New Roman"/>
          <w:b/>
          <w:szCs w:val="28"/>
        </w:rPr>
        <w:t> </w:t>
      </w:r>
      <w:r w:rsidR="000D5E07" w:rsidRPr="000D5E07">
        <w:rPr>
          <w:rFonts w:cs="Times New Roman"/>
          <w:b/>
          <w:szCs w:val="28"/>
        </w:rPr>
        <w:t>Графік досягнення проміжних цілей на національному, регіональному та глобальному рівнях стратегії ліквідації туберкульозу до 2020 р.</w:t>
      </w:r>
    </w:p>
    <w:p w14:paraId="6CC1282B" w14:textId="136DB925" w:rsidR="00170D76" w:rsidRPr="0024080D" w:rsidRDefault="00170D76" w:rsidP="00170D76">
      <w:pPr>
        <w:spacing w:after="120" w:line="228" w:lineRule="auto"/>
        <w:ind w:firstLine="0"/>
        <w:jc w:val="center"/>
        <w:rPr>
          <w:rFonts w:cs="Times New Roman"/>
          <w:b/>
          <w:szCs w:val="28"/>
        </w:rPr>
      </w:pPr>
    </w:p>
    <w:tbl>
      <w:tblPr>
        <w:tblStyle w:val="a9"/>
        <w:tblpPr w:leftFromText="180" w:rightFromText="180" w:vertAnchor="text" w:horzAnchor="page" w:tblpXSpec="center" w:tblpY="87"/>
        <w:tblW w:w="0" w:type="auto"/>
        <w:tblLook w:val="04A0" w:firstRow="1" w:lastRow="0" w:firstColumn="1" w:lastColumn="0" w:noHBand="0" w:noVBand="1"/>
      </w:tblPr>
      <w:tblGrid>
        <w:gridCol w:w="2337"/>
        <w:gridCol w:w="2337"/>
        <w:gridCol w:w="2338"/>
        <w:gridCol w:w="2338"/>
      </w:tblGrid>
      <w:tr w:rsidR="000D5E07" w:rsidRPr="003E51B4" w14:paraId="54509DBC" w14:textId="77777777" w:rsidTr="000B6C5B">
        <w:tc>
          <w:tcPr>
            <w:tcW w:w="2337" w:type="dxa"/>
          </w:tcPr>
          <w:p w14:paraId="3E00EE9D" w14:textId="77777777" w:rsidR="000D5E07" w:rsidRPr="003E51B4" w:rsidRDefault="000D5E07" w:rsidP="000B6C5B">
            <w:pPr>
              <w:rPr>
                <w:sz w:val="20"/>
                <w:szCs w:val="20"/>
                <w:lang w:val="ru-RU"/>
              </w:rPr>
            </w:pPr>
          </w:p>
        </w:tc>
        <w:tc>
          <w:tcPr>
            <w:tcW w:w="2337" w:type="dxa"/>
          </w:tcPr>
          <w:p w14:paraId="44CECAF6" w14:textId="77777777" w:rsidR="000D5E07" w:rsidRPr="003E51B4" w:rsidRDefault="000D5E07" w:rsidP="00C46798">
            <w:pPr>
              <w:ind w:firstLine="0"/>
              <w:jc w:val="center"/>
              <w:rPr>
                <w:b/>
                <w:sz w:val="20"/>
                <w:szCs w:val="20"/>
                <w:lang w:val="ru-RU"/>
              </w:rPr>
            </w:pPr>
            <w:r w:rsidRPr="003E51B4">
              <w:rPr>
                <w:b/>
                <w:sz w:val="20"/>
                <w:szCs w:val="20"/>
                <w:lang w:val="ru-RU"/>
              </w:rPr>
              <w:t>UA</w:t>
            </w:r>
          </w:p>
        </w:tc>
        <w:tc>
          <w:tcPr>
            <w:tcW w:w="2338" w:type="dxa"/>
          </w:tcPr>
          <w:p w14:paraId="4C4D159C" w14:textId="77777777" w:rsidR="000D5E07" w:rsidRPr="003E51B4" w:rsidRDefault="000D5E07" w:rsidP="00C46798">
            <w:pPr>
              <w:ind w:firstLine="0"/>
              <w:jc w:val="center"/>
              <w:rPr>
                <w:b/>
                <w:sz w:val="20"/>
                <w:szCs w:val="20"/>
                <w:lang w:val="ru-RU"/>
              </w:rPr>
            </w:pPr>
            <w:r w:rsidRPr="003E51B4">
              <w:rPr>
                <w:b/>
                <w:sz w:val="20"/>
                <w:szCs w:val="20"/>
                <w:lang w:val="ru-RU"/>
              </w:rPr>
              <w:t>EU</w:t>
            </w:r>
          </w:p>
        </w:tc>
        <w:tc>
          <w:tcPr>
            <w:tcW w:w="2338" w:type="dxa"/>
          </w:tcPr>
          <w:p w14:paraId="4442DE22" w14:textId="77777777" w:rsidR="000D5E07" w:rsidRPr="003E51B4" w:rsidRDefault="000D5E07" w:rsidP="00C46798">
            <w:pPr>
              <w:ind w:firstLine="0"/>
              <w:jc w:val="center"/>
              <w:rPr>
                <w:b/>
                <w:sz w:val="20"/>
                <w:szCs w:val="20"/>
                <w:lang w:val="ru-RU"/>
              </w:rPr>
            </w:pPr>
            <w:r w:rsidRPr="003E51B4">
              <w:rPr>
                <w:b/>
                <w:sz w:val="20"/>
                <w:szCs w:val="20"/>
                <w:lang w:val="ru-RU"/>
              </w:rPr>
              <w:t>GL</w:t>
            </w:r>
          </w:p>
        </w:tc>
      </w:tr>
      <w:tr w:rsidR="000D5E07" w:rsidRPr="003E51B4" w14:paraId="6B9FED2F" w14:textId="77777777" w:rsidTr="000B6C5B">
        <w:tc>
          <w:tcPr>
            <w:tcW w:w="2337" w:type="dxa"/>
          </w:tcPr>
          <w:p w14:paraId="33C017E7" w14:textId="77777777" w:rsidR="000D5E07" w:rsidRPr="003E51B4" w:rsidRDefault="000D5E07" w:rsidP="000B6C5B">
            <w:pPr>
              <w:jc w:val="center"/>
              <w:rPr>
                <w:sz w:val="20"/>
                <w:szCs w:val="20"/>
                <w:lang w:val="uk-UA"/>
              </w:rPr>
            </w:pPr>
            <w:r w:rsidRPr="003E51B4">
              <w:rPr>
                <w:sz w:val="20"/>
                <w:szCs w:val="20"/>
                <w:lang w:val="uk-UA"/>
              </w:rPr>
              <w:t>Населення</w:t>
            </w:r>
          </w:p>
        </w:tc>
        <w:tc>
          <w:tcPr>
            <w:tcW w:w="2337" w:type="dxa"/>
          </w:tcPr>
          <w:p w14:paraId="6B61D441" w14:textId="77777777" w:rsidR="000D5E07" w:rsidRPr="003E51B4" w:rsidRDefault="000D5E07" w:rsidP="00C46798">
            <w:pPr>
              <w:ind w:hanging="72"/>
              <w:jc w:val="center"/>
              <w:rPr>
                <w:sz w:val="20"/>
                <w:szCs w:val="20"/>
                <w:lang w:val="uk-UA"/>
              </w:rPr>
            </w:pPr>
            <w:r w:rsidRPr="003E51B4">
              <w:rPr>
                <w:sz w:val="20"/>
                <w:szCs w:val="20"/>
                <w:lang w:val="uk-UA"/>
              </w:rPr>
              <w:t>44 млн</w:t>
            </w:r>
          </w:p>
        </w:tc>
        <w:tc>
          <w:tcPr>
            <w:tcW w:w="2338" w:type="dxa"/>
          </w:tcPr>
          <w:p w14:paraId="2318AB90" w14:textId="77777777" w:rsidR="000D5E07" w:rsidRPr="003E51B4" w:rsidRDefault="000D5E07" w:rsidP="00C46798">
            <w:pPr>
              <w:ind w:hanging="72"/>
              <w:jc w:val="center"/>
              <w:rPr>
                <w:sz w:val="20"/>
                <w:szCs w:val="20"/>
                <w:lang w:val="uk-UA"/>
              </w:rPr>
            </w:pPr>
            <w:r w:rsidRPr="003E51B4">
              <w:rPr>
                <w:sz w:val="20"/>
                <w:szCs w:val="20"/>
                <w:lang w:val="uk-UA"/>
              </w:rPr>
              <w:t>933 млн</w:t>
            </w:r>
          </w:p>
        </w:tc>
        <w:tc>
          <w:tcPr>
            <w:tcW w:w="2338" w:type="dxa"/>
          </w:tcPr>
          <w:p w14:paraId="047A8729" w14:textId="77777777" w:rsidR="000D5E07" w:rsidRPr="003E51B4" w:rsidRDefault="000D5E07" w:rsidP="00C46798">
            <w:pPr>
              <w:ind w:hanging="72"/>
              <w:jc w:val="center"/>
              <w:rPr>
                <w:sz w:val="20"/>
                <w:szCs w:val="20"/>
                <w:lang w:val="uk-UA"/>
              </w:rPr>
            </w:pPr>
            <w:r w:rsidRPr="003E51B4">
              <w:rPr>
                <w:sz w:val="20"/>
                <w:szCs w:val="20"/>
                <w:lang w:val="uk-UA"/>
              </w:rPr>
              <w:t>7770 млн</w:t>
            </w:r>
          </w:p>
        </w:tc>
      </w:tr>
      <w:tr w:rsidR="000D5E07" w:rsidRPr="003E51B4" w14:paraId="23C4BC67" w14:textId="77777777" w:rsidTr="000B6C5B">
        <w:trPr>
          <w:trHeight w:val="305"/>
        </w:trPr>
        <w:tc>
          <w:tcPr>
            <w:tcW w:w="2337" w:type="dxa"/>
          </w:tcPr>
          <w:p w14:paraId="715B143D" w14:textId="77777777" w:rsidR="000D5E07" w:rsidRPr="003E51B4" w:rsidRDefault="000D5E07" w:rsidP="003E51B4">
            <w:pPr>
              <w:ind w:firstLine="0"/>
              <w:jc w:val="left"/>
              <w:rPr>
                <w:sz w:val="20"/>
                <w:szCs w:val="20"/>
                <w:lang w:val="uk-UA"/>
              </w:rPr>
            </w:pPr>
            <w:r w:rsidRPr="003E51B4">
              <w:rPr>
                <w:sz w:val="20"/>
                <w:szCs w:val="20"/>
                <w:lang w:val="uk-UA"/>
              </w:rPr>
              <w:t>Оціночна смертність</w:t>
            </w:r>
          </w:p>
        </w:tc>
        <w:tc>
          <w:tcPr>
            <w:tcW w:w="2337" w:type="dxa"/>
          </w:tcPr>
          <w:p w14:paraId="4E246537" w14:textId="77777777" w:rsidR="000D5E07" w:rsidRPr="003E51B4" w:rsidRDefault="000D5E07" w:rsidP="00C46798">
            <w:pPr>
              <w:ind w:firstLine="0"/>
              <w:jc w:val="center"/>
              <w:rPr>
                <w:sz w:val="20"/>
                <w:szCs w:val="20"/>
                <w:lang w:val="uk-UA"/>
              </w:rPr>
            </w:pPr>
            <w:r w:rsidRPr="003E51B4">
              <w:rPr>
                <w:sz w:val="20"/>
                <w:szCs w:val="20"/>
                <w:lang w:val="uk-UA"/>
              </w:rPr>
              <w:t>6430 (1 людина кожну годину)</w:t>
            </w:r>
          </w:p>
          <w:p w14:paraId="654BCEF6" w14:textId="77777777" w:rsidR="000D5E07" w:rsidRPr="003E51B4" w:rsidRDefault="000D5E07" w:rsidP="00C46798">
            <w:pPr>
              <w:ind w:firstLine="0"/>
              <w:jc w:val="center"/>
              <w:rPr>
                <w:sz w:val="20"/>
                <w:szCs w:val="20"/>
                <w:lang w:val="uk-UA"/>
              </w:rPr>
            </w:pPr>
            <w:r w:rsidRPr="003E51B4">
              <w:rPr>
                <w:sz w:val="20"/>
                <w:szCs w:val="20"/>
                <w:lang w:val="uk-UA"/>
              </w:rPr>
              <w:sym w:font="Symbol" w:char="F0AD"/>
            </w:r>
            <w:r w:rsidRPr="003E51B4">
              <w:rPr>
                <w:sz w:val="20"/>
                <w:szCs w:val="20"/>
                <w:lang w:val="uk-UA"/>
              </w:rPr>
              <w:t>+13%  з 2019 р</w:t>
            </w:r>
          </w:p>
        </w:tc>
        <w:tc>
          <w:tcPr>
            <w:tcW w:w="2338" w:type="dxa"/>
          </w:tcPr>
          <w:p w14:paraId="284FA75C" w14:textId="77777777" w:rsidR="000D5E07" w:rsidRPr="003E51B4" w:rsidRDefault="000D5E07" w:rsidP="00C46798">
            <w:pPr>
              <w:ind w:firstLine="0"/>
              <w:jc w:val="center"/>
              <w:rPr>
                <w:sz w:val="20"/>
                <w:szCs w:val="20"/>
                <w:lang w:val="uk-UA"/>
              </w:rPr>
            </w:pPr>
            <w:r w:rsidRPr="003E51B4">
              <w:rPr>
                <w:sz w:val="20"/>
                <w:szCs w:val="20"/>
                <w:lang w:val="uk-UA"/>
              </w:rPr>
              <w:t xml:space="preserve">26600 (1 людина кожні 20 хвилин) </w:t>
            </w:r>
            <w:r w:rsidRPr="003E51B4">
              <w:rPr>
                <w:sz w:val="20"/>
                <w:szCs w:val="20"/>
                <w:lang w:val="uk-UA"/>
              </w:rPr>
              <w:sym w:font="Symbol" w:char="F0AD"/>
            </w:r>
            <w:r w:rsidRPr="003E51B4">
              <w:rPr>
                <w:sz w:val="20"/>
                <w:szCs w:val="20"/>
                <w:lang w:val="uk-UA"/>
              </w:rPr>
              <w:t>+3,8% з 2019 р</w:t>
            </w:r>
          </w:p>
        </w:tc>
        <w:tc>
          <w:tcPr>
            <w:tcW w:w="2338" w:type="dxa"/>
          </w:tcPr>
          <w:p w14:paraId="12D42ECB" w14:textId="77777777" w:rsidR="000D5E07" w:rsidRPr="003E51B4" w:rsidRDefault="000D5E07" w:rsidP="00C46798">
            <w:pPr>
              <w:ind w:firstLine="0"/>
              <w:jc w:val="center"/>
              <w:rPr>
                <w:sz w:val="20"/>
                <w:szCs w:val="20"/>
                <w:lang w:val="uk-UA"/>
              </w:rPr>
            </w:pPr>
            <w:r w:rsidRPr="003E51B4">
              <w:rPr>
                <w:sz w:val="20"/>
                <w:szCs w:val="20"/>
                <w:lang w:val="uk-UA"/>
              </w:rPr>
              <w:t>1500000 (1 людина у 21 секунду)</w:t>
            </w:r>
          </w:p>
          <w:p w14:paraId="7113E853" w14:textId="77777777" w:rsidR="000D5E07" w:rsidRPr="003E51B4" w:rsidRDefault="000D5E07" w:rsidP="00C46798">
            <w:pPr>
              <w:ind w:firstLine="0"/>
              <w:jc w:val="center"/>
              <w:rPr>
                <w:sz w:val="20"/>
                <w:szCs w:val="20"/>
                <w:lang w:val="uk-UA"/>
              </w:rPr>
            </w:pPr>
            <w:r w:rsidRPr="003E51B4">
              <w:rPr>
                <w:sz w:val="20"/>
                <w:szCs w:val="20"/>
                <w:lang w:val="uk-UA"/>
              </w:rPr>
              <w:sym w:font="Symbol" w:char="F0AD"/>
            </w:r>
            <w:r w:rsidRPr="003E51B4">
              <w:rPr>
                <w:sz w:val="20"/>
                <w:szCs w:val="20"/>
                <w:lang w:val="uk-UA"/>
              </w:rPr>
              <w:t>+5,6% з 2019 р</w:t>
            </w:r>
          </w:p>
        </w:tc>
      </w:tr>
      <w:tr w:rsidR="000D5E07" w:rsidRPr="003E51B4" w14:paraId="26EA6992" w14:textId="77777777" w:rsidTr="000B6C5B">
        <w:tc>
          <w:tcPr>
            <w:tcW w:w="2337" w:type="dxa"/>
          </w:tcPr>
          <w:p w14:paraId="4D7C85D2" w14:textId="7FC37930" w:rsidR="000D5E07" w:rsidRPr="003E51B4" w:rsidRDefault="000D5E07" w:rsidP="003E51B4">
            <w:pPr>
              <w:ind w:firstLine="0"/>
              <w:jc w:val="left"/>
              <w:rPr>
                <w:sz w:val="20"/>
                <w:szCs w:val="20"/>
                <w:lang w:val="uk-UA"/>
              </w:rPr>
            </w:pPr>
            <w:r w:rsidRPr="003E51B4">
              <w:rPr>
                <w:sz w:val="20"/>
                <w:szCs w:val="20"/>
                <w:lang w:val="uk-UA"/>
              </w:rPr>
              <w:t>Оціночна смертність на 100 000</w:t>
            </w:r>
          </w:p>
        </w:tc>
        <w:tc>
          <w:tcPr>
            <w:tcW w:w="2337" w:type="dxa"/>
          </w:tcPr>
          <w:p w14:paraId="3D26B14A" w14:textId="5B3B6306" w:rsidR="000D5E07" w:rsidRPr="003E51B4" w:rsidRDefault="000D5E07" w:rsidP="00C46798">
            <w:pPr>
              <w:ind w:firstLine="0"/>
              <w:jc w:val="center"/>
              <w:rPr>
                <w:sz w:val="20"/>
                <w:szCs w:val="20"/>
                <w:lang w:val="uk-UA"/>
              </w:rPr>
            </w:pPr>
            <w:r w:rsidRPr="003E51B4">
              <w:rPr>
                <w:sz w:val="20"/>
                <w:szCs w:val="20"/>
                <w:lang w:val="uk-UA"/>
              </w:rPr>
              <w:t xml:space="preserve">15 </w:t>
            </w:r>
          </w:p>
        </w:tc>
        <w:tc>
          <w:tcPr>
            <w:tcW w:w="2338" w:type="dxa"/>
          </w:tcPr>
          <w:p w14:paraId="106C4239" w14:textId="1052B6DF" w:rsidR="000D5E07" w:rsidRPr="003E51B4" w:rsidRDefault="000D5E07" w:rsidP="00C46798">
            <w:pPr>
              <w:ind w:firstLine="0"/>
              <w:jc w:val="center"/>
              <w:rPr>
                <w:sz w:val="20"/>
                <w:szCs w:val="20"/>
                <w:lang w:val="uk-UA"/>
              </w:rPr>
            </w:pPr>
            <w:r w:rsidRPr="003E51B4">
              <w:rPr>
                <w:sz w:val="20"/>
                <w:szCs w:val="20"/>
                <w:lang w:val="uk-UA"/>
              </w:rPr>
              <w:t xml:space="preserve">2,9 </w:t>
            </w:r>
          </w:p>
        </w:tc>
        <w:tc>
          <w:tcPr>
            <w:tcW w:w="2338" w:type="dxa"/>
          </w:tcPr>
          <w:p w14:paraId="24352C1F" w14:textId="503E4CBF" w:rsidR="000D5E07" w:rsidRPr="003E51B4" w:rsidRDefault="000D5E07" w:rsidP="00C46798">
            <w:pPr>
              <w:ind w:firstLine="0"/>
              <w:jc w:val="center"/>
              <w:rPr>
                <w:sz w:val="20"/>
                <w:szCs w:val="20"/>
                <w:lang w:val="uk-UA"/>
              </w:rPr>
            </w:pPr>
            <w:r w:rsidRPr="003E51B4">
              <w:rPr>
                <w:sz w:val="20"/>
                <w:szCs w:val="20"/>
                <w:lang w:val="uk-UA"/>
              </w:rPr>
              <w:t xml:space="preserve">19 </w:t>
            </w:r>
          </w:p>
        </w:tc>
      </w:tr>
      <w:tr w:rsidR="000D5E07" w:rsidRPr="003E51B4" w14:paraId="284B6984" w14:textId="77777777" w:rsidTr="000B6C5B">
        <w:tc>
          <w:tcPr>
            <w:tcW w:w="2337" w:type="dxa"/>
          </w:tcPr>
          <w:p w14:paraId="09E0C462" w14:textId="77777777" w:rsidR="000D5E07" w:rsidRPr="003E51B4" w:rsidRDefault="000D5E07" w:rsidP="003E51B4">
            <w:pPr>
              <w:ind w:firstLine="0"/>
              <w:jc w:val="left"/>
              <w:rPr>
                <w:sz w:val="20"/>
                <w:szCs w:val="20"/>
                <w:lang w:val="uk-UA"/>
              </w:rPr>
            </w:pPr>
            <w:r w:rsidRPr="003E51B4">
              <w:rPr>
                <w:sz w:val="20"/>
                <w:szCs w:val="20"/>
                <w:lang w:val="uk-UA"/>
              </w:rPr>
              <w:t>Оціночна захворюваність</w:t>
            </w:r>
          </w:p>
        </w:tc>
        <w:tc>
          <w:tcPr>
            <w:tcW w:w="2337" w:type="dxa"/>
          </w:tcPr>
          <w:p w14:paraId="0EDA9BE0" w14:textId="77777777" w:rsidR="000D5E07" w:rsidRPr="003E51B4" w:rsidRDefault="000D5E07" w:rsidP="00C46798">
            <w:pPr>
              <w:ind w:firstLine="0"/>
              <w:jc w:val="center"/>
              <w:rPr>
                <w:sz w:val="20"/>
                <w:szCs w:val="20"/>
                <w:lang w:val="uk-UA"/>
              </w:rPr>
            </w:pPr>
            <w:r w:rsidRPr="003E51B4">
              <w:rPr>
                <w:sz w:val="20"/>
                <w:szCs w:val="20"/>
                <w:lang w:val="uk-UA"/>
              </w:rPr>
              <w:t>32000 (1 людина кожні 16 хвилин)</w:t>
            </w:r>
          </w:p>
        </w:tc>
        <w:tc>
          <w:tcPr>
            <w:tcW w:w="2338" w:type="dxa"/>
          </w:tcPr>
          <w:p w14:paraId="739AA3A8" w14:textId="77777777" w:rsidR="000D5E07" w:rsidRPr="003E51B4" w:rsidRDefault="000D5E07" w:rsidP="00C46798">
            <w:pPr>
              <w:ind w:firstLine="0"/>
              <w:jc w:val="center"/>
              <w:rPr>
                <w:sz w:val="20"/>
                <w:szCs w:val="20"/>
                <w:lang w:val="uk-UA"/>
              </w:rPr>
            </w:pPr>
            <w:r w:rsidRPr="003E51B4">
              <w:rPr>
                <w:sz w:val="20"/>
                <w:szCs w:val="20"/>
                <w:lang w:val="uk-UA"/>
              </w:rPr>
              <w:t>231000 (1 людина кожні 2 хвилини)</w:t>
            </w:r>
          </w:p>
        </w:tc>
        <w:tc>
          <w:tcPr>
            <w:tcW w:w="2338" w:type="dxa"/>
          </w:tcPr>
          <w:p w14:paraId="0E856895" w14:textId="77777777" w:rsidR="000D5E07" w:rsidRPr="003E51B4" w:rsidRDefault="000D5E07" w:rsidP="00C46798">
            <w:pPr>
              <w:ind w:firstLine="0"/>
              <w:jc w:val="center"/>
              <w:rPr>
                <w:sz w:val="20"/>
                <w:szCs w:val="20"/>
                <w:lang w:val="uk-UA"/>
              </w:rPr>
            </w:pPr>
            <w:r w:rsidRPr="003E51B4">
              <w:rPr>
                <w:sz w:val="20"/>
                <w:szCs w:val="20"/>
                <w:lang w:val="uk-UA"/>
              </w:rPr>
              <w:t>9870000 (1 людина у 3 секунди)</w:t>
            </w:r>
          </w:p>
          <w:p w14:paraId="2F09DC0B" w14:textId="77777777" w:rsidR="000D5E07" w:rsidRPr="003E51B4" w:rsidRDefault="000D5E07" w:rsidP="00C46798">
            <w:pPr>
              <w:ind w:firstLine="0"/>
              <w:jc w:val="center"/>
              <w:rPr>
                <w:sz w:val="20"/>
                <w:szCs w:val="20"/>
                <w:lang w:val="uk-UA"/>
              </w:rPr>
            </w:pPr>
          </w:p>
        </w:tc>
      </w:tr>
      <w:tr w:rsidR="000D5E07" w:rsidRPr="003E51B4" w14:paraId="48018BAD" w14:textId="77777777" w:rsidTr="000B6C5B">
        <w:tc>
          <w:tcPr>
            <w:tcW w:w="2337" w:type="dxa"/>
          </w:tcPr>
          <w:p w14:paraId="701BA66C" w14:textId="090D1BDB" w:rsidR="000D5E07" w:rsidRPr="003E51B4" w:rsidRDefault="000D5E07" w:rsidP="003E51B4">
            <w:pPr>
              <w:ind w:firstLine="0"/>
              <w:jc w:val="left"/>
              <w:rPr>
                <w:sz w:val="20"/>
                <w:szCs w:val="20"/>
                <w:lang w:val="uk-UA"/>
              </w:rPr>
            </w:pPr>
            <w:r w:rsidRPr="003E51B4">
              <w:rPr>
                <w:sz w:val="20"/>
                <w:szCs w:val="20"/>
                <w:lang w:val="uk-UA"/>
              </w:rPr>
              <w:t>Оціночна захворюваність на 100 000</w:t>
            </w:r>
          </w:p>
        </w:tc>
        <w:tc>
          <w:tcPr>
            <w:tcW w:w="2337" w:type="dxa"/>
          </w:tcPr>
          <w:p w14:paraId="6FCC6349" w14:textId="77777777" w:rsidR="000D5E07" w:rsidRPr="003E51B4" w:rsidRDefault="000D5E07" w:rsidP="00C46798">
            <w:pPr>
              <w:ind w:firstLine="0"/>
              <w:jc w:val="center"/>
              <w:rPr>
                <w:sz w:val="20"/>
                <w:szCs w:val="20"/>
                <w:lang w:val="uk-UA"/>
              </w:rPr>
            </w:pPr>
            <w:r w:rsidRPr="003E51B4">
              <w:rPr>
                <w:sz w:val="20"/>
                <w:szCs w:val="20"/>
                <w:lang w:val="uk-UA"/>
              </w:rPr>
              <w:t>73(</w:t>
            </w:r>
            <w:r w:rsidRPr="003E51B4">
              <w:rPr>
                <w:sz w:val="20"/>
                <w:szCs w:val="20"/>
                <w:lang w:val="uk-UA"/>
              </w:rPr>
              <w:sym w:font="Symbol" w:char="F0AF"/>
            </w:r>
            <w:r w:rsidRPr="003E51B4">
              <w:rPr>
                <w:sz w:val="20"/>
                <w:szCs w:val="20"/>
                <w:lang w:val="uk-UA"/>
              </w:rPr>
              <w:t>-5,2%  з 2019 р)</w:t>
            </w:r>
          </w:p>
        </w:tc>
        <w:tc>
          <w:tcPr>
            <w:tcW w:w="2338" w:type="dxa"/>
          </w:tcPr>
          <w:p w14:paraId="0F09D0A6" w14:textId="77777777" w:rsidR="000D5E07" w:rsidRPr="003E51B4" w:rsidRDefault="000D5E07" w:rsidP="00C46798">
            <w:pPr>
              <w:ind w:firstLine="0"/>
              <w:jc w:val="center"/>
              <w:rPr>
                <w:sz w:val="20"/>
                <w:szCs w:val="20"/>
                <w:lang w:val="uk-UA"/>
              </w:rPr>
            </w:pPr>
            <w:r w:rsidRPr="003E51B4">
              <w:rPr>
                <w:sz w:val="20"/>
                <w:szCs w:val="20"/>
                <w:lang w:val="uk-UA"/>
              </w:rPr>
              <w:t>25 (</w:t>
            </w:r>
            <w:r w:rsidRPr="003E51B4">
              <w:rPr>
                <w:sz w:val="20"/>
                <w:szCs w:val="20"/>
                <w:lang w:val="uk-UA"/>
              </w:rPr>
              <w:sym w:font="Symbol" w:char="F0AF"/>
            </w:r>
            <w:r w:rsidRPr="003E51B4">
              <w:rPr>
                <w:sz w:val="20"/>
                <w:szCs w:val="20"/>
                <w:lang w:val="uk-UA"/>
              </w:rPr>
              <w:t>-6,4% з 2019 р)</w:t>
            </w:r>
          </w:p>
        </w:tc>
        <w:tc>
          <w:tcPr>
            <w:tcW w:w="2338" w:type="dxa"/>
          </w:tcPr>
          <w:p w14:paraId="06961DCA" w14:textId="77777777" w:rsidR="000D5E07" w:rsidRPr="003E51B4" w:rsidRDefault="000D5E07" w:rsidP="00C46798">
            <w:pPr>
              <w:ind w:firstLine="0"/>
              <w:jc w:val="center"/>
              <w:rPr>
                <w:sz w:val="20"/>
                <w:szCs w:val="20"/>
                <w:lang w:val="uk-UA"/>
              </w:rPr>
            </w:pPr>
            <w:r w:rsidRPr="003E51B4">
              <w:rPr>
                <w:sz w:val="20"/>
                <w:szCs w:val="20"/>
                <w:lang w:val="uk-UA"/>
              </w:rPr>
              <w:t>127 (</w:t>
            </w:r>
            <w:r w:rsidRPr="003E51B4">
              <w:rPr>
                <w:sz w:val="20"/>
                <w:szCs w:val="20"/>
                <w:lang w:val="uk-UA"/>
              </w:rPr>
              <w:sym w:font="Symbol" w:char="F0AF"/>
            </w:r>
            <w:r w:rsidRPr="003E51B4">
              <w:rPr>
                <w:sz w:val="20"/>
                <w:szCs w:val="20"/>
                <w:lang w:val="uk-UA"/>
              </w:rPr>
              <w:t>-1,9% з 2019 р)</w:t>
            </w:r>
          </w:p>
        </w:tc>
      </w:tr>
      <w:tr w:rsidR="000D5E07" w:rsidRPr="003E51B4" w14:paraId="4DFAFA92" w14:textId="77777777" w:rsidTr="000B6C5B">
        <w:tc>
          <w:tcPr>
            <w:tcW w:w="2337" w:type="dxa"/>
          </w:tcPr>
          <w:p w14:paraId="7E5835A6" w14:textId="77777777" w:rsidR="000D5E07" w:rsidRPr="003E51B4" w:rsidRDefault="000D5E07" w:rsidP="003E51B4">
            <w:pPr>
              <w:ind w:firstLine="0"/>
              <w:jc w:val="left"/>
              <w:rPr>
                <w:sz w:val="20"/>
                <w:szCs w:val="20"/>
                <w:lang w:val="uk-UA"/>
              </w:rPr>
            </w:pPr>
            <w:r w:rsidRPr="003E51B4">
              <w:rPr>
                <w:sz w:val="20"/>
                <w:szCs w:val="20"/>
                <w:lang w:val="uk-UA"/>
              </w:rPr>
              <w:t xml:space="preserve">Діагностовано нові випадки та зареєстровані з ТБ </w:t>
            </w:r>
          </w:p>
        </w:tc>
        <w:tc>
          <w:tcPr>
            <w:tcW w:w="2337" w:type="dxa"/>
          </w:tcPr>
          <w:p w14:paraId="190F1E4A" w14:textId="77777777" w:rsidR="000D5E07" w:rsidRPr="003E51B4" w:rsidRDefault="000D5E07" w:rsidP="00C46798">
            <w:pPr>
              <w:ind w:firstLine="0"/>
              <w:jc w:val="center"/>
              <w:rPr>
                <w:sz w:val="20"/>
                <w:szCs w:val="20"/>
                <w:lang w:val="uk-UA"/>
              </w:rPr>
            </w:pPr>
            <w:r w:rsidRPr="003E51B4">
              <w:rPr>
                <w:sz w:val="20"/>
                <w:szCs w:val="20"/>
                <w:lang w:val="uk-UA"/>
              </w:rPr>
              <w:t>17533 (</w:t>
            </w:r>
            <w:r w:rsidRPr="003E51B4">
              <w:rPr>
                <w:sz w:val="20"/>
                <w:szCs w:val="20"/>
                <w:lang w:val="uk-UA"/>
              </w:rPr>
              <w:sym w:font="Symbol" w:char="F0AF"/>
            </w:r>
            <w:r w:rsidRPr="003E51B4">
              <w:rPr>
                <w:sz w:val="20"/>
                <w:szCs w:val="20"/>
                <w:lang w:val="uk-UA"/>
              </w:rPr>
              <w:t>-31%  з 2019 р)</w:t>
            </w:r>
          </w:p>
        </w:tc>
        <w:tc>
          <w:tcPr>
            <w:tcW w:w="2338" w:type="dxa"/>
          </w:tcPr>
          <w:p w14:paraId="7409AF75" w14:textId="77777777" w:rsidR="000D5E07" w:rsidRPr="003E51B4" w:rsidRDefault="000D5E07" w:rsidP="00C46798">
            <w:pPr>
              <w:ind w:firstLine="0"/>
              <w:jc w:val="center"/>
              <w:rPr>
                <w:sz w:val="20"/>
                <w:szCs w:val="20"/>
                <w:lang w:val="uk-UA"/>
              </w:rPr>
            </w:pPr>
            <w:r w:rsidRPr="003E51B4">
              <w:rPr>
                <w:sz w:val="20"/>
                <w:szCs w:val="20"/>
                <w:lang w:val="uk-UA"/>
              </w:rPr>
              <w:t>163676 (</w:t>
            </w:r>
            <w:r w:rsidRPr="003E51B4">
              <w:rPr>
                <w:sz w:val="20"/>
                <w:szCs w:val="20"/>
                <w:lang w:val="uk-UA"/>
              </w:rPr>
              <w:sym w:font="Symbol" w:char="F0AF"/>
            </w:r>
            <w:r w:rsidRPr="003E51B4">
              <w:rPr>
                <w:sz w:val="20"/>
                <w:szCs w:val="20"/>
                <w:lang w:val="uk-UA"/>
              </w:rPr>
              <w:t>-24%  з 2019 р)</w:t>
            </w:r>
          </w:p>
        </w:tc>
        <w:tc>
          <w:tcPr>
            <w:tcW w:w="2338" w:type="dxa"/>
          </w:tcPr>
          <w:p w14:paraId="329D0CA6" w14:textId="77777777" w:rsidR="000D5E07" w:rsidRPr="003E51B4" w:rsidRDefault="000D5E07" w:rsidP="00C46798">
            <w:pPr>
              <w:ind w:firstLine="0"/>
              <w:jc w:val="center"/>
              <w:rPr>
                <w:sz w:val="20"/>
                <w:szCs w:val="20"/>
                <w:lang w:val="uk-UA"/>
              </w:rPr>
            </w:pPr>
            <w:r w:rsidRPr="003E51B4">
              <w:rPr>
                <w:sz w:val="20"/>
                <w:szCs w:val="20"/>
                <w:lang w:val="uk-UA"/>
              </w:rPr>
              <w:t>5733917 (</w:t>
            </w:r>
            <w:r w:rsidRPr="003E51B4">
              <w:rPr>
                <w:sz w:val="20"/>
                <w:szCs w:val="20"/>
                <w:lang w:val="uk-UA"/>
              </w:rPr>
              <w:sym w:font="Symbol" w:char="F0AF"/>
            </w:r>
            <w:r w:rsidRPr="003E51B4">
              <w:rPr>
                <w:sz w:val="20"/>
                <w:szCs w:val="20"/>
                <w:lang w:val="uk-UA"/>
              </w:rPr>
              <w:t>-18%  з 2019 р)</w:t>
            </w:r>
          </w:p>
        </w:tc>
      </w:tr>
      <w:tr w:rsidR="000D5E07" w:rsidRPr="003E51B4" w14:paraId="523873B0" w14:textId="77777777" w:rsidTr="000B6C5B">
        <w:tc>
          <w:tcPr>
            <w:tcW w:w="2337" w:type="dxa"/>
          </w:tcPr>
          <w:p w14:paraId="306B8AB5" w14:textId="77777777" w:rsidR="000D5E07" w:rsidRPr="003E51B4" w:rsidRDefault="000D5E07" w:rsidP="003E51B4">
            <w:pPr>
              <w:ind w:firstLine="0"/>
              <w:jc w:val="left"/>
              <w:rPr>
                <w:sz w:val="20"/>
                <w:szCs w:val="20"/>
                <w:lang w:val="uk-UA"/>
              </w:rPr>
            </w:pPr>
            <w:r w:rsidRPr="003E51B4">
              <w:rPr>
                <w:sz w:val="20"/>
                <w:szCs w:val="20"/>
                <w:lang w:val="uk-UA"/>
              </w:rPr>
              <w:t>Діагностовано швидкими методами ВООЗ</w:t>
            </w:r>
          </w:p>
        </w:tc>
        <w:tc>
          <w:tcPr>
            <w:tcW w:w="2337" w:type="dxa"/>
          </w:tcPr>
          <w:p w14:paraId="28B5092A" w14:textId="77777777" w:rsidR="000D5E07" w:rsidRPr="003E51B4" w:rsidRDefault="000D5E07" w:rsidP="00C46798">
            <w:pPr>
              <w:ind w:firstLine="0"/>
              <w:jc w:val="center"/>
              <w:rPr>
                <w:sz w:val="20"/>
                <w:szCs w:val="20"/>
                <w:lang w:val="uk-UA"/>
              </w:rPr>
            </w:pPr>
            <w:r w:rsidRPr="003E51B4">
              <w:rPr>
                <w:sz w:val="20"/>
                <w:szCs w:val="20"/>
                <w:lang w:val="uk-UA"/>
              </w:rPr>
              <w:t>96 %</w:t>
            </w:r>
          </w:p>
        </w:tc>
        <w:tc>
          <w:tcPr>
            <w:tcW w:w="2338" w:type="dxa"/>
          </w:tcPr>
          <w:p w14:paraId="442D47B4" w14:textId="77777777" w:rsidR="000D5E07" w:rsidRPr="003E51B4" w:rsidRDefault="000D5E07" w:rsidP="00C46798">
            <w:pPr>
              <w:ind w:firstLine="0"/>
              <w:jc w:val="center"/>
              <w:rPr>
                <w:sz w:val="20"/>
                <w:szCs w:val="20"/>
                <w:lang w:val="uk-UA"/>
              </w:rPr>
            </w:pPr>
            <w:r w:rsidRPr="003E51B4">
              <w:rPr>
                <w:sz w:val="20"/>
                <w:szCs w:val="20"/>
                <w:lang w:val="uk-UA"/>
              </w:rPr>
              <w:t>68 %</w:t>
            </w:r>
          </w:p>
        </w:tc>
        <w:tc>
          <w:tcPr>
            <w:tcW w:w="2338" w:type="dxa"/>
          </w:tcPr>
          <w:p w14:paraId="1824AE1E" w14:textId="77777777" w:rsidR="000D5E07" w:rsidRPr="003E51B4" w:rsidRDefault="000D5E07" w:rsidP="00C46798">
            <w:pPr>
              <w:ind w:firstLine="0"/>
              <w:jc w:val="center"/>
              <w:rPr>
                <w:sz w:val="20"/>
                <w:szCs w:val="20"/>
                <w:lang w:val="uk-UA"/>
              </w:rPr>
            </w:pPr>
            <w:r w:rsidRPr="003E51B4">
              <w:rPr>
                <w:sz w:val="20"/>
                <w:szCs w:val="20"/>
                <w:lang w:val="uk-UA"/>
              </w:rPr>
              <w:t>33 %</w:t>
            </w:r>
          </w:p>
        </w:tc>
      </w:tr>
      <w:tr w:rsidR="000D5E07" w:rsidRPr="003E51B4" w14:paraId="6DCC8CE6" w14:textId="77777777" w:rsidTr="000B6C5B">
        <w:trPr>
          <w:trHeight w:val="260"/>
        </w:trPr>
        <w:tc>
          <w:tcPr>
            <w:tcW w:w="2337" w:type="dxa"/>
          </w:tcPr>
          <w:p w14:paraId="5ABB0904" w14:textId="77777777" w:rsidR="000D5E07" w:rsidRPr="003E51B4" w:rsidRDefault="000D5E07" w:rsidP="003E51B4">
            <w:pPr>
              <w:ind w:firstLine="0"/>
              <w:jc w:val="left"/>
              <w:rPr>
                <w:sz w:val="20"/>
                <w:szCs w:val="20"/>
                <w:lang w:val="uk-UA"/>
              </w:rPr>
            </w:pPr>
            <w:r w:rsidRPr="003E51B4">
              <w:rPr>
                <w:sz w:val="20"/>
                <w:szCs w:val="20"/>
                <w:lang w:val="uk-UA"/>
              </w:rPr>
              <w:t>Діагностовано МЛС-ТБ</w:t>
            </w:r>
          </w:p>
        </w:tc>
        <w:tc>
          <w:tcPr>
            <w:tcW w:w="2337" w:type="dxa"/>
          </w:tcPr>
          <w:p w14:paraId="5455D5BD" w14:textId="77777777" w:rsidR="000D5E07" w:rsidRPr="003E51B4" w:rsidRDefault="000D5E07" w:rsidP="00C46798">
            <w:pPr>
              <w:ind w:firstLine="0"/>
              <w:jc w:val="center"/>
              <w:rPr>
                <w:sz w:val="20"/>
                <w:szCs w:val="20"/>
                <w:lang w:val="uk-UA"/>
              </w:rPr>
            </w:pPr>
            <w:r w:rsidRPr="003E51B4">
              <w:rPr>
                <w:sz w:val="20"/>
                <w:szCs w:val="20"/>
                <w:lang w:val="uk-UA"/>
              </w:rPr>
              <w:t>4257 (</w:t>
            </w:r>
            <w:r w:rsidRPr="003E51B4">
              <w:rPr>
                <w:sz w:val="20"/>
                <w:szCs w:val="20"/>
                <w:lang w:val="uk-UA"/>
              </w:rPr>
              <w:sym w:font="Symbol" w:char="F0AF"/>
            </w:r>
            <w:r w:rsidRPr="003E51B4">
              <w:rPr>
                <w:sz w:val="20"/>
                <w:szCs w:val="20"/>
                <w:lang w:val="uk-UA"/>
              </w:rPr>
              <w:t>-30%  з 2019 р)</w:t>
            </w:r>
          </w:p>
        </w:tc>
        <w:tc>
          <w:tcPr>
            <w:tcW w:w="2338" w:type="dxa"/>
          </w:tcPr>
          <w:p w14:paraId="7BF59417" w14:textId="77777777" w:rsidR="000D5E07" w:rsidRPr="003E51B4" w:rsidRDefault="000D5E07" w:rsidP="00C46798">
            <w:pPr>
              <w:ind w:firstLine="0"/>
              <w:jc w:val="center"/>
              <w:rPr>
                <w:sz w:val="20"/>
                <w:szCs w:val="20"/>
                <w:lang w:val="uk-UA"/>
              </w:rPr>
            </w:pPr>
            <w:r w:rsidRPr="003E51B4">
              <w:rPr>
                <w:sz w:val="20"/>
                <w:szCs w:val="20"/>
                <w:lang w:val="uk-UA"/>
              </w:rPr>
              <w:t>38003 (</w:t>
            </w:r>
            <w:r w:rsidRPr="003E51B4">
              <w:rPr>
                <w:sz w:val="20"/>
                <w:szCs w:val="20"/>
                <w:lang w:val="uk-UA"/>
              </w:rPr>
              <w:sym w:font="Symbol" w:char="F0AF"/>
            </w:r>
            <w:r w:rsidRPr="003E51B4">
              <w:rPr>
                <w:sz w:val="20"/>
                <w:szCs w:val="20"/>
                <w:lang w:val="uk-UA"/>
              </w:rPr>
              <w:t>-21%  з 2019 р)</w:t>
            </w:r>
          </w:p>
        </w:tc>
        <w:tc>
          <w:tcPr>
            <w:tcW w:w="2338" w:type="dxa"/>
          </w:tcPr>
          <w:p w14:paraId="173F2DCB" w14:textId="77777777" w:rsidR="000D5E07" w:rsidRPr="003E51B4" w:rsidRDefault="000D5E07" w:rsidP="00C46798">
            <w:pPr>
              <w:ind w:firstLine="0"/>
              <w:jc w:val="center"/>
              <w:rPr>
                <w:sz w:val="20"/>
                <w:szCs w:val="20"/>
                <w:lang w:val="uk-UA"/>
              </w:rPr>
            </w:pPr>
            <w:r w:rsidRPr="003E51B4">
              <w:rPr>
                <w:sz w:val="20"/>
                <w:szCs w:val="20"/>
                <w:lang w:val="uk-UA"/>
              </w:rPr>
              <w:t>157832 (</w:t>
            </w:r>
            <w:r w:rsidRPr="003E51B4">
              <w:rPr>
                <w:sz w:val="20"/>
                <w:szCs w:val="20"/>
                <w:lang w:val="uk-UA"/>
              </w:rPr>
              <w:sym w:font="Symbol" w:char="F0AF"/>
            </w:r>
            <w:r w:rsidRPr="003E51B4">
              <w:rPr>
                <w:sz w:val="20"/>
                <w:szCs w:val="20"/>
                <w:lang w:val="uk-UA"/>
              </w:rPr>
              <w:t>-22% з 2019 р)</w:t>
            </w:r>
          </w:p>
        </w:tc>
      </w:tr>
      <w:tr w:rsidR="000D5E07" w:rsidRPr="003E51B4" w14:paraId="7087E05B" w14:textId="77777777" w:rsidTr="000B6C5B">
        <w:trPr>
          <w:trHeight w:val="260"/>
        </w:trPr>
        <w:tc>
          <w:tcPr>
            <w:tcW w:w="2337" w:type="dxa"/>
          </w:tcPr>
          <w:p w14:paraId="5B4650AF" w14:textId="77777777" w:rsidR="000D5E07" w:rsidRPr="003E51B4" w:rsidRDefault="000D5E07" w:rsidP="003E51B4">
            <w:pPr>
              <w:ind w:firstLine="0"/>
              <w:jc w:val="left"/>
              <w:rPr>
                <w:sz w:val="20"/>
                <w:szCs w:val="20"/>
                <w:lang w:val="uk-UA"/>
              </w:rPr>
            </w:pPr>
            <w:r w:rsidRPr="003E51B4">
              <w:rPr>
                <w:sz w:val="20"/>
                <w:szCs w:val="20"/>
                <w:lang w:val="uk-UA"/>
              </w:rPr>
              <w:t>Розпочали лікування МЛС-ТБ</w:t>
            </w:r>
          </w:p>
        </w:tc>
        <w:tc>
          <w:tcPr>
            <w:tcW w:w="2337" w:type="dxa"/>
          </w:tcPr>
          <w:p w14:paraId="3392309A" w14:textId="77777777" w:rsidR="000D5E07" w:rsidRPr="003E51B4" w:rsidRDefault="000D5E07" w:rsidP="00C46798">
            <w:pPr>
              <w:ind w:firstLine="0"/>
              <w:jc w:val="center"/>
              <w:rPr>
                <w:sz w:val="20"/>
                <w:szCs w:val="20"/>
                <w:lang w:val="uk-UA"/>
              </w:rPr>
            </w:pPr>
            <w:r w:rsidRPr="003E51B4">
              <w:rPr>
                <w:sz w:val="20"/>
                <w:szCs w:val="20"/>
                <w:lang w:val="uk-UA"/>
              </w:rPr>
              <w:t>5181 (</w:t>
            </w:r>
            <w:r w:rsidRPr="003E51B4">
              <w:rPr>
                <w:sz w:val="20"/>
                <w:szCs w:val="20"/>
                <w:lang w:val="uk-UA"/>
              </w:rPr>
              <w:sym w:font="Symbol" w:char="F0AF"/>
            </w:r>
            <w:r w:rsidRPr="003E51B4">
              <w:rPr>
                <w:sz w:val="20"/>
                <w:szCs w:val="20"/>
                <w:lang w:val="uk-UA"/>
              </w:rPr>
              <w:t>-34%  з 2019 р)</w:t>
            </w:r>
          </w:p>
        </w:tc>
        <w:tc>
          <w:tcPr>
            <w:tcW w:w="2338" w:type="dxa"/>
          </w:tcPr>
          <w:p w14:paraId="0A5F546C" w14:textId="77777777" w:rsidR="000D5E07" w:rsidRPr="003E51B4" w:rsidRDefault="000D5E07" w:rsidP="00C46798">
            <w:pPr>
              <w:ind w:firstLine="0"/>
              <w:jc w:val="center"/>
              <w:rPr>
                <w:sz w:val="20"/>
                <w:szCs w:val="20"/>
                <w:lang w:val="uk-UA"/>
              </w:rPr>
            </w:pPr>
            <w:r w:rsidRPr="003E51B4">
              <w:rPr>
                <w:sz w:val="20"/>
                <w:szCs w:val="20"/>
                <w:lang w:val="uk-UA"/>
              </w:rPr>
              <w:t>48222 (</w:t>
            </w:r>
            <w:r w:rsidRPr="003E51B4">
              <w:rPr>
                <w:sz w:val="20"/>
                <w:szCs w:val="20"/>
                <w:lang w:val="uk-UA"/>
              </w:rPr>
              <w:sym w:font="Symbol" w:char="F0AF"/>
            </w:r>
            <w:r w:rsidRPr="003E51B4">
              <w:rPr>
                <w:sz w:val="20"/>
                <w:szCs w:val="20"/>
                <w:lang w:val="uk-UA"/>
              </w:rPr>
              <w:t>-8,1%  з 2019 р)</w:t>
            </w:r>
          </w:p>
        </w:tc>
        <w:tc>
          <w:tcPr>
            <w:tcW w:w="2338" w:type="dxa"/>
          </w:tcPr>
          <w:p w14:paraId="063669DC" w14:textId="77777777" w:rsidR="000D5E07" w:rsidRPr="003E51B4" w:rsidRDefault="000D5E07" w:rsidP="00C46798">
            <w:pPr>
              <w:ind w:firstLine="0"/>
              <w:jc w:val="center"/>
              <w:rPr>
                <w:sz w:val="20"/>
                <w:szCs w:val="20"/>
                <w:lang w:val="uk-UA"/>
              </w:rPr>
            </w:pPr>
            <w:r w:rsidRPr="003E51B4">
              <w:rPr>
                <w:sz w:val="20"/>
                <w:szCs w:val="20"/>
                <w:lang w:val="uk-UA"/>
              </w:rPr>
              <w:t>150241 (</w:t>
            </w:r>
            <w:r w:rsidRPr="003E51B4">
              <w:rPr>
                <w:sz w:val="20"/>
                <w:szCs w:val="20"/>
                <w:lang w:val="uk-UA"/>
              </w:rPr>
              <w:sym w:font="Symbol" w:char="F0AF"/>
            </w:r>
            <w:r w:rsidRPr="003E51B4">
              <w:rPr>
                <w:sz w:val="20"/>
                <w:szCs w:val="20"/>
                <w:lang w:val="uk-UA"/>
              </w:rPr>
              <w:t>-15%  з 2019 р)</w:t>
            </w:r>
          </w:p>
        </w:tc>
      </w:tr>
      <w:tr w:rsidR="000D5E07" w:rsidRPr="003E51B4" w14:paraId="13D8C6C9" w14:textId="77777777" w:rsidTr="000B6C5B">
        <w:trPr>
          <w:trHeight w:val="260"/>
        </w:trPr>
        <w:tc>
          <w:tcPr>
            <w:tcW w:w="2337" w:type="dxa"/>
          </w:tcPr>
          <w:p w14:paraId="27B6EF2F" w14:textId="77777777" w:rsidR="000D5E07" w:rsidRPr="003E51B4" w:rsidRDefault="000D5E07" w:rsidP="003E51B4">
            <w:pPr>
              <w:ind w:firstLine="0"/>
              <w:jc w:val="left"/>
              <w:rPr>
                <w:sz w:val="20"/>
                <w:szCs w:val="20"/>
                <w:lang w:val="uk-UA"/>
              </w:rPr>
            </w:pPr>
            <w:r w:rsidRPr="003E51B4">
              <w:rPr>
                <w:sz w:val="20"/>
                <w:szCs w:val="20"/>
                <w:lang w:val="uk-UA"/>
              </w:rPr>
              <w:t>Рекомендовані ВООЗ короткі схеми лікування</w:t>
            </w:r>
          </w:p>
        </w:tc>
        <w:tc>
          <w:tcPr>
            <w:tcW w:w="2337" w:type="dxa"/>
          </w:tcPr>
          <w:p w14:paraId="300295BF" w14:textId="77777777" w:rsidR="000D5E07" w:rsidRPr="003E51B4" w:rsidRDefault="000D5E07" w:rsidP="00C46798">
            <w:pPr>
              <w:ind w:firstLine="0"/>
              <w:jc w:val="center"/>
              <w:rPr>
                <w:sz w:val="20"/>
                <w:szCs w:val="20"/>
                <w:lang w:val="uk-UA"/>
              </w:rPr>
            </w:pPr>
            <w:r w:rsidRPr="003E51B4">
              <w:rPr>
                <w:sz w:val="20"/>
                <w:szCs w:val="20"/>
                <w:lang w:val="uk-UA"/>
              </w:rPr>
              <w:t>9,7%</w:t>
            </w:r>
          </w:p>
        </w:tc>
        <w:tc>
          <w:tcPr>
            <w:tcW w:w="2338" w:type="dxa"/>
          </w:tcPr>
          <w:p w14:paraId="6E3798A6" w14:textId="77777777" w:rsidR="000D5E07" w:rsidRPr="003E51B4" w:rsidRDefault="000D5E07" w:rsidP="00C46798">
            <w:pPr>
              <w:ind w:firstLine="0"/>
              <w:jc w:val="center"/>
              <w:rPr>
                <w:sz w:val="20"/>
                <w:szCs w:val="20"/>
                <w:lang w:val="uk-UA"/>
              </w:rPr>
            </w:pPr>
            <w:r w:rsidRPr="003E51B4">
              <w:rPr>
                <w:sz w:val="20"/>
                <w:szCs w:val="20"/>
                <w:lang w:val="uk-UA"/>
              </w:rPr>
              <w:t>43%</w:t>
            </w:r>
          </w:p>
        </w:tc>
        <w:tc>
          <w:tcPr>
            <w:tcW w:w="2338" w:type="dxa"/>
          </w:tcPr>
          <w:p w14:paraId="65E81775" w14:textId="77777777" w:rsidR="000D5E07" w:rsidRPr="00C46798" w:rsidRDefault="000D5E07" w:rsidP="00C46798">
            <w:pPr>
              <w:ind w:firstLine="0"/>
              <w:jc w:val="center"/>
              <w:rPr>
                <w:sz w:val="20"/>
                <w:szCs w:val="20"/>
                <w:lang w:val="uk-UA"/>
              </w:rPr>
            </w:pPr>
            <w:r w:rsidRPr="00C46798">
              <w:rPr>
                <w:sz w:val="20"/>
                <w:szCs w:val="20"/>
                <w:lang w:val="uk-UA"/>
              </w:rPr>
              <w:t>8,7%</w:t>
            </w:r>
          </w:p>
        </w:tc>
      </w:tr>
      <w:tr w:rsidR="000D5E07" w:rsidRPr="003E51B4" w14:paraId="321B4D31" w14:textId="77777777" w:rsidTr="000B6C5B">
        <w:trPr>
          <w:trHeight w:val="260"/>
        </w:trPr>
        <w:tc>
          <w:tcPr>
            <w:tcW w:w="9350" w:type="dxa"/>
            <w:gridSpan w:val="4"/>
          </w:tcPr>
          <w:p w14:paraId="7E4EDA58" w14:textId="77777777" w:rsidR="000D5E07" w:rsidRPr="003E51B4" w:rsidRDefault="000D5E07" w:rsidP="003E51B4">
            <w:pPr>
              <w:ind w:firstLine="0"/>
              <w:jc w:val="center"/>
              <w:rPr>
                <w:sz w:val="20"/>
                <w:szCs w:val="20"/>
                <w:lang w:val="uk-UA"/>
              </w:rPr>
            </w:pPr>
            <w:r w:rsidRPr="003E51B4">
              <w:rPr>
                <w:sz w:val="20"/>
                <w:szCs w:val="20"/>
                <w:lang w:val="uk-UA"/>
              </w:rPr>
              <w:t>Успішність лікування</w:t>
            </w:r>
          </w:p>
        </w:tc>
      </w:tr>
      <w:tr w:rsidR="000D5E07" w:rsidRPr="003E51B4" w14:paraId="197DD14F" w14:textId="77777777" w:rsidTr="000B6C5B">
        <w:trPr>
          <w:trHeight w:val="292"/>
        </w:trPr>
        <w:tc>
          <w:tcPr>
            <w:tcW w:w="2337" w:type="dxa"/>
          </w:tcPr>
          <w:p w14:paraId="5C6D27F1" w14:textId="77777777" w:rsidR="000D5E07" w:rsidRPr="003E51B4" w:rsidRDefault="000D5E07" w:rsidP="003E51B4">
            <w:pPr>
              <w:jc w:val="left"/>
              <w:rPr>
                <w:sz w:val="20"/>
                <w:szCs w:val="20"/>
                <w:lang w:val="uk-UA"/>
              </w:rPr>
            </w:pPr>
            <w:r w:rsidRPr="003E51B4">
              <w:rPr>
                <w:sz w:val="20"/>
                <w:szCs w:val="20"/>
                <w:lang w:val="uk-UA"/>
              </w:rPr>
              <w:t>2019 р</w:t>
            </w:r>
          </w:p>
        </w:tc>
        <w:tc>
          <w:tcPr>
            <w:tcW w:w="2337" w:type="dxa"/>
          </w:tcPr>
          <w:p w14:paraId="62A22BE7" w14:textId="77777777" w:rsidR="000D5E07" w:rsidRPr="003E51B4" w:rsidRDefault="000D5E07" w:rsidP="00C46798">
            <w:pPr>
              <w:ind w:firstLine="0"/>
              <w:jc w:val="center"/>
              <w:rPr>
                <w:sz w:val="20"/>
                <w:szCs w:val="20"/>
                <w:lang w:val="uk-UA"/>
              </w:rPr>
            </w:pPr>
            <w:r w:rsidRPr="003E51B4">
              <w:rPr>
                <w:sz w:val="20"/>
                <w:szCs w:val="20"/>
                <w:lang w:val="uk-UA"/>
              </w:rPr>
              <w:t>79%</w:t>
            </w:r>
          </w:p>
        </w:tc>
        <w:tc>
          <w:tcPr>
            <w:tcW w:w="2338" w:type="dxa"/>
          </w:tcPr>
          <w:p w14:paraId="027B3794" w14:textId="77777777" w:rsidR="000D5E07" w:rsidRPr="003E51B4" w:rsidRDefault="000D5E07" w:rsidP="00C46798">
            <w:pPr>
              <w:ind w:firstLine="0"/>
              <w:jc w:val="center"/>
              <w:rPr>
                <w:sz w:val="20"/>
                <w:szCs w:val="20"/>
                <w:lang w:val="uk-UA"/>
              </w:rPr>
            </w:pPr>
            <w:r w:rsidRPr="003E51B4">
              <w:rPr>
                <w:sz w:val="20"/>
                <w:szCs w:val="20"/>
                <w:lang w:val="uk-UA"/>
              </w:rPr>
              <w:t>75%</w:t>
            </w:r>
          </w:p>
        </w:tc>
        <w:tc>
          <w:tcPr>
            <w:tcW w:w="2338" w:type="dxa"/>
          </w:tcPr>
          <w:p w14:paraId="4C0FE981" w14:textId="77777777" w:rsidR="000D5E07" w:rsidRPr="003E51B4" w:rsidRDefault="000D5E07" w:rsidP="00C46798">
            <w:pPr>
              <w:ind w:firstLine="0"/>
              <w:jc w:val="center"/>
              <w:rPr>
                <w:sz w:val="20"/>
                <w:szCs w:val="20"/>
                <w:lang w:val="uk-UA"/>
              </w:rPr>
            </w:pPr>
            <w:r w:rsidRPr="003E51B4">
              <w:rPr>
                <w:sz w:val="20"/>
                <w:szCs w:val="20"/>
                <w:lang w:val="uk-UA"/>
              </w:rPr>
              <w:t>86%</w:t>
            </w:r>
          </w:p>
        </w:tc>
      </w:tr>
      <w:tr w:rsidR="000D5E07" w:rsidRPr="003E51B4" w14:paraId="5CC5EBCA" w14:textId="77777777" w:rsidTr="000B6C5B">
        <w:trPr>
          <w:trHeight w:val="260"/>
        </w:trPr>
        <w:tc>
          <w:tcPr>
            <w:tcW w:w="2337" w:type="dxa"/>
          </w:tcPr>
          <w:p w14:paraId="0AD38D35" w14:textId="77777777" w:rsidR="000D5E07" w:rsidRPr="003E51B4" w:rsidRDefault="000D5E07" w:rsidP="003E51B4">
            <w:pPr>
              <w:jc w:val="left"/>
              <w:rPr>
                <w:sz w:val="20"/>
                <w:szCs w:val="20"/>
                <w:lang w:val="uk-UA"/>
              </w:rPr>
            </w:pPr>
            <w:r w:rsidRPr="003E51B4">
              <w:rPr>
                <w:sz w:val="20"/>
                <w:szCs w:val="20"/>
                <w:lang w:val="uk-UA"/>
              </w:rPr>
              <w:t>2018 р</w:t>
            </w:r>
          </w:p>
        </w:tc>
        <w:tc>
          <w:tcPr>
            <w:tcW w:w="2337" w:type="dxa"/>
          </w:tcPr>
          <w:p w14:paraId="70DCE4FF" w14:textId="77777777" w:rsidR="000D5E07" w:rsidRPr="003E51B4" w:rsidRDefault="000D5E07" w:rsidP="00C46798">
            <w:pPr>
              <w:ind w:firstLine="0"/>
              <w:jc w:val="center"/>
              <w:rPr>
                <w:sz w:val="20"/>
                <w:szCs w:val="20"/>
                <w:lang w:val="uk-UA"/>
              </w:rPr>
            </w:pPr>
            <w:r w:rsidRPr="003E51B4">
              <w:rPr>
                <w:sz w:val="20"/>
                <w:szCs w:val="20"/>
                <w:lang w:val="uk-UA"/>
              </w:rPr>
              <w:t>50%</w:t>
            </w:r>
          </w:p>
        </w:tc>
        <w:tc>
          <w:tcPr>
            <w:tcW w:w="2338" w:type="dxa"/>
          </w:tcPr>
          <w:p w14:paraId="6549F40F" w14:textId="77777777" w:rsidR="000D5E07" w:rsidRPr="003E51B4" w:rsidRDefault="000D5E07" w:rsidP="00C46798">
            <w:pPr>
              <w:ind w:firstLine="0"/>
              <w:jc w:val="center"/>
              <w:rPr>
                <w:sz w:val="20"/>
                <w:szCs w:val="20"/>
                <w:lang w:val="uk-UA"/>
              </w:rPr>
            </w:pPr>
            <w:r w:rsidRPr="003E51B4">
              <w:rPr>
                <w:sz w:val="20"/>
                <w:szCs w:val="20"/>
                <w:lang w:val="uk-UA"/>
              </w:rPr>
              <w:t>56%</w:t>
            </w:r>
          </w:p>
        </w:tc>
        <w:tc>
          <w:tcPr>
            <w:tcW w:w="2338" w:type="dxa"/>
          </w:tcPr>
          <w:p w14:paraId="6124D32A" w14:textId="77777777" w:rsidR="000D5E07" w:rsidRPr="003E51B4" w:rsidRDefault="000D5E07" w:rsidP="00C46798">
            <w:pPr>
              <w:ind w:firstLine="0"/>
              <w:jc w:val="center"/>
              <w:rPr>
                <w:sz w:val="20"/>
                <w:szCs w:val="20"/>
                <w:lang w:val="uk-UA"/>
              </w:rPr>
            </w:pPr>
            <w:r w:rsidRPr="003E51B4">
              <w:rPr>
                <w:sz w:val="20"/>
                <w:szCs w:val="20"/>
                <w:lang w:val="uk-UA"/>
              </w:rPr>
              <w:t>59%</w:t>
            </w:r>
          </w:p>
        </w:tc>
      </w:tr>
      <w:tr w:rsidR="000D5E07" w:rsidRPr="003E51B4" w14:paraId="3552D193" w14:textId="77777777" w:rsidTr="000B6C5B">
        <w:trPr>
          <w:trHeight w:val="260"/>
        </w:trPr>
        <w:tc>
          <w:tcPr>
            <w:tcW w:w="2337" w:type="dxa"/>
          </w:tcPr>
          <w:p w14:paraId="2FF3960D" w14:textId="77777777" w:rsidR="000D5E07" w:rsidRPr="003E51B4" w:rsidRDefault="000D5E07" w:rsidP="003E51B4">
            <w:pPr>
              <w:ind w:firstLine="0"/>
              <w:jc w:val="left"/>
              <w:rPr>
                <w:sz w:val="20"/>
                <w:szCs w:val="20"/>
                <w:lang w:val="uk-UA"/>
              </w:rPr>
            </w:pPr>
            <w:r w:rsidRPr="003E51B4">
              <w:rPr>
                <w:sz w:val="20"/>
                <w:szCs w:val="20"/>
                <w:lang w:val="uk-UA"/>
              </w:rPr>
              <w:t>Профілактичне лікування</w:t>
            </w:r>
          </w:p>
        </w:tc>
        <w:tc>
          <w:tcPr>
            <w:tcW w:w="2337" w:type="dxa"/>
          </w:tcPr>
          <w:p w14:paraId="2ED03941" w14:textId="77777777" w:rsidR="000D5E07" w:rsidRPr="003E51B4" w:rsidRDefault="000D5E07" w:rsidP="00C46798">
            <w:pPr>
              <w:ind w:firstLine="0"/>
              <w:jc w:val="center"/>
              <w:rPr>
                <w:sz w:val="20"/>
                <w:szCs w:val="20"/>
                <w:lang w:val="uk-UA"/>
              </w:rPr>
            </w:pPr>
            <w:r w:rsidRPr="003E51B4">
              <w:rPr>
                <w:sz w:val="20"/>
                <w:szCs w:val="20"/>
                <w:lang w:val="uk-UA"/>
              </w:rPr>
              <w:t>43956 (</w:t>
            </w:r>
            <w:r w:rsidRPr="003E51B4">
              <w:rPr>
                <w:sz w:val="20"/>
                <w:szCs w:val="20"/>
                <w:lang w:val="uk-UA"/>
              </w:rPr>
              <w:sym w:font="Symbol" w:char="F0AF"/>
            </w:r>
            <w:r w:rsidRPr="003E51B4">
              <w:rPr>
                <w:sz w:val="20"/>
                <w:szCs w:val="20"/>
                <w:lang w:val="uk-UA"/>
              </w:rPr>
              <w:t>-31% з 2019 р)</w:t>
            </w:r>
          </w:p>
        </w:tc>
        <w:tc>
          <w:tcPr>
            <w:tcW w:w="2338" w:type="dxa"/>
          </w:tcPr>
          <w:p w14:paraId="053145DD" w14:textId="77777777" w:rsidR="000D5E07" w:rsidRPr="003E51B4" w:rsidRDefault="000D5E07" w:rsidP="00C46798">
            <w:pPr>
              <w:ind w:firstLine="0"/>
              <w:jc w:val="center"/>
              <w:rPr>
                <w:sz w:val="20"/>
                <w:szCs w:val="20"/>
                <w:lang w:val="uk-UA"/>
              </w:rPr>
            </w:pPr>
            <w:r w:rsidRPr="003E51B4">
              <w:rPr>
                <w:sz w:val="20"/>
                <w:szCs w:val="20"/>
                <w:lang w:val="uk-UA"/>
              </w:rPr>
              <w:t>98512 (</w:t>
            </w:r>
            <w:r w:rsidRPr="003E51B4">
              <w:rPr>
                <w:sz w:val="20"/>
                <w:szCs w:val="20"/>
                <w:lang w:val="uk-UA"/>
              </w:rPr>
              <w:sym w:font="Symbol" w:char="F0AF"/>
            </w:r>
            <w:r w:rsidRPr="003E51B4">
              <w:rPr>
                <w:sz w:val="20"/>
                <w:szCs w:val="20"/>
                <w:lang w:val="uk-UA"/>
              </w:rPr>
              <w:t>-22 % з 2019 р)</w:t>
            </w:r>
          </w:p>
        </w:tc>
        <w:tc>
          <w:tcPr>
            <w:tcW w:w="2338" w:type="dxa"/>
          </w:tcPr>
          <w:p w14:paraId="4E51DB31" w14:textId="77777777" w:rsidR="000D5E07" w:rsidRPr="003E51B4" w:rsidRDefault="000D5E07" w:rsidP="00C46798">
            <w:pPr>
              <w:ind w:firstLine="0"/>
              <w:jc w:val="center"/>
              <w:rPr>
                <w:sz w:val="20"/>
                <w:szCs w:val="20"/>
                <w:lang w:val="uk-UA"/>
              </w:rPr>
            </w:pPr>
            <w:r w:rsidRPr="003E51B4">
              <w:rPr>
                <w:sz w:val="20"/>
                <w:szCs w:val="20"/>
                <w:lang w:val="uk-UA"/>
              </w:rPr>
              <w:t>3160044 (</w:t>
            </w:r>
            <w:r w:rsidRPr="003E51B4">
              <w:rPr>
                <w:sz w:val="20"/>
                <w:szCs w:val="20"/>
                <w:lang w:val="uk-UA"/>
              </w:rPr>
              <w:sym w:font="Symbol" w:char="F0AF"/>
            </w:r>
            <w:r w:rsidRPr="003E51B4">
              <w:rPr>
                <w:sz w:val="20"/>
                <w:szCs w:val="20"/>
                <w:lang w:val="uk-UA"/>
              </w:rPr>
              <w:t>-12% з 2019р)</w:t>
            </w:r>
          </w:p>
        </w:tc>
      </w:tr>
      <w:tr w:rsidR="000D5E07" w:rsidRPr="003E51B4" w14:paraId="7E2FCDAF" w14:textId="77777777" w:rsidTr="000B6C5B">
        <w:trPr>
          <w:trHeight w:val="278"/>
        </w:trPr>
        <w:tc>
          <w:tcPr>
            <w:tcW w:w="2337" w:type="dxa"/>
          </w:tcPr>
          <w:p w14:paraId="453EC806" w14:textId="77777777" w:rsidR="000D5E07" w:rsidRPr="003E51B4" w:rsidRDefault="000D5E07" w:rsidP="003E51B4">
            <w:pPr>
              <w:ind w:firstLine="0"/>
              <w:jc w:val="left"/>
              <w:rPr>
                <w:sz w:val="20"/>
                <w:szCs w:val="20"/>
                <w:lang w:val="uk-UA"/>
              </w:rPr>
            </w:pPr>
            <w:r w:rsidRPr="003E51B4">
              <w:rPr>
                <w:sz w:val="20"/>
                <w:szCs w:val="20"/>
                <w:lang w:val="uk-UA"/>
              </w:rPr>
              <w:t>Бюджет</w:t>
            </w:r>
          </w:p>
        </w:tc>
        <w:tc>
          <w:tcPr>
            <w:tcW w:w="2337" w:type="dxa"/>
          </w:tcPr>
          <w:p w14:paraId="148C5CEF" w14:textId="77777777" w:rsidR="000D5E07" w:rsidRPr="003E51B4" w:rsidRDefault="000D5E07" w:rsidP="00C46798">
            <w:pPr>
              <w:ind w:firstLine="0"/>
              <w:jc w:val="center"/>
              <w:rPr>
                <w:sz w:val="20"/>
                <w:szCs w:val="20"/>
                <w:lang w:val="uk-UA"/>
              </w:rPr>
            </w:pPr>
            <w:r w:rsidRPr="003E51B4">
              <w:rPr>
                <w:sz w:val="20"/>
                <w:szCs w:val="20"/>
                <w:lang w:val="uk-UA"/>
              </w:rPr>
              <w:t>133 млн (15% брак фінансування)</w:t>
            </w:r>
          </w:p>
        </w:tc>
        <w:tc>
          <w:tcPr>
            <w:tcW w:w="2338" w:type="dxa"/>
          </w:tcPr>
          <w:p w14:paraId="67D5ECA0" w14:textId="77777777" w:rsidR="000D5E07" w:rsidRPr="003E51B4" w:rsidRDefault="000D5E07" w:rsidP="00C46798">
            <w:pPr>
              <w:ind w:firstLine="0"/>
              <w:jc w:val="center"/>
              <w:rPr>
                <w:sz w:val="20"/>
                <w:szCs w:val="20"/>
                <w:lang w:val="uk-UA"/>
              </w:rPr>
            </w:pPr>
            <w:r w:rsidRPr="003E51B4">
              <w:rPr>
                <w:sz w:val="20"/>
                <w:szCs w:val="20"/>
                <w:lang w:val="uk-UA"/>
              </w:rPr>
              <w:t>1820000 (1,5% брак фінансування)</w:t>
            </w:r>
          </w:p>
        </w:tc>
        <w:tc>
          <w:tcPr>
            <w:tcW w:w="2338" w:type="dxa"/>
          </w:tcPr>
          <w:p w14:paraId="14E3B1FC" w14:textId="77777777" w:rsidR="000D5E07" w:rsidRPr="003E51B4" w:rsidRDefault="000D5E07" w:rsidP="00C46798">
            <w:pPr>
              <w:ind w:firstLine="0"/>
              <w:jc w:val="center"/>
              <w:rPr>
                <w:sz w:val="20"/>
                <w:szCs w:val="20"/>
                <w:lang w:val="uk-UA"/>
              </w:rPr>
            </w:pPr>
            <w:r w:rsidRPr="003E51B4">
              <w:rPr>
                <w:sz w:val="20"/>
                <w:szCs w:val="20"/>
                <w:lang w:val="uk-UA"/>
              </w:rPr>
              <w:t>6500000 (25% брак фінансування)</w:t>
            </w:r>
          </w:p>
        </w:tc>
      </w:tr>
    </w:tbl>
    <w:p w14:paraId="2F198280" w14:textId="5D09F47F" w:rsidR="001B09F9" w:rsidRPr="00761F32" w:rsidRDefault="00787DCE" w:rsidP="00170D76">
      <w:pPr>
        <w:spacing w:after="120" w:line="228" w:lineRule="auto"/>
        <w:ind w:firstLine="0"/>
        <w:jc w:val="center"/>
        <w:rPr>
          <w:rFonts w:cs="Times New Roman"/>
          <w:b/>
          <w:szCs w:val="28"/>
        </w:rPr>
      </w:pPr>
      <w:r w:rsidRPr="00761F32">
        <w:rPr>
          <w:rFonts w:cs="Times New Roman"/>
          <w:b/>
          <w:szCs w:val="28"/>
        </w:rPr>
        <w:t>Таблиця 1: Огляд показників та загальних тенденцій на національному, регіональному та глобальному рівнях, 2020р.</w:t>
      </w:r>
    </w:p>
    <w:p w14:paraId="60E9D077" w14:textId="768CF3EF" w:rsidR="000D5E07" w:rsidRDefault="00787DCE" w:rsidP="00FD425B">
      <w:pPr>
        <w:pStyle w:val="2"/>
        <w:spacing w:line="252" w:lineRule="auto"/>
        <w:rPr>
          <w:rFonts w:cs="Times New Roman"/>
          <w:szCs w:val="28"/>
        </w:rPr>
      </w:pPr>
      <w:bookmarkStart w:id="13" w:name="_Toc89149095"/>
      <w:r w:rsidRPr="00787DCE">
        <w:rPr>
          <w:rFonts w:cs="Times New Roman"/>
          <w:szCs w:val="28"/>
        </w:rPr>
        <w:lastRenderedPageBreak/>
        <w:t>Досягнення програми на  2020-2021</w:t>
      </w:r>
    </w:p>
    <w:p w14:paraId="388CF253" w14:textId="3A8B1070" w:rsidR="00787DCE" w:rsidRPr="00787DCE" w:rsidRDefault="00787DCE" w:rsidP="00787DCE">
      <w:pPr>
        <w:pStyle w:val="2"/>
        <w:spacing w:line="252" w:lineRule="auto"/>
        <w:rPr>
          <w:rFonts w:cs="Times New Roman"/>
          <w:b w:val="0"/>
          <w:bCs/>
          <w:szCs w:val="28"/>
        </w:rPr>
      </w:pPr>
      <w:r w:rsidRPr="00787DCE">
        <w:rPr>
          <w:rFonts w:cs="Times New Roman"/>
          <w:b w:val="0"/>
          <w:bCs/>
          <w:szCs w:val="28"/>
        </w:rPr>
        <w:t>•</w:t>
      </w:r>
      <w:r w:rsidR="00687CEB">
        <w:rPr>
          <w:rFonts w:cs="Times New Roman"/>
          <w:b w:val="0"/>
          <w:bCs/>
          <w:szCs w:val="28"/>
        </w:rPr>
        <w:t xml:space="preserve"> </w:t>
      </w:r>
      <w:r w:rsidRPr="00787DCE">
        <w:rPr>
          <w:rFonts w:cs="Times New Roman"/>
          <w:b w:val="0"/>
          <w:bCs/>
          <w:szCs w:val="28"/>
        </w:rPr>
        <w:t>Серед сильних сторін програми слід зазначити такі:</w:t>
      </w:r>
    </w:p>
    <w:p w14:paraId="12393F3C" w14:textId="77777777" w:rsidR="00787DCE" w:rsidRPr="00787DCE" w:rsidRDefault="00787DCE" w:rsidP="00787DCE">
      <w:pPr>
        <w:pStyle w:val="2"/>
        <w:spacing w:line="252" w:lineRule="auto"/>
        <w:rPr>
          <w:rFonts w:cs="Times New Roman"/>
          <w:b w:val="0"/>
          <w:bCs/>
          <w:szCs w:val="28"/>
        </w:rPr>
      </w:pPr>
      <w:r w:rsidRPr="00787DCE">
        <w:rPr>
          <w:rFonts w:cs="Times New Roman"/>
          <w:b w:val="0"/>
          <w:bCs/>
          <w:szCs w:val="28"/>
        </w:rPr>
        <w:t xml:space="preserve">• Національна програма досягла рівня охоплення діагностикою експрес методами ВООЗ понад 96% і перевищує аналогічні показники у регіоні та світі. (див. </w:t>
      </w:r>
      <w:proofErr w:type="spellStart"/>
      <w:r w:rsidRPr="00787DCE">
        <w:rPr>
          <w:rFonts w:cs="Times New Roman"/>
          <w:b w:val="0"/>
          <w:bCs/>
          <w:szCs w:val="28"/>
        </w:rPr>
        <w:t>Таб</w:t>
      </w:r>
      <w:proofErr w:type="spellEnd"/>
      <w:r w:rsidRPr="00787DCE">
        <w:rPr>
          <w:rFonts w:cs="Times New Roman"/>
          <w:b w:val="0"/>
          <w:bCs/>
          <w:szCs w:val="28"/>
        </w:rPr>
        <w:t>. 1)</w:t>
      </w:r>
    </w:p>
    <w:p w14:paraId="393B958C" w14:textId="77777777" w:rsidR="00787DCE" w:rsidRPr="00787DCE" w:rsidRDefault="00787DCE" w:rsidP="00787DCE">
      <w:pPr>
        <w:pStyle w:val="2"/>
        <w:spacing w:line="252" w:lineRule="auto"/>
        <w:rPr>
          <w:rFonts w:cs="Times New Roman"/>
          <w:b w:val="0"/>
          <w:bCs/>
          <w:szCs w:val="28"/>
        </w:rPr>
      </w:pPr>
      <w:r w:rsidRPr="00787DCE">
        <w:rPr>
          <w:rFonts w:cs="Times New Roman"/>
          <w:b w:val="0"/>
          <w:bCs/>
          <w:szCs w:val="28"/>
        </w:rPr>
        <w:t>• Показник сповіщення/виявлення нових випадків збільшився з 51,6% до 57,1%.</w:t>
      </w:r>
    </w:p>
    <w:p w14:paraId="05C817EB" w14:textId="4C83BFEF" w:rsidR="00687CEB" w:rsidRDefault="00787DCE" w:rsidP="00687CEB">
      <w:pPr>
        <w:pStyle w:val="2"/>
        <w:spacing w:line="252" w:lineRule="auto"/>
        <w:rPr>
          <w:rFonts w:cs="Times New Roman"/>
          <w:b w:val="0"/>
          <w:bCs/>
          <w:szCs w:val="28"/>
        </w:rPr>
      </w:pPr>
      <w:r w:rsidRPr="00787DCE">
        <w:rPr>
          <w:rFonts w:cs="Times New Roman"/>
          <w:b w:val="0"/>
          <w:bCs/>
          <w:szCs w:val="28"/>
        </w:rPr>
        <w:t xml:space="preserve">• Показник охоплення бактеріологічним </w:t>
      </w:r>
      <w:r w:rsidR="001B7CF7">
        <w:rPr>
          <w:rFonts w:cs="Times New Roman"/>
          <w:b w:val="0"/>
          <w:bCs/>
          <w:szCs w:val="28"/>
        </w:rPr>
        <w:t>дослідженням</w:t>
      </w:r>
      <w:r w:rsidRPr="00787DCE">
        <w:rPr>
          <w:rFonts w:cs="Times New Roman"/>
          <w:b w:val="0"/>
          <w:bCs/>
          <w:szCs w:val="28"/>
        </w:rPr>
        <w:t xml:space="preserve"> серед нових випадків та рецидивів зріс із 73,9% до 75%.</w:t>
      </w:r>
    </w:p>
    <w:p w14:paraId="12FAADFB" w14:textId="35AFCC33" w:rsidR="00787DCE" w:rsidRPr="00787DCE" w:rsidRDefault="00787DCE" w:rsidP="00687CEB">
      <w:pPr>
        <w:pStyle w:val="2"/>
        <w:spacing w:line="252" w:lineRule="auto"/>
        <w:rPr>
          <w:rFonts w:cs="Times New Roman"/>
          <w:b w:val="0"/>
          <w:bCs/>
          <w:szCs w:val="28"/>
        </w:rPr>
      </w:pPr>
      <w:r w:rsidRPr="00787DCE">
        <w:rPr>
          <w:rFonts w:cs="Times New Roman"/>
          <w:b w:val="0"/>
          <w:bCs/>
          <w:szCs w:val="28"/>
        </w:rPr>
        <w:t xml:space="preserve"> • Показник успішності лікування для МЛ</w:t>
      </w:r>
      <w:r w:rsidR="008A6198">
        <w:rPr>
          <w:rFonts w:cs="Times New Roman"/>
          <w:b w:val="0"/>
          <w:bCs/>
          <w:szCs w:val="28"/>
        </w:rPr>
        <w:t>С</w:t>
      </w:r>
      <w:r w:rsidR="001B7CF7">
        <w:rPr>
          <w:rFonts w:cs="Times New Roman"/>
          <w:b w:val="0"/>
          <w:bCs/>
          <w:szCs w:val="28"/>
        </w:rPr>
        <w:t>-</w:t>
      </w:r>
      <w:r w:rsidRPr="00787DCE">
        <w:rPr>
          <w:rFonts w:cs="Times New Roman"/>
          <w:b w:val="0"/>
          <w:bCs/>
          <w:szCs w:val="28"/>
        </w:rPr>
        <w:t>ТБ збільши</w:t>
      </w:r>
      <w:r w:rsidR="001B7CF7">
        <w:rPr>
          <w:rFonts w:cs="Times New Roman"/>
          <w:b w:val="0"/>
          <w:bCs/>
          <w:szCs w:val="28"/>
        </w:rPr>
        <w:t>в</w:t>
      </w:r>
      <w:r w:rsidRPr="00787DCE">
        <w:rPr>
          <w:rFonts w:cs="Times New Roman"/>
          <w:b w:val="0"/>
          <w:bCs/>
          <w:szCs w:val="28"/>
        </w:rPr>
        <w:t>ся з 47,2 до 61,4%.</w:t>
      </w:r>
    </w:p>
    <w:p w14:paraId="6E300F36" w14:textId="6DF4D78D" w:rsidR="000D5E07" w:rsidRPr="00787DCE" w:rsidRDefault="00787DCE" w:rsidP="00787DCE">
      <w:pPr>
        <w:pStyle w:val="2"/>
        <w:spacing w:line="252" w:lineRule="auto"/>
        <w:rPr>
          <w:rFonts w:cs="Times New Roman"/>
          <w:b w:val="0"/>
          <w:bCs/>
          <w:szCs w:val="28"/>
        </w:rPr>
      </w:pPr>
      <w:r w:rsidRPr="00787DCE">
        <w:rPr>
          <w:rFonts w:cs="Times New Roman"/>
          <w:b w:val="0"/>
          <w:bCs/>
          <w:szCs w:val="28"/>
        </w:rPr>
        <w:t xml:space="preserve"> • Виявлення туберкульозу серед дітей підвищилося на 20% порівняно з 2020</w:t>
      </w:r>
      <w:r w:rsidR="008A6198">
        <w:rPr>
          <w:rFonts w:cs="Times New Roman"/>
          <w:b w:val="0"/>
          <w:bCs/>
          <w:szCs w:val="28"/>
        </w:rPr>
        <w:t>р</w:t>
      </w:r>
      <w:r w:rsidRPr="00787DCE">
        <w:rPr>
          <w:rFonts w:cs="Times New Roman"/>
          <w:b w:val="0"/>
          <w:bCs/>
          <w:szCs w:val="28"/>
        </w:rPr>
        <w:t>.</w:t>
      </w:r>
    </w:p>
    <w:p w14:paraId="60310339" w14:textId="1481C255" w:rsidR="00F12716" w:rsidRPr="0024080D" w:rsidRDefault="00680434" w:rsidP="00FD425B">
      <w:pPr>
        <w:pStyle w:val="2"/>
        <w:spacing w:line="252" w:lineRule="auto"/>
        <w:rPr>
          <w:rFonts w:cs="Times New Roman"/>
          <w:szCs w:val="28"/>
        </w:rPr>
      </w:pPr>
      <w:r w:rsidRPr="00680434">
        <w:rPr>
          <w:rFonts w:cs="Times New Roman"/>
          <w:szCs w:val="28"/>
          <w:lang w:val="ru-RU"/>
        </w:rPr>
        <w:t xml:space="preserve"> </w:t>
      </w:r>
      <w:bookmarkEnd w:id="12"/>
      <w:bookmarkEnd w:id="13"/>
      <w:r w:rsidRPr="00680434">
        <w:rPr>
          <w:rFonts w:cs="Times New Roman"/>
          <w:szCs w:val="28"/>
        </w:rPr>
        <w:t>Ситуація у Європейському регіоні</w:t>
      </w:r>
    </w:p>
    <w:p w14:paraId="0B7D7877" w14:textId="0ABECEC8" w:rsidR="00680434" w:rsidRDefault="00680434" w:rsidP="00680434">
      <w:pPr>
        <w:pStyle w:val="2"/>
        <w:spacing w:line="252" w:lineRule="auto"/>
        <w:rPr>
          <w:rFonts w:cs="Times New Roman"/>
          <w:b w:val="0"/>
          <w:szCs w:val="28"/>
        </w:rPr>
      </w:pPr>
      <w:bookmarkStart w:id="14" w:name="_Toc88088818"/>
      <w:bookmarkStart w:id="15" w:name="_Toc89149096"/>
      <w:r w:rsidRPr="00680434">
        <w:rPr>
          <w:rFonts w:cs="Times New Roman"/>
          <w:b w:val="0"/>
          <w:szCs w:val="28"/>
        </w:rPr>
        <w:t>Пандемія COVID-19 згубно вплинула на стан здоров'я населення Європейського регіону ВООЗ. У період з 24 січня 2020 р. по 31 грудня 2021 р. було повідомлено, що понад 102 млн осіб за загальної чисельності населення Регіону в 9</w:t>
      </w:r>
      <w:r w:rsidR="008A6198">
        <w:rPr>
          <w:rFonts w:cs="Times New Roman"/>
          <w:b w:val="0"/>
          <w:szCs w:val="28"/>
        </w:rPr>
        <w:t>33</w:t>
      </w:r>
      <w:r w:rsidRPr="00680434">
        <w:rPr>
          <w:rFonts w:cs="Times New Roman"/>
          <w:b w:val="0"/>
          <w:szCs w:val="28"/>
        </w:rPr>
        <w:t xml:space="preserve"> млн осіб заразилися вірусом SARS-CoV-2, і, згідно з наявними даними, приблизно для 1,7 млн людей ця інфекція виявилася смертельною. </w:t>
      </w:r>
    </w:p>
    <w:p w14:paraId="628F0C14" w14:textId="1C271DA8" w:rsidR="00680434" w:rsidRDefault="00680434" w:rsidP="00680434">
      <w:pPr>
        <w:pStyle w:val="2"/>
        <w:spacing w:line="252" w:lineRule="auto"/>
        <w:rPr>
          <w:rFonts w:cs="Times New Roman"/>
          <w:b w:val="0"/>
          <w:szCs w:val="28"/>
        </w:rPr>
      </w:pPr>
      <w:r w:rsidRPr="00680434">
        <w:rPr>
          <w:rFonts w:cs="Times New Roman"/>
          <w:b w:val="0"/>
          <w:szCs w:val="28"/>
        </w:rPr>
        <w:t xml:space="preserve">Спостерігався явний розрив існуючої тенденції до зниження кількості зареєстрованих випадків (що відображає зниження захворюваності на ТБ), що свідчить про те, що пандемія COVID-19 також вплинула на виявлення та реєстрацію випадків ТБ. </w:t>
      </w:r>
      <w:r w:rsidR="00867B09" w:rsidRPr="00580723">
        <w:rPr>
          <w:rFonts w:cs="Times New Roman"/>
          <w:b w:val="0"/>
          <w:szCs w:val="28"/>
        </w:rPr>
        <w:t xml:space="preserve">Інші негативні наслідки, пов'язані з пандемією для Європейського регіону, включають підвищення оціночної смертності на 3,8% порівняно з 2019р., зниження оціночної захворюваності (на 100 000 населення) на 6,4% порівняно з 2019р., а також зниження кількості </w:t>
      </w:r>
      <w:proofErr w:type="spellStart"/>
      <w:r w:rsidR="00867B09" w:rsidRPr="00580723">
        <w:rPr>
          <w:rFonts w:cs="Times New Roman"/>
          <w:b w:val="0"/>
          <w:szCs w:val="28"/>
        </w:rPr>
        <w:t>діагностованих</w:t>
      </w:r>
      <w:proofErr w:type="spellEnd"/>
      <w:r w:rsidR="00867B09" w:rsidRPr="00580723">
        <w:rPr>
          <w:rFonts w:cs="Times New Roman"/>
          <w:b w:val="0"/>
          <w:szCs w:val="28"/>
        </w:rPr>
        <w:t xml:space="preserve"> та зареєстрованих випадків туберкульозу на 24% та скорочення на 22% числа людей, які отримують профілактичне лікування від туберкульозної інфекції.</w:t>
      </w:r>
      <w:r w:rsidR="0070193F" w:rsidRPr="00580723">
        <w:rPr>
          <w:rFonts w:cs="Times New Roman"/>
          <w:b w:val="0"/>
          <w:szCs w:val="28"/>
        </w:rPr>
        <w:t>²</w:t>
      </w:r>
      <w:r w:rsidRPr="00680434">
        <w:rPr>
          <w:rFonts w:cs="Times New Roman"/>
          <w:b w:val="0"/>
          <w:szCs w:val="28"/>
        </w:rPr>
        <w:t xml:space="preserve"> </w:t>
      </w:r>
    </w:p>
    <w:p w14:paraId="10FBA0D6" w14:textId="223F7137" w:rsidR="00F12716" w:rsidRPr="0024080D" w:rsidRDefault="00E36160" w:rsidP="00680434">
      <w:pPr>
        <w:pStyle w:val="2"/>
        <w:spacing w:line="252" w:lineRule="auto"/>
        <w:rPr>
          <w:rFonts w:cs="Times New Roman"/>
          <w:szCs w:val="28"/>
        </w:rPr>
      </w:pPr>
      <w:r w:rsidRPr="00E36160">
        <w:rPr>
          <w:rFonts w:cs="Times New Roman"/>
          <w:szCs w:val="28"/>
        </w:rPr>
        <w:t>Заходи з адаптації національної програми до COVID-19 у 2021 році</w:t>
      </w:r>
      <w:bookmarkEnd w:id="14"/>
      <w:bookmarkEnd w:id="15"/>
    </w:p>
    <w:p w14:paraId="0FB323CB" w14:textId="15A98D54" w:rsidR="00E36160" w:rsidRDefault="00E36160" w:rsidP="00E36160">
      <w:pPr>
        <w:spacing w:after="120" w:line="252" w:lineRule="auto"/>
        <w:rPr>
          <w:rFonts w:cs="Times New Roman"/>
          <w:szCs w:val="28"/>
        </w:rPr>
      </w:pPr>
      <w:r w:rsidRPr="00C800AC">
        <w:rPr>
          <w:rFonts w:cs="Times New Roman"/>
          <w:szCs w:val="28"/>
        </w:rPr>
        <w:t xml:space="preserve">Є дві основні причини </w:t>
      </w:r>
      <w:r w:rsidR="008A6198" w:rsidRPr="00C800AC">
        <w:rPr>
          <w:rFonts w:cs="Times New Roman"/>
          <w:szCs w:val="28"/>
        </w:rPr>
        <w:t>викладеного</w:t>
      </w:r>
      <w:r w:rsidRPr="00C800AC">
        <w:rPr>
          <w:rFonts w:cs="Times New Roman"/>
          <w:szCs w:val="28"/>
        </w:rPr>
        <w:t xml:space="preserve"> впливу COVID-19 на захворюваність на ТБ у порівнянні зі смертністю від ТБ. По-перше, перебої у наданні діагностичних та лікувальних послуг насамперед зачіпають тих, хто вже хворий на туберкульоз, що призводить до збільшення кількості смертей. По-друге, вплив на захворюваність на збільшення кількості поширених випадків, яке розвивається в міру того, як все більше людей з ТБ не діагностується і не лікується, є повільним через відносно тривалий період </w:t>
      </w:r>
      <w:r w:rsidRPr="00C800AC">
        <w:rPr>
          <w:rFonts w:cs="Times New Roman"/>
          <w:szCs w:val="28"/>
        </w:rPr>
        <w:lastRenderedPageBreak/>
        <w:t>між зараженням і розвитком хвороби (що коливається від тижнів до десятиліть).</w:t>
      </w:r>
      <w:r w:rsidRPr="00E36160">
        <w:rPr>
          <w:rFonts w:cs="Times New Roman"/>
          <w:szCs w:val="28"/>
        </w:rPr>
        <w:t xml:space="preserve"> </w:t>
      </w:r>
    </w:p>
    <w:p w14:paraId="54A5B248" w14:textId="68DC9110" w:rsidR="00BF249D" w:rsidRPr="00BF249D" w:rsidRDefault="00BF249D" w:rsidP="00BF249D">
      <w:pPr>
        <w:spacing w:after="120" w:line="252" w:lineRule="auto"/>
        <w:ind w:firstLine="0"/>
        <w:rPr>
          <w:rFonts w:cs="Times New Roman"/>
          <w:sz w:val="20"/>
          <w:szCs w:val="20"/>
        </w:rPr>
      </w:pPr>
      <w:r w:rsidRPr="00BF249D">
        <w:rPr>
          <w:rFonts w:eastAsiaTheme="minorHAnsi" w:cs="Times New Roman"/>
          <w:sz w:val="20"/>
          <w:szCs w:val="20"/>
          <w:lang w:eastAsia="en-US"/>
        </w:rPr>
        <w:t xml:space="preserve">² </w:t>
      </w:r>
      <w:r w:rsidRPr="00BF249D">
        <w:rPr>
          <w:rStyle w:val="ac"/>
          <w:rFonts w:eastAsiaTheme="minorHAnsi" w:cs="Times New Roman"/>
          <w:sz w:val="20"/>
          <w:szCs w:val="20"/>
          <w:lang w:val="en-GB" w:eastAsia="en-US"/>
        </w:rPr>
        <w:t>https</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www</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who</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int</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publications</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digital</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global</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tuberculosis</w:t>
      </w:r>
      <w:r w:rsidRPr="00BF249D">
        <w:rPr>
          <w:rStyle w:val="ac"/>
          <w:rFonts w:eastAsiaTheme="minorHAnsi" w:cs="Times New Roman"/>
          <w:sz w:val="20"/>
          <w:szCs w:val="20"/>
          <w:lang w:eastAsia="en-US"/>
        </w:rPr>
        <w:t>-</w:t>
      </w:r>
      <w:r w:rsidRPr="00BF249D">
        <w:rPr>
          <w:rStyle w:val="ac"/>
          <w:rFonts w:eastAsiaTheme="minorHAnsi" w:cs="Times New Roman"/>
          <w:sz w:val="20"/>
          <w:szCs w:val="20"/>
          <w:lang w:val="en-GB" w:eastAsia="en-US"/>
        </w:rPr>
        <w:t>report</w:t>
      </w:r>
      <w:r w:rsidRPr="00BF249D">
        <w:rPr>
          <w:rStyle w:val="ac"/>
          <w:rFonts w:eastAsiaTheme="minorHAnsi" w:cs="Times New Roman"/>
          <w:sz w:val="20"/>
          <w:szCs w:val="20"/>
          <w:lang w:eastAsia="en-US"/>
        </w:rPr>
        <w:t>-2021/</w:t>
      </w:r>
      <w:r w:rsidRPr="00BF249D">
        <w:rPr>
          <w:rStyle w:val="ac"/>
          <w:rFonts w:eastAsiaTheme="minorHAnsi" w:cs="Times New Roman"/>
          <w:sz w:val="20"/>
          <w:szCs w:val="20"/>
          <w:lang w:val="en-GB" w:eastAsia="en-US"/>
        </w:rPr>
        <w:t>covid</w:t>
      </w:r>
      <w:r w:rsidRPr="00BF249D">
        <w:rPr>
          <w:rStyle w:val="ac"/>
          <w:rFonts w:eastAsiaTheme="minorHAnsi" w:cs="Times New Roman"/>
          <w:sz w:val="20"/>
          <w:szCs w:val="20"/>
          <w:lang w:eastAsia="en-US"/>
        </w:rPr>
        <w:t>-19</w:t>
      </w:r>
    </w:p>
    <w:p w14:paraId="2055F448" w14:textId="2DD89D50" w:rsidR="00F12716" w:rsidRPr="0024080D" w:rsidRDefault="00E36160" w:rsidP="00E36160">
      <w:pPr>
        <w:spacing w:after="120" w:line="252" w:lineRule="auto"/>
        <w:rPr>
          <w:rFonts w:cs="Times New Roman"/>
          <w:szCs w:val="28"/>
        </w:rPr>
      </w:pPr>
      <w:r w:rsidRPr="00E36160">
        <w:rPr>
          <w:rFonts w:cs="Times New Roman"/>
          <w:szCs w:val="28"/>
        </w:rPr>
        <w:t xml:space="preserve">Кожна країна у світі, включаючи Україну, використовувала максимум своїх можливостей для адаптації до нової реальності та розробки заходів для раптово змінених норм реальності. </w:t>
      </w:r>
      <w:r w:rsidR="008A6198">
        <w:rPr>
          <w:rFonts w:cs="Times New Roman"/>
          <w:szCs w:val="28"/>
        </w:rPr>
        <w:t>Центром спільно з партнерами</w:t>
      </w:r>
      <w:r w:rsidRPr="00E36160">
        <w:rPr>
          <w:rFonts w:cs="Times New Roman"/>
          <w:szCs w:val="28"/>
        </w:rPr>
        <w:t xml:space="preserve"> в найкоротші терміни </w:t>
      </w:r>
      <w:r w:rsidR="008A6198">
        <w:rPr>
          <w:rFonts w:cs="Times New Roman"/>
          <w:szCs w:val="28"/>
        </w:rPr>
        <w:t>був розроблений</w:t>
      </w:r>
      <w:r w:rsidRPr="00E36160">
        <w:rPr>
          <w:rFonts w:cs="Times New Roman"/>
          <w:szCs w:val="28"/>
        </w:rPr>
        <w:t xml:space="preserve"> план пом'якшення негативних наслідків COVID-19. </w:t>
      </w:r>
      <w:r w:rsidR="00867B09" w:rsidRPr="003B2A7B">
        <w:rPr>
          <w:rFonts w:cs="Times New Roman"/>
          <w:szCs w:val="28"/>
        </w:rPr>
        <w:t>Було подано заявку до Глобального Фонду на додаткове фінансування з метою зниження негативного впливу COVID-19 на Т</w:t>
      </w:r>
      <w:r w:rsidR="00AF1279" w:rsidRPr="003B2A7B">
        <w:rPr>
          <w:rFonts w:cs="Times New Roman"/>
          <w:szCs w:val="28"/>
        </w:rPr>
        <w:t>Б</w:t>
      </w:r>
      <w:r w:rsidR="00867B09" w:rsidRPr="003B2A7B">
        <w:rPr>
          <w:rFonts w:cs="Times New Roman"/>
          <w:szCs w:val="28"/>
        </w:rPr>
        <w:t xml:space="preserve"> програму з боку Центру Громадського Здоров'я та за підтримки національних партнерів. У період пандемії лабораторне обладнання та кадри лабораторних служб були також задіяні і проводилося крім діагностики ТБ - діагностика COVID-19 у </w:t>
      </w:r>
      <w:r w:rsidR="00AF1279" w:rsidRPr="003B2A7B">
        <w:rPr>
          <w:rFonts w:cs="Times New Roman"/>
          <w:szCs w:val="28"/>
        </w:rPr>
        <w:t>регіональних протитуберкульозних закладах</w:t>
      </w:r>
      <w:r w:rsidR="00867B09" w:rsidRPr="003B2A7B">
        <w:rPr>
          <w:rFonts w:cs="Times New Roman"/>
          <w:szCs w:val="28"/>
        </w:rPr>
        <w:t>. Національн</w:t>
      </w:r>
      <w:r w:rsidR="00AF1279" w:rsidRPr="003B2A7B">
        <w:rPr>
          <w:rFonts w:cs="Times New Roman"/>
          <w:szCs w:val="28"/>
        </w:rPr>
        <w:t>а</w:t>
      </w:r>
      <w:r w:rsidR="00867B09" w:rsidRPr="003B2A7B">
        <w:rPr>
          <w:rFonts w:cs="Times New Roman"/>
          <w:szCs w:val="28"/>
        </w:rPr>
        <w:t xml:space="preserve"> ТБ Програма розшир</w:t>
      </w:r>
      <w:r w:rsidR="00AF1279" w:rsidRPr="003B2A7B">
        <w:rPr>
          <w:rFonts w:cs="Times New Roman"/>
          <w:szCs w:val="28"/>
        </w:rPr>
        <w:t xml:space="preserve">ила </w:t>
      </w:r>
      <w:r w:rsidR="00867B09" w:rsidRPr="003B2A7B">
        <w:rPr>
          <w:rFonts w:cs="Times New Roman"/>
          <w:szCs w:val="28"/>
        </w:rPr>
        <w:t xml:space="preserve">можливості </w:t>
      </w:r>
      <w:r w:rsidR="00AF1279" w:rsidRPr="003B2A7B">
        <w:rPr>
          <w:rFonts w:cs="Times New Roman"/>
          <w:szCs w:val="28"/>
        </w:rPr>
        <w:t xml:space="preserve">використання </w:t>
      </w:r>
      <w:r w:rsidR="00867B09" w:rsidRPr="003B2A7B">
        <w:rPr>
          <w:rFonts w:cs="Times New Roman"/>
          <w:szCs w:val="28"/>
        </w:rPr>
        <w:t xml:space="preserve">короткострокових схем лікування за </w:t>
      </w:r>
      <w:r w:rsidR="00AF1279" w:rsidRPr="003B2A7B">
        <w:rPr>
          <w:rFonts w:cs="Times New Roman"/>
          <w:szCs w:val="28"/>
        </w:rPr>
        <w:t>рахунок</w:t>
      </w:r>
      <w:r w:rsidR="00867B09" w:rsidRPr="003B2A7B">
        <w:rPr>
          <w:rFonts w:cs="Times New Roman"/>
          <w:szCs w:val="28"/>
        </w:rPr>
        <w:t xml:space="preserve"> реєстрації нових пероральних препаратів, збільшення кількості пацієнтів, які приймають короткострокові та пероральні режими лікування, що загалом позитивно позначилося на результатах лікування та зміцнило прихильність до лікування хворих.</w:t>
      </w:r>
      <w:r w:rsidR="00AF1279">
        <w:rPr>
          <w:rFonts w:cs="Times New Roman"/>
          <w:szCs w:val="28"/>
        </w:rPr>
        <w:t xml:space="preserve"> </w:t>
      </w:r>
      <w:r w:rsidRPr="00AF1279">
        <w:rPr>
          <w:rFonts w:cs="Times New Roman"/>
          <w:szCs w:val="28"/>
        </w:rPr>
        <w:t>Всі ці заходи допомогли НТП продовжувати надання послуг пацієнтам та нівелювати негативні наслідки пандемії.</w:t>
      </w:r>
    </w:p>
    <w:p w14:paraId="559101DD" w14:textId="03C951BA" w:rsidR="00F12716" w:rsidRPr="0024080D" w:rsidRDefault="004A21BB" w:rsidP="00FD425B">
      <w:pPr>
        <w:pStyle w:val="2"/>
        <w:spacing w:line="252" w:lineRule="auto"/>
        <w:rPr>
          <w:rFonts w:cs="Times New Roman"/>
          <w:szCs w:val="28"/>
        </w:rPr>
      </w:pPr>
      <w:bookmarkStart w:id="16" w:name="_Toc88088819"/>
      <w:bookmarkStart w:id="17" w:name="_Toc89149097"/>
      <w:r w:rsidRPr="004A21BB">
        <w:rPr>
          <w:rFonts w:cs="Times New Roman"/>
          <w:szCs w:val="28"/>
        </w:rPr>
        <w:t xml:space="preserve">Дані за 2018-2021 роки, досягнення цілей наради ООН </w:t>
      </w:r>
      <w:bookmarkEnd w:id="16"/>
      <w:bookmarkEnd w:id="17"/>
    </w:p>
    <w:p w14:paraId="37016E73" w14:textId="0647D0C4" w:rsidR="00F12716" w:rsidRDefault="004A21BB" w:rsidP="00FD425B">
      <w:pPr>
        <w:spacing w:line="252" w:lineRule="auto"/>
        <w:rPr>
          <w:rFonts w:cs="Times New Roman"/>
          <w:szCs w:val="28"/>
        </w:rPr>
      </w:pPr>
      <w:r w:rsidRPr="004A21BB">
        <w:rPr>
          <w:rFonts w:cs="Times New Roman"/>
          <w:szCs w:val="28"/>
        </w:rPr>
        <w:t xml:space="preserve">Глобальні цілі та основні етапи зниження тягаря ТБ були встановлені в рамках Цілей сталого розвитку ООН та Стратегії з ліквідації ТБ. Крім того, на Нараді Високого рівня Генеральної Асамблеї ООН (СВУ ГА ООН) було прийнято історично важливу політичну декларацію, що містить конкретні етапи, які мають бути досягнуті до 2022 р. Прийнявши цю декларацію, національні лідери визнають ТБ як виклик і зобов'язуються </w:t>
      </w:r>
      <w:r w:rsidR="00C800AC">
        <w:rPr>
          <w:rFonts w:cs="Times New Roman"/>
          <w:szCs w:val="28"/>
        </w:rPr>
        <w:t>впровадити та виконати</w:t>
      </w:r>
      <w:r w:rsidRPr="004A21BB">
        <w:rPr>
          <w:rFonts w:cs="Times New Roman"/>
          <w:szCs w:val="28"/>
        </w:rPr>
        <w:t xml:space="preserve"> конкретні </w:t>
      </w:r>
      <w:r w:rsidR="00C800AC">
        <w:rPr>
          <w:rFonts w:cs="Times New Roman"/>
          <w:szCs w:val="28"/>
        </w:rPr>
        <w:t>заходи</w:t>
      </w:r>
      <w:r w:rsidR="00F12716" w:rsidRPr="0024080D">
        <w:rPr>
          <w:rStyle w:val="ac"/>
          <w:rFonts w:cs="Times New Roman"/>
          <w:szCs w:val="28"/>
        </w:rPr>
        <w:footnoteReference w:id="2"/>
      </w:r>
      <w:r w:rsidR="00F12716" w:rsidRPr="0024080D">
        <w:rPr>
          <w:rFonts w:cs="Times New Roman"/>
          <w:szCs w:val="28"/>
        </w:rPr>
        <w:t>.</w:t>
      </w:r>
    </w:p>
    <w:p w14:paraId="0200593F" w14:textId="03A60AB8" w:rsidR="00761F32" w:rsidRPr="00761F32" w:rsidRDefault="00761F32" w:rsidP="00761F32">
      <w:pPr>
        <w:spacing w:line="252" w:lineRule="auto"/>
        <w:rPr>
          <w:rFonts w:cs="Times New Roman"/>
          <w:szCs w:val="28"/>
        </w:rPr>
      </w:pPr>
      <w:r w:rsidRPr="00761F32">
        <w:rPr>
          <w:rFonts w:cs="Times New Roman"/>
          <w:szCs w:val="28"/>
        </w:rPr>
        <w:t>Політична декларація на першій нараді високого рівня Організації Об'єднаних Націй (ООН) з туберкульозу у 2018 р. включала цілі з діагностики та лікування 40 мільйонів осіб з туберкульозом (включаючи 3,5 мільйона дітей) протягом 5-річного періоду 2018–202 років та 1,5 мільйона людей з лікарсько-стійким ТБ (</w:t>
      </w:r>
      <w:r w:rsidR="00C800AC">
        <w:rPr>
          <w:rFonts w:cs="Times New Roman"/>
          <w:szCs w:val="28"/>
        </w:rPr>
        <w:t>МЛС</w:t>
      </w:r>
      <w:r w:rsidRPr="00761F32">
        <w:rPr>
          <w:rFonts w:cs="Times New Roman"/>
          <w:szCs w:val="28"/>
        </w:rPr>
        <w:t>-ТБ, зокрема 115 000 дітей).</w:t>
      </w:r>
    </w:p>
    <w:p w14:paraId="18A65425" w14:textId="13F5F476" w:rsidR="00761F32" w:rsidRDefault="00761F32" w:rsidP="00222812">
      <w:pPr>
        <w:spacing w:line="252" w:lineRule="auto"/>
        <w:ind w:firstLine="0"/>
        <w:rPr>
          <w:rFonts w:cs="Times New Roman"/>
          <w:szCs w:val="28"/>
        </w:rPr>
      </w:pPr>
    </w:p>
    <w:tbl>
      <w:tblPr>
        <w:tblStyle w:val="1e"/>
        <w:tblW w:w="10585" w:type="dxa"/>
        <w:jc w:val="center"/>
        <w:tblLayout w:type="fixed"/>
        <w:tblLook w:val="04A0" w:firstRow="1" w:lastRow="0" w:firstColumn="1" w:lastColumn="0" w:noHBand="0" w:noVBand="1"/>
      </w:tblPr>
      <w:tblGrid>
        <w:gridCol w:w="363"/>
        <w:gridCol w:w="1440"/>
        <w:gridCol w:w="810"/>
        <w:gridCol w:w="720"/>
        <w:gridCol w:w="802"/>
        <w:gridCol w:w="720"/>
        <w:gridCol w:w="720"/>
        <w:gridCol w:w="799"/>
        <w:gridCol w:w="739"/>
        <w:gridCol w:w="810"/>
        <w:gridCol w:w="669"/>
        <w:gridCol w:w="738"/>
        <w:gridCol w:w="720"/>
        <w:gridCol w:w="535"/>
      </w:tblGrid>
      <w:tr w:rsidR="00222812" w:rsidRPr="00222812" w14:paraId="76D2A564" w14:textId="77777777" w:rsidTr="003B2A7B">
        <w:trPr>
          <w:trHeight w:val="872"/>
          <w:jc w:val="center"/>
        </w:trPr>
        <w:tc>
          <w:tcPr>
            <w:tcW w:w="363" w:type="dxa"/>
            <w:shd w:val="clear" w:color="auto" w:fill="auto"/>
            <w:noWrap/>
            <w:hideMark/>
          </w:tcPr>
          <w:p w14:paraId="2FF1DCDE" w14:textId="77777777" w:rsidR="00222812" w:rsidRPr="00222812" w:rsidRDefault="00222812" w:rsidP="00222812">
            <w:pPr>
              <w:ind w:firstLine="0"/>
              <w:jc w:val="center"/>
              <w:rPr>
                <w:iCs/>
                <w:sz w:val="18"/>
                <w:szCs w:val="18"/>
                <w:lang w:val="uk-UA"/>
              </w:rPr>
            </w:pPr>
            <w:r w:rsidRPr="00222812">
              <w:rPr>
                <w:iCs/>
                <w:sz w:val="18"/>
                <w:szCs w:val="18"/>
                <w:lang w:val="uk-UA"/>
              </w:rPr>
              <w:t>№</w:t>
            </w:r>
          </w:p>
        </w:tc>
        <w:tc>
          <w:tcPr>
            <w:tcW w:w="1440" w:type="dxa"/>
            <w:shd w:val="clear" w:color="auto" w:fill="auto"/>
            <w:noWrap/>
            <w:hideMark/>
          </w:tcPr>
          <w:p w14:paraId="6CB2EB9E" w14:textId="77777777" w:rsidR="00222812" w:rsidRPr="00222812" w:rsidRDefault="00222812" w:rsidP="00222812">
            <w:pPr>
              <w:ind w:firstLine="0"/>
              <w:jc w:val="center"/>
              <w:rPr>
                <w:iCs/>
                <w:sz w:val="18"/>
                <w:szCs w:val="18"/>
                <w:lang w:val="uk-UA"/>
              </w:rPr>
            </w:pPr>
            <w:r w:rsidRPr="00222812">
              <w:rPr>
                <w:iCs/>
                <w:sz w:val="18"/>
                <w:szCs w:val="18"/>
                <w:lang w:val="uk-UA"/>
              </w:rPr>
              <w:t>Цілі:</w:t>
            </w:r>
          </w:p>
        </w:tc>
        <w:tc>
          <w:tcPr>
            <w:tcW w:w="810" w:type="dxa"/>
            <w:shd w:val="clear" w:color="auto" w:fill="auto"/>
            <w:noWrap/>
            <w:hideMark/>
          </w:tcPr>
          <w:p w14:paraId="2705FB5E" w14:textId="77777777" w:rsidR="00222812" w:rsidRPr="00222812" w:rsidRDefault="00222812" w:rsidP="00222812">
            <w:pPr>
              <w:ind w:firstLine="0"/>
              <w:jc w:val="center"/>
              <w:rPr>
                <w:iCs/>
                <w:sz w:val="18"/>
                <w:szCs w:val="18"/>
                <w:lang w:val="uk-UA"/>
              </w:rPr>
            </w:pPr>
            <w:r w:rsidRPr="00222812">
              <w:rPr>
                <w:iCs/>
                <w:sz w:val="18"/>
                <w:szCs w:val="18"/>
                <w:lang w:val="uk-UA"/>
              </w:rPr>
              <w:t>Ціль 2018</w:t>
            </w:r>
          </w:p>
        </w:tc>
        <w:tc>
          <w:tcPr>
            <w:tcW w:w="720" w:type="dxa"/>
            <w:shd w:val="clear" w:color="auto" w:fill="auto"/>
            <w:noWrap/>
            <w:hideMark/>
          </w:tcPr>
          <w:p w14:paraId="2B891F70" w14:textId="77777777" w:rsidR="00222812" w:rsidRPr="00222812" w:rsidRDefault="00222812" w:rsidP="00222812">
            <w:pPr>
              <w:ind w:firstLine="0"/>
              <w:jc w:val="center"/>
              <w:rPr>
                <w:iCs/>
                <w:sz w:val="18"/>
                <w:szCs w:val="18"/>
                <w:lang w:val="uk-UA"/>
              </w:rPr>
            </w:pPr>
            <w:r w:rsidRPr="00222812">
              <w:rPr>
                <w:iCs/>
                <w:sz w:val="18"/>
                <w:szCs w:val="18"/>
                <w:lang w:val="uk-UA"/>
              </w:rPr>
              <w:t>2018 Досягнуто</w:t>
            </w:r>
          </w:p>
        </w:tc>
        <w:tc>
          <w:tcPr>
            <w:tcW w:w="802" w:type="dxa"/>
            <w:shd w:val="clear" w:color="auto" w:fill="auto"/>
            <w:noWrap/>
            <w:hideMark/>
          </w:tcPr>
          <w:p w14:paraId="4687E0CE" w14:textId="77777777" w:rsidR="00222812" w:rsidRPr="00222812" w:rsidRDefault="00222812" w:rsidP="00222812">
            <w:pPr>
              <w:ind w:hanging="226"/>
              <w:jc w:val="center"/>
              <w:rPr>
                <w:iCs/>
                <w:sz w:val="18"/>
                <w:szCs w:val="18"/>
                <w:lang w:val="uk-UA"/>
              </w:rPr>
            </w:pPr>
            <w:r w:rsidRPr="00222812">
              <w:rPr>
                <w:iCs/>
                <w:sz w:val="18"/>
                <w:szCs w:val="18"/>
                <w:lang w:val="uk-UA"/>
              </w:rPr>
              <w:t>% виконання 2018</w:t>
            </w:r>
          </w:p>
        </w:tc>
        <w:tc>
          <w:tcPr>
            <w:tcW w:w="720" w:type="dxa"/>
            <w:shd w:val="clear" w:color="auto" w:fill="auto"/>
            <w:noWrap/>
            <w:hideMark/>
          </w:tcPr>
          <w:p w14:paraId="65C825DC" w14:textId="77777777" w:rsidR="00222812" w:rsidRPr="00222812" w:rsidRDefault="00222812" w:rsidP="00222812">
            <w:pPr>
              <w:ind w:firstLine="0"/>
              <w:jc w:val="center"/>
              <w:rPr>
                <w:iCs/>
                <w:sz w:val="18"/>
                <w:szCs w:val="18"/>
                <w:lang w:val="uk-UA"/>
              </w:rPr>
            </w:pPr>
            <w:r w:rsidRPr="00222812">
              <w:rPr>
                <w:iCs/>
                <w:sz w:val="20"/>
                <w:lang w:val="uk-UA"/>
              </w:rPr>
              <w:t>Ціль 2019</w:t>
            </w:r>
          </w:p>
        </w:tc>
        <w:tc>
          <w:tcPr>
            <w:tcW w:w="720" w:type="dxa"/>
            <w:shd w:val="clear" w:color="auto" w:fill="auto"/>
            <w:noWrap/>
            <w:hideMark/>
          </w:tcPr>
          <w:p w14:paraId="4A615FC2" w14:textId="77777777" w:rsidR="00222812" w:rsidRPr="00222812" w:rsidRDefault="00222812" w:rsidP="00222812">
            <w:pPr>
              <w:ind w:firstLine="0"/>
              <w:jc w:val="center"/>
              <w:rPr>
                <w:iCs/>
                <w:sz w:val="18"/>
                <w:szCs w:val="18"/>
                <w:lang w:val="uk-UA"/>
              </w:rPr>
            </w:pPr>
            <w:r w:rsidRPr="00222812">
              <w:rPr>
                <w:iCs/>
                <w:sz w:val="20"/>
                <w:lang w:val="uk-UA"/>
              </w:rPr>
              <w:t>2019 Досягнуто</w:t>
            </w:r>
          </w:p>
        </w:tc>
        <w:tc>
          <w:tcPr>
            <w:tcW w:w="799" w:type="dxa"/>
            <w:shd w:val="clear" w:color="auto" w:fill="auto"/>
            <w:noWrap/>
            <w:hideMark/>
          </w:tcPr>
          <w:p w14:paraId="14A37277" w14:textId="77777777" w:rsidR="00222812" w:rsidRPr="00222812" w:rsidRDefault="00222812" w:rsidP="00222812">
            <w:pPr>
              <w:ind w:firstLine="0"/>
              <w:jc w:val="center"/>
              <w:rPr>
                <w:iCs/>
                <w:sz w:val="18"/>
                <w:szCs w:val="18"/>
                <w:lang w:val="uk-UA"/>
              </w:rPr>
            </w:pPr>
            <w:r w:rsidRPr="00222812">
              <w:rPr>
                <w:iCs/>
                <w:sz w:val="20"/>
                <w:lang w:val="uk-UA"/>
              </w:rPr>
              <w:t>% виконання 2019</w:t>
            </w:r>
          </w:p>
        </w:tc>
        <w:tc>
          <w:tcPr>
            <w:tcW w:w="739" w:type="dxa"/>
            <w:shd w:val="clear" w:color="auto" w:fill="auto"/>
          </w:tcPr>
          <w:p w14:paraId="5D6B02AA" w14:textId="77777777" w:rsidR="00222812" w:rsidRPr="00222812" w:rsidRDefault="00222812" w:rsidP="00222812">
            <w:pPr>
              <w:ind w:firstLine="0"/>
              <w:jc w:val="center"/>
              <w:rPr>
                <w:iCs/>
                <w:sz w:val="18"/>
                <w:szCs w:val="18"/>
                <w:lang w:val="uk-UA"/>
              </w:rPr>
            </w:pPr>
            <w:r w:rsidRPr="00222812">
              <w:rPr>
                <w:iCs/>
                <w:sz w:val="18"/>
                <w:szCs w:val="18"/>
                <w:lang w:val="uk-UA"/>
              </w:rPr>
              <w:t>Цілі 2020</w:t>
            </w:r>
          </w:p>
        </w:tc>
        <w:tc>
          <w:tcPr>
            <w:tcW w:w="810" w:type="dxa"/>
            <w:shd w:val="clear" w:color="auto" w:fill="auto"/>
          </w:tcPr>
          <w:p w14:paraId="6D521FE0" w14:textId="77777777" w:rsidR="00222812" w:rsidRPr="00222812" w:rsidRDefault="00222812" w:rsidP="00222812">
            <w:pPr>
              <w:ind w:firstLine="0"/>
              <w:jc w:val="center"/>
              <w:rPr>
                <w:iCs/>
                <w:sz w:val="18"/>
                <w:szCs w:val="18"/>
                <w:lang w:val="uk-UA"/>
              </w:rPr>
            </w:pPr>
            <w:r w:rsidRPr="00222812">
              <w:rPr>
                <w:iCs/>
                <w:sz w:val="18"/>
                <w:szCs w:val="18"/>
                <w:lang w:val="uk-UA"/>
              </w:rPr>
              <w:t>2020 Досягнуто</w:t>
            </w:r>
          </w:p>
        </w:tc>
        <w:tc>
          <w:tcPr>
            <w:tcW w:w="669" w:type="dxa"/>
            <w:shd w:val="clear" w:color="auto" w:fill="auto"/>
          </w:tcPr>
          <w:p w14:paraId="029DD8B4" w14:textId="77777777" w:rsidR="00222812" w:rsidRPr="00222812" w:rsidRDefault="00222812" w:rsidP="00222812">
            <w:pPr>
              <w:ind w:firstLine="0"/>
              <w:jc w:val="center"/>
              <w:rPr>
                <w:iCs/>
                <w:sz w:val="18"/>
                <w:szCs w:val="18"/>
                <w:lang w:val="uk-UA"/>
              </w:rPr>
            </w:pPr>
            <w:r w:rsidRPr="00222812">
              <w:rPr>
                <w:iCs/>
                <w:sz w:val="18"/>
                <w:szCs w:val="18"/>
                <w:lang w:val="uk-UA"/>
              </w:rPr>
              <w:t>% виконання 2020</w:t>
            </w:r>
          </w:p>
        </w:tc>
        <w:tc>
          <w:tcPr>
            <w:tcW w:w="738" w:type="dxa"/>
            <w:shd w:val="clear" w:color="auto" w:fill="auto"/>
          </w:tcPr>
          <w:p w14:paraId="7C8F1C79" w14:textId="77777777" w:rsidR="00222812" w:rsidRPr="00222812" w:rsidRDefault="00222812" w:rsidP="00222812">
            <w:pPr>
              <w:ind w:firstLine="0"/>
              <w:jc w:val="center"/>
              <w:rPr>
                <w:iCs/>
                <w:sz w:val="18"/>
                <w:szCs w:val="18"/>
                <w:lang w:val="uk-UA"/>
              </w:rPr>
            </w:pPr>
            <w:r w:rsidRPr="00222812">
              <w:rPr>
                <w:iCs/>
                <w:sz w:val="18"/>
                <w:szCs w:val="18"/>
                <w:lang w:val="uk-UA"/>
              </w:rPr>
              <w:t>Цілі 2021</w:t>
            </w:r>
          </w:p>
        </w:tc>
        <w:tc>
          <w:tcPr>
            <w:tcW w:w="720" w:type="dxa"/>
            <w:shd w:val="clear" w:color="auto" w:fill="auto"/>
          </w:tcPr>
          <w:p w14:paraId="194438CF" w14:textId="77777777" w:rsidR="00222812" w:rsidRPr="00222812" w:rsidRDefault="00222812" w:rsidP="00222812">
            <w:pPr>
              <w:ind w:firstLine="0"/>
              <w:jc w:val="center"/>
              <w:rPr>
                <w:iCs/>
                <w:sz w:val="18"/>
                <w:szCs w:val="18"/>
                <w:lang w:val="uk-UA"/>
              </w:rPr>
            </w:pPr>
            <w:r w:rsidRPr="00222812">
              <w:rPr>
                <w:iCs/>
                <w:sz w:val="18"/>
                <w:szCs w:val="18"/>
                <w:lang w:val="uk-UA"/>
              </w:rPr>
              <w:t>2021 досягнуто</w:t>
            </w:r>
          </w:p>
        </w:tc>
        <w:tc>
          <w:tcPr>
            <w:tcW w:w="535" w:type="dxa"/>
            <w:shd w:val="clear" w:color="auto" w:fill="auto"/>
          </w:tcPr>
          <w:p w14:paraId="69442880" w14:textId="77777777" w:rsidR="00222812" w:rsidRPr="00222812" w:rsidRDefault="00222812" w:rsidP="00222812">
            <w:pPr>
              <w:ind w:firstLine="0"/>
              <w:jc w:val="center"/>
              <w:rPr>
                <w:iCs/>
                <w:sz w:val="18"/>
                <w:szCs w:val="18"/>
                <w:lang w:val="uk-UA"/>
              </w:rPr>
            </w:pPr>
            <w:r w:rsidRPr="00222812">
              <w:rPr>
                <w:iCs/>
                <w:sz w:val="18"/>
                <w:szCs w:val="18"/>
                <w:lang w:val="uk-UA"/>
              </w:rPr>
              <w:t>% виконання 2021</w:t>
            </w:r>
          </w:p>
        </w:tc>
      </w:tr>
      <w:tr w:rsidR="00222812" w:rsidRPr="00222812" w14:paraId="332C49D2" w14:textId="77777777" w:rsidTr="003B2A7B">
        <w:trPr>
          <w:trHeight w:val="580"/>
          <w:jc w:val="center"/>
        </w:trPr>
        <w:tc>
          <w:tcPr>
            <w:tcW w:w="363" w:type="dxa"/>
            <w:shd w:val="clear" w:color="auto" w:fill="auto"/>
            <w:noWrap/>
            <w:hideMark/>
          </w:tcPr>
          <w:p w14:paraId="0A1FE6F1" w14:textId="77777777" w:rsidR="00222812" w:rsidRPr="00222812" w:rsidRDefault="00222812" w:rsidP="00222812">
            <w:pPr>
              <w:ind w:firstLine="0"/>
              <w:rPr>
                <w:sz w:val="18"/>
                <w:szCs w:val="18"/>
                <w:lang w:val="uk-UA"/>
              </w:rPr>
            </w:pPr>
            <w:bookmarkStart w:id="18" w:name="_Hlk50342427"/>
            <w:r w:rsidRPr="00222812">
              <w:rPr>
                <w:sz w:val="18"/>
                <w:szCs w:val="18"/>
                <w:lang w:val="uk-UA"/>
              </w:rPr>
              <w:t>1.      </w:t>
            </w:r>
            <w:r w:rsidRPr="00222812">
              <w:rPr>
                <w:sz w:val="18"/>
                <w:szCs w:val="18"/>
                <w:lang w:val="uk-UA"/>
              </w:rPr>
              <w:lastRenderedPageBreak/>
              <w:t xml:space="preserve">  </w:t>
            </w:r>
          </w:p>
        </w:tc>
        <w:tc>
          <w:tcPr>
            <w:tcW w:w="1440" w:type="dxa"/>
            <w:shd w:val="clear" w:color="auto" w:fill="auto"/>
            <w:hideMark/>
          </w:tcPr>
          <w:p w14:paraId="04EB578A" w14:textId="77777777" w:rsidR="00222812" w:rsidRPr="00222812" w:rsidRDefault="00222812" w:rsidP="00222812">
            <w:pPr>
              <w:ind w:firstLine="0"/>
              <w:rPr>
                <w:sz w:val="18"/>
                <w:szCs w:val="18"/>
                <w:lang w:val="uk-UA"/>
              </w:rPr>
            </w:pPr>
            <w:r w:rsidRPr="00222812">
              <w:rPr>
                <w:sz w:val="18"/>
                <w:szCs w:val="18"/>
                <w:lang w:val="uk-UA"/>
              </w:rPr>
              <w:lastRenderedPageBreak/>
              <w:t>Діагностика та лікування дитячого ТБ</w:t>
            </w:r>
          </w:p>
        </w:tc>
        <w:tc>
          <w:tcPr>
            <w:tcW w:w="810" w:type="dxa"/>
            <w:shd w:val="clear" w:color="auto" w:fill="auto"/>
            <w:noWrap/>
            <w:hideMark/>
          </w:tcPr>
          <w:p w14:paraId="5389EE26" w14:textId="77777777" w:rsidR="00222812" w:rsidRPr="00222812" w:rsidRDefault="00222812" w:rsidP="00222812">
            <w:pPr>
              <w:ind w:firstLine="0"/>
              <w:rPr>
                <w:sz w:val="18"/>
                <w:szCs w:val="18"/>
                <w:lang w:val="uk-UA"/>
              </w:rPr>
            </w:pPr>
            <w:r w:rsidRPr="00222812">
              <w:rPr>
                <w:sz w:val="18"/>
                <w:szCs w:val="18"/>
                <w:lang w:val="uk-UA"/>
              </w:rPr>
              <w:t>700</w:t>
            </w:r>
          </w:p>
        </w:tc>
        <w:tc>
          <w:tcPr>
            <w:tcW w:w="720" w:type="dxa"/>
            <w:shd w:val="clear" w:color="auto" w:fill="auto"/>
            <w:noWrap/>
            <w:hideMark/>
          </w:tcPr>
          <w:p w14:paraId="6D81F74D" w14:textId="77777777" w:rsidR="00222812" w:rsidRPr="00222812" w:rsidRDefault="00222812" w:rsidP="00222812">
            <w:pPr>
              <w:ind w:firstLine="0"/>
              <w:rPr>
                <w:sz w:val="18"/>
                <w:szCs w:val="18"/>
                <w:lang w:val="uk-UA"/>
              </w:rPr>
            </w:pPr>
            <w:r w:rsidRPr="00222812">
              <w:rPr>
                <w:sz w:val="18"/>
                <w:szCs w:val="18"/>
                <w:lang w:val="uk-UA"/>
              </w:rPr>
              <w:t>584</w:t>
            </w:r>
          </w:p>
        </w:tc>
        <w:tc>
          <w:tcPr>
            <w:tcW w:w="802" w:type="dxa"/>
            <w:shd w:val="clear" w:color="auto" w:fill="auto"/>
            <w:noWrap/>
            <w:hideMark/>
          </w:tcPr>
          <w:p w14:paraId="2DF93A76" w14:textId="77777777" w:rsidR="00222812" w:rsidRPr="00222812" w:rsidRDefault="00222812" w:rsidP="00222812">
            <w:pPr>
              <w:ind w:firstLine="0"/>
              <w:rPr>
                <w:bCs/>
                <w:sz w:val="18"/>
                <w:szCs w:val="18"/>
                <w:lang w:val="uk-UA"/>
              </w:rPr>
            </w:pPr>
            <w:r w:rsidRPr="00222812">
              <w:rPr>
                <w:bCs/>
                <w:sz w:val="18"/>
                <w:szCs w:val="18"/>
                <w:lang w:val="uk-UA"/>
              </w:rPr>
              <w:t>83.4</w:t>
            </w:r>
          </w:p>
        </w:tc>
        <w:tc>
          <w:tcPr>
            <w:tcW w:w="720" w:type="dxa"/>
            <w:shd w:val="clear" w:color="auto" w:fill="auto"/>
            <w:noWrap/>
            <w:hideMark/>
          </w:tcPr>
          <w:p w14:paraId="4D449383" w14:textId="77777777" w:rsidR="00222812" w:rsidRPr="00222812" w:rsidRDefault="00222812" w:rsidP="00222812">
            <w:pPr>
              <w:ind w:firstLine="0"/>
              <w:rPr>
                <w:sz w:val="18"/>
                <w:szCs w:val="18"/>
                <w:lang w:val="uk-UA"/>
              </w:rPr>
            </w:pPr>
            <w:r w:rsidRPr="00222812">
              <w:rPr>
                <w:sz w:val="18"/>
                <w:szCs w:val="18"/>
                <w:lang w:val="uk-UA"/>
              </w:rPr>
              <w:t>700</w:t>
            </w:r>
          </w:p>
        </w:tc>
        <w:tc>
          <w:tcPr>
            <w:tcW w:w="720" w:type="dxa"/>
            <w:shd w:val="clear" w:color="auto" w:fill="auto"/>
            <w:noWrap/>
            <w:hideMark/>
          </w:tcPr>
          <w:p w14:paraId="5ADBEFD7" w14:textId="77777777" w:rsidR="00222812" w:rsidRPr="00222812" w:rsidRDefault="00222812" w:rsidP="00222812">
            <w:pPr>
              <w:ind w:firstLine="0"/>
              <w:rPr>
                <w:sz w:val="18"/>
                <w:szCs w:val="18"/>
                <w:lang w:val="uk-UA"/>
              </w:rPr>
            </w:pPr>
            <w:r w:rsidRPr="00222812">
              <w:rPr>
                <w:sz w:val="18"/>
                <w:szCs w:val="18"/>
                <w:lang w:val="uk-UA"/>
              </w:rPr>
              <w:t>582</w:t>
            </w:r>
          </w:p>
        </w:tc>
        <w:tc>
          <w:tcPr>
            <w:tcW w:w="799" w:type="dxa"/>
            <w:shd w:val="clear" w:color="auto" w:fill="auto"/>
            <w:noWrap/>
            <w:hideMark/>
          </w:tcPr>
          <w:p w14:paraId="428CF07C" w14:textId="77777777" w:rsidR="00222812" w:rsidRPr="00222812" w:rsidRDefault="00222812" w:rsidP="00222812">
            <w:pPr>
              <w:ind w:firstLine="0"/>
              <w:rPr>
                <w:bCs/>
                <w:sz w:val="18"/>
                <w:szCs w:val="18"/>
                <w:lang w:val="uk-UA"/>
              </w:rPr>
            </w:pPr>
            <w:r w:rsidRPr="00222812">
              <w:rPr>
                <w:bCs/>
                <w:sz w:val="18"/>
                <w:szCs w:val="18"/>
                <w:lang w:val="uk-UA"/>
              </w:rPr>
              <w:t>83.1</w:t>
            </w:r>
          </w:p>
        </w:tc>
        <w:tc>
          <w:tcPr>
            <w:tcW w:w="739" w:type="dxa"/>
            <w:shd w:val="clear" w:color="auto" w:fill="auto"/>
          </w:tcPr>
          <w:p w14:paraId="33F295AC" w14:textId="77777777" w:rsidR="00222812" w:rsidRPr="00222812" w:rsidRDefault="00222812" w:rsidP="00222812">
            <w:pPr>
              <w:ind w:firstLine="0"/>
              <w:rPr>
                <w:bCs/>
                <w:sz w:val="18"/>
                <w:szCs w:val="18"/>
                <w:lang w:val="uk-UA"/>
              </w:rPr>
            </w:pPr>
            <w:r w:rsidRPr="00222812">
              <w:rPr>
                <w:bCs/>
                <w:sz w:val="18"/>
                <w:szCs w:val="18"/>
                <w:lang w:val="uk-UA"/>
              </w:rPr>
              <w:t>900</w:t>
            </w:r>
          </w:p>
        </w:tc>
        <w:tc>
          <w:tcPr>
            <w:tcW w:w="810" w:type="dxa"/>
            <w:shd w:val="clear" w:color="auto" w:fill="auto"/>
          </w:tcPr>
          <w:p w14:paraId="7C64AC0A" w14:textId="77777777" w:rsidR="00222812" w:rsidRPr="00222812" w:rsidRDefault="00222812" w:rsidP="00222812">
            <w:pPr>
              <w:ind w:firstLine="0"/>
              <w:rPr>
                <w:bCs/>
                <w:sz w:val="18"/>
                <w:szCs w:val="18"/>
                <w:lang w:val="uk-UA"/>
              </w:rPr>
            </w:pPr>
            <w:r w:rsidRPr="00222812">
              <w:rPr>
                <w:bCs/>
                <w:sz w:val="18"/>
                <w:szCs w:val="18"/>
                <w:lang w:val="uk-UA"/>
              </w:rPr>
              <w:t>382</w:t>
            </w:r>
          </w:p>
        </w:tc>
        <w:tc>
          <w:tcPr>
            <w:tcW w:w="669" w:type="dxa"/>
            <w:shd w:val="clear" w:color="auto" w:fill="auto"/>
          </w:tcPr>
          <w:p w14:paraId="3D29038E" w14:textId="77777777" w:rsidR="00222812" w:rsidRPr="00222812" w:rsidRDefault="00222812" w:rsidP="00222812">
            <w:pPr>
              <w:ind w:firstLine="0"/>
              <w:rPr>
                <w:bCs/>
                <w:sz w:val="18"/>
                <w:szCs w:val="18"/>
                <w:lang w:val="uk-UA"/>
              </w:rPr>
            </w:pPr>
            <w:r w:rsidRPr="00222812">
              <w:rPr>
                <w:bCs/>
                <w:sz w:val="18"/>
                <w:szCs w:val="18"/>
                <w:lang w:val="uk-UA"/>
              </w:rPr>
              <w:t>42,4</w:t>
            </w:r>
          </w:p>
        </w:tc>
        <w:tc>
          <w:tcPr>
            <w:tcW w:w="738" w:type="dxa"/>
            <w:shd w:val="clear" w:color="auto" w:fill="auto"/>
          </w:tcPr>
          <w:p w14:paraId="697A253E" w14:textId="77777777" w:rsidR="00222812" w:rsidRPr="00222812" w:rsidRDefault="00222812" w:rsidP="00222812">
            <w:pPr>
              <w:ind w:firstLine="0"/>
              <w:rPr>
                <w:bCs/>
                <w:sz w:val="18"/>
                <w:szCs w:val="18"/>
                <w:lang w:val="uk-UA"/>
              </w:rPr>
            </w:pPr>
            <w:r w:rsidRPr="00222812">
              <w:rPr>
                <w:bCs/>
                <w:sz w:val="18"/>
                <w:szCs w:val="18"/>
                <w:lang w:val="uk-UA"/>
              </w:rPr>
              <w:t>900</w:t>
            </w:r>
          </w:p>
        </w:tc>
        <w:tc>
          <w:tcPr>
            <w:tcW w:w="720" w:type="dxa"/>
            <w:shd w:val="clear" w:color="auto" w:fill="auto"/>
          </w:tcPr>
          <w:p w14:paraId="0DF3A061" w14:textId="77777777" w:rsidR="00222812" w:rsidRPr="00222812" w:rsidRDefault="00222812" w:rsidP="00222812">
            <w:pPr>
              <w:ind w:firstLine="0"/>
              <w:rPr>
                <w:bCs/>
                <w:sz w:val="18"/>
                <w:szCs w:val="18"/>
                <w:lang w:val="uk-UA"/>
              </w:rPr>
            </w:pPr>
            <w:r w:rsidRPr="00222812">
              <w:rPr>
                <w:bCs/>
                <w:sz w:val="18"/>
                <w:szCs w:val="18"/>
                <w:lang w:val="uk-UA"/>
              </w:rPr>
              <w:t>463</w:t>
            </w:r>
          </w:p>
        </w:tc>
        <w:tc>
          <w:tcPr>
            <w:tcW w:w="535" w:type="dxa"/>
            <w:shd w:val="clear" w:color="auto" w:fill="auto"/>
          </w:tcPr>
          <w:p w14:paraId="565C6F72" w14:textId="77777777" w:rsidR="00222812" w:rsidRPr="00222812" w:rsidRDefault="00222812" w:rsidP="00222812">
            <w:pPr>
              <w:ind w:firstLine="0"/>
              <w:rPr>
                <w:bCs/>
                <w:sz w:val="18"/>
                <w:szCs w:val="18"/>
                <w:lang w:val="uk-UA"/>
              </w:rPr>
            </w:pPr>
            <w:r w:rsidRPr="00222812">
              <w:rPr>
                <w:bCs/>
                <w:sz w:val="18"/>
                <w:szCs w:val="18"/>
                <w:lang w:val="uk-UA"/>
              </w:rPr>
              <w:t>51,4</w:t>
            </w:r>
          </w:p>
        </w:tc>
      </w:tr>
      <w:bookmarkEnd w:id="18"/>
      <w:tr w:rsidR="00222812" w:rsidRPr="00222812" w14:paraId="0E6CD751" w14:textId="77777777" w:rsidTr="003B2A7B">
        <w:trPr>
          <w:trHeight w:val="580"/>
          <w:jc w:val="center"/>
        </w:trPr>
        <w:tc>
          <w:tcPr>
            <w:tcW w:w="363" w:type="dxa"/>
            <w:shd w:val="clear" w:color="auto" w:fill="auto"/>
            <w:noWrap/>
            <w:hideMark/>
          </w:tcPr>
          <w:p w14:paraId="4518DC39" w14:textId="77777777" w:rsidR="00222812" w:rsidRPr="00222812" w:rsidRDefault="00222812" w:rsidP="00222812">
            <w:pPr>
              <w:ind w:firstLine="0"/>
              <w:rPr>
                <w:sz w:val="18"/>
                <w:szCs w:val="18"/>
                <w:lang w:val="uk-UA"/>
              </w:rPr>
            </w:pPr>
            <w:r w:rsidRPr="00222812">
              <w:rPr>
                <w:sz w:val="18"/>
                <w:szCs w:val="18"/>
                <w:lang w:val="uk-UA"/>
              </w:rPr>
              <w:t>2.        </w:t>
            </w:r>
          </w:p>
        </w:tc>
        <w:tc>
          <w:tcPr>
            <w:tcW w:w="1440" w:type="dxa"/>
            <w:shd w:val="clear" w:color="auto" w:fill="auto"/>
            <w:hideMark/>
          </w:tcPr>
          <w:p w14:paraId="65C555DD" w14:textId="77777777" w:rsidR="00222812" w:rsidRPr="00222812" w:rsidRDefault="00222812" w:rsidP="00222812">
            <w:pPr>
              <w:ind w:firstLine="0"/>
              <w:rPr>
                <w:sz w:val="18"/>
                <w:szCs w:val="18"/>
                <w:lang w:val="uk-UA"/>
              </w:rPr>
            </w:pPr>
            <w:r w:rsidRPr="00222812">
              <w:rPr>
                <w:sz w:val="18"/>
                <w:szCs w:val="18"/>
                <w:lang w:val="uk-UA"/>
              </w:rPr>
              <w:t>Діагностика та лікування МЛС-ТБ</w:t>
            </w:r>
          </w:p>
        </w:tc>
        <w:tc>
          <w:tcPr>
            <w:tcW w:w="810" w:type="dxa"/>
            <w:shd w:val="clear" w:color="auto" w:fill="auto"/>
            <w:noWrap/>
            <w:hideMark/>
          </w:tcPr>
          <w:p w14:paraId="5E7BF359" w14:textId="77777777" w:rsidR="00222812" w:rsidRPr="00222812" w:rsidRDefault="00222812" w:rsidP="00222812">
            <w:pPr>
              <w:ind w:firstLine="0"/>
              <w:rPr>
                <w:sz w:val="18"/>
                <w:szCs w:val="18"/>
                <w:lang w:val="uk-UA"/>
              </w:rPr>
            </w:pPr>
            <w:r w:rsidRPr="00222812">
              <w:rPr>
                <w:sz w:val="18"/>
                <w:szCs w:val="18"/>
                <w:lang w:val="uk-UA"/>
              </w:rPr>
              <w:t>7926</w:t>
            </w:r>
          </w:p>
        </w:tc>
        <w:tc>
          <w:tcPr>
            <w:tcW w:w="720" w:type="dxa"/>
            <w:shd w:val="clear" w:color="auto" w:fill="auto"/>
            <w:noWrap/>
            <w:hideMark/>
          </w:tcPr>
          <w:p w14:paraId="54338508" w14:textId="77777777" w:rsidR="00222812" w:rsidRPr="00222812" w:rsidRDefault="00222812" w:rsidP="00222812">
            <w:pPr>
              <w:ind w:firstLine="0"/>
              <w:rPr>
                <w:sz w:val="18"/>
                <w:szCs w:val="18"/>
                <w:lang w:val="uk-UA"/>
              </w:rPr>
            </w:pPr>
            <w:r w:rsidRPr="00222812">
              <w:rPr>
                <w:sz w:val="18"/>
                <w:szCs w:val="18"/>
                <w:lang w:val="uk-UA"/>
              </w:rPr>
              <w:t>6286</w:t>
            </w:r>
          </w:p>
        </w:tc>
        <w:tc>
          <w:tcPr>
            <w:tcW w:w="802" w:type="dxa"/>
            <w:shd w:val="clear" w:color="auto" w:fill="auto"/>
            <w:noWrap/>
            <w:hideMark/>
          </w:tcPr>
          <w:p w14:paraId="57836CBB" w14:textId="77777777" w:rsidR="00222812" w:rsidRPr="00222812" w:rsidRDefault="00222812" w:rsidP="00222812">
            <w:pPr>
              <w:ind w:firstLine="0"/>
              <w:rPr>
                <w:bCs/>
                <w:sz w:val="18"/>
                <w:szCs w:val="18"/>
                <w:lang w:val="uk-UA"/>
              </w:rPr>
            </w:pPr>
            <w:r w:rsidRPr="00222812">
              <w:rPr>
                <w:bCs/>
                <w:sz w:val="18"/>
                <w:szCs w:val="18"/>
                <w:lang w:val="uk-UA"/>
              </w:rPr>
              <w:t>79.3</w:t>
            </w:r>
          </w:p>
        </w:tc>
        <w:tc>
          <w:tcPr>
            <w:tcW w:w="720" w:type="dxa"/>
            <w:shd w:val="clear" w:color="auto" w:fill="auto"/>
            <w:noWrap/>
            <w:hideMark/>
          </w:tcPr>
          <w:p w14:paraId="67EF2031" w14:textId="77777777" w:rsidR="00222812" w:rsidRPr="00222812" w:rsidRDefault="00222812" w:rsidP="00222812">
            <w:pPr>
              <w:ind w:firstLine="0"/>
              <w:rPr>
                <w:sz w:val="18"/>
                <w:szCs w:val="18"/>
                <w:lang w:val="uk-UA"/>
              </w:rPr>
            </w:pPr>
            <w:r w:rsidRPr="00222812">
              <w:rPr>
                <w:sz w:val="18"/>
                <w:szCs w:val="18"/>
                <w:lang w:val="uk-UA"/>
              </w:rPr>
              <w:t>8398</w:t>
            </w:r>
          </w:p>
        </w:tc>
        <w:tc>
          <w:tcPr>
            <w:tcW w:w="720" w:type="dxa"/>
            <w:shd w:val="clear" w:color="auto" w:fill="auto"/>
            <w:noWrap/>
            <w:hideMark/>
          </w:tcPr>
          <w:p w14:paraId="5BB2E4F8" w14:textId="77777777" w:rsidR="00222812" w:rsidRPr="00222812" w:rsidRDefault="00222812" w:rsidP="00222812">
            <w:pPr>
              <w:ind w:firstLine="0"/>
              <w:rPr>
                <w:sz w:val="18"/>
                <w:szCs w:val="18"/>
                <w:lang w:val="uk-UA"/>
              </w:rPr>
            </w:pPr>
            <w:r w:rsidRPr="00222812">
              <w:rPr>
                <w:sz w:val="18"/>
                <w:szCs w:val="18"/>
                <w:lang w:val="uk-UA"/>
              </w:rPr>
              <w:t>5926</w:t>
            </w:r>
          </w:p>
        </w:tc>
        <w:tc>
          <w:tcPr>
            <w:tcW w:w="799" w:type="dxa"/>
            <w:shd w:val="clear" w:color="auto" w:fill="auto"/>
            <w:noWrap/>
            <w:hideMark/>
          </w:tcPr>
          <w:p w14:paraId="7906F0E1" w14:textId="77777777" w:rsidR="00222812" w:rsidRPr="00222812" w:rsidRDefault="00222812" w:rsidP="00222812">
            <w:pPr>
              <w:ind w:firstLine="0"/>
              <w:rPr>
                <w:bCs/>
                <w:sz w:val="18"/>
                <w:szCs w:val="18"/>
                <w:lang w:val="uk-UA"/>
              </w:rPr>
            </w:pPr>
            <w:r w:rsidRPr="00222812">
              <w:rPr>
                <w:bCs/>
                <w:sz w:val="18"/>
                <w:szCs w:val="18"/>
                <w:lang w:val="uk-UA"/>
              </w:rPr>
              <w:t>70.6</w:t>
            </w:r>
          </w:p>
        </w:tc>
        <w:tc>
          <w:tcPr>
            <w:tcW w:w="739" w:type="dxa"/>
            <w:shd w:val="clear" w:color="auto" w:fill="auto"/>
          </w:tcPr>
          <w:p w14:paraId="1A53F26F" w14:textId="77777777" w:rsidR="00222812" w:rsidRPr="00222812" w:rsidRDefault="00222812" w:rsidP="00222812">
            <w:pPr>
              <w:ind w:firstLine="0"/>
              <w:rPr>
                <w:bCs/>
                <w:sz w:val="18"/>
                <w:szCs w:val="18"/>
                <w:lang w:val="uk-UA"/>
              </w:rPr>
            </w:pPr>
            <w:r w:rsidRPr="00222812">
              <w:rPr>
                <w:bCs/>
                <w:sz w:val="18"/>
                <w:szCs w:val="18"/>
                <w:lang w:val="uk-UA"/>
              </w:rPr>
              <w:t>8870</w:t>
            </w:r>
          </w:p>
        </w:tc>
        <w:tc>
          <w:tcPr>
            <w:tcW w:w="810" w:type="dxa"/>
            <w:shd w:val="clear" w:color="auto" w:fill="auto"/>
          </w:tcPr>
          <w:p w14:paraId="21884832" w14:textId="77777777" w:rsidR="00222812" w:rsidRPr="00222812" w:rsidRDefault="00222812" w:rsidP="00222812">
            <w:pPr>
              <w:ind w:firstLine="0"/>
              <w:rPr>
                <w:bCs/>
                <w:sz w:val="18"/>
                <w:szCs w:val="18"/>
                <w:lang w:val="uk-UA"/>
              </w:rPr>
            </w:pPr>
            <w:r w:rsidRPr="00222812">
              <w:rPr>
                <w:bCs/>
                <w:sz w:val="18"/>
                <w:szCs w:val="18"/>
                <w:lang w:val="uk-UA"/>
              </w:rPr>
              <w:t>4083</w:t>
            </w:r>
          </w:p>
        </w:tc>
        <w:tc>
          <w:tcPr>
            <w:tcW w:w="669" w:type="dxa"/>
            <w:shd w:val="clear" w:color="auto" w:fill="auto"/>
          </w:tcPr>
          <w:p w14:paraId="04465EAA" w14:textId="77777777" w:rsidR="00222812" w:rsidRPr="00222812" w:rsidRDefault="00222812" w:rsidP="00222812">
            <w:pPr>
              <w:ind w:firstLine="0"/>
              <w:rPr>
                <w:bCs/>
                <w:sz w:val="18"/>
                <w:szCs w:val="18"/>
                <w:lang w:val="uk-UA"/>
              </w:rPr>
            </w:pPr>
            <w:r w:rsidRPr="00222812">
              <w:rPr>
                <w:bCs/>
                <w:sz w:val="18"/>
                <w:szCs w:val="18"/>
                <w:lang w:val="uk-UA"/>
              </w:rPr>
              <w:t>46,0</w:t>
            </w:r>
          </w:p>
        </w:tc>
        <w:tc>
          <w:tcPr>
            <w:tcW w:w="738" w:type="dxa"/>
            <w:shd w:val="clear" w:color="auto" w:fill="auto"/>
          </w:tcPr>
          <w:p w14:paraId="1AAA5196" w14:textId="77777777" w:rsidR="00222812" w:rsidRPr="00222812" w:rsidRDefault="00222812" w:rsidP="00222812">
            <w:pPr>
              <w:ind w:firstLine="0"/>
              <w:rPr>
                <w:bCs/>
                <w:sz w:val="18"/>
                <w:szCs w:val="18"/>
                <w:lang w:val="uk-UA"/>
              </w:rPr>
            </w:pPr>
            <w:r w:rsidRPr="00222812">
              <w:rPr>
                <w:bCs/>
                <w:sz w:val="18"/>
                <w:szCs w:val="18"/>
                <w:lang w:val="uk-UA"/>
              </w:rPr>
              <w:t>9436</w:t>
            </w:r>
          </w:p>
        </w:tc>
        <w:tc>
          <w:tcPr>
            <w:tcW w:w="720" w:type="dxa"/>
            <w:shd w:val="clear" w:color="auto" w:fill="auto"/>
          </w:tcPr>
          <w:p w14:paraId="1308B951" w14:textId="77777777" w:rsidR="00222812" w:rsidRPr="00222812" w:rsidRDefault="00222812" w:rsidP="00222812">
            <w:pPr>
              <w:ind w:firstLine="0"/>
              <w:rPr>
                <w:bCs/>
                <w:sz w:val="18"/>
                <w:szCs w:val="18"/>
                <w:lang w:val="uk-UA"/>
              </w:rPr>
            </w:pPr>
            <w:r w:rsidRPr="00222812">
              <w:rPr>
                <w:bCs/>
                <w:sz w:val="18"/>
                <w:szCs w:val="18"/>
                <w:lang w:val="uk-UA"/>
              </w:rPr>
              <w:t>3884</w:t>
            </w:r>
          </w:p>
        </w:tc>
        <w:tc>
          <w:tcPr>
            <w:tcW w:w="535" w:type="dxa"/>
            <w:shd w:val="clear" w:color="auto" w:fill="auto"/>
          </w:tcPr>
          <w:p w14:paraId="50BA1963" w14:textId="77777777" w:rsidR="00222812" w:rsidRPr="00222812" w:rsidRDefault="00222812" w:rsidP="00222812">
            <w:pPr>
              <w:ind w:firstLine="0"/>
              <w:rPr>
                <w:bCs/>
                <w:sz w:val="18"/>
                <w:szCs w:val="18"/>
                <w:lang w:val="uk-UA"/>
              </w:rPr>
            </w:pPr>
            <w:r w:rsidRPr="00222812">
              <w:rPr>
                <w:bCs/>
                <w:sz w:val="18"/>
                <w:szCs w:val="18"/>
                <w:lang w:val="uk-UA"/>
              </w:rPr>
              <w:t>41,1</w:t>
            </w:r>
          </w:p>
        </w:tc>
      </w:tr>
      <w:tr w:rsidR="00222812" w:rsidRPr="00222812" w14:paraId="37A2F0F1" w14:textId="77777777" w:rsidTr="003B2A7B">
        <w:trPr>
          <w:trHeight w:val="580"/>
          <w:jc w:val="center"/>
        </w:trPr>
        <w:tc>
          <w:tcPr>
            <w:tcW w:w="363" w:type="dxa"/>
            <w:shd w:val="clear" w:color="auto" w:fill="auto"/>
            <w:noWrap/>
            <w:hideMark/>
          </w:tcPr>
          <w:p w14:paraId="008CE492" w14:textId="77777777" w:rsidR="00222812" w:rsidRPr="00222812" w:rsidRDefault="00222812" w:rsidP="00222812">
            <w:pPr>
              <w:ind w:firstLine="0"/>
              <w:rPr>
                <w:sz w:val="18"/>
                <w:szCs w:val="18"/>
                <w:lang w:val="uk-UA"/>
              </w:rPr>
            </w:pPr>
            <w:bookmarkStart w:id="19" w:name="_Hlk50342016"/>
            <w:r w:rsidRPr="00222812">
              <w:rPr>
                <w:sz w:val="18"/>
                <w:szCs w:val="18"/>
                <w:lang w:val="uk-UA"/>
              </w:rPr>
              <w:t>3.        </w:t>
            </w:r>
          </w:p>
        </w:tc>
        <w:tc>
          <w:tcPr>
            <w:tcW w:w="1440" w:type="dxa"/>
            <w:shd w:val="clear" w:color="auto" w:fill="auto"/>
            <w:hideMark/>
          </w:tcPr>
          <w:p w14:paraId="3829539C" w14:textId="77777777" w:rsidR="00222812" w:rsidRPr="00222812" w:rsidRDefault="00222812" w:rsidP="00222812">
            <w:pPr>
              <w:ind w:firstLine="0"/>
              <w:rPr>
                <w:sz w:val="18"/>
                <w:szCs w:val="18"/>
                <w:lang w:val="uk-UA"/>
              </w:rPr>
            </w:pPr>
            <w:r w:rsidRPr="00222812">
              <w:rPr>
                <w:sz w:val="18"/>
                <w:szCs w:val="18"/>
                <w:lang w:val="uk-UA"/>
              </w:rPr>
              <w:t>Профілактична терапія для дітей менше 5 років</w:t>
            </w:r>
          </w:p>
        </w:tc>
        <w:tc>
          <w:tcPr>
            <w:tcW w:w="810" w:type="dxa"/>
            <w:shd w:val="clear" w:color="auto" w:fill="auto"/>
            <w:noWrap/>
            <w:hideMark/>
          </w:tcPr>
          <w:p w14:paraId="247965B6" w14:textId="77777777" w:rsidR="00222812" w:rsidRPr="00222812" w:rsidRDefault="00222812" w:rsidP="00222812">
            <w:pPr>
              <w:ind w:firstLine="0"/>
              <w:rPr>
                <w:sz w:val="18"/>
                <w:szCs w:val="18"/>
                <w:lang w:val="uk-UA"/>
              </w:rPr>
            </w:pPr>
            <w:r w:rsidRPr="00222812">
              <w:rPr>
                <w:sz w:val="18"/>
                <w:szCs w:val="18"/>
                <w:lang w:val="uk-UA"/>
              </w:rPr>
              <w:t>1400</w:t>
            </w:r>
          </w:p>
        </w:tc>
        <w:tc>
          <w:tcPr>
            <w:tcW w:w="720" w:type="dxa"/>
            <w:shd w:val="clear" w:color="auto" w:fill="auto"/>
            <w:noWrap/>
            <w:hideMark/>
          </w:tcPr>
          <w:p w14:paraId="603FB47B" w14:textId="77777777" w:rsidR="00222812" w:rsidRPr="00222812" w:rsidRDefault="00222812" w:rsidP="00222812">
            <w:pPr>
              <w:ind w:firstLine="0"/>
              <w:rPr>
                <w:sz w:val="18"/>
                <w:szCs w:val="18"/>
                <w:lang w:val="uk-UA"/>
              </w:rPr>
            </w:pPr>
            <w:r w:rsidRPr="00222812">
              <w:rPr>
                <w:sz w:val="18"/>
                <w:szCs w:val="18"/>
                <w:lang w:val="uk-UA"/>
              </w:rPr>
              <w:t>2168</w:t>
            </w:r>
          </w:p>
        </w:tc>
        <w:tc>
          <w:tcPr>
            <w:tcW w:w="802" w:type="dxa"/>
            <w:shd w:val="clear" w:color="auto" w:fill="auto"/>
            <w:noWrap/>
            <w:hideMark/>
          </w:tcPr>
          <w:p w14:paraId="06FBC9D3" w14:textId="77777777" w:rsidR="00222812" w:rsidRPr="00222812" w:rsidRDefault="00222812" w:rsidP="00222812">
            <w:pPr>
              <w:ind w:firstLine="0"/>
              <w:rPr>
                <w:sz w:val="18"/>
                <w:szCs w:val="18"/>
                <w:lang w:val="uk-UA"/>
              </w:rPr>
            </w:pPr>
            <w:r w:rsidRPr="00222812">
              <w:rPr>
                <w:sz w:val="18"/>
                <w:szCs w:val="18"/>
                <w:lang w:val="uk-UA"/>
              </w:rPr>
              <w:t>154.8</w:t>
            </w:r>
          </w:p>
        </w:tc>
        <w:tc>
          <w:tcPr>
            <w:tcW w:w="720" w:type="dxa"/>
            <w:shd w:val="clear" w:color="auto" w:fill="auto"/>
            <w:noWrap/>
            <w:hideMark/>
          </w:tcPr>
          <w:p w14:paraId="047A4FCA" w14:textId="77777777" w:rsidR="00222812" w:rsidRPr="00222812" w:rsidRDefault="00222812" w:rsidP="00222812">
            <w:pPr>
              <w:ind w:firstLine="0"/>
              <w:rPr>
                <w:sz w:val="18"/>
                <w:szCs w:val="18"/>
                <w:lang w:val="uk-UA"/>
              </w:rPr>
            </w:pPr>
            <w:r w:rsidRPr="00222812">
              <w:rPr>
                <w:sz w:val="18"/>
                <w:szCs w:val="18"/>
                <w:lang w:val="uk-UA"/>
              </w:rPr>
              <w:t>1400</w:t>
            </w:r>
          </w:p>
        </w:tc>
        <w:tc>
          <w:tcPr>
            <w:tcW w:w="720" w:type="dxa"/>
            <w:shd w:val="clear" w:color="auto" w:fill="auto"/>
            <w:noWrap/>
            <w:hideMark/>
          </w:tcPr>
          <w:p w14:paraId="6353AB55" w14:textId="77777777" w:rsidR="00222812" w:rsidRPr="00222812" w:rsidRDefault="00222812" w:rsidP="00222812">
            <w:pPr>
              <w:ind w:firstLine="0"/>
              <w:rPr>
                <w:sz w:val="18"/>
                <w:szCs w:val="18"/>
                <w:lang w:val="uk-UA"/>
              </w:rPr>
            </w:pPr>
            <w:r w:rsidRPr="00222812">
              <w:rPr>
                <w:sz w:val="18"/>
                <w:szCs w:val="18"/>
                <w:lang w:val="uk-UA"/>
              </w:rPr>
              <w:t>2087</w:t>
            </w:r>
          </w:p>
        </w:tc>
        <w:tc>
          <w:tcPr>
            <w:tcW w:w="799" w:type="dxa"/>
            <w:shd w:val="clear" w:color="auto" w:fill="auto"/>
            <w:noWrap/>
            <w:hideMark/>
          </w:tcPr>
          <w:p w14:paraId="1BE0C980" w14:textId="77777777" w:rsidR="00222812" w:rsidRPr="00222812" w:rsidRDefault="00222812" w:rsidP="00222812">
            <w:pPr>
              <w:ind w:firstLine="0"/>
              <w:rPr>
                <w:sz w:val="18"/>
                <w:szCs w:val="18"/>
                <w:lang w:val="uk-UA"/>
              </w:rPr>
            </w:pPr>
            <w:r w:rsidRPr="00222812">
              <w:rPr>
                <w:sz w:val="18"/>
                <w:szCs w:val="18"/>
                <w:lang w:val="uk-UA"/>
              </w:rPr>
              <w:t>149.0</w:t>
            </w:r>
          </w:p>
        </w:tc>
        <w:tc>
          <w:tcPr>
            <w:tcW w:w="739" w:type="dxa"/>
            <w:shd w:val="clear" w:color="auto" w:fill="auto"/>
          </w:tcPr>
          <w:p w14:paraId="199F0360" w14:textId="77777777" w:rsidR="00222812" w:rsidRPr="00222812" w:rsidRDefault="00222812" w:rsidP="00222812">
            <w:pPr>
              <w:ind w:firstLine="0"/>
              <w:rPr>
                <w:sz w:val="18"/>
                <w:szCs w:val="18"/>
                <w:lang w:val="uk-UA"/>
              </w:rPr>
            </w:pPr>
            <w:r w:rsidRPr="00222812">
              <w:rPr>
                <w:sz w:val="18"/>
                <w:szCs w:val="18"/>
                <w:lang w:val="uk-UA"/>
              </w:rPr>
              <w:t>1340</w:t>
            </w:r>
          </w:p>
        </w:tc>
        <w:tc>
          <w:tcPr>
            <w:tcW w:w="810" w:type="dxa"/>
            <w:shd w:val="clear" w:color="auto" w:fill="auto"/>
          </w:tcPr>
          <w:p w14:paraId="0451457B" w14:textId="77777777" w:rsidR="00222812" w:rsidRPr="00222812" w:rsidRDefault="00222812" w:rsidP="00222812">
            <w:pPr>
              <w:ind w:firstLine="0"/>
              <w:rPr>
                <w:sz w:val="18"/>
                <w:szCs w:val="18"/>
                <w:lang w:val="uk-UA"/>
              </w:rPr>
            </w:pPr>
            <w:r w:rsidRPr="00222812">
              <w:rPr>
                <w:sz w:val="18"/>
                <w:szCs w:val="18"/>
                <w:lang w:val="uk-UA"/>
              </w:rPr>
              <w:t>1445</w:t>
            </w:r>
          </w:p>
        </w:tc>
        <w:tc>
          <w:tcPr>
            <w:tcW w:w="669" w:type="dxa"/>
            <w:shd w:val="clear" w:color="auto" w:fill="auto"/>
          </w:tcPr>
          <w:p w14:paraId="3CE33DBA" w14:textId="77777777" w:rsidR="00222812" w:rsidRPr="00222812" w:rsidRDefault="00222812" w:rsidP="00222812">
            <w:pPr>
              <w:ind w:firstLine="0"/>
              <w:rPr>
                <w:sz w:val="18"/>
                <w:szCs w:val="18"/>
                <w:lang w:val="uk-UA"/>
              </w:rPr>
            </w:pPr>
            <w:r w:rsidRPr="00222812">
              <w:rPr>
                <w:sz w:val="18"/>
                <w:szCs w:val="18"/>
                <w:lang w:val="uk-UA"/>
              </w:rPr>
              <w:t>107,8</w:t>
            </w:r>
          </w:p>
        </w:tc>
        <w:tc>
          <w:tcPr>
            <w:tcW w:w="738" w:type="dxa"/>
            <w:shd w:val="clear" w:color="auto" w:fill="auto"/>
          </w:tcPr>
          <w:p w14:paraId="74C3CB54" w14:textId="77777777" w:rsidR="00222812" w:rsidRPr="00222812" w:rsidRDefault="00222812" w:rsidP="00222812">
            <w:pPr>
              <w:ind w:firstLine="0"/>
              <w:rPr>
                <w:sz w:val="18"/>
                <w:szCs w:val="18"/>
                <w:lang w:val="uk-UA"/>
              </w:rPr>
            </w:pPr>
            <w:r w:rsidRPr="00222812">
              <w:rPr>
                <w:sz w:val="18"/>
                <w:szCs w:val="18"/>
                <w:lang w:val="uk-UA"/>
              </w:rPr>
              <w:t>1280</w:t>
            </w:r>
          </w:p>
        </w:tc>
        <w:tc>
          <w:tcPr>
            <w:tcW w:w="720" w:type="dxa"/>
            <w:shd w:val="clear" w:color="auto" w:fill="auto"/>
          </w:tcPr>
          <w:p w14:paraId="165C4FA7" w14:textId="77777777" w:rsidR="00222812" w:rsidRPr="00222812" w:rsidRDefault="00222812" w:rsidP="00222812">
            <w:pPr>
              <w:ind w:firstLine="0"/>
              <w:rPr>
                <w:sz w:val="18"/>
                <w:szCs w:val="18"/>
                <w:lang w:val="uk-UA"/>
              </w:rPr>
            </w:pPr>
            <w:r w:rsidRPr="00222812">
              <w:rPr>
                <w:sz w:val="18"/>
                <w:szCs w:val="18"/>
                <w:lang w:val="uk-UA"/>
              </w:rPr>
              <w:t>1177</w:t>
            </w:r>
          </w:p>
        </w:tc>
        <w:tc>
          <w:tcPr>
            <w:tcW w:w="535" w:type="dxa"/>
            <w:shd w:val="clear" w:color="auto" w:fill="auto"/>
          </w:tcPr>
          <w:p w14:paraId="6E687023" w14:textId="77777777" w:rsidR="00222812" w:rsidRPr="00222812" w:rsidRDefault="00222812" w:rsidP="00222812">
            <w:pPr>
              <w:ind w:firstLine="0"/>
              <w:rPr>
                <w:sz w:val="18"/>
                <w:szCs w:val="18"/>
                <w:lang w:val="uk-UA"/>
              </w:rPr>
            </w:pPr>
            <w:r w:rsidRPr="00222812">
              <w:rPr>
                <w:sz w:val="18"/>
                <w:szCs w:val="18"/>
                <w:lang w:val="uk-UA"/>
              </w:rPr>
              <w:t>91,9</w:t>
            </w:r>
          </w:p>
        </w:tc>
      </w:tr>
      <w:tr w:rsidR="00222812" w:rsidRPr="00222812" w14:paraId="33846086" w14:textId="77777777" w:rsidTr="003B2A7B">
        <w:trPr>
          <w:trHeight w:val="580"/>
          <w:jc w:val="center"/>
        </w:trPr>
        <w:tc>
          <w:tcPr>
            <w:tcW w:w="363" w:type="dxa"/>
            <w:shd w:val="clear" w:color="auto" w:fill="auto"/>
            <w:noWrap/>
            <w:hideMark/>
          </w:tcPr>
          <w:p w14:paraId="01021BB5" w14:textId="77777777" w:rsidR="00222812" w:rsidRPr="00222812" w:rsidRDefault="00222812" w:rsidP="00222812">
            <w:pPr>
              <w:ind w:firstLine="0"/>
              <w:rPr>
                <w:sz w:val="18"/>
                <w:szCs w:val="18"/>
                <w:lang w:val="uk-UA"/>
              </w:rPr>
            </w:pPr>
            <w:r w:rsidRPr="00222812">
              <w:rPr>
                <w:sz w:val="18"/>
                <w:szCs w:val="18"/>
                <w:lang w:val="uk-UA"/>
              </w:rPr>
              <w:t>4.        </w:t>
            </w:r>
          </w:p>
        </w:tc>
        <w:tc>
          <w:tcPr>
            <w:tcW w:w="1440" w:type="dxa"/>
            <w:shd w:val="clear" w:color="auto" w:fill="auto"/>
            <w:hideMark/>
          </w:tcPr>
          <w:p w14:paraId="48ED8D2D" w14:textId="77777777" w:rsidR="00222812" w:rsidRPr="00222812" w:rsidRDefault="00222812" w:rsidP="00222812">
            <w:pPr>
              <w:ind w:firstLine="0"/>
              <w:rPr>
                <w:sz w:val="18"/>
                <w:szCs w:val="18"/>
                <w:lang w:val="uk-UA"/>
              </w:rPr>
            </w:pPr>
            <w:r w:rsidRPr="00222812">
              <w:rPr>
                <w:sz w:val="18"/>
                <w:szCs w:val="18"/>
                <w:lang w:val="uk-UA"/>
              </w:rPr>
              <w:t>Профілактична терапія (ПТ) серед контактів  &lt; 5 лет</w:t>
            </w:r>
          </w:p>
        </w:tc>
        <w:tc>
          <w:tcPr>
            <w:tcW w:w="810" w:type="dxa"/>
            <w:shd w:val="clear" w:color="auto" w:fill="auto"/>
            <w:noWrap/>
            <w:hideMark/>
          </w:tcPr>
          <w:p w14:paraId="5C4DC772" w14:textId="77777777" w:rsidR="00222812" w:rsidRPr="00222812" w:rsidRDefault="00222812" w:rsidP="00222812">
            <w:pPr>
              <w:ind w:firstLine="0"/>
              <w:rPr>
                <w:sz w:val="18"/>
                <w:szCs w:val="18"/>
                <w:lang w:val="uk-UA"/>
              </w:rPr>
            </w:pPr>
            <w:r w:rsidRPr="00222812">
              <w:rPr>
                <w:sz w:val="18"/>
                <w:szCs w:val="18"/>
                <w:lang w:val="uk-UA"/>
              </w:rPr>
              <w:t>9335</w:t>
            </w:r>
          </w:p>
        </w:tc>
        <w:tc>
          <w:tcPr>
            <w:tcW w:w="720" w:type="dxa"/>
            <w:shd w:val="clear" w:color="auto" w:fill="auto"/>
            <w:noWrap/>
            <w:hideMark/>
          </w:tcPr>
          <w:p w14:paraId="2EE94C63" w14:textId="77777777" w:rsidR="00222812" w:rsidRPr="00222812" w:rsidRDefault="00222812" w:rsidP="00222812">
            <w:pPr>
              <w:ind w:firstLine="0"/>
              <w:rPr>
                <w:sz w:val="18"/>
                <w:szCs w:val="18"/>
                <w:lang w:val="uk-UA"/>
              </w:rPr>
            </w:pPr>
            <w:r w:rsidRPr="00222812">
              <w:rPr>
                <w:sz w:val="18"/>
                <w:szCs w:val="18"/>
                <w:lang w:val="uk-UA"/>
              </w:rPr>
              <w:t>13643</w:t>
            </w:r>
          </w:p>
        </w:tc>
        <w:tc>
          <w:tcPr>
            <w:tcW w:w="802" w:type="dxa"/>
            <w:shd w:val="clear" w:color="auto" w:fill="auto"/>
            <w:noWrap/>
            <w:hideMark/>
          </w:tcPr>
          <w:p w14:paraId="472441FD" w14:textId="77777777" w:rsidR="00222812" w:rsidRPr="00222812" w:rsidRDefault="00222812" w:rsidP="00222812">
            <w:pPr>
              <w:ind w:firstLine="0"/>
              <w:rPr>
                <w:sz w:val="18"/>
                <w:szCs w:val="18"/>
                <w:lang w:val="uk-UA"/>
              </w:rPr>
            </w:pPr>
            <w:r w:rsidRPr="00222812">
              <w:rPr>
                <w:sz w:val="18"/>
                <w:szCs w:val="18"/>
                <w:lang w:val="uk-UA"/>
              </w:rPr>
              <w:t>146.1</w:t>
            </w:r>
          </w:p>
        </w:tc>
        <w:tc>
          <w:tcPr>
            <w:tcW w:w="720" w:type="dxa"/>
            <w:shd w:val="clear" w:color="auto" w:fill="auto"/>
            <w:noWrap/>
            <w:hideMark/>
          </w:tcPr>
          <w:p w14:paraId="55046073" w14:textId="77777777" w:rsidR="00222812" w:rsidRPr="00222812" w:rsidRDefault="00222812" w:rsidP="00222812">
            <w:pPr>
              <w:ind w:firstLine="0"/>
              <w:rPr>
                <w:sz w:val="18"/>
                <w:szCs w:val="18"/>
                <w:lang w:val="uk-UA"/>
              </w:rPr>
            </w:pPr>
            <w:r w:rsidRPr="00222812">
              <w:rPr>
                <w:sz w:val="18"/>
                <w:szCs w:val="18"/>
                <w:lang w:val="uk-UA"/>
              </w:rPr>
              <w:t>9248</w:t>
            </w:r>
          </w:p>
        </w:tc>
        <w:tc>
          <w:tcPr>
            <w:tcW w:w="720" w:type="dxa"/>
            <w:shd w:val="clear" w:color="auto" w:fill="auto"/>
            <w:noWrap/>
            <w:hideMark/>
          </w:tcPr>
          <w:p w14:paraId="23F4F7F1" w14:textId="77777777" w:rsidR="00222812" w:rsidRPr="00222812" w:rsidRDefault="00222812" w:rsidP="00222812">
            <w:pPr>
              <w:ind w:firstLine="0"/>
              <w:rPr>
                <w:sz w:val="18"/>
                <w:szCs w:val="18"/>
                <w:lang w:val="uk-UA"/>
              </w:rPr>
            </w:pPr>
            <w:r w:rsidRPr="00222812">
              <w:rPr>
                <w:sz w:val="18"/>
                <w:szCs w:val="18"/>
                <w:lang w:val="uk-UA"/>
              </w:rPr>
              <w:t>17616</w:t>
            </w:r>
          </w:p>
        </w:tc>
        <w:tc>
          <w:tcPr>
            <w:tcW w:w="799" w:type="dxa"/>
            <w:shd w:val="clear" w:color="auto" w:fill="auto"/>
            <w:noWrap/>
            <w:hideMark/>
          </w:tcPr>
          <w:p w14:paraId="07D89C11" w14:textId="77777777" w:rsidR="00222812" w:rsidRPr="00222812" w:rsidRDefault="00222812" w:rsidP="00222812">
            <w:pPr>
              <w:ind w:firstLine="0"/>
              <w:rPr>
                <w:sz w:val="18"/>
                <w:szCs w:val="18"/>
                <w:lang w:val="uk-UA"/>
              </w:rPr>
            </w:pPr>
            <w:r w:rsidRPr="00222812">
              <w:rPr>
                <w:sz w:val="18"/>
                <w:szCs w:val="18"/>
                <w:lang w:val="uk-UA"/>
              </w:rPr>
              <w:t>190.4</w:t>
            </w:r>
          </w:p>
        </w:tc>
        <w:tc>
          <w:tcPr>
            <w:tcW w:w="739" w:type="dxa"/>
            <w:shd w:val="clear" w:color="auto" w:fill="auto"/>
          </w:tcPr>
          <w:p w14:paraId="1BE7DE8B" w14:textId="77777777" w:rsidR="00222812" w:rsidRPr="00222812" w:rsidRDefault="00222812" w:rsidP="00222812">
            <w:pPr>
              <w:ind w:firstLine="0"/>
              <w:rPr>
                <w:sz w:val="18"/>
                <w:szCs w:val="18"/>
                <w:lang w:val="uk-UA"/>
              </w:rPr>
            </w:pPr>
            <w:r w:rsidRPr="00222812">
              <w:rPr>
                <w:sz w:val="18"/>
                <w:szCs w:val="18"/>
                <w:lang w:val="uk-UA"/>
              </w:rPr>
              <w:t>8843</w:t>
            </w:r>
          </w:p>
        </w:tc>
        <w:tc>
          <w:tcPr>
            <w:tcW w:w="810" w:type="dxa"/>
            <w:shd w:val="clear" w:color="auto" w:fill="auto"/>
          </w:tcPr>
          <w:p w14:paraId="29512DF9" w14:textId="77777777" w:rsidR="00222812" w:rsidRPr="00222812" w:rsidRDefault="00222812" w:rsidP="00222812">
            <w:pPr>
              <w:ind w:firstLine="0"/>
              <w:rPr>
                <w:sz w:val="18"/>
                <w:szCs w:val="18"/>
                <w:lang w:val="uk-UA"/>
              </w:rPr>
            </w:pPr>
            <w:r w:rsidRPr="00222812">
              <w:rPr>
                <w:sz w:val="18"/>
                <w:szCs w:val="18"/>
                <w:lang w:val="uk-UA"/>
              </w:rPr>
              <w:t>16009</w:t>
            </w:r>
          </w:p>
        </w:tc>
        <w:tc>
          <w:tcPr>
            <w:tcW w:w="669" w:type="dxa"/>
            <w:shd w:val="clear" w:color="auto" w:fill="auto"/>
          </w:tcPr>
          <w:p w14:paraId="2A5D7B21" w14:textId="77777777" w:rsidR="00222812" w:rsidRPr="00222812" w:rsidRDefault="00222812" w:rsidP="00222812">
            <w:pPr>
              <w:ind w:firstLine="0"/>
              <w:rPr>
                <w:sz w:val="18"/>
                <w:szCs w:val="18"/>
                <w:lang w:val="uk-UA"/>
              </w:rPr>
            </w:pPr>
            <w:r w:rsidRPr="00222812">
              <w:rPr>
                <w:sz w:val="18"/>
                <w:szCs w:val="18"/>
                <w:lang w:val="uk-UA"/>
              </w:rPr>
              <w:t>181,0</w:t>
            </w:r>
          </w:p>
        </w:tc>
        <w:tc>
          <w:tcPr>
            <w:tcW w:w="738" w:type="dxa"/>
            <w:shd w:val="clear" w:color="auto" w:fill="auto"/>
          </w:tcPr>
          <w:p w14:paraId="5F497A60" w14:textId="77777777" w:rsidR="00222812" w:rsidRPr="00222812" w:rsidRDefault="00222812" w:rsidP="00222812">
            <w:pPr>
              <w:ind w:firstLine="0"/>
              <w:rPr>
                <w:sz w:val="18"/>
                <w:szCs w:val="18"/>
                <w:lang w:val="uk-UA"/>
              </w:rPr>
            </w:pPr>
            <w:r w:rsidRPr="00222812">
              <w:rPr>
                <w:sz w:val="18"/>
                <w:szCs w:val="18"/>
                <w:lang w:val="uk-UA"/>
              </w:rPr>
              <w:t>8517</w:t>
            </w:r>
          </w:p>
        </w:tc>
        <w:tc>
          <w:tcPr>
            <w:tcW w:w="720" w:type="dxa"/>
            <w:shd w:val="clear" w:color="auto" w:fill="auto"/>
          </w:tcPr>
          <w:p w14:paraId="20E8A977" w14:textId="77777777" w:rsidR="00222812" w:rsidRPr="00222812" w:rsidRDefault="00222812" w:rsidP="00222812">
            <w:pPr>
              <w:ind w:firstLine="0"/>
              <w:rPr>
                <w:sz w:val="18"/>
                <w:szCs w:val="18"/>
                <w:lang w:val="uk-UA"/>
              </w:rPr>
            </w:pPr>
            <w:r w:rsidRPr="00222812">
              <w:rPr>
                <w:sz w:val="18"/>
                <w:szCs w:val="18"/>
                <w:lang w:val="uk-UA"/>
              </w:rPr>
              <w:t>19692</w:t>
            </w:r>
          </w:p>
        </w:tc>
        <w:tc>
          <w:tcPr>
            <w:tcW w:w="535" w:type="dxa"/>
            <w:shd w:val="clear" w:color="auto" w:fill="auto"/>
          </w:tcPr>
          <w:p w14:paraId="18BA05FC" w14:textId="77777777" w:rsidR="00222812" w:rsidRPr="00222812" w:rsidRDefault="00222812" w:rsidP="00222812">
            <w:pPr>
              <w:ind w:firstLine="0"/>
              <w:rPr>
                <w:sz w:val="18"/>
                <w:szCs w:val="18"/>
                <w:lang w:val="uk-UA"/>
              </w:rPr>
            </w:pPr>
            <w:r w:rsidRPr="00222812">
              <w:rPr>
                <w:sz w:val="18"/>
                <w:szCs w:val="18"/>
                <w:lang w:val="uk-UA"/>
              </w:rPr>
              <w:t>231,2</w:t>
            </w:r>
          </w:p>
        </w:tc>
      </w:tr>
      <w:tr w:rsidR="00222812" w:rsidRPr="00222812" w14:paraId="5DF8C1C9" w14:textId="77777777" w:rsidTr="003B2A7B">
        <w:trPr>
          <w:trHeight w:val="580"/>
          <w:jc w:val="center"/>
        </w:trPr>
        <w:tc>
          <w:tcPr>
            <w:tcW w:w="363" w:type="dxa"/>
            <w:shd w:val="clear" w:color="auto" w:fill="auto"/>
            <w:noWrap/>
            <w:hideMark/>
          </w:tcPr>
          <w:p w14:paraId="7877D58F" w14:textId="77777777" w:rsidR="00222812" w:rsidRPr="00222812" w:rsidRDefault="00222812" w:rsidP="00222812">
            <w:pPr>
              <w:ind w:firstLine="0"/>
              <w:rPr>
                <w:sz w:val="18"/>
                <w:szCs w:val="18"/>
                <w:lang w:val="uk-UA"/>
              </w:rPr>
            </w:pPr>
            <w:r w:rsidRPr="00222812">
              <w:rPr>
                <w:sz w:val="18"/>
                <w:szCs w:val="18"/>
                <w:lang w:val="uk-UA"/>
              </w:rPr>
              <w:t>5.        </w:t>
            </w:r>
          </w:p>
        </w:tc>
        <w:tc>
          <w:tcPr>
            <w:tcW w:w="1440" w:type="dxa"/>
            <w:shd w:val="clear" w:color="auto" w:fill="auto"/>
            <w:hideMark/>
          </w:tcPr>
          <w:p w14:paraId="2848C9D5" w14:textId="77777777" w:rsidR="00222812" w:rsidRPr="00222812" w:rsidRDefault="00222812" w:rsidP="00222812">
            <w:pPr>
              <w:ind w:firstLine="0"/>
              <w:rPr>
                <w:sz w:val="18"/>
                <w:szCs w:val="18"/>
                <w:lang w:val="uk-UA"/>
              </w:rPr>
            </w:pPr>
            <w:r w:rsidRPr="00222812">
              <w:rPr>
                <w:sz w:val="18"/>
                <w:szCs w:val="18"/>
                <w:lang w:val="uk-UA"/>
              </w:rPr>
              <w:t>Профілактична терапія (ПТ) серед ЛЖВ</w:t>
            </w:r>
          </w:p>
        </w:tc>
        <w:tc>
          <w:tcPr>
            <w:tcW w:w="810" w:type="dxa"/>
            <w:shd w:val="clear" w:color="auto" w:fill="auto"/>
            <w:noWrap/>
            <w:hideMark/>
          </w:tcPr>
          <w:p w14:paraId="0B73C607" w14:textId="77777777" w:rsidR="00222812" w:rsidRPr="00222812" w:rsidRDefault="00222812" w:rsidP="00222812">
            <w:pPr>
              <w:ind w:firstLine="0"/>
              <w:rPr>
                <w:sz w:val="18"/>
                <w:szCs w:val="18"/>
                <w:lang w:val="uk-UA"/>
              </w:rPr>
            </w:pPr>
            <w:r w:rsidRPr="00222812">
              <w:rPr>
                <w:sz w:val="18"/>
                <w:szCs w:val="18"/>
                <w:lang w:val="uk-UA"/>
              </w:rPr>
              <w:t>13795</w:t>
            </w:r>
          </w:p>
        </w:tc>
        <w:tc>
          <w:tcPr>
            <w:tcW w:w="720" w:type="dxa"/>
            <w:shd w:val="clear" w:color="auto" w:fill="auto"/>
            <w:noWrap/>
            <w:hideMark/>
          </w:tcPr>
          <w:p w14:paraId="73809F41" w14:textId="77777777" w:rsidR="00222812" w:rsidRPr="00222812" w:rsidRDefault="00222812" w:rsidP="00222812">
            <w:pPr>
              <w:ind w:firstLine="0"/>
              <w:rPr>
                <w:sz w:val="18"/>
                <w:szCs w:val="18"/>
                <w:lang w:val="uk-UA"/>
              </w:rPr>
            </w:pPr>
            <w:r w:rsidRPr="00222812">
              <w:rPr>
                <w:sz w:val="18"/>
                <w:szCs w:val="18"/>
                <w:lang w:val="uk-UA"/>
              </w:rPr>
              <w:t>9562</w:t>
            </w:r>
          </w:p>
        </w:tc>
        <w:tc>
          <w:tcPr>
            <w:tcW w:w="802" w:type="dxa"/>
            <w:shd w:val="clear" w:color="auto" w:fill="auto"/>
            <w:noWrap/>
            <w:hideMark/>
          </w:tcPr>
          <w:p w14:paraId="286A80F8" w14:textId="77777777" w:rsidR="00222812" w:rsidRPr="00222812" w:rsidRDefault="00222812" w:rsidP="00222812">
            <w:pPr>
              <w:ind w:firstLine="0"/>
              <w:rPr>
                <w:sz w:val="18"/>
                <w:szCs w:val="18"/>
                <w:lang w:val="uk-UA"/>
              </w:rPr>
            </w:pPr>
            <w:r w:rsidRPr="00222812">
              <w:rPr>
                <w:sz w:val="18"/>
                <w:szCs w:val="18"/>
                <w:lang w:val="uk-UA"/>
              </w:rPr>
              <w:t>69,3</w:t>
            </w:r>
          </w:p>
        </w:tc>
        <w:tc>
          <w:tcPr>
            <w:tcW w:w="720" w:type="dxa"/>
            <w:shd w:val="clear" w:color="auto" w:fill="auto"/>
            <w:noWrap/>
            <w:hideMark/>
          </w:tcPr>
          <w:p w14:paraId="18E2636B" w14:textId="77777777" w:rsidR="00222812" w:rsidRPr="00222812" w:rsidRDefault="00222812" w:rsidP="00222812">
            <w:pPr>
              <w:ind w:firstLine="0"/>
              <w:rPr>
                <w:sz w:val="18"/>
                <w:szCs w:val="18"/>
                <w:lang w:val="uk-UA"/>
              </w:rPr>
            </w:pPr>
            <w:r w:rsidRPr="00222812">
              <w:rPr>
                <w:sz w:val="18"/>
                <w:szCs w:val="18"/>
                <w:lang w:val="uk-UA"/>
              </w:rPr>
              <w:t>18740</w:t>
            </w:r>
          </w:p>
        </w:tc>
        <w:tc>
          <w:tcPr>
            <w:tcW w:w="720" w:type="dxa"/>
            <w:shd w:val="clear" w:color="auto" w:fill="auto"/>
            <w:noWrap/>
            <w:hideMark/>
          </w:tcPr>
          <w:p w14:paraId="400CB1A0" w14:textId="77777777" w:rsidR="00222812" w:rsidRPr="00222812" w:rsidRDefault="00222812" w:rsidP="00222812">
            <w:pPr>
              <w:ind w:firstLine="0"/>
              <w:rPr>
                <w:sz w:val="18"/>
                <w:szCs w:val="18"/>
                <w:lang w:val="uk-UA"/>
              </w:rPr>
            </w:pPr>
            <w:r w:rsidRPr="00222812">
              <w:rPr>
                <w:sz w:val="18"/>
                <w:szCs w:val="18"/>
                <w:lang w:val="uk-UA"/>
              </w:rPr>
              <w:t>9511</w:t>
            </w:r>
          </w:p>
        </w:tc>
        <w:tc>
          <w:tcPr>
            <w:tcW w:w="799" w:type="dxa"/>
            <w:shd w:val="clear" w:color="auto" w:fill="auto"/>
            <w:noWrap/>
            <w:hideMark/>
          </w:tcPr>
          <w:p w14:paraId="420711FB" w14:textId="77777777" w:rsidR="00222812" w:rsidRPr="00222812" w:rsidRDefault="00222812" w:rsidP="00222812">
            <w:pPr>
              <w:ind w:firstLine="0"/>
              <w:rPr>
                <w:sz w:val="18"/>
                <w:szCs w:val="18"/>
                <w:lang w:val="uk-UA"/>
              </w:rPr>
            </w:pPr>
            <w:r w:rsidRPr="00222812">
              <w:rPr>
                <w:sz w:val="18"/>
                <w:szCs w:val="18"/>
                <w:lang w:val="uk-UA"/>
              </w:rPr>
              <w:t>50.7</w:t>
            </w:r>
          </w:p>
        </w:tc>
        <w:tc>
          <w:tcPr>
            <w:tcW w:w="739" w:type="dxa"/>
            <w:shd w:val="clear" w:color="auto" w:fill="auto"/>
          </w:tcPr>
          <w:p w14:paraId="24498F45" w14:textId="77777777" w:rsidR="00222812" w:rsidRPr="00222812" w:rsidRDefault="00222812" w:rsidP="00222812">
            <w:pPr>
              <w:ind w:firstLine="0"/>
              <w:rPr>
                <w:sz w:val="18"/>
                <w:szCs w:val="18"/>
                <w:lang w:val="uk-UA"/>
              </w:rPr>
            </w:pPr>
            <w:r w:rsidRPr="00222812">
              <w:rPr>
                <w:sz w:val="18"/>
                <w:szCs w:val="18"/>
                <w:lang w:val="uk-UA"/>
              </w:rPr>
              <w:t>25973</w:t>
            </w:r>
          </w:p>
        </w:tc>
        <w:tc>
          <w:tcPr>
            <w:tcW w:w="810" w:type="dxa"/>
            <w:shd w:val="clear" w:color="auto" w:fill="auto"/>
          </w:tcPr>
          <w:p w14:paraId="350A0FAD" w14:textId="77777777" w:rsidR="00222812" w:rsidRPr="00222812" w:rsidRDefault="00222812" w:rsidP="00222812">
            <w:pPr>
              <w:ind w:firstLine="0"/>
              <w:rPr>
                <w:sz w:val="18"/>
                <w:szCs w:val="18"/>
                <w:lang w:val="uk-UA"/>
              </w:rPr>
            </w:pPr>
            <w:r w:rsidRPr="00222812">
              <w:rPr>
                <w:sz w:val="18"/>
                <w:szCs w:val="18"/>
                <w:lang w:val="uk-UA"/>
              </w:rPr>
              <w:t>11425</w:t>
            </w:r>
          </w:p>
        </w:tc>
        <w:tc>
          <w:tcPr>
            <w:tcW w:w="669" w:type="dxa"/>
            <w:shd w:val="clear" w:color="auto" w:fill="auto"/>
          </w:tcPr>
          <w:p w14:paraId="5E082FDF" w14:textId="77777777" w:rsidR="00222812" w:rsidRPr="00222812" w:rsidRDefault="00222812" w:rsidP="00222812">
            <w:pPr>
              <w:ind w:firstLine="0"/>
              <w:rPr>
                <w:sz w:val="18"/>
                <w:szCs w:val="18"/>
                <w:lang w:val="uk-UA"/>
              </w:rPr>
            </w:pPr>
            <w:r w:rsidRPr="00222812">
              <w:rPr>
                <w:sz w:val="18"/>
                <w:szCs w:val="18"/>
                <w:lang w:val="uk-UA"/>
              </w:rPr>
              <w:t>44,0</w:t>
            </w:r>
          </w:p>
        </w:tc>
        <w:tc>
          <w:tcPr>
            <w:tcW w:w="738" w:type="dxa"/>
            <w:shd w:val="clear" w:color="auto" w:fill="auto"/>
          </w:tcPr>
          <w:p w14:paraId="7B21578C" w14:textId="77777777" w:rsidR="00222812" w:rsidRPr="00222812" w:rsidRDefault="00222812" w:rsidP="00222812">
            <w:pPr>
              <w:ind w:firstLine="0"/>
              <w:rPr>
                <w:sz w:val="18"/>
                <w:szCs w:val="18"/>
                <w:lang w:val="uk-UA"/>
              </w:rPr>
            </w:pPr>
            <w:r w:rsidRPr="00222812">
              <w:rPr>
                <w:sz w:val="18"/>
                <w:szCs w:val="18"/>
                <w:lang w:val="uk-UA"/>
              </w:rPr>
              <w:t>41091</w:t>
            </w:r>
          </w:p>
        </w:tc>
        <w:tc>
          <w:tcPr>
            <w:tcW w:w="720" w:type="dxa"/>
            <w:shd w:val="clear" w:color="auto" w:fill="auto"/>
          </w:tcPr>
          <w:p w14:paraId="49289862" w14:textId="77777777" w:rsidR="00222812" w:rsidRPr="00222812" w:rsidRDefault="00222812" w:rsidP="00222812">
            <w:pPr>
              <w:ind w:firstLine="0"/>
              <w:rPr>
                <w:sz w:val="18"/>
                <w:szCs w:val="18"/>
                <w:lang w:val="uk-UA"/>
              </w:rPr>
            </w:pPr>
            <w:r w:rsidRPr="00222812">
              <w:rPr>
                <w:sz w:val="18"/>
                <w:szCs w:val="18"/>
                <w:lang w:val="uk-UA"/>
              </w:rPr>
              <w:t>10816</w:t>
            </w:r>
          </w:p>
        </w:tc>
        <w:tc>
          <w:tcPr>
            <w:tcW w:w="535" w:type="dxa"/>
            <w:shd w:val="clear" w:color="auto" w:fill="auto"/>
          </w:tcPr>
          <w:p w14:paraId="356AD1A0" w14:textId="77777777" w:rsidR="00222812" w:rsidRPr="00222812" w:rsidRDefault="00222812" w:rsidP="00222812">
            <w:pPr>
              <w:ind w:firstLine="0"/>
              <w:rPr>
                <w:sz w:val="18"/>
                <w:szCs w:val="18"/>
                <w:lang w:val="uk-UA"/>
              </w:rPr>
            </w:pPr>
            <w:r w:rsidRPr="00222812">
              <w:rPr>
                <w:sz w:val="18"/>
                <w:szCs w:val="18"/>
                <w:lang w:val="uk-UA"/>
              </w:rPr>
              <w:t>26,3</w:t>
            </w:r>
          </w:p>
        </w:tc>
      </w:tr>
      <w:tr w:rsidR="00222812" w:rsidRPr="00222812" w14:paraId="327C3691" w14:textId="77777777" w:rsidTr="003B2A7B">
        <w:trPr>
          <w:trHeight w:val="580"/>
          <w:jc w:val="center"/>
        </w:trPr>
        <w:tc>
          <w:tcPr>
            <w:tcW w:w="363" w:type="dxa"/>
            <w:shd w:val="clear" w:color="auto" w:fill="auto"/>
            <w:noWrap/>
            <w:hideMark/>
          </w:tcPr>
          <w:p w14:paraId="2B2F33FB" w14:textId="77777777" w:rsidR="00222812" w:rsidRPr="00222812" w:rsidRDefault="00222812" w:rsidP="00222812">
            <w:pPr>
              <w:ind w:firstLine="0"/>
              <w:rPr>
                <w:sz w:val="18"/>
                <w:szCs w:val="18"/>
                <w:lang w:val="uk-UA"/>
              </w:rPr>
            </w:pPr>
            <w:bookmarkStart w:id="20" w:name="_Hlk50342218"/>
            <w:bookmarkEnd w:id="19"/>
            <w:r w:rsidRPr="00222812">
              <w:rPr>
                <w:sz w:val="18"/>
                <w:szCs w:val="18"/>
                <w:lang w:val="uk-UA"/>
              </w:rPr>
              <w:t>6.        </w:t>
            </w:r>
          </w:p>
        </w:tc>
        <w:tc>
          <w:tcPr>
            <w:tcW w:w="1440" w:type="dxa"/>
            <w:shd w:val="clear" w:color="auto" w:fill="auto"/>
            <w:hideMark/>
          </w:tcPr>
          <w:p w14:paraId="4CE9F69B" w14:textId="77777777" w:rsidR="00222812" w:rsidRPr="00222812" w:rsidRDefault="00222812" w:rsidP="00222812">
            <w:pPr>
              <w:ind w:firstLine="0"/>
              <w:rPr>
                <w:sz w:val="18"/>
                <w:szCs w:val="18"/>
                <w:lang w:val="uk-UA"/>
              </w:rPr>
            </w:pPr>
            <w:r w:rsidRPr="00222812">
              <w:rPr>
                <w:sz w:val="18"/>
                <w:szCs w:val="18"/>
                <w:lang w:val="uk-UA"/>
              </w:rPr>
              <w:t>Цілі діагностики та лікування ТБ</w:t>
            </w:r>
          </w:p>
        </w:tc>
        <w:tc>
          <w:tcPr>
            <w:tcW w:w="810" w:type="dxa"/>
            <w:shd w:val="clear" w:color="auto" w:fill="auto"/>
            <w:noWrap/>
            <w:hideMark/>
          </w:tcPr>
          <w:p w14:paraId="46A66AA8" w14:textId="77777777" w:rsidR="00222812" w:rsidRPr="00222812" w:rsidRDefault="00222812" w:rsidP="00222812">
            <w:pPr>
              <w:ind w:firstLine="0"/>
              <w:rPr>
                <w:sz w:val="18"/>
                <w:szCs w:val="18"/>
                <w:lang w:val="uk-UA"/>
              </w:rPr>
            </w:pPr>
            <w:r w:rsidRPr="00222812">
              <w:rPr>
                <w:sz w:val="18"/>
                <w:szCs w:val="18"/>
                <w:lang w:val="uk-UA"/>
              </w:rPr>
              <w:t>30400</w:t>
            </w:r>
          </w:p>
        </w:tc>
        <w:tc>
          <w:tcPr>
            <w:tcW w:w="720" w:type="dxa"/>
            <w:shd w:val="clear" w:color="auto" w:fill="auto"/>
            <w:noWrap/>
            <w:hideMark/>
          </w:tcPr>
          <w:p w14:paraId="79567A68" w14:textId="77777777" w:rsidR="00222812" w:rsidRPr="00222812" w:rsidRDefault="00222812" w:rsidP="00222812">
            <w:pPr>
              <w:ind w:firstLine="0"/>
              <w:rPr>
                <w:sz w:val="18"/>
                <w:szCs w:val="18"/>
                <w:lang w:val="uk-UA"/>
              </w:rPr>
            </w:pPr>
            <w:r w:rsidRPr="00222812">
              <w:rPr>
                <w:sz w:val="18"/>
                <w:szCs w:val="18"/>
                <w:lang w:val="uk-UA"/>
              </w:rPr>
              <w:t>26526</w:t>
            </w:r>
          </w:p>
        </w:tc>
        <w:tc>
          <w:tcPr>
            <w:tcW w:w="802" w:type="dxa"/>
            <w:shd w:val="clear" w:color="auto" w:fill="auto"/>
            <w:noWrap/>
            <w:hideMark/>
          </w:tcPr>
          <w:p w14:paraId="05A2DDA6" w14:textId="77777777" w:rsidR="00222812" w:rsidRPr="00222812" w:rsidRDefault="00222812" w:rsidP="00222812">
            <w:pPr>
              <w:ind w:firstLine="0"/>
              <w:rPr>
                <w:bCs/>
                <w:sz w:val="18"/>
                <w:szCs w:val="18"/>
                <w:lang w:val="uk-UA"/>
              </w:rPr>
            </w:pPr>
            <w:r w:rsidRPr="00222812">
              <w:rPr>
                <w:bCs/>
                <w:sz w:val="18"/>
                <w:szCs w:val="18"/>
                <w:lang w:val="uk-UA"/>
              </w:rPr>
              <w:t>87.3</w:t>
            </w:r>
          </w:p>
        </w:tc>
        <w:tc>
          <w:tcPr>
            <w:tcW w:w="720" w:type="dxa"/>
            <w:shd w:val="clear" w:color="auto" w:fill="auto"/>
            <w:noWrap/>
            <w:hideMark/>
          </w:tcPr>
          <w:p w14:paraId="541DD224" w14:textId="77777777" w:rsidR="00222812" w:rsidRPr="00222812" w:rsidRDefault="00222812" w:rsidP="00222812">
            <w:pPr>
              <w:ind w:firstLine="0"/>
              <w:rPr>
                <w:sz w:val="18"/>
                <w:szCs w:val="18"/>
                <w:lang w:val="uk-UA"/>
              </w:rPr>
            </w:pPr>
            <w:r w:rsidRPr="00222812">
              <w:rPr>
                <w:sz w:val="18"/>
                <w:szCs w:val="18"/>
                <w:lang w:val="uk-UA"/>
              </w:rPr>
              <w:t>29300</w:t>
            </w:r>
          </w:p>
        </w:tc>
        <w:tc>
          <w:tcPr>
            <w:tcW w:w="720" w:type="dxa"/>
            <w:shd w:val="clear" w:color="auto" w:fill="auto"/>
            <w:noWrap/>
            <w:hideMark/>
          </w:tcPr>
          <w:p w14:paraId="171388B2" w14:textId="77777777" w:rsidR="00222812" w:rsidRPr="00222812" w:rsidRDefault="00222812" w:rsidP="00222812">
            <w:pPr>
              <w:ind w:firstLine="0"/>
              <w:rPr>
                <w:sz w:val="18"/>
                <w:szCs w:val="18"/>
                <w:lang w:val="uk-UA"/>
              </w:rPr>
            </w:pPr>
            <w:r w:rsidRPr="00222812">
              <w:rPr>
                <w:sz w:val="18"/>
                <w:szCs w:val="18"/>
                <w:lang w:val="uk-UA"/>
              </w:rPr>
              <w:t>25393</w:t>
            </w:r>
          </w:p>
        </w:tc>
        <w:tc>
          <w:tcPr>
            <w:tcW w:w="799" w:type="dxa"/>
            <w:shd w:val="clear" w:color="auto" w:fill="auto"/>
            <w:noWrap/>
            <w:hideMark/>
          </w:tcPr>
          <w:p w14:paraId="636FD16E" w14:textId="77777777" w:rsidR="00222812" w:rsidRPr="00222812" w:rsidRDefault="00222812" w:rsidP="00222812">
            <w:pPr>
              <w:ind w:firstLine="0"/>
              <w:rPr>
                <w:bCs/>
                <w:sz w:val="18"/>
                <w:szCs w:val="18"/>
                <w:lang w:val="uk-UA"/>
              </w:rPr>
            </w:pPr>
            <w:r w:rsidRPr="00222812">
              <w:rPr>
                <w:bCs/>
                <w:sz w:val="18"/>
                <w:szCs w:val="18"/>
                <w:lang w:val="uk-UA"/>
              </w:rPr>
              <w:t>86.7</w:t>
            </w:r>
          </w:p>
        </w:tc>
        <w:tc>
          <w:tcPr>
            <w:tcW w:w="739" w:type="dxa"/>
            <w:shd w:val="clear" w:color="auto" w:fill="auto"/>
          </w:tcPr>
          <w:p w14:paraId="53C24EB6" w14:textId="77777777" w:rsidR="00222812" w:rsidRPr="00222812" w:rsidRDefault="00222812" w:rsidP="00222812">
            <w:pPr>
              <w:ind w:firstLine="0"/>
              <w:rPr>
                <w:bCs/>
                <w:sz w:val="18"/>
                <w:szCs w:val="18"/>
                <w:lang w:val="uk-UA"/>
              </w:rPr>
            </w:pPr>
            <w:r w:rsidRPr="00222812">
              <w:rPr>
                <w:bCs/>
                <w:sz w:val="18"/>
                <w:szCs w:val="18"/>
                <w:lang w:val="uk-UA"/>
              </w:rPr>
              <w:t>27100</w:t>
            </w:r>
          </w:p>
        </w:tc>
        <w:tc>
          <w:tcPr>
            <w:tcW w:w="810" w:type="dxa"/>
            <w:shd w:val="clear" w:color="auto" w:fill="auto"/>
          </w:tcPr>
          <w:p w14:paraId="60528F94" w14:textId="77777777" w:rsidR="00222812" w:rsidRPr="00222812" w:rsidRDefault="00222812" w:rsidP="00222812">
            <w:pPr>
              <w:ind w:firstLine="0"/>
              <w:rPr>
                <w:bCs/>
                <w:sz w:val="18"/>
                <w:szCs w:val="18"/>
                <w:lang w:val="uk-UA"/>
              </w:rPr>
            </w:pPr>
            <w:r w:rsidRPr="00222812">
              <w:rPr>
                <w:bCs/>
                <w:sz w:val="18"/>
                <w:szCs w:val="18"/>
                <w:lang w:val="uk-UA"/>
              </w:rPr>
              <w:t>17533</w:t>
            </w:r>
          </w:p>
        </w:tc>
        <w:tc>
          <w:tcPr>
            <w:tcW w:w="669" w:type="dxa"/>
            <w:shd w:val="clear" w:color="auto" w:fill="auto"/>
          </w:tcPr>
          <w:p w14:paraId="5A5B1D72" w14:textId="77777777" w:rsidR="00222812" w:rsidRPr="00222812" w:rsidRDefault="00222812" w:rsidP="00222812">
            <w:pPr>
              <w:ind w:firstLine="0"/>
              <w:rPr>
                <w:bCs/>
                <w:sz w:val="18"/>
                <w:szCs w:val="18"/>
                <w:lang w:val="uk-UA"/>
              </w:rPr>
            </w:pPr>
            <w:r w:rsidRPr="00222812">
              <w:rPr>
                <w:bCs/>
                <w:sz w:val="18"/>
                <w:szCs w:val="18"/>
                <w:lang w:val="uk-UA"/>
              </w:rPr>
              <w:t>64,7</w:t>
            </w:r>
          </w:p>
        </w:tc>
        <w:tc>
          <w:tcPr>
            <w:tcW w:w="738" w:type="dxa"/>
            <w:shd w:val="clear" w:color="auto" w:fill="auto"/>
          </w:tcPr>
          <w:p w14:paraId="748581D7" w14:textId="77777777" w:rsidR="00222812" w:rsidRPr="00222812" w:rsidRDefault="00222812" w:rsidP="00222812">
            <w:pPr>
              <w:ind w:firstLine="0"/>
              <w:rPr>
                <w:bCs/>
                <w:sz w:val="18"/>
                <w:szCs w:val="18"/>
                <w:lang w:val="uk-UA"/>
              </w:rPr>
            </w:pPr>
            <w:r w:rsidRPr="00222812">
              <w:rPr>
                <w:bCs/>
                <w:sz w:val="18"/>
                <w:szCs w:val="18"/>
                <w:lang w:val="uk-UA"/>
              </w:rPr>
              <w:t>25100</w:t>
            </w:r>
          </w:p>
        </w:tc>
        <w:tc>
          <w:tcPr>
            <w:tcW w:w="720" w:type="dxa"/>
            <w:shd w:val="clear" w:color="auto" w:fill="auto"/>
          </w:tcPr>
          <w:p w14:paraId="40D316BB" w14:textId="77777777" w:rsidR="00222812" w:rsidRPr="00222812" w:rsidRDefault="00222812" w:rsidP="00222812">
            <w:pPr>
              <w:ind w:firstLine="0"/>
              <w:rPr>
                <w:bCs/>
                <w:sz w:val="18"/>
                <w:szCs w:val="18"/>
                <w:lang w:val="uk-UA"/>
              </w:rPr>
            </w:pPr>
            <w:r w:rsidRPr="00222812">
              <w:rPr>
                <w:bCs/>
                <w:sz w:val="18"/>
                <w:szCs w:val="18"/>
                <w:lang w:val="uk-UA"/>
              </w:rPr>
              <w:t>18307</w:t>
            </w:r>
          </w:p>
        </w:tc>
        <w:tc>
          <w:tcPr>
            <w:tcW w:w="535" w:type="dxa"/>
            <w:shd w:val="clear" w:color="auto" w:fill="auto"/>
          </w:tcPr>
          <w:p w14:paraId="7D1BE70F" w14:textId="77777777" w:rsidR="00222812" w:rsidRPr="00222812" w:rsidRDefault="00222812" w:rsidP="00222812">
            <w:pPr>
              <w:ind w:firstLine="0"/>
              <w:rPr>
                <w:bCs/>
                <w:sz w:val="18"/>
                <w:szCs w:val="18"/>
                <w:lang w:val="uk-UA"/>
              </w:rPr>
            </w:pPr>
            <w:r w:rsidRPr="00222812">
              <w:rPr>
                <w:bCs/>
                <w:sz w:val="18"/>
                <w:szCs w:val="18"/>
                <w:lang w:val="uk-UA"/>
              </w:rPr>
              <w:t>72,9</w:t>
            </w:r>
          </w:p>
        </w:tc>
      </w:tr>
      <w:tr w:rsidR="00222812" w:rsidRPr="00222812" w14:paraId="583E1E62" w14:textId="77777777" w:rsidTr="003B2A7B">
        <w:trPr>
          <w:trHeight w:val="575"/>
          <w:jc w:val="center"/>
        </w:trPr>
        <w:tc>
          <w:tcPr>
            <w:tcW w:w="363" w:type="dxa"/>
            <w:shd w:val="clear" w:color="auto" w:fill="auto"/>
            <w:noWrap/>
            <w:hideMark/>
          </w:tcPr>
          <w:p w14:paraId="624625ED" w14:textId="77777777" w:rsidR="00222812" w:rsidRPr="00222812" w:rsidRDefault="00222812" w:rsidP="00222812">
            <w:pPr>
              <w:ind w:firstLine="0"/>
              <w:rPr>
                <w:i/>
                <w:iCs/>
                <w:sz w:val="18"/>
                <w:szCs w:val="18"/>
                <w:lang w:val="uk-UA"/>
              </w:rPr>
            </w:pPr>
            <w:bookmarkStart w:id="21" w:name="_Hlk50342108"/>
            <w:bookmarkEnd w:id="20"/>
            <w:r w:rsidRPr="00222812">
              <w:rPr>
                <w:i/>
                <w:iCs/>
                <w:sz w:val="18"/>
                <w:szCs w:val="18"/>
                <w:lang w:val="uk-UA"/>
              </w:rPr>
              <w:t>7.        </w:t>
            </w:r>
          </w:p>
        </w:tc>
        <w:tc>
          <w:tcPr>
            <w:tcW w:w="1440" w:type="dxa"/>
            <w:shd w:val="clear" w:color="auto" w:fill="auto"/>
            <w:hideMark/>
          </w:tcPr>
          <w:p w14:paraId="3829D95A" w14:textId="77777777" w:rsidR="00222812" w:rsidRPr="00222812" w:rsidRDefault="00222812" w:rsidP="00222812">
            <w:pPr>
              <w:ind w:firstLine="0"/>
              <w:rPr>
                <w:i/>
                <w:iCs/>
                <w:sz w:val="18"/>
                <w:szCs w:val="18"/>
                <w:lang w:val="uk-UA"/>
              </w:rPr>
            </w:pPr>
            <w:r w:rsidRPr="00222812">
              <w:rPr>
                <w:sz w:val="18"/>
                <w:szCs w:val="18"/>
                <w:lang w:val="uk-UA"/>
              </w:rPr>
              <w:t>Цілі профілактичної терапії ТБ</w:t>
            </w:r>
          </w:p>
        </w:tc>
        <w:tc>
          <w:tcPr>
            <w:tcW w:w="810" w:type="dxa"/>
            <w:shd w:val="clear" w:color="auto" w:fill="auto"/>
            <w:noWrap/>
            <w:hideMark/>
          </w:tcPr>
          <w:p w14:paraId="38842CE2" w14:textId="77777777" w:rsidR="00222812" w:rsidRPr="00222812" w:rsidRDefault="00222812" w:rsidP="00222812">
            <w:pPr>
              <w:ind w:firstLine="0"/>
              <w:rPr>
                <w:sz w:val="18"/>
                <w:szCs w:val="18"/>
                <w:lang w:val="uk-UA"/>
              </w:rPr>
            </w:pPr>
            <w:r w:rsidRPr="00222812">
              <w:rPr>
                <w:sz w:val="18"/>
                <w:szCs w:val="18"/>
                <w:lang w:val="uk-UA"/>
              </w:rPr>
              <w:t>24530</w:t>
            </w:r>
          </w:p>
        </w:tc>
        <w:tc>
          <w:tcPr>
            <w:tcW w:w="720" w:type="dxa"/>
            <w:shd w:val="clear" w:color="auto" w:fill="auto"/>
            <w:noWrap/>
            <w:hideMark/>
          </w:tcPr>
          <w:p w14:paraId="41BAB61D" w14:textId="77777777" w:rsidR="00222812" w:rsidRPr="00222812" w:rsidRDefault="00222812" w:rsidP="00222812">
            <w:pPr>
              <w:ind w:firstLine="0"/>
              <w:rPr>
                <w:sz w:val="18"/>
                <w:szCs w:val="18"/>
                <w:lang w:val="uk-UA"/>
              </w:rPr>
            </w:pPr>
            <w:r w:rsidRPr="00222812">
              <w:rPr>
                <w:sz w:val="18"/>
                <w:szCs w:val="18"/>
                <w:lang w:val="uk-UA"/>
              </w:rPr>
              <w:t>25373</w:t>
            </w:r>
          </w:p>
        </w:tc>
        <w:tc>
          <w:tcPr>
            <w:tcW w:w="802" w:type="dxa"/>
            <w:shd w:val="clear" w:color="auto" w:fill="auto"/>
            <w:noWrap/>
            <w:hideMark/>
          </w:tcPr>
          <w:p w14:paraId="32E95279" w14:textId="77777777" w:rsidR="00222812" w:rsidRPr="00222812" w:rsidRDefault="00222812" w:rsidP="00222812">
            <w:pPr>
              <w:ind w:firstLine="0"/>
              <w:rPr>
                <w:sz w:val="18"/>
                <w:szCs w:val="18"/>
                <w:lang w:val="uk-UA"/>
              </w:rPr>
            </w:pPr>
            <w:r w:rsidRPr="00222812">
              <w:rPr>
                <w:sz w:val="18"/>
                <w:szCs w:val="18"/>
                <w:lang w:val="uk-UA"/>
              </w:rPr>
              <w:t>103.4</w:t>
            </w:r>
          </w:p>
        </w:tc>
        <w:tc>
          <w:tcPr>
            <w:tcW w:w="720" w:type="dxa"/>
            <w:shd w:val="clear" w:color="auto" w:fill="auto"/>
            <w:noWrap/>
            <w:hideMark/>
          </w:tcPr>
          <w:p w14:paraId="3C0DC0ED" w14:textId="77777777" w:rsidR="00222812" w:rsidRPr="00222812" w:rsidRDefault="00222812" w:rsidP="00222812">
            <w:pPr>
              <w:ind w:firstLine="0"/>
              <w:rPr>
                <w:sz w:val="18"/>
                <w:szCs w:val="18"/>
                <w:lang w:val="uk-UA"/>
              </w:rPr>
            </w:pPr>
            <w:r w:rsidRPr="00222812">
              <w:rPr>
                <w:sz w:val="18"/>
                <w:szCs w:val="18"/>
                <w:lang w:val="uk-UA"/>
              </w:rPr>
              <w:t>29390</w:t>
            </w:r>
          </w:p>
        </w:tc>
        <w:tc>
          <w:tcPr>
            <w:tcW w:w="720" w:type="dxa"/>
            <w:shd w:val="clear" w:color="auto" w:fill="auto"/>
            <w:noWrap/>
            <w:hideMark/>
          </w:tcPr>
          <w:p w14:paraId="76AF1D2F" w14:textId="77777777" w:rsidR="00222812" w:rsidRPr="00222812" w:rsidRDefault="00222812" w:rsidP="00222812">
            <w:pPr>
              <w:ind w:firstLine="0"/>
              <w:rPr>
                <w:sz w:val="18"/>
                <w:szCs w:val="18"/>
                <w:lang w:val="uk-UA"/>
              </w:rPr>
            </w:pPr>
            <w:r w:rsidRPr="00222812">
              <w:rPr>
                <w:sz w:val="18"/>
                <w:szCs w:val="18"/>
                <w:lang w:val="uk-UA"/>
              </w:rPr>
              <w:t>29214</w:t>
            </w:r>
          </w:p>
        </w:tc>
        <w:tc>
          <w:tcPr>
            <w:tcW w:w="799" w:type="dxa"/>
            <w:shd w:val="clear" w:color="auto" w:fill="auto"/>
            <w:noWrap/>
            <w:hideMark/>
          </w:tcPr>
          <w:p w14:paraId="36FF9327" w14:textId="77777777" w:rsidR="00222812" w:rsidRPr="00222812" w:rsidRDefault="00222812" w:rsidP="00222812">
            <w:pPr>
              <w:ind w:firstLine="0"/>
              <w:rPr>
                <w:sz w:val="18"/>
                <w:szCs w:val="18"/>
                <w:lang w:val="uk-UA"/>
              </w:rPr>
            </w:pPr>
            <w:r w:rsidRPr="00222812">
              <w:rPr>
                <w:sz w:val="18"/>
                <w:szCs w:val="18"/>
                <w:lang w:val="uk-UA"/>
              </w:rPr>
              <w:t>99,4</w:t>
            </w:r>
          </w:p>
        </w:tc>
        <w:tc>
          <w:tcPr>
            <w:tcW w:w="739" w:type="dxa"/>
            <w:shd w:val="clear" w:color="auto" w:fill="auto"/>
          </w:tcPr>
          <w:p w14:paraId="05BD1B69" w14:textId="77777777" w:rsidR="00222812" w:rsidRPr="00222812" w:rsidRDefault="00222812" w:rsidP="00222812">
            <w:pPr>
              <w:ind w:firstLine="0"/>
              <w:rPr>
                <w:sz w:val="18"/>
                <w:szCs w:val="18"/>
                <w:lang w:val="uk-UA"/>
              </w:rPr>
            </w:pPr>
            <w:r w:rsidRPr="00222812">
              <w:rPr>
                <w:sz w:val="18"/>
                <w:szCs w:val="18"/>
                <w:lang w:val="uk-UA"/>
              </w:rPr>
              <w:t>36160</w:t>
            </w:r>
          </w:p>
        </w:tc>
        <w:tc>
          <w:tcPr>
            <w:tcW w:w="810" w:type="dxa"/>
            <w:shd w:val="clear" w:color="auto" w:fill="auto"/>
          </w:tcPr>
          <w:p w14:paraId="42D12F43" w14:textId="77777777" w:rsidR="00222812" w:rsidRPr="00222812" w:rsidRDefault="00222812" w:rsidP="00222812">
            <w:pPr>
              <w:ind w:firstLine="0"/>
              <w:rPr>
                <w:sz w:val="18"/>
                <w:szCs w:val="18"/>
                <w:lang w:val="uk-UA"/>
              </w:rPr>
            </w:pPr>
            <w:r w:rsidRPr="00222812">
              <w:rPr>
                <w:sz w:val="18"/>
                <w:szCs w:val="18"/>
                <w:lang w:val="uk-UA"/>
              </w:rPr>
              <w:t>28879</w:t>
            </w:r>
          </w:p>
        </w:tc>
        <w:tc>
          <w:tcPr>
            <w:tcW w:w="669" w:type="dxa"/>
            <w:shd w:val="clear" w:color="auto" w:fill="auto"/>
          </w:tcPr>
          <w:p w14:paraId="6E0EE5F1" w14:textId="77777777" w:rsidR="00222812" w:rsidRPr="00222812" w:rsidRDefault="00222812" w:rsidP="00222812">
            <w:pPr>
              <w:ind w:firstLine="0"/>
              <w:rPr>
                <w:sz w:val="18"/>
                <w:szCs w:val="18"/>
                <w:lang w:val="uk-UA"/>
              </w:rPr>
            </w:pPr>
            <w:r w:rsidRPr="00222812">
              <w:rPr>
                <w:sz w:val="18"/>
                <w:szCs w:val="18"/>
                <w:lang w:val="uk-UA"/>
              </w:rPr>
              <w:t>79,8</w:t>
            </w:r>
          </w:p>
        </w:tc>
        <w:tc>
          <w:tcPr>
            <w:tcW w:w="738" w:type="dxa"/>
            <w:shd w:val="clear" w:color="auto" w:fill="auto"/>
          </w:tcPr>
          <w:p w14:paraId="4C984F21" w14:textId="77777777" w:rsidR="00222812" w:rsidRPr="00222812" w:rsidRDefault="00222812" w:rsidP="00222812">
            <w:pPr>
              <w:ind w:firstLine="0"/>
              <w:rPr>
                <w:sz w:val="18"/>
                <w:szCs w:val="18"/>
                <w:lang w:val="uk-UA"/>
              </w:rPr>
            </w:pPr>
            <w:r w:rsidRPr="00222812">
              <w:rPr>
                <w:sz w:val="18"/>
                <w:szCs w:val="18"/>
                <w:lang w:val="uk-UA"/>
              </w:rPr>
              <w:t>50890</w:t>
            </w:r>
          </w:p>
        </w:tc>
        <w:tc>
          <w:tcPr>
            <w:tcW w:w="720" w:type="dxa"/>
            <w:shd w:val="clear" w:color="auto" w:fill="auto"/>
          </w:tcPr>
          <w:p w14:paraId="0A207324" w14:textId="77777777" w:rsidR="00222812" w:rsidRPr="00222812" w:rsidRDefault="00222812" w:rsidP="00222812">
            <w:pPr>
              <w:ind w:firstLine="0"/>
              <w:rPr>
                <w:sz w:val="18"/>
                <w:szCs w:val="18"/>
                <w:lang w:val="uk-UA"/>
              </w:rPr>
            </w:pPr>
            <w:r w:rsidRPr="00222812">
              <w:rPr>
                <w:sz w:val="18"/>
                <w:szCs w:val="18"/>
                <w:lang w:val="uk-UA"/>
              </w:rPr>
              <w:t>31685</w:t>
            </w:r>
          </w:p>
        </w:tc>
        <w:tc>
          <w:tcPr>
            <w:tcW w:w="535" w:type="dxa"/>
            <w:shd w:val="clear" w:color="auto" w:fill="auto"/>
          </w:tcPr>
          <w:p w14:paraId="19EDF0DD" w14:textId="77777777" w:rsidR="00222812" w:rsidRPr="00222812" w:rsidRDefault="00222812" w:rsidP="00222812">
            <w:pPr>
              <w:ind w:firstLine="0"/>
              <w:rPr>
                <w:sz w:val="18"/>
                <w:szCs w:val="18"/>
                <w:lang w:val="uk-UA"/>
              </w:rPr>
            </w:pPr>
            <w:r w:rsidRPr="00222812">
              <w:rPr>
                <w:sz w:val="18"/>
                <w:szCs w:val="18"/>
                <w:lang w:val="uk-UA"/>
              </w:rPr>
              <w:t>62,2</w:t>
            </w:r>
          </w:p>
        </w:tc>
      </w:tr>
      <w:bookmarkEnd w:id="21"/>
    </w:tbl>
    <w:p w14:paraId="69610BF4" w14:textId="3ACAF45A" w:rsidR="00761F32" w:rsidRDefault="00761F32" w:rsidP="00222812">
      <w:pPr>
        <w:spacing w:line="252" w:lineRule="auto"/>
        <w:ind w:firstLine="0"/>
        <w:rPr>
          <w:rFonts w:cs="Times New Roman"/>
          <w:szCs w:val="28"/>
        </w:rPr>
      </w:pPr>
    </w:p>
    <w:p w14:paraId="170CF43E" w14:textId="46AE7864" w:rsidR="00761F32" w:rsidRPr="00761F32" w:rsidRDefault="00761F32" w:rsidP="00761F32">
      <w:pPr>
        <w:spacing w:line="252" w:lineRule="auto"/>
        <w:jc w:val="center"/>
        <w:rPr>
          <w:rFonts w:cs="Times New Roman"/>
          <w:b/>
          <w:bCs/>
          <w:szCs w:val="28"/>
        </w:rPr>
      </w:pPr>
      <w:r w:rsidRPr="00761F32">
        <w:rPr>
          <w:rFonts w:cs="Times New Roman"/>
          <w:b/>
          <w:bCs/>
          <w:szCs w:val="28"/>
        </w:rPr>
        <w:t>Таблиця 2: Виконання національних цілей наради ООН за 2018-2021рр</w:t>
      </w:r>
    </w:p>
    <w:p w14:paraId="4CF71296" w14:textId="3E0355D2" w:rsidR="00F12716" w:rsidRPr="0024080D" w:rsidRDefault="009612D6" w:rsidP="00FD425B">
      <w:pPr>
        <w:pStyle w:val="2"/>
        <w:spacing w:line="252" w:lineRule="auto"/>
        <w:rPr>
          <w:rFonts w:cs="Times New Roman"/>
          <w:szCs w:val="28"/>
        </w:rPr>
      </w:pPr>
      <w:bookmarkStart w:id="22" w:name="_Toc88088820"/>
      <w:bookmarkStart w:id="23" w:name="_Toc89149098"/>
      <w:r w:rsidRPr="009612D6">
        <w:rPr>
          <w:rFonts w:cs="Times New Roman"/>
          <w:szCs w:val="28"/>
        </w:rPr>
        <w:t>Аналіз національних результатів</w:t>
      </w:r>
      <w:bookmarkEnd w:id="22"/>
      <w:bookmarkEnd w:id="23"/>
    </w:p>
    <w:p w14:paraId="327FCA35" w14:textId="77777777"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профілактика та лікування дитячого туберкульозу є одним із пріоритетних завдань, у минулі два роки охоплення даного показника було вище 85%, то у 2020 він знизився до 42,4%, але у 2021р трохи підвищився до 51,4%.</w:t>
      </w:r>
    </w:p>
    <w:p w14:paraId="6B7D2898" w14:textId="6053968A"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діагностика та лікування МЛ</w:t>
      </w:r>
      <w:r w:rsidR="00D551BD">
        <w:rPr>
          <w:rFonts w:cs="Times New Roman"/>
          <w:szCs w:val="28"/>
          <w:lang w:val="ru-RU"/>
        </w:rPr>
        <w:t>С-</w:t>
      </w:r>
      <w:r w:rsidRPr="009612D6">
        <w:rPr>
          <w:rFonts w:cs="Times New Roman"/>
          <w:szCs w:val="28"/>
        </w:rPr>
        <w:t>ТБ у минулі два роки становив понад 50%, але у 2020 він знизився до 46%, у 2021 до 41% відповідно.</w:t>
      </w:r>
    </w:p>
    <w:p w14:paraId="3B8B4B27" w14:textId="4EF76836"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охоплення профілактичним лікуванням дітей віком до 5 років стабільно залишається на високому рівні і становить понад 100%, з 2028-2020р., але в 2021р трохи знизився і склав 92%.</w:t>
      </w:r>
    </w:p>
    <w:p w14:paraId="69CEDB6D" w14:textId="77777777"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профілактичного лікування в контактах старше 5 років, також є одним із досягнень національної програми, складаючи більше 100% охоплення.</w:t>
      </w:r>
    </w:p>
    <w:p w14:paraId="3FC4D0A5" w14:textId="77777777"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профілактичного лікування серед ЛЖВ, спостерігається тенденція щорічного зниження з 70% до 50%, а потім з 44% до 26%, і потребує додаткової уваги з боку керівників програм.</w:t>
      </w:r>
    </w:p>
    <w:p w14:paraId="7C8520EE" w14:textId="77777777"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мети діагностики та лікування туберкульозу, становив у минулі два роки більше 80%, але у 2020р., він знизився до 64%, а потім підвищився до 72%.</w:t>
      </w:r>
    </w:p>
    <w:p w14:paraId="1A4D463F" w14:textId="77777777" w:rsidR="009612D6" w:rsidRPr="009612D6" w:rsidRDefault="009612D6" w:rsidP="009612D6">
      <w:pPr>
        <w:spacing w:line="228" w:lineRule="auto"/>
        <w:ind w:firstLine="0"/>
        <w:jc w:val="left"/>
        <w:rPr>
          <w:rFonts w:cs="Times New Roman"/>
          <w:szCs w:val="28"/>
        </w:rPr>
      </w:pPr>
      <w:r w:rsidRPr="009612D6">
        <w:rPr>
          <w:rFonts w:cs="Times New Roman"/>
          <w:szCs w:val="28"/>
        </w:rPr>
        <w:t>•</w:t>
      </w:r>
      <w:r w:rsidRPr="009612D6">
        <w:rPr>
          <w:rFonts w:cs="Times New Roman"/>
          <w:szCs w:val="28"/>
        </w:rPr>
        <w:tab/>
        <w:t>Показник профілактичного лікування туберкульозу, незважаючи на те, що в минулі роки був досить високим, у 2020 та 2021 році знизився і склав 79% та 62% відповідно.</w:t>
      </w:r>
    </w:p>
    <w:p w14:paraId="218C9510" w14:textId="77777777" w:rsidR="009612D6" w:rsidRPr="009612D6" w:rsidRDefault="009612D6" w:rsidP="009612D6">
      <w:pPr>
        <w:spacing w:line="228" w:lineRule="auto"/>
        <w:ind w:firstLine="0"/>
        <w:jc w:val="left"/>
        <w:rPr>
          <w:rFonts w:cs="Times New Roman"/>
          <w:szCs w:val="28"/>
        </w:rPr>
      </w:pPr>
    </w:p>
    <w:p w14:paraId="77D6C9C2" w14:textId="3E2AACE1" w:rsidR="00F12716" w:rsidRDefault="009612D6" w:rsidP="009612D6">
      <w:pPr>
        <w:spacing w:line="228" w:lineRule="auto"/>
        <w:ind w:firstLine="0"/>
        <w:jc w:val="left"/>
        <w:rPr>
          <w:rFonts w:cs="Times New Roman"/>
          <w:szCs w:val="28"/>
        </w:rPr>
      </w:pPr>
      <w:r w:rsidRPr="009612D6">
        <w:rPr>
          <w:rFonts w:cs="Times New Roman"/>
          <w:szCs w:val="28"/>
        </w:rPr>
        <w:lastRenderedPageBreak/>
        <w:t>При порівнянні щорічних показників можна виявити значне зниження показників за 2020 рік, що пов'язане з пандемією COVID-19, яка має негативні наслідки для виконання зобов'язань. Незважаючи на це, у 2021 році спостерігалася позитивна динаміка та покращення виконання деяких показників.</w:t>
      </w:r>
    </w:p>
    <w:p w14:paraId="06371560" w14:textId="0A3BAAFE" w:rsidR="009612D6" w:rsidRDefault="009612D6" w:rsidP="009612D6">
      <w:pPr>
        <w:spacing w:line="228" w:lineRule="auto"/>
        <w:ind w:firstLine="0"/>
        <w:jc w:val="left"/>
        <w:rPr>
          <w:rFonts w:cs="Times New Roman"/>
          <w:szCs w:val="28"/>
        </w:rPr>
      </w:pPr>
    </w:p>
    <w:p w14:paraId="2E1B7EB5" w14:textId="55869D7C" w:rsidR="009612D6" w:rsidRPr="0024080D" w:rsidRDefault="009612D6" w:rsidP="009612D6">
      <w:pPr>
        <w:spacing w:line="228" w:lineRule="auto"/>
        <w:ind w:firstLine="0"/>
        <w:jc w:val="left"/>
        <w:rPr>
          <w:rFonts w:cs="Times New Roman"/>
          <w:b/>
          <w:szCs w:val="28"/>
        </w:rPr>
      </w:pPr>
      <w:r>
        <w:rPr>
          <w:noProof/>
        </w:rPr>
        <w:drawing>
          <wp:inline distT="0" distB="0" distL="0" distR="0" wp14:anchorId="28547112" wp14:editId="7EDE562A">
            <wp:extent cx="5940425" cy="2314575"/>
            <wp:effectExtent l="0" t="0" r="3175" b="952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26EC72" w14:textId="3EBAC864" w:rsidR="00F12716" w:rsidRPr="006125A2" w:rsidRDefault="00384A9F" w:rsidP="00FD425B">
      <w:pPr>
        <w:spacing w:line="228" w:lineRule="auto"/>
        <w:ind w:firstLine="0"/>
        <w:jc w:val="center"/>
        <w:rPr>
          <w:rFonts w:cs="Times New Roman"/>
          <w:b/>
          <w:bCs/>
          <w:szCs w:val="28"/>
          <w:lang w:val="ru-RU"/>
        </w:rPr>
      </w:pPr>
      <w:r>
        <w:rPr>
          <w:rFonts w:cs="Times New Roman"/>
          <w:b/>
          <w:bCs/>
          <w:szCs w:val="28"/>
        </w:rPr>
        <w:t>Рисунок</w:t>
      </w:r>
      <w:r w:rsidR="009612D6" w:rsidRPr="00BE1502">
        <w:rPr>
          <w:rFonts w:cs="Times New Roman"/>
          <w:b/>
          <w:bCs/>
          <w:szCs w:val="28"/>
        </w:rPr>
        <w:t xml:space="preserve"> </w:t>
      </w:r>
      <w:r w:rsidR="00E15F75">
        <w:rPr>
          <w:rFonts w:cs="Times New Roman"/>
          <w:b/>
          <w:bCs/>
          <w:szCs w:val="28"/>
        </w:rPr>
        <w:t>1.</w:t>
      </w:r>
      <w:r w:rsidR="009612D6" w:rsidRPr="00BE1502">
        <w:rPr>
          <w:rFonts w:cs="Times New Roman"/>
          <w:b/>
          <w:bCs/>
          <w:szCs w:val="28"/>
        </w:rPr>
        <w:t>2</w:t>
      </w:r>
      <w:r>
        <w:rPr>
          <w:rFonts w:cs="Times New Roman"/>
          <w:b/>
          <w:bCs/>
          <w:szCs w:val="28"/>
        </w:rPr>
        <w:t>.</w:t>
      </w:r>
      <w:r w:rsidR="009612D6" w:rsidRPr="00BE1502">
        <w:rPr>
          <w:rFonts w:cs="Times New Roman"/>
          <w:b/>
          <w:bCs/>
          <w:szCs w:val="28"/>
        </w:rPr>
        <w:t xml:space="preserve"> Порівняння виконання національних цілей за 2018-202</w:t>
      </w:r>
      <w:r w:rsidR="00BE1502">
        <w:rPr>
          <w:rFonts w:cs="Times New Roman"/>
          <w:b/>
          <w:bCs/>
          <w:szCs w:val="28"/>
        </w:rPr>
        <w:t>1</w:t>
      </w:r>
      <w:r w:rsidR="009612D6" w:rsidRPr="00BE1502">
        <w:rPr>
          <w:rFonts w:cs="Times New Roman"/>
          <w:b/>
          <w:bCs/>
          <w:szCs w:val="28"/>
        </w:rPr>
        <w:t xml:space="preserve"> </w:t>
      </w:r>
      <w:proofErr w:type="spellStart"/>
      <w:r w:rsidR="009612D6" w:rsidRPr="00BE1502">
        <w:rPr>
          <w:rFonts w:cs="Times New Roman"/>
          <w:b/>
          <w:bCs/>
          <w:szCs w:val="28"/>
        </w:rPr>
        <w:t>рр</w:t>
      </w:r>
      <w:proofErr w:type="spellEnd"/>
      <w:r w:rsidR="006125A2" w:rsidRPr="00BE1502">
        <w:rPr>
          <w:rFonts w:cs="Times New Roman"/>
          <w:b/>
          <w:bCs/>
          <w:szCs w:val="28"/>
          <w:lang w:val="ru-RU"/>
        </w:rPr>
        <w:t>.</w:t>
      </w:r>
    </w:p>
    <w:p w14:paraId="6110E37B" w14:textId="5FF3CB82" w:rsidR="006125A2" w:rsidRDefault="006125A2" w:rsidP="00FD425B">
      <w:pPr>
        <w:spacing w:line="228" w:lineRule="auto"/>
        <w:ind w:firstLine="0"/>
        <w:jc w:val="center"/>
        <w:rPr>
          <w:rFonts w:cs="Times New Roman"/>
          <w:b/>
          <w:bCs/>
          <w:szCs w:val="28"/>
        </w:rPr>
      </w:pPr>
    </w:p>
    <w:p w14:paraId="26D334A9" w14:textId="5F39D6DA" w:rsidR="006125A2" w:rsidRPr="009612D6" w:rsidRDefault="006125A2" w:rsidP="00FD425B">
      <w:pPr>
        <w:spacing w:line="228" w:lineRule="auto"/>
        <w:ind w:firstLine="0"/>
        <w:jc w:val="center"/>
        <w:rPr>
          <w:rFonts w:cs="Times New Roman"/>
          <w:b/>
          <w:bCs/>
          <w:szCs w:val="28"/>
        </w:rPr>
      </w:pPr>
      <w:r>
        <w:rPr>
          <w:noProof/>
        </w:rPr>
        <w:drawing>
          <wp:inline distT="0" distB="0" distL="0" distR="0" wp14:anchorId="48F45ADC" wp14:editId="614E98D0">
            <wp:extent cx="5766435" cy="2488565"/>
            <wp:effectExtent l="0" t="0" r="24765" b="635"/>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17FB2E" w14:textId="70ED4FB3" w:rsidR="00FD425B" w:rsidRPr="006125A2" w:rsidRDefault="00384A9F" w:rsidP="00FD425B">
      <w:pPr>
        <w:ind w:firstLine="0"/>
        <w:jc w:val="center"/>
        <w:rPr>
          <w:rFonts w:cs="Times New Roman"/>
          <w:b/>
          <w:szCs w:val="28"/>
          <w:lang w:val="ru-RU"/>
        </w:rPr>
      </w:pPr>
      <w:r>
        <w:rPr>
          <w:rFonts w:cs="Times New Roman"/>
          <w:b/>
          <w:szCs w:val="28"/>
        </w:rPr>
        <w:t>Рисунок</w:t>
      </w:r>
      <w:r w:rsidR="006125A2" w:rsidRPr="006125A2">
        <w:rPr>
          <w:rFonts w:cs="Times New Roman"/>
          <w:b/>
          <w:szCs w:val="28"/>
        </w:rPr>
        <w:t xml:space="preserve"> </w:t>
      </w:r>
      <w:r w:rsidR="00E15F75">
        <w:rPr>
          <w:rFonts w:cs="Times New Roman"/>
          <w:b/>
          <w:szCs w:val="28"/>
        </w:rPr>
        <w:t>1.</w:t>
      </w:r>
      <w:r w:rsidR="006125A2" w:rsidRPr="006125A2">
        <w:rPr>
          <w:rFonts w:cs="Times New Roman"/>
          <w:b/>
          <w:szCs w:val="28"/>
        </w:rPr>
        <w:t>3</w:t>
      </w:r>
      <w:r>
        <w:rPr>
          <w:rFonts w:cs="Times New Roman"/>
          <w:b/>
          <w:szCs w:val="28"/>
        </w:rPr>
        <w:t>.</w:t>
      </w:r>
      <w:r w:rsidR="006125A2" w:rsidRPr="006125A2">
        <w:rPr>
          <w:rFonts w:cs="Times New Roman"/>
          <w:b/>
          <w:szCs w:val="28"/>
        </w:rPr>
        <w:t xml:space="preserve"> Порівняння виконання національних цілей із виконанням на глобальному рівні за 2018-202</w:t>
      </w:r>
      <w:r w:rsidR="00BE1502">
        <w:rPr>
          <w:rFonts w:cs="Times New Roman"/>
          <w:b/>
          <w:szCs w:val="28"/>
        </w:rPr>
        <w:t>1</w:t>
      </w:r>
      <w:r w:rsidR="006125A2" w:rsidRPr="006125A2">
        <w:rPr>
          <w:rFonts w:cs="Times New Roman"/>
          <w:b/>
          <w:szCs w:val="28"/>
        </w:rPr>
        <w:t xml:space="preserve"> </w:t>
      </w:r>
      <w:proofErr w:type="spellStart"/>
      <w:r w:rsidR="006125A2" w:rsidRPr="006125A2">
        <w:rPr>
          <w:rFonts w:cs="Times New Roman"/>
          <w:b/>
          <w:szCs w:val="28"/>
        </w:rPr>
        <w:t>рр</w:t>
      </w:r>
      <w:proofErr w:type="spellEnd"/>
      <w:r w:rsidR="006125A2">
        <w:rPr>
          <w:rFonts w:cs="Times New Roman"/>
          <w:b/>
          <w:szCs w:val="28"/>
          <w:lang w:val="ru-RU"/>
        </w:rPr>
        <w:t>.</w:t>
      </w:r>
    </w:p>
    <w:p w14:paraId="278BC267" w14:textId="044B45CB" w:rsidR="00F12716" w:rsidRPr="0024080D" w:rsidRDefault="00F12716" w:rsidP="00F12716">
      <w:pPr>
        <w:ind w:firstLine="0"/>
        <w:jc w:val="center"/>
        <w:rPr>
          <w:rFonts w:cs="Times New Roman"/>
          <w:szCs w:val="28"/>
        </w:rPr>
      </w:pPr>
    </w:p>
    <w:p w14:paraId="1BA0F1A5" w14:textId="4D2183D8" w:rsidR="00F12716" w:rsidRPr="0024080D" w:rsidRDefault="00F12716" w:rsidP="00FD425B">
      <w:pPr>
        <w:tabs>
          <w:tab w:val="left" w:pos="1134"/>
          <w:tab w:val="left" w:pos="8222"/>
        </w:tabs>
        <w:spacing w:after="120"/>
        <w:ind w:firstLine="0"/>
        <w:jc w:val="center"/>
        <w:rPr>
          <w:rFonts w:cs="Times New Roman"/>
          <w:b/>
          <w:szCs w:val="28"/>
        </w:rPr>
      </w:pPr>
    </w:p>
    <w:p w14:paraId="5D94D077" w14:textId="77777777" w:rsidR="00276A50" w:rsidRPr="00276A50" w:rsidRDefault="00276A50" w:rsidP="00276A50">
      <w:pPr>
        <w:rPr>
          <w:rFonts w:cs="Times New Roman"/>
          <w:szCs w:val="28"/>
        </w:rPr>
      </w:pPr>
      <w:r w:rsidRPr="00276A50">
        <w:rPr>
          <w:rFonts w:cs="Times New Roman"/>
          <w:szCs w:val="28"/>
        </w:rPr>
        <w:t>•</w:t>
      </w:r>
      <w:r w:rsidRPr="00276A50">
        <w:rPr>
          <w:rFonts w:cs="Times New Roman"/>
          <w:szCs w:val="28"/>
        </w:rPr>
        <w:tab/>
        <w:t>Показник профілактики та лікування дитячого туберкульозу в Україні нижче 37,8%, ніж показати у світі 41%.</w:t>
      </w:r>
    </w:p>
    <w:p w14:paraId="310E4D15" w14:textId="77777777" w:rsidR="00276A50" w:rsidRPr="00276A50" w:rsidRDefault="00276A50" w:rsidP="00276A50">
      <w:pPr>
        <w:rPr>
          <w:rFonts w:cs="Times New Roman"/>
          <w:szCs w:val="28"/>
        </w:rPr>
      </w:pPr>
      <w:r w:rsidRPr="00276A50">
        <w:rPr>
          <w:rFonts w:cs="Times New Roman"/>
          <w:szCs w:val="28"/>
        </w:rPr>
        <w:t>•</w:t>
      </w:r>
      <w:r w:rsidRPr="00276A50">
        <w:rPr>
          <w:rFonts w:cs="Times New Roman"/>
          <w:szCs w:val="28"/>
        </w:rPr>
        <w:tab/>
        <w:t>Показник діагностика та лікування МЛС-ТБ в Україні вищий за 37,1%, ніж у світі 32%.</w:t>
      </w:r>
    </w:p>
    <w:p w14:paraId="0CAFEF08" w14:textId="77777777" w:rsidR="00276A50" w:rsidRPr="00276A50" w:rsidRDefault="00276A50" w:rsidP="00276A50">
      <w:pPr>
        <w:rPr>
          <w:rFonts w:cs="Times New Roman"/>
          <w:szCs w:val="28"/>
        </w:rPr>
      </w:pPr>
      <w:r w:rsidRPr="00276A50">
        <w:rPr>
          <w:rFonts w:cs="Times New Roman"/>
          <w:szCs w:val="28"/>
        </w:rPr>
        <w:t>•</w:t>
      </w:r>
      <w:r w:rsidRPr="00276A50">
        <w:rPr>
          <w:rFonts w:cs="Times New Roman"/>
          <w:szCs w:val="28"/>
        </w:rPr>
        <w:tab/>
        <w:t>Показник охоплення профілактичним лікуванням дітей віком до 5 років у країні досягає 100%, і значно перевищує аналогічний у світі 29%.</w:t>
      </w:r>
    </w:p>
    <w:p w14:paraId="5471B58F" w14:textId="77777777" w:rsidR="00276A50" w:rsidRPr="00276A50" w:rsidRDefault="00276A50" w:rsidP="00276A50">
      <w:pPr>
        <w:rPr>
          <w:rFonts w:cs="Times New Roman"/>
          <w:szCs w:val="28"/>
        </w:rPr>
      </w:pPr>
      <w:r w:rsidRPr="00276A50">
        <w:rPr>
          <w:rFonts w:cs="Times New Roman"/>
          <w:szCs w:val="28"/>
        </w:rPr>
        <w:t>•</w:t>
      </w:r>
      <w:r w:rsidRPr="00276A50">
        <w:rPr>
          <w:rFonts w:cs="Times New Roman"/>
          <w:szCs w:val="28"/>
        </w:rPr>
        <w:tab/>
        <w:t>Показник профілактичне лікування в контактах старше 5 років також дуже високий у країні, і становить 100%, коли як у світі він дорівнює 16%.</w:t>
      </w:r>
    </w:p>
    <w:p w14:paraId="294F1CDF" w14:textId="77777777" w:rsidR="00276A50" w:rsidRPr="00276A50" w:rsidRDefault="00276A50" w:rsidP="00276A50">
      <w:pPr>
        <w:rPr>
          <w:rFonts w:cs="Times New Roman"/>
          <w:szCs w:val="28"/>
        </w:rPr>
      </w:pPr>
      <w:r w:rsidRPr="00276A50">
        <w:rPr>
          <w:rFonts w:cs="Times New Roman"/>
          <w:szCs w:val="28"/>
        </w:rPr>
        <w:lastRenderedPageBreak/>
        <w:t>•</w:t>
      </w:r>
      <w:r w:rsidRPr="00276A50">
        <w:rPr>
          <w:rFonts w:cs="Times New Roman"/>
          <w:szCs w:val="28"/>
        </w:rPr>
        <w:tab/>
        <w:t>Показник профілактичного лікування серед ЛЖВ у країні становить 20,9%, коли як у світі він становить 100%.</w:t>
      </w:r>
    </w:p>
    <w:p w14:paraId="5B135C65" w14:textId="77777777" w:rsidR="00276A50" w:rsidRPr="00276A50" w:rsidRDefault="00276A50" w:rsidP="00276A50">
      <w:pPr>
        <w:rPr>
          <w:rFonts w:cs="Times New Roman"/>
          <w:szCs w:val="28"/>
        </w:rPr>
      </w:pPr>
      <w:r w:rsidRPr="00276A50">
        <w:rPr>
          <w:rFonts w:cs="Times New Roman"/>
          <w:szCs w:val="28"/>
        </w:rPr>
        <w:t>•</w:t>
      </w:r>
      <w:r w:rsidRPr="00276A50">
        <w:rPr>
          <w:rFonts w:cs="Times New Roman"/>
          <w:szCs w:val="28"/>
        </w:rPr>
        <w:tab/>
        <w:t>Показник мети діагностики та лікування туберкульозу по країні 51,9%, у світі 50% та знаходяться приблизно на однаковому рівні.</w:t>
      </w:r>
    </w:p>
    <w:p w14:paraId="135A6BA3" w14:textId="1925B28F" w:rsidR="00F12716" w:rsidRDefault="00276A50" w:rsidP="00276A50">
      <w:pPr>
        <w:rPr>
          <w:rFonts w:cs="Times New Roman"/>
          <w:szCs w:val="28"/>
        </w:rPr>
      </w:pPr>
      <w:r w:rsidRPr="00276A50">
        <w:rPr>
          <w:rFonts w:cs="Times New Roman"/>
          <w:szCs w:val="28"/>
        </w:rPr>
        <w:t>•</w:t>
      </w:r>
      <w:r w:rsidRPr="00276A50">
        <w:rPr>
          <w:rFonts w:cs="Times New Roman"/>
          <w:szCs w:val="28"/>
        </w:rPr>
        <w:tab/>
        <w:t>Показник профілактичного лікування туберкульозу в Україні становить 57,5%, а у світі 29%.</w:t>
      </w:r>
    </w:p>
    <w:p w14:paraId="7B72F525" w14:textId="48302C2B" w:rsidR="00276A50" w:rsidRPr="0024080D" w:rsidRDefault="00276A50" w:rsidP="00276A50">
      <w:pPr>
        <w:pStyle w:val="2"/>
      </w:pPr>
      <w:r w:rsidRPr="00276A50">
        <w:t>Висновки:</w:t>
      </w:r>
    </w:p>
    <w:p w14:paraId="563FE38D" w14:textId="3CCDF1B1" w:rsidR="00276A50" w:rsidRPr="00276A50" w:rsidRDefault="00276A50" w:rsidP="00276A50">
      <w:pPr>
        <w:rPr>
          <w:rFonts w:cs="Times New Roman"/>
          <w:szCs w:val="28"/>
          <w:lang w:val="ru-RU"/>
        </w:rPr>
      </w:pPr>
      <w:r w:rsidRPr="00276A50">
        <w:rPr>
          <w:rFonts w:cs="Times New Roman"/>
          <w:szCs w:val="28"/>
        </w:rPr>
        <w:t>Не дивлячись на пандемію 2020 року, національній програмі вдалося певною мірою впоратися з наслідками COVID-19 у 2021 році. Показники дитячого туберкульозу та цілей з діагностики та лікування спостерігалася позитивна динаміка. У показниках профілактичного лікування серед дітей віком до 5 років (за винятком 2021 року, коли він знизився до 92%) та показники профілактичного лікування серед старших 5 років, програмі вдається утримувати стабільно високий рівень охоплення. Дані два показники значно перевищують інші, включаючи порівняння з глобальними показниками, і є досягненням національної програми. Виконання інших показників потребує більш пильної уваги з боку керівників програм</w:t>
      </w:r>
      <w:r>
        <w:rPr>
          <w:rFonts w:cs="Times New Roman"/>
          <w:szCs w:val="28"/>
          <w:lang w:val="ru-RU"/>
        </w:rPr>
        <w:t>.</w:t>
      </w:r>
    </w:p>
    <w:p w14:paraId="46C16714" w14:textId="77777777" w:rsidR="007B53B1" w:rsidRPr="0024080D" w:rsidRDefault="007B53B1" w:rsidP="00F12716">
      <w:pPr>
        <w:rPr>
          <w:rFonts w:cs="Times New Roman"/>
          <w:b/>
          <w:caps/>
          <w:szCs w:val="28"/>
        </w:rPr>
      </w:pPr>
      <w:r w:rsidRPr="0024080D">
        <w:rPr>
          <w:rFonts w:cs="Times New Roman"/>
          <w:szCs w:val="28"/>
        </w:rPr>
        <w:br w:type="page"/>
      </w:r>
    </w:p>
    <w:p w14:paraId="711D54A8" w14:textId="645E6725" w:rsidR="00B04E65" w:rsidRPr="0024080D" w:rsidRDefault="003836B7" w:rsidP="006B1BF8">
      <w:pPr>
        <w:pStyle w:val="2"/>
        <w:spacing w:line="228" w:lineRule="auto"/>
      </w:pPr>
      <w:bookmarkStart w:id="24" w:name="_Toc88088832"/>
      <w:bookmarkStart w:id="25" w:name="_Toc89149111"/>
      <w:bookmarkEnd w:id="6"/>
      <w:r w:rsidRPr="003836B7">
        <w:lastRenderedPageBreak/>
        <w:t>Пандемія COVID-19</w:t>
      </w:r>
      <w:bookmarkEnd w:id="24"/>
      <w:bookmarkEnd w:id="25"/>
    </w:p>
    <w:p w14:paraId="5884D459"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Надання своєчасних, якісних медичних послуг, незалежно від географічної локації та не піддаючи пацієнта додатковим фінансовим витратам – ось три основоположні принципи надання послуг для пацієнтів в Україні. Пандемія COVID-19 підриває всі три принципи та кидає виклик усій системі охорони здоров'я країни. Наслідки COVID-19 ще довго матимуть наслідки для національної програми та відбиватимуться на досягненні короткострокових та довгострокових цілей програми. В цілому, загрози COVID-19 можуть бути умовно поділені на прямі та непрямі загрози, а за рівнем наслідків безпосередні та віддалені.</w:t>
      </w:r>
    </w:p>
    <w:p w14:paraId="7AD352BD"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Справжнім випробуванням стає надання своєчасних та якісних послуг пацієнтам, коли потужності медичних служб спрямовані на надання допомоги для пацієнтів COVID-19 насамперед. Планові заходи переносяться або зовсім скасовуються. Наплив позапланових хворих та великий ступінь завантаженості медичного персоналу, не може не відбиватися на якості надання послуг та здоров'я пацієнтів.</w:t>
      </w:r>
    </w:p>
    <w:p w14:paraId="181A18E5"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Оновлені вимоги для “нового нормального життя” такі як дотримання фізичної дистанції, носіння масок, віддалена робота, карантин та закриття установ, страх вийти в соціум, збільшує розрив між пацієнтом та отриманням послуг незалежно від географічного розташування.</w:t>
      </w:r>
    </w:p>
    <w:p w14:paraId="3C39C2F6"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Наявні до COVID-19 чіткі цілі для фінансування та бачення статей бюджету були порушені, з початком COVID-19 фінансування були спрямовані на більш пріоритетні питання, постачання киснем, збільшення можливостей ліжок, та багато інших незапланованих витрат, що сильно позначилося на бюджеті охорони здоров'я. У той же час, пацієнти змушені адаптуватися і робити додаткові закупівлі на випадок карантину або COVID-19, що також належать до незапланованих витрат, і боляче позначається на фінансах хворих.</w:t>
      </w:r>
    </w:p>
    <w:p w14:paraId="0EF932EF"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Медичний персонал, який працює в безпосередній зоні ризику, змушений працювати понаднормовий час, лікарні змушені закуповувати захисні костюми та посилювати заходи інфекційного контролю. Збільшений ризик зараження призводить до більшої захворюваності на COVID-19 серед медичного персоналу, викликаючи тим самим нестачу цінних кадрів на місцях.</w:t>
      </w:r>
    </w:p>
    <w:p w14:paraId="26E4A98B" w14:textId="6E252774" w:rsidR="00B04E65" w:rsidRDefault="003836B7" w:rsidP="003836B7">
      <w:pPr>
        <w:widowControl w:val="0"/>
        <w:pBdr>
          <w:top w:val="nil"/>
          <w:left w:val="nil"/>
          <w:bottom w:val="nil"/>
          <w:right w:val="nil"/>
          <w:between w:val="nil"/>
        </w:pBdr>
        <w:ind w:firstLine="0"/>
        <w:rPr>
          <w:rFonts w:cs="Times New Roman"/>
          <w:szCs w:val="28"/>
          <w:lang w:val="ru-RU"/>
        </w:rPr>
      </w:pPr>
      <w:r w:rsidRPr="003836B7">
        <w:rPr>
          <w:rFonts w:cs="Times New Roman"/>
          <w:szCs w:val="28"/>
        </w:rPr>
        <w:t>Після перенесеного COVID-19 виникає ціла рада ускладнень, яких необхідно лікувати, і які можуть позначитися у віддаленому майбутньому. Крім того, постійна загроза COVID-19 негативно позначається на психічному здоров'ї населення, збільшуючи рівень депресії та тривогу</w:t>
      </w:r>
      <w:r>
        <w:rPr>
          <w:rFonts w:cs="Times New Roman"/>
          <w:szCs w:val="28"/>
          <w:lang w:val="ru-RU"/>
        </w:rPr>
        <w:t>.</w:t>
      </w:r>
    </w:p>
    <w:p w14:paraId="31439F16" w14:textId="77777777" w:rsidR="003836B7" w:rsidRPr="0024080D" w:rsidRDefault="003836B7" w:rsidP="003836B7">
      <w:pPr>
        <w:pStyle w:val="2"/>
      </w:pPr>
      <w:r w:rsidRPr="00276A50">
        <w:t>Висновки:</w:t>
      </w:r>
    </w:p>
    <w:p w14:paraId="6A0FF528" w14:textId="77777777" w:rsidR="003836B7" w:rsidRP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 xml:space="preserve">У зв'язку з COVID-19 оціночна захворюваність на туберкульоз за розрахунками ВООЗ, по країні знизилася на 5,2% порівняно з 2019 роком (73 на 100 000 населення проти 77 на 100 000 населення), а за розрахунками ВООЗ оцінена смертність від туберкульозу на 13% порівняно з 2019 роком (6430 проти 5700 випадків), через обмежений доступ до медичної допомоги, </w:t>
      </w:r>
      <w:r w:rsidRPr="003836B7">
        <w:rPr>
          <w:rFonts w:cs="Times New Roman"/>
          <w:szCs w:val="28"/>
        </w:rPr>
        <w:lastRenderedPageBreak/>
        <w:t xml:space="preserve">водночас виявлення та діагностика туберкульозу знижується. </w:t>
      </w:r>
    </w:p>
    <w:p w14:paraId="226771EC" w14:textId="44CDD1AC" w:rsidR="003836B7" w:rsidRDefault="003836B7" w:rsidP="003836B7">
      <w:pPr>
        <w:widowControl w:val="0"/>
        <w:pBdr>
          <w:top w:val="nil"/>
          <w:left w:val="nil"/>
          <w:bottom w:val="nil"/>
          <w:right w:val="nil"/>
          <w:between w:val="nil"/>
        </w:pBdr>
        <w:ind w:firstLine="0"/>
        <w:rPr>
          <w:rFonts w:cs="Times New Roman"/>
          <w:szCs w:val="28"/>
        </w:rPr>
      </w:pPr>
      <w:r w:rsidRPr="003836B7">
        <w:rPr>
          <w:rFonts w:cs="Times New Roman"/>
          <w:szCs w:val="28"/>
        </w:rPr>
        <w:t>Більшість ефектів, пов'язаних з поширенням COVID-19, у короткостроковій перспективі сприятимуть зниженню зареєстрованої кількості випадків туберкульозу (вперше виявлених та з рецидивом) при одночасному накопиченні очікуваної (прихованої) захворюваності, яка проявиться у довгостроковій перспективі у тому випадку, якщо не будуть розроблені додаткові заходи щодо обмеження поширення туберкульозної інфекції.</w:t>
      </w:r>
      <w:r w:rsidR="00CC395F">
        <w:rPr>
          <w:rFonts w:cs="Times New Roman"/>
          <w:szCs w:val="28"/>
        </w:rPr>
        <w:t>³</w:t>
      </w:r>
    </w:p>
    <w:p w14:paraId="26F18250" w14:textId="55BF8F13" w:rsidR="00CC395F" w:rsidRPr="00CC395F" w:rsidRDefault="00CC395F" w:rsidP="003836B7">
      <w:pPr>
        <w:widowControl w:val="0"/>
        <w:pBdr>
          <w:top w:val="nil"/>
          <w:left w:val="nil"/>
          <w:bottom w:val="nil"/>
          <w:right w:val="nil"/>
          <w:between w:val="nil"/>
        </w:pBdr>
        <w:ind w:firstLine="0"/>
        <w:rPr>
          <w:rFonts w:cs="Times New Roman"/>
          <w:sz w:val="20"/>
          <w:szCs w:val="20"/>
        </w:rPr>
      </w:pPr>
      <w:r w:rsidRPr="00CC395F">
        <w:rPr>
          <w:rFonts w:cs="Times New Roman"/>
          <w:sz w:val="20"/>
          <w:szCs w:val="20"/>
        </w:rPr>
        <w:t>³ https://www.ncbi.nlm.nih.gov/pmc/articles/PMC7405273/</w:t>
      </w:r>
    </w:p>
    <w:p w14:paraId="5E167DD6" w14:textId="6FE80F2E" w:rsidR="00BB6038" w:rsidRPr="0024080D" w:rsidRDefault="00BB6038">
      <w:pPr>
        <w:rPr>
          <w:rFonts w:cs="Times New Roman"/>
          <w:b/>
          <w:caps/>
          <w:szCs w:val="28"/>
        </w:rPr>
      </w:pPr>
      <w:bookmarkStart w:id="26" w:name="_Toc88088833"/>
      <w:r w:rsidRPr="0024080D">
        <w:rPr>
          <w:rFonts w:cs="Times New Roman"/>
          <w:szCs w:val="28"/>
        </w:rPr>
        <w:br w:type="page"/>
      </w:r>
    </w:p>
    <w:p w14:paraId="3A606453" w14:textId="3EBF98C1" w:rsidR="004B3AED" w:rsidRPr="0024080D" w:rsidRDefault="004B3AED" w:rsidP="004B3AED">
      <w:pPr>
        <w:pStyle w:val="1"/>
      </w:pPr>
      <w:bookmarkStart w:id="27" w:name="_Toc89149112"/>
      <w:bookmarkEnd w:id="26"/>
      <w:r w:rsidRPr="0024080D">
        <w:lastRenderedPageBreak/>
        <w:t>РОЗДІЛ </w:t>
      </w:r>
      <w:r w:rsidR="009E5264" w:rsidRPr="00E15F75">
        <w:rPr>
          <w:lang w:val="ru-RU"/>
        </w:rPr>
        <w:t>2</w:t>
      </w:r>
      <w:r w:rsidRPr="00E15F75">
        <w:t>.</w:t>
      </w:r>
      <w:r w:rsidRPr="0024080D">
        <w:t> ЕПІДЕМІЧНА СИТУАЦІЯ ЩОДО ТБ В УКРАЇНІ СТАНОМ НА 01.01.202</w:t>
      </w:r>
      <w:r w:rsidR="008847F8">
        <w:t>2</w:t>
      </w:r>
      <w:r w:rsidRPr="0024080D">
        <w:t> </w:t>
      </w:r>
      <w:r w:rsidRPr="0024080D">
        <w:rPr>
          <w:caps w:val="0"/>
        </w:rPr>
        <w:t>р</w:t>
      </w:r>
      <w:r w:rsidRPr="0024080D">
        <w:t>.</w:t>
      </w:r>
      <w:bookmarkEnd w:id="27"/>
    </w:p>
    <w:p w14:paraId="1EF58DCF" w14:textId="77777777" w:rsidR="004B3AED" w:rsidRPr="0024080D" w:rsidRDefault="004B3AED" w:rsidP="004B3AED">
      <w:pPr>
        <w:pStyle w:val="2"/>
      </w:pPr>
      <w:bookmarkStart w:id="28" w:name="_Toc88088834"/>
      <w:bookmarkStart w:id="29" w:name="_Toc89149113"/>
      <w:r w:rsidRPr="0024080D">
        <w:t>Основні епідемічні показники</w:t>
      </w:r>
      <w:bookmarkEnd w:id="28"/>
      <w:bookmarkEnd w:id="29"/>
      <w:r w:rsidRPr="0024080D">
        <w:t xml:space="preserve"> </w:t>
      </w:r>
    </w:p>
    <w:p w14:paraId="4D4E06E1" w14:textId="77777777" w:rsidR="004B3AED" w:rsidRPr="0024080D" w:rsidRDefault="004B3AED" w:rsidP="004B3AED">
      <w:pPr>
        <w:pStyle w:val="3"/>
      </w:pPr>
      <w:bookmarkStart w:id="30" w:name="_Toc88088835"/>
      <w:bookmarkStart w:id="31" w:name="_Toc89149114"/>
      <w:bookmarkStart w:id="32" w:name="_Hlk74756388"/>
      <w:r w:rsidRPr="0024080D">
        <w:t xml:space="preserve">Захворюваність на </w:t>
      </w:r>
      <w:bookmarkEnd w:id="30"/>
      <w:r w:rsidRPr="0024080D">
        <w:t>ТБ</w:t>
      </w:r>
      <w:bookmarkEnd w:id="31"/>
    </w:p>
    <w:bookmarkEnd w:id="32"/>
    <w:p w14:paraId="456AC6EC" w14:textId="542884D8"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За даними поточного епіднагляду, рівень захворюваності на ТБ у 202</w:t>
      </w:r>
      <w:r w:rsidR="00CB285D">
        <w:rPr>
          <w:rFonts w:cs="Times New Roman"/>
          <w:szCs w:val="28"/>
        </w:rPr>
        <w:t>1</w:t>
      </w:r>
      <w:r w:rsidRPr="0024080D">
        <w:rPr>
          <w:rFonts w:cs="Times New Roman"/>
          <w:szCs w:val="28"/>
        </w:rPr>
        <w:t xml:space="preserve"> р. становить </w:t>
      </w:r>
      <w:r w:rsidR="00D4027A">
        <w:rPr>
          <w:rFonts w:cs="Times New Roman"/>
          <w:szCs w:val="28"/>
        </w:rPr>
        <w:t>44,0</w:t>
      </w:r>
      <w:r w:rsidRPr="0024080D">
        <w:rPr>
          <w:rFonts w:cs="Times New Roman"/>
          <w:szCs w:val="28"/>
        </w:rPr>
        <w:t xml:space="preserve"> на 100 000 населення. </w:t>
      </w:r>
    </w:p>
    <w:p w14:paraId="2C5E15C4" w14:textId="4BDF64BD" w:rsidR="004B3AED" w:rsidRPr="0024080D" w:rsidRDefault="004B3AED" w:rsidP="004B3AED">
      <w:pPr>
        <w:widowControl w:val="0"/>
        <w:pBdr>
          <w:top w:val="nil"/>
          <w:left w:val="nil"/>
          <w:bottom w:val="nil"/>
          <w:right w:val="nil"/>
          <w:between w:val="nil"/>
        </w:pBdr>
        <w:ind w:firstLine="0"/>
        <w:jc w:val="center"/>
        <w:rPr>
          <w:rFonts w:cs="Times New Roman"/>
          <w:szCs w:val="28"/>
        </w:rPr>
      </w:pPr>
    </w:p>
    <w:p w14:paraId="31214D5D" w14:textId="77777777" w:rsidR="004B3AED" w:rsidRPr="0024080D" w:rsidRDefault="004B3AED" w:rsidP="004B3AED">
      <w:pPr>
        <w:widowControl w:val="0"/>
        <w:pBdr>
          <w:top w:val="nil"/>
          <w:left w:val="nil"/>
          <w:bottom w:val="nil"/>
          <w:right w:val="nil"/>
          <w:between w:val="nil"/>
        </w:pBdr>
        <w:ind w:firstLine="0"/>
        <w:rPr>
          <w:rFonts w:cs="Times New Roman"/>
          <w:szCs w:val="28"/>
        </w:rPr>
      </w:pPr>
    </w:p>
    <w:p w14:paraId="65A1B4AF" w14:textId="2C539D42" w:rsidR="004B3AED" w:rsidRPr="0024080D" w:rsidRDefault="0046225E" w:rsidP="004B3AED">
      <w:pPr>
        <w:widowControl w:val="0"/>
        <w:pBdr>
          <w:top w:val="nil"/>
          <w:left w:val="nil"/>
          <w:bottom w:val="nil"/>
          <w:right w:val="nil"/>
          <w:between w:val="nil"/>
        </w:pBdr>
        <w:ind w:firstLine="0"/>
        <w:jc w:val="center"/>
        <w:rPr>
          <w:rFonts w:cs="Times New Roman"/>
          <w:szCs w:val="28"/>
        </w:rPr>
      </w:pPr>
      <w:r w:rsidRPr="0046225E">
        <w:rPr>
          <w:rFonts w:cs="Times New Roman"/>
          <w:noProof/>
          <w:szCs w:val="28"/>
        </w:rPr>
        <w:drawing>
          <wp:inline distT="0" distB="0" distL="0" distR="0" wp14:anchorId="1EC4BCC7" wp14:editId="605DCBDD">
            <wp:extent cx="5940425" cy="2458085"/>
            <wp:effectExtent l="0" t="0" r="3175" b="0"/>
            <wp:docPr id="120" name="Діаграма 120">
              <a:extLst xmlns:a="http://schemas.openxmlformats.org/drawingml/2006/main">
                <a:ext uri="{FF2B5EF4-FFF2-40B4-BE49-F238E27FC236}">
                  <a16:creationId xmlns:a16="http://schemas.microsoft.com/office/drawing/2014/main" id="{80E5C3EA-BBE9-47FA-B45E-CD1B7429E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9D9DDB" w14:textId="00BCA638" w:rsidR="004B3AED" w:rsidRPr="0024080D" w:rsidRDefault="004B3AED" w:rsidP="006B1BF8">
      <w:pPr>
        <w:widowControl w:val="0"/>
        <w:pBdr>
          <w:top w:val="nil"/>
          <w:left w:val="nil"/>
          <w:bottom w:val="nil"/>
          <w:right w:val="nil"/>
          <w:between w:val="nil"/>
        </w:pBdr>
        <w:tabs>
          <w:tab w:val="left" w:pos="709"/>
          <w:tab w:val="left" w:pos="8647"/>
        </w:tabs>
        <w:spacing w:after="120"/>
        <w:ind w:firstLine="0"/>
        <w:jc w:val="center"/>
        <w:rPr>
          <w:rFonts w:cs="Times New Roman"/>
          <w:b/>
          <w:szCs w:val="28"/>
        </w:rPr>
      </w:pPr>
      <w:r w:rsidRPr="0024080D">
        <w:rPr>
          <w:rFonts w:cs="Times New Roman"/>
          <w:b/>
          <w:szCs w:val="28"/>
        </w:rPr>
        <w:t>Рисунок </w:t>
      </w:r>
      <w:r w:rsidR="00E15F75">
        <w:rPr>
          <w:rFonts w:cs="Times New Roman"/>
          <w:b/>
          <w:szCs w:val="28"/>
        </w:rPr>
        <w:t>2.1</w:t>
      </w:r>
      <w:r w:rsidRPr="0024080D">
        <w:rPr>
          <w:rFonts w:cs="Times New Roman"/>
          <w:b/>
          <w:szCs w:val="28"/>
        </w:rPr>
        <w:t xml:space="preserve">. Динаміка захворюваності на ТБ </w:t>
      </w:r>
      <w:r w:rsidRPr="0024080D">
        <w:rPr>
          <w:rFonts w:cs="Times New Roman"/>
          <w:b/>
          <w:szCs w:val="28"/>
        </w:rPr>
        <w:br/>
        <w:t>(нові випадки та рецидиви) за період 2015–202</w:t>
      </w:r>
      <w:r w:rsidR="000C1BEF">
        <w:rPr>
          <w:rFonts w:cs="Times New Roman"/>
          <w:b/>
          <w:szCs w:val="28"/>
        </w:rPr>
        <w:t>1</w:t>
      </w:r>
      <w:r w:rsidRPr="0024080D">
        <w:rPr>
          <w:rFonts w:cs="Times New Roman"/>
          <w:b/>
          <w:szCs w:val="28"/>
        </w:rPr>
        <w:t xml:space="preserve"> рр. </w:t>
      </w:r>
      <w:r w:rsidRPr="0024080D">
        <w:rPr>
          <w:rFonts w:cs="Times New Roman"/>
          <w:b/>
          <w:szCs w:val="28"/>
        </w:rPr>
        <w:br/>
        <w:t>(абсолютна кількість та на 100 000 населення)</w:t>
      </w:r>
    </w:p>
    <w:p w14:paraId="44BD8CD6" w14:textId="0D43BA08" w:rsidR="004B3AED" w:rsidRPr="0024080D" w:rsidRDefault="004B3AED" w:rsidP="00916C8D">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В </w:t>
      </w:r>
      <w:r w:rsidR="00160050">
        <w:rPr>
          <w:rFonts w:cs="Times New Roman"/>
          <w:szCs w:val="28"/>
        </w:rPr>
        <w:t>16</w:t>
      </w:r>
      <w:r w:rsidRPr="0024080D">
        <w:rPr>
          <w:rFonts w:cs="Times New Roman"/>
          <w:szCs w:val="28"/>
        </w:rPr>
        <w:t xml:space="preserve"> регіонах України </w:t>
      </w:r>
      <w:r w:rsidR="00160050">
        <w:rPr>
          <w:rFonts w:cs="Times New Roman"/>
          <w:szCs w:val="28"/>
        </w:rPr>
        <w:t xml:space="preserve">з 25 </w:t>
      </w:r>
      <w:r w:rsidRPr="0024080D">
        <w:rPr>
          <w:rFonts w:cs="Times New Roman"/>
          <w:szCs w:val="28"/>
        </w:rPr>
        <w:t xml:space="preserve">спостерігається </w:t>
      </w:r>
      <w:r w:rsidR="00160050">
        <w:rPr>
          <w:rFonts w:cs="Times New Roman"/>
          <w:szCs w:val="28"/>
        </w:rPr>
        <w:t>зростання</w:t>
      </w:r>
      <w:r w:rsidRPr="0024080D">
        <w:rPr>
          <w:rFonts w:cs="Times New Roman"/>
          <w:szCs w:val="28"/>
        </w:rPr>
        <w:t xml:space="preserve"> рівня захворюваності на ТБ. Найвищі показники захворюваності на ТБ зареєстровано в Одеській (</w:t>
      </w:r>
      <w:r w:rsidR="00160050">
        <w:rPr>
          <w:rFonts w:cs="Times New Roman"/>
          <w:szCs w:val="28"/>
        </w:rPr>
        <w:t>105,9</w:t>
      </w:r>
      <w:r w:rsidRPr="0024080D">
        <w:rPr>
          <w:rFonts w:cs="Times New Roman"/>
          <w:szCs w:val="28"/>
        </w:rPr>
        <w:t>), Дніпропетровській (</w:t>
      </w:r>
      <w:r w:rsidR="00160050">
        <w:rPr>
          <w:rFonts w:cs="Times New Roman"/>
          <w:szCs w:val="28"/>
        </w:rPr>
        <w:t>67,7</w:t>
      </w:r>
      <w:r w:rsidRPr="0024080D">
        <w:rPr>
          <w:rFonts w:cs="Times New Roman"/>
          <w:szCs w:val="28"/>
        </w:rPr>
        <w:t xml:space="preserve">), </w:t>
      </w:r>
      <w:r w:rsidR="00160050">
        <w:rPr>
          <w:rFonts w:cs="Times New Roman"/>
          <w:szCs w:val="28"/>
        </w:rPr>
        <w:t xml:space="preserve">Волинській (59,9), </w:t>
      </w:r>
      <w:r w:rsidRPr="0024080D">
        <w:rPr>
          <w:rFonts w:cs="Times New Roman"/>
          <w:szCs w:val="28"/>
        </w:rPr>
        <w:t>Херсонській (</w:t>
      </w:r>
      <w:r w:rsidR="00160050">
        <w:rPr>
          <w:rFonts w:cs="Times New Roman"/>
          <w:szCs w:val="28"/>
        </w:rPr>
        <w:t>53,8</w:t>
      </w:r>
      <w:r w:rsidRPr="0024080D">
        <w:rPr>
          <w:rFonts w:cs="Times New Roman"/>
          <w:szCs w:val="28"/>
        </w:rPr>
        <w:t xml:space="preserve">) та </w:t>
      </w:r>
      <w:r w:rsidR="00160050">
        <w:rPr>
          <w:rFonts w:cs="Times New Roman"/>
          <w:szCs w:val="28"/>
        </w:rPr>
        <w:t xml:space="preserve">Миколаївській </w:t>
      </w:r>
      <w:r w:rsidRPr="0024080D">
        <w:rPr>
          <w:rFonts w:cs="Times New Roman"/>
          <w:szCs w:val="28"/>
        </w:rPr>
        <w:t xml:space="preserve"> (</w:t>
      </w:r>
      <w:r w:rsidR="00160050">
        <w:rPr>
          <w:rFonts w:cs="Times New Roman"/>
          <w:szCs w:val="28"/>
        </w:rPr>
        <w:t>53,5</w:t>
      </w:r>
      <w:r w:rsidRPr="0024080D">
        <w:rPr>
          <w:rFonts w:cs="Times New Roman"/>
          <w:szCs w:val="28"/>
        </w:rPr>
        <w:t xml:space="preserve">) областях; </w:t>
      </w:r>
      <w:r w:rsidR="00160050">
        <w:rPr>
          <w:rFonts w:cs="Times New Roman"/>
          <w:szCs w:val="28"/>
        </w:rPr>
        <w:t>най</w:t>
      </w:r>
      <w:r w:rsidRPr="0024080D">
        <w:rPr>
          <w:rFonts w:cs="Times New Roman"/>
          <w:szCs w:val="28"/>
        </w:rPr>
        <w:t>нижчі показники – у Чернівецькій (</w:t>
      </w:r>
      <w:r w:rsidR="00160050">
        <w:rPr>
          <w:rFonts w:cs="Times New Roman"/>
          <w:szCs w:val="28"/>
        </w:rPr>
        <w:t>25,3</w:t>
      </w:r>
      <w:r w:rsidRPr="0024080D">
        <w:rPr>
          <w:rFonts w:cs="Times New Roman"/>
          <w:szCs w:val="28"/>
        </w:rPr>
        <w:t>), Тернопільській (</w:t>
      </w:r>
      <w:r w:rsidR="00160050">
        <w:rPr>
          <w:rFonts w:cs="Times New Roman"/>
          <w:szCs w:val="28"/>
        </w:rPr>
        <w:t>24,4</w:t>
      </w:r>
      <w:r w:rsidRPr="0024080D">
        <w:rPr>
          <w:rFonts w:cs="Times New Roman"/>
          <w:szCs w:val="28"/>
        </w:rPr>
        <w:t>)</w:t>
      </w:r>
      <w:r w:rsidR="00160050">
        <w:rPr>
          <w:rFonts w:cs="Times New Roman"/>
          <w:szCs w:val="28"/>
        </w:rPr>
        <w:t>, Вінницькій (26,5)</w:t>
      </w:r>
      <w:r w:rsidRPr="0024080D">
        <w:rPr>
          <w:rFonts w:cs="Times New Roman"/>
          <w:szCs w:val="28"/>
        </w:rPr>
        <w:t xml:space="preserve"> областях та у м. Києві (28,</w:t>
      </w:r>
      <w:r w:rsidR="00160050">
        <w:rPr>
          <w:rFonts w:cs="Times New Roman"/>
          <w:szCs w:val="28"/>
        </w:rPr>
        <w:t>5</w:t>
      </w:r>
      <w:r w:rsidRPr="0024080D">
        <w:rPr>
          <w:rFonts w:cs="Times New Roman"/>
          <w:szCs w:val="28"/>
        </w:rPr>
        <w:t xml:space="preserve">). Для реалізації Стратегії ліквідації ТБ Україна повинна досягнути до 2035 р. зниження показника захворюваності на ТБ на 90% порівняно до такого у 2015 р. (з 70,5 до 7,1 </w:t>
      </w:r>
      <w:r w:rsidR="00916C8D" w:rsidRPr="0024080D">
        <w:rPr>
          <w:rFonts w:cs="Times New Roman"/>
          <w:szCs w:val="28"/>
        </w:rPr>
        <w:br/>
      </w:r>
      <w:r w:rsidRPr="0024080D">
        <w:rPr>
          <w:rFonts w:cs="Times New Roman"/>
          <w:szCs w:val="28"/>
        </w:rPr>
        <w:t xml:space="preserve">на 100 000 населення). </w:t>
      </w:r>
    </w:p>
    <w:p w14:paraId="36D0C303" w14:textId="77777777" w:rsidR="004B3AED" w:rsidRPr="0024080D" w:rsidRDefault="004B3AED" w:rsidP="00916C8D">
      <w:pPr>
        <w:pStyle w:val="3"/>
        <w:spacing w:line="252" w:lineRule="auto"/>
      </w:pPr>
      <w:bookmarkStart w:id="33" w:name="_Toc88088836"/>
      <w:bookmarkStart w:id="34" w:name="_Toc89149115"/>
      <w:r w:rsidRPr="0024080D">
        <w:t>Реєстрація випадків</w:t>
      </w:r>
      <w:bookmarkEnd w:id="33"/>
      <w:bookmarkEnd w:id="34"/>
    </w:p>
    <w:p w14:paraId="01D618B2" w14:textId="77777777" w:rsidR="004B3AED" w:rsidRPr="0024080D" w:rsidRDefault="004B3AED" w:rsidP="00916C8D">
      <w:pPr>
        <w:spacing w:after="120" w:line="252" w:lineRule="auto"/>
        <w:rPr>
          <w:rFonts w:cs="Times New Roman"/>
          <w:szCs w:val="28"/>
        </w:rPr>
      </w:pPr>
      <w:r w:rsidRPr="0024080D">
        <w:rPr>
          <w:rFonts w:cs="Times New Roman"/>
          <w:szCs w:val="28"/>
        </w:rPr>
        <w:t xml:space="preserve">В Україні кількість зареєстрованих випадків ТБ з 2005 р. повільно знижується. Підвищення показника реєстрації випадків у 2012 р. пояснюється переходом на переглянуту систему визначень ВООЗ 2013 р. За останні п’ять років рівень реєстрації випадків ТБ знижувався на 3,9% щорічно, майже паралельно з оціночним показником захворюваності на ТБ. </w:t>
      </w:r>
    </w:p>
    <w:p w14:paraId="0D7E0689" w14:textId="19AD7CBC" w:rsidR="004B3AED" w:rsidRPr="0024080D" w:rsidRDefault="00C713AD" w:rsidP="00916C8D">
      <w:pPr>
        <w:widowControl w:val="0"/>
        <w:pBdr>
          <w:top w:val="nil"/>
          <w:left w:val="nil"/>
          <w:bottom w:val="nil"/>
          <w:right w:val="nil"/>
          <w:between w:val="nil"/>
        </w:pBdr>
        <w:spacing w:line="252" w:lineRule="auto"/>
        <w:ind w:firstLine="0"/>
        <w:jc w:val="center"/>
        <w:rPr>
          <w:rFonts w:cs="Times New Roman"/>
          <w:szCs w:val="28"/>
        </w:rPr>
      </w:pPr>
      <w:r w:rsidRPr="00C713AD">
        <w:rPr>
          <w:rFonts w:cs="Times New Roman"/>
          <w:noProof/>
          <w:szCs w:val="28"/>
        </w:rPr>
        <w:lastRenderedPageBreak/>
        <w:drawing>
          <wp:inline distT="0" distB="0" distL="0" distR="0" wp14:anchorId="2F96E9FA" wp14:editId="68C92B50">
            <wp:extent cx="5940425" cy="2458085"/>
            <wp:effectExtent l="0" t="0" r="0" b="0"/>
            <wp:docPr id="53" name="Діаграма 53">
              <a:extLst xmlns:a="http://schemas.openxmlformats.org/drawingml/2006/main">
                <a:ext uri="{FF2B5EF4-FFF2-40B4-BE49-F238E27FC236}">
                  <a16:creationId xmlns:a16="http://schemas.microsoft.com/office/drawing/2014/main" id="{3F61B081-C9A5-447A-8834-82F20C20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CD6D25" w14:textId="6CD8D3EE" w:rsidR="004B3AED" w:rsidRPr="0024080D" w:rsidRDefault="004B3AED" w:rsidP="00916C8D">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E15F75">
        <w:rPr>
          <w:rFonts w:cs="Times New Roman"/>
          <w:b/>
          <w:szCs w:val="28"/>
        </w:rPr>
        <w:t>2.2</w:t>
      </w:r>
      <w:r w:rsidRPr="0024080D">
        <w:rPr>
          <w:rFonts w:cs="Times New Roman"/>
          <w:b/>
          <w:szCs w:val="28"/>
        </w:rPr>
        <w:t>. Рівень реєстрації нових випадків ТБ на 100 000 населення</w:t>
      </w:r>
      <w:r w:rsidRPr="0024080D">
        <w:rPr>
          <w:rFonts w:cs="Times New Roman"/>
          <w:b/>
          <w:szCs w:val="28"/>
        </w:rPr>
        <w:br/>
        <w:t>за результатами лабораторного підтвердження, 201</w:t>
      </w:r>
      <w:r w:rsidR="00C713AD">
        <w:rPr>
          <w:rFonts w:cs="Times New Roman"/>
          <w:b/>
          <w:szCs w:val="28"/>
        </w:rPr>
        <w:t>5</w:t>
      </w:r>
      <w:r w:rsidRPr="0024080D">
        <w:rPr>
          <w:rFonts w:cs="Times New Roman"/>
          <w:b/>
          <w:szCs w:val="28"/>
        </w:rPr>
        <w:t>–202</w:t>
      </w:r>
      <w:r w:rsidR="00C713AD">
        <w:rPr>
          <w:rFonts w:cs="Times New Roman"/>
          <w:b/>
          <w:szCs w:val="28"/>
        </w:rPr>
        <w:t>1</w:t>
      </w:r>
      <w:r w:rsidRPr="0024080D">
        <w:rPr>
          <w:rFonts w:cs="Times New Roman"/>
          <w:b/>
          <w:szCs w:val="28"/>
        </w:rPr>
        <w:t> рр.</w:t>
      </w:r>
    </w:p>
    <w:p w14:paraId="01E0F7D7" w14:textId="5535A174" w:rsidR="004B3AED" w:rsidRPr="0024080D" w:rsidRDefault="004B3AED" w:rsidP="00916C8D">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За даними рисунку 3.3, показники реєстрації, </w:t>
      </w:r>
      <w:proofErr w:type="spellStart"/>
      <w:r w:rsidRPr="0024080D">
        <w:rPr>
          <w:rFonts w:cs="Times New Roman"/>
          <w:szCs w:val="28"/>
        </w:rPr>
        <w:t>дезагреговані</w:t>
      </w:r>
      <w:proofErr w:type="spellEnd"/>
      <w:r w:rsidRPr="0024080D">
        <w:rPr>
          <w:rFonts w:cs="Times New Roman"/>
          <w:szCs w:val="28"/>
        </w:rPr>
        <w:t xml:space="preserve"> за результатами бактеріологічного підтвердження, йдуть подібною траєкторією зниження, але з різною швидкістю: найшвидше зниження відзначено серед клінічно </w:t>
      </w:r>
      <w:proofErr w:type="spellStart"/>
      <w:r w:rsidRPr="0024080D">
        <w:rPr>
          <w:rFonts w:cs="Times New Roman"/>
          <w:szCs w:val="28"/>
        </w:rPr>
        <w:t>діагностованих</w:t>
      </w:r>
      <w:proofErr w:type="spellEnd"/>
      <w:r w:rsidRPr="0024080D">
        <w:rPr>
          <w:rFonts w:cs="Times New Roman"/>
          <w:szCs w:val="28"/>
        </w:rPr>
        <w:t xml:space="preserve"> нових випадків легеневого ТБ, кількість яких в середньому зменшувалася на 8,6% щорічно з 2014 по 2020 рр.</w:t>
      </w:r>
      <w:r w:rsidR="007D11DE">
        <w:rPr>
          <w:rFonts w:cs="Times New Roman"/>
          <w:szCs w:val="28"/>
        </w:rPr>
        <w:t xml:space="preserve"> У 2021 році спостерігається незначне зростання усіх типів нових випадків ТБ.</w:t>
      </w:r>
      <w:r w:rsidRPr="0024080D">
        <w:rPr>
          <w:rFonts w:cs="Times New Roman"/>
          <w:szCs w:val="28"/>
        </w:rPr>
        <w:t xml:space="preserve"> </w:t>
      </w:r>
    </w:p>
    <w:p w14:paraId="2E90ACF4" w14:textId="3F282B2C" w:rsidR="004B3AED" w:rsidRPr="0024080D" w:rsidRDefault="004B3AED" w:rsidP="00916C8D">
      <w:pPr>
        <w:widowControl w:val="0"/>
        <w:pBdr>
          <w:top w:val="nil"/>
          <w:left w:val="nil"/>
          <w:bottom w:val="nil"/>
          <w:right w:val="nil"/>
          <w:between w:val="nil"/>
        </w:pBdr>
        <w:spacing w:line="252" w:lineRule="auto"/>
        <w:rPr>
          <w:rFonts w:cs="Times New Roman"/>
          <w:szCs w:val="28"/>
        </w:rPr>
      </w:pPr>
      <w:r w:rsidRPr="00731151">
        <w:rPr>
          <w:rFonts w:cs="Times New Roman"/>
          <w:szCs w:val="28"/>
        </w:rPr>
        <w:t>На регіональному рівні показник реєстрації ТБ у 202</w:t>
      </w:r>
      <w:r w:rsidR="00956549" w:rsidRPr="00731151">
        <w:rPr>
          <w:rFonts w:cs="Times New Roman"/>
          <w:szCs w:val="28"/>
        </w:rPr>
        <w:t>1</w:t>
      </w:r>
      <w:r w:rsidRPr="00731151">
        <w:rPr>
          <w:rFonts w:cs="Times New Roman"/>
          <w:szCs w:val="28"/>
        </w:rPr>
        <w:t> р. є найвищим в Одеській області (</w:t>
      </w:r>
      <w:r w:rsidR="00956549" w:rsidRPr="00731151">
        <w:rPr>
          <w:rFonts w:cs="Times New Roman"/>
          <w:szCs w:val="28"/>
        </w:rPr>
        <w:t>105,9</w:t>
      </w:r>
      <w:r w:rsidRPr="00731151">
        <w:rPr>
          <w:rFonts w:cs="Times New Roman"/>
          <w:szCs w:val="28"/>
        </w:rPr>
        <w:t xml:space="preserve"> на 100 000 населення) і найнижчим у Тернопільській області (</w:t>
      </w:r>
      <w:r w:rsidR="00956549" w:rsidRPr="00731151">
        <w:rPr>
          <w:rFonts w:cs="Times New Roman"/>
          <w:szCs w:val="28"/>
        </w:rPr>
        <w:t>24,4</w:t>
      </w:r>
      <w:r w:rsidRPr="00731151">
        <w:rPr>
          <w:rFonts w:cs="Times New Roman"/>
          <w:szCs w:val="28"/>
        </w:rPr>
        <w:t xml:space="preserve"> на 100 000 населення) (рисунок 3.4).</w:t>
      </w:r>
      <w:r w:rsidRPr="0024080D">
        <w:rPr>
          <w:rFonts w:cs="Times New Roman"/>
          <w:szCs w:val="28"/>
        </w:rPr>
        <w:t xml:space="preserve"> </w:t>
      </w:r>
    </w:p>
    <w:p w14:paraId="7F47C8CF" w14:textId="65E70A82" w:rsidR="004B3AED" w:rsidRPr="0024080D" w:rsidRDefault="001D42A0" w:rsidP="004B3AED">
      <w:pPr>
        <w:widowControl w:val="0"/>
        <w:pBdr>
          <w:top w:val="nil"/>
          <w:left w:val="nil"/>
          <w:bottom w:val="nil"/>
          <w:right w:val="nil"/>
          <w:between w:val="nil"/>
        </w:pBdr>
        <w:ind w:firstLine="0"/>
        <w:jc w:val="center"/>
        <w:rPr>
          <w:rFonts w:cs="Times New Roman"/>
          <w:szCs w:val="28"/>
        </w:rPr>
      </w:pPr>
      <w:r w:rsidRPr="001D42A0">
        <w:rPr>
          <w:rFonts w:cs="Times New Roman"/>
          <w:noProof/>
          <w:szCs w:val="28"/>
        </w:rPr>
        <w:drawing>
          <wp:inline distT="0" distB="0" distL="0" distR="0" wp14:anchorId="6B8B1BDA" wp14:editId="32B8FD2C">
            <wp:extent cx="5940425" cy="3781425"/>
            <wp:effectExtent l="0" t="0" r="0" b="0"/>
            <wp:docPr id="87" name="Діаграма 87">
              <a:extLst xmlns:a="http://schemas.openxmlformats.org/drawingml/2006/main">
                <a:ext uri="{FF2B5EF4-FFF2-40B4-BE49-F238E27FC236}">
                  <a16:creationId xmlns:a16="http://schemas.microsoft.com/office/drawing/2014/main" id="{7E58179A-52AA-41AD-9D84-701CE300D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EF9891" w14:textId="237BF3BC"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E15F75">
        <w:rPr>
          <w:rFonts w:cs="Times New Roman"/>
          <w:b/>
          <w:szCs w:val="28"/>
        </w:rPr>
        <w:t>2.3</w:t>
      </w:r>
      <w:r w:rsidRPr="0024080D">
        <w:rPr>
          <w:rFonts w:cs="Times New Roman"/>
          <w:b/>
          <w:szCs w:val="28"/>
        </w:rPr>
        <w:t>. Кількість нових випадків і рецидивів ТБ на 100 000 населення за географічними регіонами</w:t>
      </w:r>
    </w:p>
    <w:p w14:paraId="62DA1268" w14:textId="77777777" w:rsidR="001D42A0" w:rsidRDefault="001D42A0" w:rsidP="004B3AED">
      <w:pPr>
        <w:widowControl w:val="0"/>
        <w:pBdr>
          <w:top w:val="nil"/>
          <w:left w:val="nil"/>
          <w:bottom w:val="nil"/>
          <w:right w:val="nil"/>
          <w:between w:val="nil"/>
        </w:pBdr>
        <w:spacing w:after="120"/>
        <w:rPr>
          <w:rFonts w:cs="Times New Roman"/>
          <w:szCs w:val="28"/>
        </w:rPr>
      </w:pPr>
    </w:p>
    <w:p w14:paraId="25BCFE1F" w14:textId="38387F61" w:rsidR="00064F3E"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На рисунку 3.5 наведено криві зниження показників захворюваності на ТБ на 100 000 населення у період з 201</w:t>
      </w:r>
      <w:r w:rsidR="00947BA8">
        <w:rPr>
          <w:rFonts w:cs="Times New Roman"/>
          <w:szCs w:val="28"/>
        </w:rPr>
        <w:t>6</w:t>
      </w:r>
      <w:r w:rsidRPr="0024080D">
        <w:rPr>
          <w:rFonts w:cs="Times New Roman"/>
          <w:szCs w:val="28"/>
        </w:rPr>
        <w:t xml:space="preserve"> по 202</w:t>
      </w:r>
      <w:r w:rsidR="00947BA8">
        <w:rPr>
          <w:rFonts w:cs="Times New Roman"/>
          <w:szCs w:val="28"/>
        </w:rPr>
        <w:t>1</w:t>
      </w:r>
      <w:r w:rsidRPr="0024080D">
        <w:rPr>
          <w:rFonts w:cs="Times New Roman"/>
          <w:szCs w:val="28"/>
        </w:rPr>
        <w:t xml:space="preserve"> рр. Тенденція реєстрації ТБ в усіх областях є послідовною, проте з різними темпами змін. За останні п’ять років найшвидший спад відзначено у </w:t>
      </w:r>
      <w:r w:rsidR="001021BF">
        <w:rPr>
          <w:rFonts w:cs="Times New Roman"/>
          <w:szCs w:val="28"/>
        </w:rPr>
        <w:t xml:space="preserve">Чернівецькій області – 12,0% річних змін, </w:t>
      </w:r>
      <w:r w:rsidRPr="0024080D">
        <w:rPr>
          <w:rFonts w:cs="Times New Roman"/>
          <w:szCs w:val="28"/>
        </w:rPr>
        <w:t xml:space="preserve">Тернопільській області – </w:t>
      </w:r>
      <w:r w:rsidR="001021BF">
        <w:rPr>
          <w:rFonts w:cs="Times New Roman"/>
          <w:szCs w:val="28"/>
        </w:rPr>
        <w:t>11,5</w:t>
      </w:r>
      <w:r w:rsidRPr="0024080D">
        <w:rPr>
          <w:rFonts w:cs="Times New Roman"/>
          <w:szCs w:val="28"/>
        </w:rPr>
        <w:t xml:space="preserve">%, </w:t>
      </w:r>
      <w:r w:rsidR="001021BF">
        <w:rPr>
          <w:rFonts w:cs="Times New Roman"/>
          <w:szCs w:val="28"/>
        </w:rPr>
        <w:t xml:space="preserve">Вінницькій – 11,4%, </w:t>
      </w:r>
      <w:r w:rsidRPr="0024080D">
        <w:rPr>
          <w:rFonts w:cs="Times New Roman"/>
          <w:szCs w:val="28"/>
        </w:rPr>
        <w:t xml:space="preserve">Івано-Франківській – </w:t>
      </w:r>
      <w:r w:rsidR="001021BF">
        <w:rPr>
          <w:rFonts w:cs="Times New Roman"/>
          <w:szCs w:val="28"/>
        </w:rPr>
        <w:t>10,9</w:t>
      </w:r>
      <w:r w:rsidRPr="0024080D">
        <w:rPr>
          <w:rFonts w:cs="Times New Roman"/>
          <w:szCs w:val="28"/>
        </w:rPr>
        <w:t xml:space="preserve">%, </w:t>
      </w:r>
      <w:r w:rsidR="001021BF">
        <w:rPr>
          <w:rFonts w:cs="Times New Roman"/>
          <w:szCs w:val="28"/>
        </w:rPr>
        <w:t>Хмельницькій – 10,5%</w:t>
      </w:r>
      <w:r w:rsidRPr="0024080D">
        <w:rPr>
          <w:rFonts w:cs="Times New Roman"/>
          <w:szCs w:val="28"/>
        </w:rPr>
        <w:t xml:space="preserve"> та у м. Києві – </w:t>
      </w:r>
      <w:r w:rsidR="001021BF">
        <w:rPr>
          <w:rFonts w:cs="Times New Roman"/>
          <w:szCs w:val="28"/>
        </w:rPr>
        <w:t>10,1</w:t>
      </w:r>
      <w:r w:rsidRPr="0024080D">
        <w:rPr>
          <w:rFonts w:cs="Times New Roman"/>
          <w:szCs w:val="28"/>
        </w:rPr>
        <w:t xml:space="preserve">%. </w:t>
      </w:r>
    </w:p>
    <w:p w14:paraId="3F789FFD" w14:textId="77777777" w:rsidR="00064F3E" w:rsidRPr="0024080D" w:rsidRDefault="00064F3E">
      <w:pPr>
        <w:spacing w:line="276" w:lineRule="auto"/>
        <w:ind w:firstLine="0"/>
        <w:jc w:val="left"/>
        <w:rPr>
          <w:rFonts w:cs="Times New Roman"/>
          <w:szCs w:val="28"/>
        </w:rPr>
      </w:pPr>
      <w:r w:rsidRPr="0024080D">
        <w:rPr>
          <w:rFonts w:cs="Times New Roman"/>
          <w:szCs w:val="28"/>
        </w:rPr>
        <w:br w:type="page"/>
      </w:r>
    </w:p>
    <w:tbl>
      <w:tblPr>
        <w:tblStyle w:val="a9"/>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5"/>
        <w:gridCol w:w="1893"/>
        <w:gridCol w:w="1920"/>
        <w:gridCol w:w="1920"/>
        <w:gridCol w:w="1933"/>
      </w:tblGrid>
      <w:tr w:rsidR="006C2F7D" w:rsidRPr="0024080D" w14:paraId="42116A4B" w14:textId="77777777" w:rsidTr="006317BA">
        <w:trPr>
          <w:jc w:val="center"/>
        </w:trPr>
        <w:tc>
          <w:tcPr>
            <w:tcW w:w="1945" w:type="dxa"/>
          </w:tcPr>
          <w:p w14:paraId="5E6DA016" w14:textId="04309EB4" w:rsidR="004B3AED" w:rsidRPr="0024080D" w:rsidRDefault="008E01AD" w:rsidP="004B3AED">
            <w:pPr>
              <w:ind w:firstLine="0"/>
              <w:rPr>
                <w:szCs w:val="28"/>
                <w:lang w:val="uk-UA"/>
              </w:rPr>
            </w:pPr>
            <w:r w:rsidRPr="008E01AD">
              <w:rPr>
                <w:noProof/>
                <w:szCs w:val="28"/>
              </w:rPr>
              <w:lastRenderedPageBreak/>
              <w:drawing>
                <wp:inline distT="0" distB="0" distL="0" distR="0" wp14:anchorId="58450048" wp14:editId="33DF8632">
                  <wp:extent cx="1171575" cy="1803400"/>
                  <wp:effectExtent l="0" t="0" r="0" b="0"/>
                  <wp:docPr id="121" name="Діаграма 121">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919" w:type="dxa"/>
          </w:tcPr>
          <w:p w14:paraId="2EA34801" w14:textId="2CF6487D" w:rsidR="004B3AED" w:rsidRPr="0024080D" w:rsidRDefault="008E01AD" w:rsidP="004B3AED">
            <w:pPr>
              <w:ind w:firstLine="0"/>
              <w:rPr>
                <w:szCs w:val="28"/>
                <w:lang w:val="uk-UA"/>
              </w:rPr>
            </w:pPr>
            <w:r w:rsidRPr="008E01AD">
              <w:rPr>
                <w:noProof/>
                <w:szCs w:val="28"/>
              </w:rPr>
              <w:drawing>
                <wp:inline distT="0" distB="0" distL="0" distR="0" wp14:anchorId="7F479CBA" wp14:editId="0B4DE282">
                  <wp:extent cx="1171575" cy="1803400"/>
                  <wp:effectExtent l="0" t="0" r="0" b="0"/>
                  <wp:docPr id="122" name="Діаграма 122">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919" w:type="dxa"/>
          </w:tcPr>
          <w:p w14:paraId="490E2A4D" w14:textId="70996EA1" w:rsidR="004B3AED" w:rsidRPr="0024080D" w:rsidRDefault="009165DE" w:rsidP="004B3AED">
            <w:pPr>
              <w:ind w:firstLine="0"/>
              <w:rPr>
                <w:szCs w:val="28"/>
                <w:lang w:val="uk-UA"/>
              </w:rPr>
            </w:pPr>
            <w:r w:rsidRPr="009165DE">
              <w:rPr>
                <w:noProof/>
                <w:szCs w:val="28"/>
              </w:rPr>
              <w:drawing>
                <wp:inline distT="0" distB="0" distL="0" distR="0" wp14:anchorId="493611F8" wp14:editId="305C0524">
                  <wp:extent cx="1209675" cy="1803400"/>
                  <wp:effectExtent l="0" t="0" r="0" b="0"/>
                  <wp:docPr id="123" name="Діаграма 123">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894" w:type="dxa"/>
          </w:tcPr>
          <w:p w14:paraId="3F79A0F1" w14:textId="3D284405" w:rsidR="004B3AED" w:rsidRPr="0024080D" w:rsidRDefault="009165DE" w:rsidP="004B3AED">
            <w:pPr>
              <w:ind w:firstLine="0"/>
              <w:rPr>
                <w:szCs w:val="28"/>
                <w:lang w:val="uk-UA"/>
              </w:rPr>
            </w:pPr>
            <w:r w:rsidRPr="009165DE">
              <w:rPr>
                <w:noProof/>
                <w:szCs w:val="28"/>
              </w:rPr>
              <w:drawing>
                <wp:inline distT="0" distB="0" distL="0" distR="0" wp14:anchorId="4CC642F1" wp14:editId="1CA2758A">
                  <wp:extent cx="1133475" cy="1803400"/>
                  <wp:effectExtent l="0" t="0" r="0" b="0"/>
                  <wp:docPr id="124" name="Діаграма 124">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894" w:type="dxa"/>
          </w:tcPr>
          <w:p w14:paraId="382016A4" w14:textId="1B554535" w:rsidR="004B3AED" w:rsidRPr="0024080D" w:rsidRDefault="009165DE" w:rsidP="004B3AED">
            <w:pPr>
              <w:ind w:firstLine="0"/>
              <w:rPr>
                <w:szCs w:val="28"/>
                <w:lang w:val="uk-UA"/>
              </w:rPr>
            </w:pPr>
            <w:r w:rsidRPr="009165DE">
              <w:rPr>
                <w:noProof/>
                <w:szCs w:val="28"/>
              </w:rPr>
              <w:drawing>
                <wp:inline distT="0" distB="0" distL="0" distR="0" wp14:anchorId="314CCED5" wp14:editId="1E971E43">
                  <wp:extent cx="1167130" cy="1803400"/>
                  <wp:effectExtent l="0" t="0" r="0" b="0"/>
                  <wp:docPr id="125" name="Діаграма 125">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C2F7D" w:rsidRPr="0024080D" w14:paraId="232D3361" w14:textId="77777777" w:rsidTr="006317BA">
        <w:trPr>
          <w:jc w:val="center"/>
        </w:trPr>
        <w:tc>
          <w:tcPr>
            <w:tcW w:w="1945" w:type="dxa"/>
          </w:tcPr>
          <w:p w14:paraId="31279B7C" w14:textId="1A84E325" w:rsidR="004B3AED" w:rsidRPr="0024080D" w:rsidRDefault="001225B1" w:rsidP="004B3AED">
            <w:pPr>
              <w:ind w:firstLine="0"/>
              <w:rPr>
                <w:szCs w:val="28"/>
                <w:lang w:val="uk-UA"/>
              </w:rPr>
            </w:pPr>
            <w:r w:rsidRPr="001225B1">
              <w:rPr>
                <w:noProof/>
                <w:szCs w:val="28"/>
              </w:rPr>
              <w:drawing>
                <wp:inline distT="0" distB="0" distL="0" distR="0" wp14:anchorId="770AC1D4" wp14:editId="4EC3E300">
                  <wp:extent cx="1190625" cy="1743075"/>
                  <wp:effectExtent l="0" t="0" r="0" b="0"/>
                  <wp:docPr id="126" name="Діаграма 126">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1919" w:type="dxa"/>
          </w:tcPr>
          <w:p w14:paraId="5784AE86" w14:textId="36F079D2" w:rsidR="004B3AED" w:rsidRPr="0024080D" w:rsidRDefault="001225B1" w:rsidP="004B3AED">
            <w:pPr>
              <w:ind w:firstLine="0"/>
              <w:rPr>
                <w:szCs w:val="28"/>
                <w:lang w:val="uk-UA"/>
              </w:rPr>
            </w:pPr>
            <w:r w:rsidRPr="001225B1">
              <w:rPr>
                <w:noProof/>
                <w:szCs w:val="28"/>
              </w:rPr>
              <w:drawing>
                <wp:inline distT="0" distB="0" distL="0" distR="0" wp14:anchorId="427E4E79" wp14:editId="21D84702">
                  <wp:extent cx="1171575" cy="1743075"/>
                  <wp:effectExtent l="0" t="0" r="0" b="0"/>
                  <wp:docPr id="127" name="Діаграма 127">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919" w:type="dxa"/>
          </w:tcPr>
          <w:p w14:paraId="182839A7" w14:textId="77414B83" w:rsidR="004B3AED" w:rsidRPr="0024080D" w:rsidRDefault="00E87788" w:rsidP="004B3AED">
            <w:pPr>
              <w:ind w:firstLine="0"/>
              <w:rPr>
                <w:szCs w:val="28"/>
                <w:lang w:val="uk-UA"/>
              </w:rPr>
            </w:pPr>
            <w:r w:rsidRPr="00E87788">
              <w:rPr>
                <w:noProof/>
                <w:szCs w:val="28"/>
              </w:rPr>
              <w:drawing>
                <wp:inline distT="0" distB="0" distL="0" distR="0" wp14:anchorId="1EFAE60A" wp14:editId="7B2BADD2">
                  <wp:extent cx="1171575" cy="1743075"/>
                  <wp:effectExtent l="0" t="0" r="0" b="0"/>
                  <wp:docPr id="128" name="Діаграма 128">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894" w:type="dxa"/>
          </w:tcPr>
          <w:p w14:paraId="5A386F84" w14:textId="440AFC2E" w:rsidR="004B3AED" w:rsidRPr="0024080D" w:rsidRDefault="00E87788" w:rsidP="004B3AED">
            <w:pPr>
              <w:ind w:firstLine="0"/>
              <w:rPr>
                <w:szCs w:val="28"/>
                <w:lang w:val="uk-UA"/>
              </w:rPr>
            </w:pPr>
            <w:r w:rsidRPr="00E87788">
              <w:rPr>
                <w:noProof/>
                <w:szCs w:val="28"/>
              </w:rPr>
              <w:drawing>
                <wp:inline distT="0" distB="0" distL="0" distR="0" wp14:anchorId="747955DC" wp14:editId="783562AF">
                  <wp:extent cx="1209675" cy="1743075"/>
                  <wp:effectExtent l="0" t="0" r="0" b="0"/>
                  <wp:docPr id="129" name="Діаграма 129">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894" w:type="dxa"/>
          </w:tcPr>
          <w:p w14:paraId="421B0F78" w14:textId="1CCB6455" w:rsidR="004B3AED" w:rsidRPr="0024080D" w:rsidRDefault="007579EF" w:rsidP="004B3AED">
            <w:pPr>
              <w:ind w:firstLine="0"/>
              <w:rPr>
                <w:szCs w:val="28"/>
                <w:lang w:val="uk-UA"/>
              </w:rPr>
            </w:pPr>
            <w:r w:rsidRPr="007579EF">
              <w:rPr>
                <w:noProof/>
                <w:szCs w:val="28"/>
              </w:rPr>
              <w:drawing>
                <wp:inline distT="0" distB="0" distL="0" distR="0" wp14:anchorId="41D4C4F4" wp14:editId="59254D03">
                  <wp:extent cx="1190625" cy="1746250"/>
                  <wp:effectExtent l="0" t="0" r="0" b="0"/>
                  <wp:docPr id="130" name="Діаграма 130">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C2F7D" w:rsidRPr="0024080D" w14:paraId="61FD5FC2" w14:textId="77777777" w:rsidTr="006317BA">
        <w:trPr>
          <w:jc w:val="center"/>
        </w:trPr>
        <w:tc>
          <w:tcPr>
            <w:tcW w:w="1945" w:type="dxa"/>
          </w:tcPr>
          <w:p w14:paraId="1818E057" w14:textId="784CA510" w:rsidR="004B3AED" w:rsidRPr="0024080D" w:rsidRDefault="00CF649A" w:rsidP="004B3AED">
            <w:pPr>
              <w:ind w:firstLine="0"/>
              <w:rPr>
                <w:szCs w:val="28"/>
                <w:lang w:val="uk-UA"/>
              </w:rPr>
            </w:pPr>
            <w:r w:rsidRPr="00CF649A">
              <w:rPr>
                <w:noProof/>
                <w:szCs w:val="28"/>
              </w:rPr>
              <w:drawing>
                <wp:inline distT="0" distB="0" distL="0" distR="0" wp14:anchorId="2F6560D5" wp14:editId="5BE579D0">
                  <wp:extent cx="1209675" cy="1695450"/>
                  <wp:effectExtent l="0" t="0" r="0" b="0"/>
                  <wp:docPr id="131" name="Діаграма 131">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919" w:type="dxa"/>
          </w:tcPr>
          <w:p w14:paraId="0D6323C1" w14:textId="72E75E3F" w:rsidR="004B3AED" w:rsidRPr="0024080D" w:rsidRDefault="00CF649A" w:rsidP="004B3AED">
            <w:pPr>
              <w:ind w:firstLine="0"/>
              <w:rPr>
                <w:szCs w:val="28"/>
                <w:lang w:val="uk-UA"/>
              </w:rPr>
            </w:pPr>
            <w:r w:rsidRPr="00CF649A">
              <w:rPr>
                <w:noProof/>
                <w:szCs w:val="28"/>
              </w:rPr>
              <w:drawing>
                <wp:inline distT="0" distB="0" distL="0" distR="0" wp14:anchorId="311795D1" wp14:editId="404CA946">
                  <wp:extent cx="1200150" cy="1695450"/>
                  <wp:effectExtent l="0" t="0" r="0" b="0"/>
                  <wp:docPr id="132" name="Діаграма 132">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919" w:type="dxa"/>
          </w:tcPr>
          <w:p w14:paraId="2F5F54CB" w14:textId="13DD20EF" w:rsidR="004B3AED" w:rsidRPr="0024080D" w:rsidRDefault="00D6352A" w:rsidP="004B3AED">
            <w:pPr>
              <w:ind w:firstLine="0"/>
              <w:rPr>
                <w:szCs w:val="28"/>
                <w:lang w:val="uk-UA"/>
              </w:rPr>
            </w:pPr>
            <w:r w:rsidRPr="00D6352A">
              <w:rPr>
                <w:noProof/>
                <w:szCs w:val="28"/>
              </w:rPr>
              <w:drawing>
                <wp:inline distT="0" distB="0" distL="0" distR="0" wp14:anchorId="254535E9" wp14:editId="66C69C39">
                  <wp:extent cx="1219200" cy="1698625"/>
                  <wp:effectExtent l="0" t="0" r="0" b="0"/>
                  <wp:docPr id="133" name="Діаграма 133">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894" w:type="dxa"/>
          </w:tcPr>
          <w:p w14:paraId="7744B3A1" w14:textId="2B37FF18" w:rsidR="004B3AED" w:rsidRPr="0024080D" w:rsidRDefault="00D23851" w:rsidP="004B3AED">
            <w:pPr>
              <w:ind w:firstLine="0"/>
              <w:rPr>
                <w:szCs w:val="28"/>
                <w:lang w:val="uk-UA"/>
              </w:rPr>
            </w:pPr>
            <w:r w:rsidRPr="00D23851">
              <w:rPr>
                <w:noProof/>
                <w:szCs w:val="28"/>
              </w:rPr>
              <w:drawing>
                <wp:inline distT="0" distB="0" distL="0" distR="0" wp14:anchorId="1E41F57E" wp14:editId="7A97E7BC">
                  <wp:extent cx="1219200" cy="1698625"/>
                  <wp:effectExtent l="0" t="0" r="0" b="0"/>
                  <wp:docPr id="134" name="Діаграма 134">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894" w:type="dxa"/>
          </w:tcPr>
          <w:p w14:paraId="21AC170F" w14:textId="4E45B629" w:rsidR="004B3AED" w:rsidRPr="0024080D" w:rsidRDefault="00D23851" w:rsidP="004B3AED">
            <w:pPr>
              <w:ind w:firstLine="0"/>
              <w:rPr>
                <w:szCs w:val="28"/>
                <w:lang w:val="uk-UA"/>
              </w:rPr>
            </w:pPr>
            <w:r w:rsidRPr="00D23851">
              <w:rPr>
                <w:noProof/>
                <w:szCs w:val="28"/>
              </w:rPr>
              <w:drawing>
                <wp:inline distT="0" distB="0" distL="0" distR="0" wp14:anchorId="636A22BA" wp14:editId="0717FA7A">
                  <wp:extent cx="1167130" cy="1695450"/>
                  <wp:effectExtent l="0" t="0" r="0" b="0"/>
                  <wp:docPr id="135" name="Діаграма 135">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C2F7D" w:rsidRPr="0024080D" w14:paraId="524BD926" w14:textId="77777777" w:rsidTr="006317BA">
        <w:trPr>
          <w:jc w:val="center"/>
        </w:trPr>
        <w:tc>
          <w:tcPr>
            <w:tcW w:w="1945" w:type="dxa"/>
          </w:tcPr>
          <w:p w14:paraId="504F6FFD" w14:textId="4B84837F" w:rsidR="004B3AED" w:rsidRPr="0024080D" w:rsidRDefault="00D23851" w:rsidP="004B3AED">
            <w:pPr>
              <w:ind w:firstLine="0"/>
              <w:rPr>
                <w:szCs w:val="28"/>
                <w:lang w:val="uk-UA"/>
              </w:rPr>
            </w:pPr>
            <w:r w:rsidRPr="00D23851">
              <w:rPr>
                <w:noProof/>
                <w:szCs w:val="28"/>
              </w:rPr>
              <w:drawing>
                <wp:inline distT="0" distB="0" distL="0" distR="0" wp14:anchorId="35B56A4A" wp14:editId="0E5A5B29">
                  <wp:extent cx="1190625" cy="1717675"/>
                  <wp:effectExtent l="0" t="0" r="0" b="0"/>
                  <wp:docPr id="136" name="Діаграма 136">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919" w:type="dxa"/>
          </w:tcPr>
          <w:p w14:paraId="128826F0" w14:textId="11DBF667" w:rsidR="004B3AED" w:rsidRPr="0024080D" w:rsidRDefault="00194016" w:rsidP="004B3AED">
            <w:pPr>
              <w:ind w:firstLine="0"/>
              <w:rPr>
                <w:szCs w:val="28"/>
                <w:lang w:val="uk-UA"/>
              </w:rPr>
            </w:pPr>
            <w:r w:rsidRPr="00194016">
              <w:rPr>
                <w:noProof/>
                <w:szCs w:val="28"/>
              </w:rPr>
              <w:drawing>
                <wp:inline distT="0" distB="0" distL="0" distR="0" wp14:anchorId="3E8897BF" wp14:editId="507C59DF">
                  <wp:extent cx="1190625" cy="1717675"/>
                  <wp:effectExtent l="0" t="0" r="0" b="0"/>
                  <wp:docPr id="137" name="Діаграма 137">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919" w:type="dxa"/>
          </w:tcPr>
          <w:p w14:paraId="0C4A797E" w14:textId="5FE0A976" w:rsidR="004B3AED" w:rsidRPr="0024080D" w:rsidRDefault="00194016" w:rsidP="004B3AED">
            <w:pPr>
              <w:ind w:firstLine="0"/>
              <w:rPr>
                <w:szCs w:val="28"/>
                <w:lang w:val="uk-UA"/>
              </w:rPr>
            </w:pPr>
            <w:r w:rsidRPr="00194016">
              <w:rPr>
                <w:noProof/>
                <w:szCs w:val="28"/>
              </w:rPr>
              <w:drawing>
                <wp:inline distT="0" distB="0" distL="0" distR="0" wp14:anchorId="48D20562" wp14:editId="182938FC">
                  <wp:extent cx="1200150" cy="1714500"/>
                  <wp:effectExtent l="0" t="0" r="0" b="0"/>
                  <wp:docPr id="138" name="Діаграма 138">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894" w:type="dxa"/>
          </w:tcPr>
          <w:p w14:paraId="20238202" w14:textId="1A309422" w:rsidR="004B3AED" w:rsidRPr="0024080D" w:rsidRDefault="00194016" w:rsidP="004B3AED">
            <w:pPr>
              <w:ind w:firstLine="0"/>
              <w:rPr>
                <w:szCs w:val="28"/>
                <w:lang w:val="uk-UA"/>
              </w:rPr>
            </w:pPr>
            <w:r w:rsidRPr="00194016">
              <w:rPr>
                <w:noProof/>
                <w:szCs w:val="28"/>
              </w:rPr>
              <w:drawing>
                <wp:inline distT="0" distB="0" distL="0" distR="0" wp14:anchorId="54AF9FDC" wp14:editId="0B20DE79">
                  <wp:extent cx="1219200" cy="1714500"/>
                  <wp:effectExtent l="0" t="0" r="0" b="0"/>
                  <wp:docPr id="139" name="Діаграма 139">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894" w:type="dxa"/>
          </w:tcPr>
          <w:p w14:paraId="0D3F5927" w14:textId="256C4B3C" w:rsidR="004B3AED" w:rsidRPr="0024080D" w:rsidRDefault="00194016" w:rsidP="004B3AED">
            <w:pPr>
              <w:ind w:firstLine="0"/>
              <w:rPr>
                <w:szCs w:val="28"/>
                <w:lang w:val="uk-UA"/>
              </w:rPr>
            </w:pPr>
            <w:r w:rsidRPr="00194016">
              <w:rPr>
                <w:noProof/>
                <w:szCs w:val="28"/>
              </w:rPr>
              <w:drawing>
                <wp:inline distT="0" distB="0" distL="0" distR="0" wp14:anchorId="468EF944" wp14:editId="2751D8AA">
                  <wp:extent cx="1228725" cy="1714500"/>
                  <wp:effectExtent l="0" t="0" r="0" b="0"/>
                  <wp:docPr id="140" name="Діаграма 140">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C2F7D" w:rsidRPr="0024080D" w14:paraId="795FF8E9" w14:textId="77777777" w:rsidTr="006317BA">
        <w:trPr>
          <w:jc w:val="center"/>
        </w:trPr>
        <w:tc>
          <w:tcPr>
            <w:tcW w:w="1945" w:type="dxa"/>
          </w:tcPr>
          <w:p w14:paraId="42D6788C" w14:textId="3610EEFD" w:rsidR="004B3AED" w:rsidRPr="0024080D" w:rsidRDefault="00C80050" w:rsidP="004B3AED">
            <w:pPr>
              <w:ind w:firstLine="0"/>
              <w:rPr>
                <w:szCs w:val="28"/>
                <w:lang w:val="uk-UA"/>
              </w:rPr>
            </w:pPr>
            <w:r w:rsidRPr="00C80050">
              <w:rPr>
                <w:noProof/>
                <w:szCs w:val="28"/>
              </w:rPr>
              <w:drawing>
                <wp:inline distT="0" distB="0" distL="0" distR="0" wp14:anchorId="42AD42BE" wp14:editId="1154959B">
                  <wp:extent cx="1181100" cy="1708150"/>
                  <wp:effectExtent l="0" t="0" r="0" b="0"/>
                  <wp:docPr id="141" name="Діаграма 141">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919" w:type="dxa"/>
          </w:tcPr>
          <w:p w14:paraId="38DB625C" w14:textId="23581450" w:rsidR="004B3AED" w:rsidRPr="0024080D" w:rsidRDefault="00C80050" w:rsidP="004B3AED">
            <w:pPr>
              <w:ind w:firstLine="0"/>
              <w:rPr>
                <w:szCs w:val="28"/>
                <w:lang w:val="uk-UA"/>
              </w:rPr>
            </w:pPr>
            <w:r w:rsidRPr="00C80050">
              <w:rPr>
                <w:noProof/>
                <w:szCs w:val="28"/>
              </w:rPr>
              <w:drawing>
                <wp:inline distT="0" distB="0" distL="0" distR="0" wp14:anchorId="050FF4D8" wp14:editId="5B3447A8">
                  <wp:extent cx="1171575" cy="1708150"/>
                  <wp:effectExtent l="0" t="0" r="0" b="0"/>
                  <wp:docPr id="142" name="Діаграма 142">
                    <a:extLst xmlns:a="http://schemas.openxmlformats.org/drawingml/2006/main">
                      <a:ext uri="{FF2B5EF4-FFF2-40B4-BE49-F238E27FC236}">
                        <a16:creationId xmlns:a16="http://schemas.microsoft.com/office/drawing/2014/main" id="{B51806BA-2AED-4615-AEED-B5E441E2F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919" w:type="dxa"/>
          </w:tcPr>
          <w:p w14:paraId="5359328C" w14:textId="7F2B7B6B" w:rsidR="004B3AED" w:rsidRPr="0024080D" w:rsidRDefault="006C2F7D" w:rsidP="004B3AED">
            <w:pPr>
              <w:ind w:firstLine="0"/>
              <w:rPr>
                <w:szCs w:val="28"/>
                <w:lang w:val="uk-UA"/>
              </w:rPr>
            </w:pPr>
            <w:r w:rsidRPr="006C2F7D">
              <w:rPr>
                <w:noProof/>
                <w:szCs w:val="28"/>
              </w:rPr>
              <w:drawing>
                <wp:inline distT="0" distB="0" distL="0" distR="0" wp14:anchorId="422AAF75" wp14:editId="72A6BCE5">
                  <wp:extent cx="1190625" cy="1717675"/>
                  <wp:effectExtent l="0" t="0" r="0" b="0"/>
                  <wp:docPr id="143" name="Діаграма 143">
                    <a:extLst xmlns:a="http://schemas.openxmlformats.org/drawingml/2006/main">
                      <a:ext uri="{FF2B5EF4-FFF2-40B4-BE49-F238E27FC236}">
                        <a16:creationId xmlns:a16="http://schemas.microsoft.com/office/drawing/2014/main" id="{A122ED00-5C1C-4D06-8802-CC9AE13DD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894" w:type="dxa"/>
          </w:tcPr>
          <w:p w14:paraId="1FF4F782" w14:textId="391D6ED9" w:rsidR="004B3AED" w:rsidRPr="0024080D" w:rsidRDefault="006C2F7D" w:rsidP="004B3AED">
            <w:pPr>
              <w:ind w:firstLine="0"/>
              <w:rPr>
                <w:szCs w:val="28"/>
                <w:lang w:val="uk-UA"/>
              </w:rPr>
            </w:pPr>
            <w:r w:rsidRPr="006C2F7D">
              <w:rPr>
                <w:noProof/>
                <w:szCs w:val="28"/>
              </w:rPr>
              <w:drawing>
                <wp:inline distT="0" distB="0" distL="0" distR="0" wp14:anchorId="393242E0" wp14:editId="5A85B3C3">
                  <wp:extent cx="1171575" cy="1717675"/>
                  <wp:effectExtent l="0" t="0" r="0" b="0"/>
                  <wp:docPr id="144" name="Діаграма 144">
                    <a:extLst xmlns:a="http://schemas.openxmlformats.org/drawingml/2006/main">
                      <a:ext uri="{FF2B5EF4-FFF2-40B4-BE49-F238E27FC236}">
                        <a16:creationId xmlns:a16="http://schemas.microsoft.com/office/drawing/2014/main" id="{13564EBF-A61A-4FE3-95D2-77BA8DC36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894" w:type="dxa"/>
          </w:tcPr>
          <w:p w14:paraId="13C7F71E" w14:textId="0F65CA8A" w:rsidR="004B3AED" w:rsidRPr="0024080D" w:rsidRDefault="006C2F7D" w:rsidP="004B3AED">
            <w:pPr>
              <w:ind w:firstLine="0"/>
              <w:rPr>
                <w:szCs w:val="28"/>
                <w:lang w:val="uk-UA"/>
              </w:rPr>
            </w:pPr>
            <w:r w:rsidRPr="006C2F7D">
              <w:rPr>
                <w:noProof/>
                <w:szCs w:val="28"/>
              </w:rPr>
              <w:drawing>
                <wp:inline distT="0" distB="0" distL="0" distR="0" wp14:anchorId="4F17D30B" wp14:editId="490CB7C4">
                  <wp:extent cx="1181100" cy="1708150"/>
                  <wp:effectExtent l="0" t="0" r="0" b="0"/>
                  <wp:docPr id="145" name="Діаграма 145">
                    <a:extLst xmlns:a="http://schemas.openxmlformats.org/drawingml/2006/main">
                      <a:ext uri="{FF2B5EF4-FFF2-40B4-BE49-F238E27FC236}">
                        <a16:creationId xmlns:a16="http://schemas.microsoft.com/office/drawing/2014/main" id="{9A3F5E78-9E5C-4013-92F9-BDBDAE321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449BB978" w14:textId="17E364AE" w:rsidR="00FE7A57" w:rsidRPr="0024080D" w:rsidRDefault="004B3AED" w:rsidP="00CB453E">
      <w:pPr>
        <w:widowControl w:val="0"/>
        <w:pBdr>
          <w:top w:val="nil"/>
          <w:left w:val="nil"/>
          <w:bottom w:val="nil"/>
          <w:right w:val="nil"/>
          <w:between w:val="nil"/>
        </w:pBdr>
        <w:spacing w:before="120" w:after="120"/>
        <w:ind w:firstLine="0"/>
        <w:jc w:val="center"/>
        <w:rPr>
          <w:rFonts w:cs="Times New Roman"/>
          <w:szCs w:val="28"/>
        </w:rPr>
      </w:pPr>
      <w:r w:rsidRPr="0024080D">
        <w:rPr>
          <w:rFonts w:cs="Times New Roman"/>
          <w:b/>
          <w:szCs w:val="28"/>
        </w:rPr>
        <w:t>Рисунок </w:t>
      </w:r>
      <w:r w:rsidR="00E15F75">
        <w:rPr>
          <w:rFonts w:cs="Times New Roman"/>
          <w:b/>
          <w:szCs w:val="28"/>
        </w:rPr>
        <w:t>2.4</w:t>
      </w:r>
      <w:r w:rsidRPr="0024080D">
        <w:rPr>
          <w:rFonts w:cs="Times New Roman"/>
          <w:b/>
          <w:szCs w:val="28"/>
        </w:rPr>
        <w:t>. Захворюваність на ТБ у 201</w:t>
      </w:r>
      <w:r w:rsidR="004B6F70">
        <w:rPr>
          <w:rFonts w:cs="Times New Roman"/>
          <w:b/>
          <w:szCs w:val="28"/>
        </w:rPr>
        <w:t>6</w:t>
      </w:r>
      <w:r w:rsidRPr="0024080D">
        <w:rPr>
          <w:rFonts w:cs="Times New Roman"/>
          <w:b/>
          <w:szCs w:val="28"/>
        </w:rPr>
        <w:t>–202</w:t>
      </w:r>
      <w:r w:rsidR="004B6F70">
        <w:rPr>
          <w:rFonts w:cs="Times New Roman"/>
          <w:b/>
          <w:szCs w:val="28"/>
        </w:rPr>
        <w:t>1</w:t>
      </w:r>
      <w:r w:rsidRPr="0024080D">
        <w:rPr>
          <w:rFonts w:cs="Times New Roman"/>
          <w:b/>
          <w:szCs w:val="28"/>
        </w:rPr>
        <w:t> рр.</w:t>
      </w:r>
      <w:r w:rsidR="00FE7A57" w:rsidRPr="0024080D">
        <w:rPr>
          <w:rFonts w:cs="Times New Roman"/>
          <w:szCs w:val="28"/>
        </w:rPr>
        <w:br w:type="page"/>
      </w:r>
    </w:p>
    <w:p w14:paraId="45618069" w14:textId="46DDC357" w:rsidR="004B3AED" w:rsidRPr="0024080D" w:rsidRDefault="004B3AED" w:rsidP="00FE7A57">
      <w:pPr>
        <w:widowControl w:val="0"/>
        <w:pBdr>
          <w:top w:val="nil"/>
          <w:left w:val="nil"/>
          <w:bottom w:val="nil"/>
          <w:right w:val="nil"/>
          <w:between w:val="nil"/>
        </w:pBdr>
        <w:spacing w:after="120"/>
        <w:rPr>
          <w:rFonts w:cs="Times New Roman"/>
          <w:szCs w:val="28"/>
        </w:rPr>
      </w:pPr>
      <w:r w:rsidRPr="0024080D">
        <w:rPr>
          <w:rFonts w:cs="Times New Roman"/>
          <w:szCs w:val="28"/>
        </w:rPr>
        <w:lastRenderedPageBreak/>
        <w:t xml:space="preserve">Щодо показників захворюваності на ТБ серед міського та сільського населення України, то майже в усіх областях України захворюваність на ТБ (нові випадки і рецидиви) серед сільських жителів є вищою на 20–30%, ніж захворюваність міських жителів (рисунок 3.6). </w:t>
      </w:r>
    </w:p>
    <w:p w14:paraId="48881DC7" w14:textId="21D825AB" w:rsidR="004B3AED" w:rsidRPr="0024080D" w:rsidRDefault="005E4E80" w:rsidP="004B3AED">
      <w:pPr>
        <w:widowControl w:val="0"/>
        <w:pBdr>
          <w:top w:val="nil"/>
          <w:left w:val="nil"/>
          <w:bottom w:val="nil"/>
          <w:right w:val="nil"/>
          <w:between w:val="nil"/>
        </w:pBdr>
        <w:ind w:firstLine="0"/>
        <w:jc w:val="center"/>
        <w:rPr>
          <w:rFonts w:cs="Times New Roman"/>
          <w:szCs w:val="28"/>
        </w:rPr>
      </w:pPr>
      <w:r w:rsidRPr="005E4E80">
        <w:rPr>
          <w:rFonts w:cs="Times New Roman"/>
          <w:noProof/>
          <w:szCs w:val="28"/>
        </w:rPr>
        <w:drawing>
          <wp:inline distT="0" distB="0" distL="0" distR="0" wp14:anchorId="7C29DC7F" wp14:editId="695EC21E">
            <wp:extent cx="5940425" cy="3571875"/>
            <wp:effectExtent l="0" t="0" r="0" b="0"/>
            <wp:docPr id="146" name="Діаграма 146">
              <a:extLst xmlns:a="http://schemas.openxmlformats.org/drawingml/2006/main">
                <a:ext uri="{FF2B5EF4-FFF2-40B4-BE49-F238E27FC236}">
                  <a16:creationId xmlns:a16="http://schemas.microsoft.com/office/drawing/2014/main" id="{7E58179A-52AA-41AD-9D84-701CE300D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EB28C5" w14:textId="286517E2" w:rsidR="004B3AED" w:rsidRPr="0024080D" w:rsidRDefault="004B3AED" w:rsidP="00FE7A57">
      <w:pPr>
        <w:widowControl w:val="0"/>
        <w:pBdr>
          <w:top w:val="nil"/>
          <w:left w:val="nil"/>
          <w:bottom w:val="nil"/>
          <w:right w:val="nil"/>
          <w:between w:val="nil"/>
        </w:pBdr>
        <w:spacing w:before="120" w:after="120" w:line="230" w:lineRule="auto"/>
        <w:ind w:firstLine="0"/>
        <w:jc w:val="center"/>
        <w:rPr>
          <w:rFonts w:cs="Times New Roman"/>
          <w:b/>
          <w:szCs w:val="28"/>
        </w:rPr>
      </w:pPr>
      <w:r w:rsidRPr="0024080D">
        <w:rPr>
          <w:rFonts w:cs="Times New Roman"/>
          <w:b/>
          <w:szCs w:val="28"/>
        </w:rPr>
        <w:t>Рисунок </w:t>
      </w:r>
      <w:r w:rsidR="00E15F75">
        <w:rPr>
          <w:rFonts w:cs="Times New Roman"/>
          <w:b/>
          <w:szCs w:val="28"/>
        </w:rPr>
        <w:t>2.5</w:t>
      </w:r>
      <w:r w:rsidRPr="0024080D">
        <w:rPr>
          <w:rFonts w:cs="Times New Roman"/>
          <w:b/>
          <w:szCs w:val="28"/>
        </w:rPr>
        <w:t xml:space="preserve">. Розподіл рівня захворюваності на ТБ </w:t>
      </w:r>
      <w:r w:rsidRPr="0024080D">
        <w:rPr>
          <w:rFonts w:cs="Times New Roman"/>
          <w:b/>
          <w:szCs w:val="28"/>
        </w:rPr>
        <w:br/>
        <w:t>серед міських та сільських жителів за регіонами України, 202</w:t>
      </w:r>
      <w:r w:rsidR="005E4E80">
        <w:rPr>
          <w:rFonts w:cs="Times New Roman"/>
          <w:b/>
          <w:szCs w:val="28"/>
        </w:rPr>
        <w:t>1</w:t>
      </w:r>
      <w:r w:rsidRPr="0024080D">
        <w:rPr>
          <w:rFonts w:cs="Times New Roman"/>
          <w:b/>
          <w:szCs w:val="28"/>
        </w:rPr>
        <w:t xml:space="preserve"> р. </w:t>
      </w:r>
      <w:r w:rsidRPr="0024080D">
        <w:rPr>
          <w:rFonts w:cs="Times New Roman"/>
          <w:b/>
          <w:szCs w:val="28"/>
        </w:rPr>
        <w:br/>
        <w:t>(на 100 000 відповідного населення)</w:t>
      </w:r>
    </w:p>
    <w:p w14:paraId="6087E05C" w14:textId="77777777" w:rsidR="004B3AED" w:rsidRPr="0024080D" w:rsidRDefault="004B3AED" w:rsidP="00FE7A57">
      <w:pPr>
        <w:pStyle w:val="3"/>
        <w:spacing w:line="230" w:lineRule="auto"/>
      </w:pPr>
      <w:bookmarkStart w:id="35" w:name="_Toc88088837"/>
      <w:bookmarkStart w:id="36" w:name="_Toc89149116"/>
      <w:r w:rsidRPr="0024080D">
        <w:t xml:space="preserve">Поширеність </w:t>
      </w:r>
      <w:bookmarkEnd w:id="35"/>
      <w:r w:rsidRPr="0024080D">
        <w:t>ТБ</w:t>
      </w:r>
      <w:bookmarkEnd w:id="36"/>
    </w:p>
    <w:p w14:paraId="57B71E9C" w14:textId="6AD8043F" w:rsidR="004B3AED" w:rsidRPr="0024080D" w:rsidRDefault="004B3AED" w:rsidP="00FE7A57">
      <w:pPr>
        <w:widowControl w:val="0"/>
        <w:pBdr>
          <w:top w:val="nil"/>
          <w:left w:val="nil"/>
          <w:bottom w:val="nil"/>
          <w:right w:val="nil"/>
          <w:between w:val="nil"/>
        </w:pBdr>
        <w:spacing w:after="120" w:line="230" w:lineRule="auto"/>
        <w:rPr>
          <w:rFonts w:cs="Times New Roman"/>
          <w:szCs w:val="28"/>
        </w:rPr>
      </w:pPr>
      <w:bookmarkStart w:id="37" w:name="_Hlk76567275"/>
      <w:r w:rsidRPr="0024080D">
        <w:rPr>
          <w:rFonts w:cs="Times New Roman"/>
          <w:szCs w:val="28"/>
        </w:rPr>
        <w:t>Показник поширеності ТБ протягом останніх шести років має тенденцію до зниження: у 202</w:t>
      </w:r>
      <w:r w:rsidR="004D0BD7">
        <w:rPr>
          <w:rFonts w:cs="Times New Roman"/>
          <w:szCs w:val="28"/>
        </w:rPr>
        <w:t>1</w:t>
      </w:r>
      <w:r w:rsidRPr="0024080D">
        <w:rPr>
          <w:rFonts w:cs="Times New Roman"/>
          <w:szCs w:val="28"/>
        </w:rPr>
        <w:t xml:space="preserve"> р. поширеність зменшилась на </w:t>
      </w:r>
      <w:r w:rsidR="004D0BD7">
        <w:rPr>
          <w:rFonts w:cs="Times New Roman"/>
          <w:szCs w:val="28"/>
        </w:rPr>
        <w:t>6,5</w:t>
      </w:r>
      <w:r w:rsidRPr="0024080D">
        <w:rPr>
          <w:rFonts w:cs="Times New Roman"/>
          <w:szCs w:val="28"/>
        </w:rPr>
        <w:t>% порівняно до показників 20</w:t>
      </w:r>
      <w:r w:rsidR="004D0BD7">
        <w:rPr>
          <w:rFonts w:cs="Times New Roman"/>
          <w:szCs w:val="28"/>
        </w:rPr>
        <w:t>20</w:t>
      </w:r>
      <w:r w:rsidRPr="0024080D">
        <w:rPr>
          <w:rFonts w:cs="Times New Roman"/>
          <w:szCs w:val="28"/>
        </w:rPr>
        <w:t> р.</w:t>
      </w:r>
      <w:bookmarkEnd w:id="37"/>
      <w:r w:rsidRPr="0024080D">
        <w:rPr>
          <w:rFonts w:cs="Times New Roman"/>
          <w:szCs w:val="28"/>
        </w:rPr>
        <w:t xml:space="preserve"> Найвищий рівень поширеності ТБ було зареєстровано в Одеській (</w:t>
      </w:r>
      <w:r w:rsidR="004D0BD7">
        <w:rPr>
          <w:rFonts w:cs="Times New Roman"/>
          <w:szCs w:val="28"/>
        </w:rPr>
        <w:t>136,7</w:t>
      </w:r>
      <w:r w:rsidRPr="0024080D">
        <w:rPr>
          <w:rFonts w:cs="Times New Roman"/>
          <w:szCs w:val="28"/>
        </w:rPr>
        <w:t>), Миколаївській (</w:t>
      </w:r>
      <w:r w:rsidR="004D0BD7">
        <w:rPr>
          <w:rFonts w:cs="Times New Roman"/>
          <w:szCs w:val="28"/>
        </w:rPr>
        <w:t>95,5</w:t>
      </w:r>
      <w:r w:rsidRPr="0024080D">
        <w:rPr>
          <w:rFonts w:cs="Times New Roman"/>
          <w:szCs w:val="28"/>
        </w:rPr>
        <w:t xml:space="preserve">), </w:t>
      </w:r>
      <w:r w:rsidR="004D0BD7">
        <w:rPr>
          <w:rFonts w:cs="Times New Roman"/>
          <w:szCs w:val="28"/>
        </w:rPr>
        <w:t>Дніпропетровській</w:t>
      </w:r>
      <w:r w:rsidRPr="0024080D">
        <w:rPr>
          <w:rFonts w:cs="Times New Roman"/>
          <w:szCs w:val="28"/>
        </w:rPr>
        <w:t xml:space="preserve"> (</w:t>
      </w:r>
      <w:r w:rsidR="004D0BD7">
        <w:rPr>
          <w:rFonts w:cs="Times New Roman"/>
          <w:szCs w:val="28"/>
        </w:rPr>
        <w:t>74,1</w:t>
      </w:r>
      <w:r w:rsidRPr="0024080D">
        <w:rPr>
          <w:rFonts w:cs="Times New Roman"/>
          <w:szCs w:val="28"/>
        </w:rPr>
        <w:t xml:space="preserve">) та </w:t>
      </w:r>
      <w:r w:rsidR="004D0BD7">
        <w:rPr>
          <w:rFonts w:cs="Times New Roman"/>
          <w:szCs w:val="28"/>
        </w:rPr>
        <w:t xml:space="preserve">Закарпатській </w:t>
      </w:r>
      <w:r w:rsidRPr="0024080D">
        <w:rPr>
          <w:rFonts w:cs="Times New Roman"/>
          <w:szCs w:val="28"/>
        </w:rPr>
        <w:t>(</w:t>
      </w:r>
      <w:r w:rsidR="004D0BD7">
        <w:rPr>
          <w:rFonts w:cs="Times New Roman"/>
          <w:szCs w:val="28"/>
        </w:rPr>
        <w:t>73,4</w:t>
      </w:r>
      <w:r w:rsidRPr="0024080D">
        <w:rPr>
          <w:rFonts w:cs="Times New Roman"/>
          <w:szCs w:val="28"/>
        </w:rPr>
        <w:t>) областях. Порівняно до показників 20</w:t>
      </w:r>
      <w:r w:rsidR="004D0BD7">
        <w:rPr>
          <w:rFonts w:cs="Times New Roman"/>
          <w:szCs w:val="28"/>
        </w:rPr>
        <w:t>20</w:t>
      </w:r>
      <w:r w:rsidRPr="0024080D">
        <w:rPr>
          <w:rFonts w:cs="Times New Roman"/>
          <w:szCs w:val="28"/>
        </w:rPr>
        <w:t xml:space="preserve"> р., зростання поширеності ТБ зафіксовано у </w:t>
      </w:r>
      <w:r w:rsidR="004D0BD7">
        <w:rPr>
          <w:rFonts w:cs="Times New Roman"/>
          <w:szCs w:val="28"/>
        </w:rPr>
        <w:t>п’яти регіонах</w:t>
      </w:r>
      <w:r w:rsidRPr="0024080D">
        <w:rPr>
          <w:rFonts w:cs="Times New Roman"/>
          <w:szCs w:val="28"/>
        </w:rPr>
        <w:t xml:space="preserve"> (рисунок 3.8). </w:t>
      </w:r>
    </w:p>
    <w:p w14:paraId="271E23CF" w14:textId="14280F10" w:rsidR="004B3AED" w:rsidRPr="0024080D" w:rsidRDefault="009B5F11" w:rsidP="00FE7A57">
      <w:pPr>
        <w:widowControl w:val="0"/>
        <w:pBdr>
          <w:top w:val="nil"/>
          <w:left w:val="nil"/>
          <w:bottom w:val="nil"/>
          <w:right w:val="nil"/>
          <w:between w:val="nil"/>
        </w:pBdr>
        <w:spacing w:line="230" w:lineRule="auto"/>
        <w:ind w:firstLine="0"/>
        <w:jc w:val="center"/>
        <w:rPr>
          <w:rFonts w:cs="Times New Roman"/>
          <w:b/>
          <w:szCs w:val="28"/>
        </w:rPr>
      </w:pPr>
      <w:r w:rsidRPr="009B5F11">
        <w:rPr>
          <w:rFonts w:cs="Times New Roman"/>
          <w:b/>
          <w:noProof/>
          <w:szCs w:val="28"/>
        </w:rPr>
        <w:drawing>
          <wp:inline distT="0" distB="0" distL="0" distR="0" wp14:anchorId="5FD69E45" wp14:editId="55F38979">
            <wp:extent cx="5940425" cy="1800225"/>
            <wp:effectExtent l="0" t="0" r="3175" b="0"/>
            <wp:docPr id="149" name="Діаграма 149">
              <a:extLst xmlns:a="http://schemas.openxmlformats.org/drawingml/2006/main">
                <a:ext uri="{FF2B5EF4-FFF2-40B4-BE49-F238E27FC236}">
                  <a16:creationId xmlns:a16="http://schemas.microsoft.com/office/drawing/2014/main" id="{80E5C3EA-BBE9-47FA-B45E-CD1B7429E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508D92" w14:textId="53F4BD51" w:rsidR="004B3AED" w:rsidRPr="0024080D" w:rsidRDefault="004B3AED" w:rsidP="00FE7A57">
      <w:pPr>
        <w:widowControl w:val="0"/>
        <w:pBdr>
          <w:top w:val="nil"/>
          <w:left w:val="nil"/>
          <w:bottom w:val="nil"/>
          <w:right w:val="nil"/>
          <w:between w:val="nil"/>
        </w:pBdr>
        <w:spacing w:before="120" w:after="120" w:line="230" w:lineRule="auto"/>
        <w:ind w:firstLine="0"/>
        <w:jc w:val="center"/>
        <w:rPr>
          <w:rFonts w:cs="Times New Roman"/>
          <w:b/>
          <w:szCs w:val="28"/>
        </w:rPr>
      </w:pPr>
      <w:r w:rsidRPr="0024080D">
        <w:rPr>
          <w:rFonts w:cs="Times New Roman"/>
          <w:b/>
          <w:szCs w:val="28"/>
        </w:rPr>
        <w:t>Рисунок </w:t>
      </w:r>
      <w:r w:rsidR="00E15F75">
        <w:rPr>
          <w:rFonts w:cs="Times New Roman"/>
          <w:b/>
          <w:szCs w:val="28"/>
        </w:rPr>
        <w:t>2.6</w:t>
      </w:r>
      <w:r w:rsidRPr="0024080D">
        <w:rPr>
          <w:rFonts w:cs="Times New Roman"/>
          <w:b/>
          <w:szCs w:val="28"/>
        </w:rPr>
        <w:t xml:space="preserve">. Поширеність усіх форм активного ТБ </w:t>
      </w:r>
      <w:r w:rsidRPr="0024080D">
        <w:rPr>
          <w:rFonts w:cs="Times New Roman"/>
          <w:b/>
          <w:szCs w:val="28"/>
        </w:rPr>
        <w:br/>
        <w:t>серед населення України за період 201</w:t>
      </w:r>
      <w:r w:rsidR="004D0BD7">
        <w:rPr>
          <w:rFonts w:cs="Times New Roman"/>
          <w:b/>
          <w:szCs w:val="28"/>
        </w:rPr>
        <w:t>6</w:t>
      </w:r>
      <w:r w:rsidRPr="0024080D">
        <w:rPr>
          <w:rFonts w:cs="Times New Roman"/>
          <w:b/>
          <w:szCs w:val="28"/>
        </w:rPr>
        <w:t>–202</w:t>
      </w:r>
      <w:r w:rsidR="004D0BD7">
        <w:rPr>
          <w:rFonts w:cs="Times New Roman"/>
          <w:b/>
          <w:szCs w:val="28"/>
        </w:rPr>
        <w:t>1</w:t>
      </w:r>
      <w:r w:rsidRPr="0024080D">
        <w:rPr>
          <w:rFonts w:cs="Times New Roman"/>
          <w:b/>
          <w:szCs w:val="28"/>
        </w:rPr>
        <w:t> рр.</w:t>
      </w:r>
      <w:r w:rsidRPr="0024080D">
        <w:rPr>
          <w:rFonts w:cs="Times New Roman"/>
          <w:b/>
          <w:szCs w:val="28"/>
        </w:rPr>
        <w:br/>
        <w:t>(абсолютна кількість та на 100 000 населення)</w:t>
      </w:r>
    </w:p>
    <w:p w14:paraId="0F53FDEC" w14:textId="597E6651" w:rsidR="004B3AED" w:rsidRPr="0024080D" w:rsidRDefault="005716ED" w:rsidP="004B3AED">
      <w:pPr>
        <w:widowControl w:val="0"/>
        <w:pBdr>
          <w:top w:val="nil"/>
          <w:left w:val="nil"/>
          <w:bottom w:val="nil"/>
          <w:right w:val="nil"/>
          <w:between w:val="nil"/>
        </w:pBdr>
        <w:ind w:firstLine="0"/>
        <w:jc w:val="center"/>
        <w:rPr>
          <w:rFonts w:cs="Times New Roman"/>
          <w:szCs w:val="28"/>
        </w:rPr>
      </w:pPr>
      <w:r w:rsidRPr="005716ED">
        <w:rPr>
          <w:rFonts w:cs="Times New Roman"/>
          <w:noProof/>
          <w:szCs w:val="28"/>
        </w:rPr>
        <w:lastRenderedPageBreak/>
        <w:drawing>
          <wp:inline distT="0" distB="0" distL="0" distR="0" wp14:anchorId="6128287C" wp14:editId="72C0A687">
            <wp:extent cx="5940425" cy="2458085"/>
            <wp:effectExtent l="0" t="0" r="3175" b="18415"/>
            <wp:docPr id="150" name="Діаграма 150">
              <a:extLst xmlns:a="http://schemas.openxmlformats.org/drawingml/2006/main">
                <a:ext uri="{FF2B5EF4-FFF2-40B4-BE49-F238E27FC236}">
                  <a16:creationId xmlns:a16="http://schemas.microsoft.com/office/drawing/2014/main" id="{B1F0729A-1589-4D02-9D9D-91615FB78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40FF15" w14:textId="760301E5" w:rsidR="004B3AED" w:rsidRPr="0024080D" w:rsidRDefault="004B3AED" w:rsidP="005F6C0F">
      <w:pPr>
        <w:widowControl w:val="0"/>
        <w:pBdr>
          <w:top w:val="nil"/>
          <w:left w:val="nil"/>
          <w:bottom w:val="nil"/>
          <w:right w:val="nil"/>
          <w:between w:val="nil"/>
        </w:pBdr>
        <w:spacing w:before="120" w:after="120" w:line="233" w:lineRule="auto"/>
        <w:ind w:firstLine="0"/>
        <w:jc w:val="center"/>
        <w:rPr>
          <w:rFonts w:cs="Times New Roman"/>
          <w:b/>
          <w:szCs w:val="28"/>
        </w:rPr>
      </w:pPr>
      <w:r w:rsidRPr="0024080D">
        <w:rPr>
          <w:rFonts w:cs="Times New Roman"/>
          <w:b/>
          <w:szCs w:val="28"/>
        </w:rPr>
        <w:t>Рисунок </w:t>
      </w:r>
      <w:r w:rsidR="00E15F75">
        <w:rPr>
          <w:rFonts w:cs="Times New Roman"/>
          <w:b/>
          <w:szCs w:val="28"/>
        </w:rPr>
        <w:t>2.7</w:t>
      </w:r>
      <w:r w:rsidRPr="0024080D">
        <w:rPr>
          <w:rFonts w:cs="Times New Roman"/>
          <w:b/>
          <w:szCs w:val="28"/>
        </w:rPr>
        <w:t xml:space="preserve">. Поширеність усіх форм активного ТБ </w:t>
      </w:r>
      <w:r w:rsidRPr="0024080D">
        <w:rPr>
          <w:rFonts w:cs="Times New Roman"/>
          <w:b/>
          <w:szCs w:val="28"/>
        </w:rPr>
        <w:br/>
        <w:t>в регіонах України, 202</w:t>
      </w:r>
      <w:r w:rsidR="005716ED">
        <w:rPr>
          <w:rFonts w:cs="Times New Roman"/>
          <w:b/>
          <w:szCs w:val="28"/>
        </w:rPr>
        <w:t>1</w:t>
      </w:r>
      <w:r w:rsidRPr="0024080D">
        <w:rPr>
          <w:rFonts w:cs="Times New Roman"/>
          <w:b/>
          <w:szCs w:val="28"/>
        </w:rPr>
        <w:t> р.</w:t>
      </w:r>
    </w:p>
    <w:p w14:paraId="6C8692E1" w14:textId="77777777" w:rsidR="004B3AED" w:rsidRPr="0024080D" w:rsidRDefault="004B3AED" w:rsidP="005F6C0F">
      <w:pPr>
        <w:pStyle w:val="4"/>
        <w:spacing w:line="233" w:lineRule="auto"/>
        <w:rPr>
          <w:b/>
        </w:rPr>
      </w:pPr>
      <w:bookmarkStart w:id="38" w:name="_Toc88088838"/>
      <w:bookmarkStart w:id="39" w:name="_Toc89149117"/>
      <w:r w:rsidRPr="0024080D">
        <w:t>Динаміка за бактеріологічним підтвердженням</w:t>
      </w:r>
      <w:bookmarkEnd w:id="38"/>
      <w:bookmarkEnd w:id="39"/>
      <w:r w:rsidRPr="0024080D">
        <w:t xml:space="preserve"> </w:t>
      </w:r>
    </w:p>
    <w:p w14:paraId="01BDC22B" w14:textId="51593B2D" w:rsidR="004B3AED" w:rsidRPr="0024080D" w:rsidRDefault="00B80C3F" w:rsidP="005F6C0F">
      <w:pPr>
        <w:widowControl w:val="0"/>
        <w:pBdr>
          <w:top w:val="nil"/>
          <w:left w:val="nil"/>
          <w:bottom w:val="nil"/>
          <w:right w:val="nil"/>
          <w:between w:val="nil"/>
        </w:pBdr>
        <w:tabs>
          <w:tab w:val="left" w:pos="709"/>
          <w:tab w:val="left" w:pos="8647"/>
        </w:tabs>
        <w:spacing w:after="120" w:line="233" w:lineRule="auto"/>
        <w:rPr>
          <w:rFonts w:cs="Times New Roman"/>
          <w:szCs w:val="28"/>
        </w:rPr>
      </w:pPr>
      <w:r>
        <w:rPr>
          <w:rFonts w:cs="Times New Roman"/>
          <w:szCs w:val="28"/>
        </w:rPr>
        <w:t>З кожним роком в Україні збільшується</w:t>
      </w:r>
      <w:r w:rsidR="004B3AED" w:rsidRPr="0024080D">
        <w:rPr>
          <w:rFonts w:cs="Times New Roman"/>
          <w:szCs w:val="28"/>
        </w:rPr>
        <w:t xml:space="preserve"> частка </w:t>
      </w:r>
      <w:proofErr w:type="spellStart"/>
      <w:r w:rsidR="004B3AED" w:rsidRPr="0024080D">
        <w:rPr>
          <w:rFonts w:cs="Times New Roman"/>
          <w:szCs w:val="28"/>
        </w:rPr>
        <w:t>бактеріологічно</w:t>
      </w:r>
      <w:proofErr w:type="spellEnd"/>
      <w:r w:rsidR="004B3AED" w:rsidRPr="0024080D">
        <w:rPr>
          <w:rFonts w:cs="Times New Roman"/>
          <w:szCs w:val="28"/>
        </w:rPr>
        <w:t xml:space="preserve"> підтверджених випадків</w:t>
      </w:r>
      <w:r>
        <w:rPr>
          <w:rFonts w:cs="Times New Roman"/>
          <w:szCs w:val="28"/>
        </w:rPr>
        <w:t xml:space="preserve"> туберкульозу</w:t>
      </w:r>
      <w:r w:rsidR="0055278F">
        <w:rPr>
          <w:rFonts w:cs="Times New Roman"/>
          <w:szCs w:val="28"/>
        </w:rPr>
        <w:t xml:space="preserve"> легень</w:t>
      </w:r>
      <w:r>
        <w:rPr>
          <w:rFonts w:cs="Times New Roman"/>
          <w:szCs w:val="28"/>
        </w:rPr>
        <w:t xml:space="preserve">. </w:t>
      </w:r>
      <w:r w:rsidRPr="0024080D">
        <w:rPr>
          <w:rFonts w:cs="Times New Roman"/>
          <w:szCs w:val="28"/>
        </w:rPr>
        <w:t>У період 201</w:t>
      </w:r>
      <w:r>
        <w:rPr>
          <w:rFonts w:cs="Times New Roman"/>
          <w:szCs w:val="28"/>
        </w:rPr>
        <w:t>6</w:t>
      </w:r>
      <w:r w:rsidRPr="0024080D">
        <w:rPr>
          <w:rFonts w:cs="Times New Roman"/>
          <w:szCs w:val="28"/>
        </w:rPr>
        <w:t>–202</w:t>
      </w:r>
      <w:r>
        <w:rPr>
          <w:rFonts w:cs="Times New Roman"/>
          <w:szCs w:val="28"/>
        </w:rPr>
        <w:t>1</w:t>
      </w:r>
      <w:r w:rsidRPr="0024080D">
        <w:rPr>
          <w:rFonts w:cs="Times New Roman"/>
          <w:szCs w:val="28"/>
        </w:rPr>
        <w:t xml:space="preserve"> рр. </w:t>
      </w:r>
      <w:r>
        <w:rPr>
          <w:rFonts w:cs="Times New Roman"/>
          <w:szCs w:val="28"/>
        </w:rPr>
        <w:t>вона</w:t>
      </w:r>
      <w:r w:rsidR="004B3AED" w:rsidRPr="0024080D">
        <w:rPr>
          <w:rFonts w:cs="Times New Roman"/>
          <w:szCs w:val="28"/>
        </w:rPr>
        <w:t xml:space="preserve"> зросла з </w:t>
      </w:r>
      <w:r>
        <w:rPr>
          <w:rFonts w:cs="Times New Roman"/>
          <w:szCs w:val="28"/>
        </w:rPr>
        <w:t>62,4</w:t>
      </w:r>
      <w:r w:rsidR="004B3AED" w:rsidRPr="0024080D">
        <w:rPr>
          <w:rFonts w:cs="Times New Roman"/>
          <w:szCs w:val="28"/>
        </w:rPr>
        <w:t xml:space="preserve">% до </w:t>
      </w:r>
      <w:r>
        <w:rPr>
          <w:rFonts w:cs="Times New Roman"/>
          <w:szCs w:val="28"/>
        </w:rPr>
        <w:t>73,2</w:t>
      </w:r>
      <w:r w:rsidR="004B3AED" w:rsidRPr="0024080D">
        <w:rPr>
          <w:rFonts w:cs="Times New Roman"/>
          <w:szCs w:val="28"/>
        </w:rPr>
        <w:t xml:space="preserve">% </w:t>
      </w:r>
      <w:r>
        <w:rPr>
          <w:rFonts w:cs="Times New Roman"/>
          <w:szCs w:val="28"/>
        </w:rPr>
        <w:t>відповідно.</w:t>
      </w:r>
      <w:r w:rsidR="004B3AED" w:rsidRPr="0024080D">
        <w:rPr>
          <w:rFonts w:cs="Times New Roman"/>
          <w:szCs w:val="28"/>
        </w:rPr>
        <w:t xml:space="preserve"> (рисунок 3.9). </w:t>
      </w:r>
    </w:p>
    <w:p w14:paraId="67CEABD5" w14:textId="5316C716" w:rsidR="004B3AED" w:rsidRPr="0024080D" w:rsidRDefault="00B80C3F" w:rsidP="005F6C0F">
      <w:pPr>
        <w:widowControl w:val="0"/>
        <w:pBdr>
          <w:top w:val="nil"/>
          <w:left w:val="nil"/>
          <w:bottom w:val="nil"/>
          <w:right w:val="nil"/>
          <w:between w:val="nil"/>
        </w:pBdr>
        <w:tabs>
          <w:tab w:val="left" w:pos="8647"/>
        </w:tabs>
        <w:ind w:firstLine="0"/>
        <w:jc w:val="center"/>
        <w:rPr>
          <w:rFonts w:cs="Times New Roman"/>
          <w:szCs w:val="28"/>
        </w:rPr>
      </w:pPr>
      <w:r w:rsidRPr="00B80C3F">
        <w:rPr>
          <w:rFonts w:cs="Times New Roman"/>
          <w:noProof/>
          <w:szCs w:val="28"/>
        </w:rPr>
        <w:drawing>
          <wp:inline distT="0" distB="0" distL="0" distR="0" wp14:anchorId="2BE07D45" wp14:editId="192BAEAC">
            <wp:extent cx="5940425" cy="3314700"/>
            <wp:effectExtent l="0" t="0" r="3175" b="0"/>
            <wp:docPr id="151" name="Діаграма 151">
              <a:extLst xmlns:a="http://schemas.openxmlformats.org/drawingml/2006/main">
                <a:ext uri="{FF2B5EF4-FFF2-40B4-BE49-F238E27FC236}">
                  <a16:creationId xmlns:a16="http://schemas.microsoft.com/office/drawing/2014/main" id="{BC0E8380-C5BE-4469-BDB3-F46032957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A2FDC4" w14:textId="0670CDA4" w:rsidR="004B3AED" w:rsidRPr="0024080D" w:rsidRDefault="004B3AED" w:rsidP="005F6C0F">
      <w:pPr>
        <w:widowControl w:val="0"/>
        <w:pBdr>
          <w:top w:val="nil"/>
          <w:left w:val="nil"/>
          <w:bottom w:val="nil"/>
          <w:right w:val="nil"/>
          <w:between w:val="nil"/>
        </w:pBdr>
        <w:tabs>
          <w:tab w:val="left" w:pos="567"/>
        </w:tabs>
        <w:spacing w:before="120" w:after="120" w:line="233" w:lineRule="auto"/>
        <w:ind w:firstLine="0"/>
        <w:jc w:val="center"/>
        <w:rPr>
          <w:rFonts w:cs="Times New Roman"/>
          <w:b/>
          <w:szCs w:val="28"/>
        </w:rPr>
      </w:pPr>
      <w:r w:rsidRPr="0024080D">
        <w:rPr>
          <w:rFonts w:cs="Times New Roman"/>
          <w:b/>
          <w:szCs w:val="28"/>
        </w:rPr>
        <w:t>Рисунок </w:t>
      </w:r>
      <w:r w:rsidR="00E15F75">
        <w:rPr>
          <w:rFonts w:cs="Times New Roman"/>
          <w:b/>
          <w:szCs w:val="28"/>
        </w:rPr>
        <w:t>2.8</w:t>
      </w:r>
      <w:r w:rsidRPr="0024080D">
        <w:rPr>
          <w:rFonts w:cs="Times New Roman"/>
          <w:b/>
          <w:szCs w:val="28"/>
        </w:rPr>
        <w:t xml:space="preserve">. Реєстрація </w:t>
      </w:r>
      <w:proofErr w:type="spellStart"/>
      <w:r w:rsidRPr="0024080D">
        <w:rPr>
          <w:rFonts w:cs="Times New Roman"/>
          <w:b/>
          <w:szCs w:val="28"/>
        </w:rPr>
        <w:t>бактеріологічно</w:t>
      </w:r>
      <w:proofErr w:type="spellEnd"/>
      <w:r w:rsidRPr="0024080D">
        <w:rPr>
          <w:rFonts w:cs="Times New Roman"/>
          <w:b/>
          <w:szCs w:val="28"/>
        </w:rPr>
        <w:t xml:space="preserve"> підтверджених </w:t>
      </w:r>
      <w:r w:rsidRPr="0024080D">
        <w:rPr>
          <w:rFonts w:cs="Times New Roman"/>
          <w:b/>
          <w:szCs w:val="28"/>
        </w:rPr>
        <w:br/>
        <w:t xml:space="preserve">та клінічно </w:t>
      </w:r>
      <w:proofErr w:type="spellStart"/>
      <w:r w:rsidRPr="0024080D">
        <w:rPr>
          <w:rFonts w:cs="Times New Roman"/>
          <w:b/>
          <w:szCs w:val="28"/>
        </w:rPr>
        <w:t>діагностованих</w:t>
      </w:r>
      <w:proofErr w:type="spellEnd"/>
      <w:r w:rsidRPr="0024080D">
        <w:rPr>
          <w:rFonts w:cs="Times New Roman"/>
          <w:b/>
          <w:szCs w:val="28"/>
        </w:rPr>
        <w:t xml:space="preserve"> випадків ТБ (нові випадки і рецидиви)</w:t>
      </w:r>
      <w:r w:rsidRPr="0024080D">
        <w:rPr>
          <w:rFonts w:cs="Times New Roman"/>
          <w:b/>
          <w:szCs w:val="28"/>
        </w:rPr>
        <w:br/>
        <w:t xml:space="preserve">і частка </w:t>
      </w:r>
      <w:proofErr w:type="spellStart"/>
      <w:r w:rsidRPr="0024080D">
        <w:rPr>
          <w:rFonts w:cs="Times New Roman"/>
          <w:b/>
          <w:szCs w:val="28"/>
        </w:rPr>
        <w:t>бактеріологічно</w:t>
      </w:r>
      <w:proofErr w:type="spellEnd"/>
      <w:r w:rsidRPr="0024080D">
        <w:rPr>
          <w:rFonts w:cs="Times New Roman"/>
          <w:b/>
          <w:szCs w:val="28"/>
        </w:rPr>
        <w:t xml:space="preserve"> підтверджених випадків ТБ</w:t>
      </w:r>
      <w:r w:rsidR="0055278F">
        <w:rPr>
          <w:rFonts w:cs="Times New Roman"/>
          <w:b/>
          <w:szCs w:val="28"/>
        </w:rPr>
        <w:t>.</w:t>
      </w:r>
    </w:p>
    <w:p w14:paraId="4DEE54EB" w14:textId="57678C91" w:rsidR="004B3AED" w:rsidRPr="0024080D" w:rsidRDefault="004B3AED" w:rsidP="005F6C0F">
      <w:pPr>
        <w:widowControl w:val="0"/>
        <w:pBdr>
          <w:top w:val="nil"/>
          <w:left w:val="nil"/>
          <w:bottom w:val="nil"/>
          <w:right w:val="nil"/>
          <w:between w:val="nil"/>
        </w:pBdr>
        <w:spacing w:line="233" w:lineRule="auto"/>
        <w:rPr>
          <w:rFonts w:cs="Times New Roman"/>
          <w:szCs w:val="28"/>
        </w:rPr>
      </w:pPr>
      <w:r w:rsidRPr="00A9313B">
        <w:rPr>
          <w:rFonts w:cs="Times New Roman"/>
          <w:szCs w:val="28"/>
        </w:rPr>
        <w:t>У 202</w:t>
      </w:r>
      <w:r w:rsidR="00A9313B">
        <w:rPr>
          <w:rFonts w:cs="Times New Roman"/>
          <w:szCs w:val="28"/>
        </w:rPr>
        <w:t>1</w:t>
      </w:r>
      <w:r w:rsidRPr="00A9313B">
        <w:rPr>
          <w:rFonts w:cs="Times New Roman"/>
          <w:szCs w:val="28"/>
        </w:rPr>
        <w:t> р.</w:t>
      </w:r>
      <w:r w:rsidRPr="0024080D">
        <w:rPr>
          <w:rFonts w:cs="Times New Roman"/>
          <w:szCs w:val="28"/>
        </w:rPr>
        <w:t xml:space="preserve"> частка лабораторно підтверджених випадків ТБ варіювалася від </w:t>
      </w:r>
      <w:r w:rsidR="00A9313B">
        <w:rPr>
          <w:rFonts w:cs="Times New Roman"/>
          <w:szCs w:val="28"/>
        </w:rPr>
        <w:t>51,3</w:t>
      </w:r>
      <w:r w:rsidRPr="0024080D">
        <w:rPr>
          <w:rFonts w:cs="Times New Roman"/>
          <w:szCs w:val="28"/>
        </w:rPr>
        <w:t xml:space="preserve">% в Одеській до </w:t>
      </w:r>
      <w:r w:rsidR="00A9313B">
        <w:rPr>
          <w:rFonts w:cs="Times New Roman"/>
          <w:szCs w:val="28"/>
        </w:rPr>
        <w:t>90,8</w:t>
      </w:r>
      <w:r w:rsidRPr="0024080D">
        <w:rPr>
          <w:rFonts w:cs="Times New Roman"/>
          <w:szCs w:val="28"/>
        </w:rPr>
        <w:t xml:space="preserve">% у Волинській областях, що свідчить про деякі відмінності у практиці діагностики ТБ. Частково ця різниця пов’язана також з неоднорідністю поширеності ВІЛ-інфекції у країні. </w:t>
      </w:r>
    </w:p>
    <w:p w14:paraId="4B3C99DB" w14:textId="6FA33F47" w:rsidR="004B3AED" w:rsidRPr="0024080D" w:rsidRDefault="004B3AED" w:rsidP="005F6C0F">
      <w:pPr>
        <w:widowControl w:val="0"/>
        <w:pBdr>
          <w:top w:val="nil"/>
          <w:left w:val="nil"/>
          <w:bottom w:val="nil"/>
          <w:right w:val="nil"/>
          <w:between w:val="nil"/>
        </w:pBdr>
        <w:spacing w:after="120" w:line="233" w:lineRule="auto"/>
        <w:rPr>
          <w:rFonts w:cs="Times New Roman"/>
          <w:szCs w:val="28"/>
        </w:rPr>
      </w:pPr>
      <w:r w:rsidRPr="0024080D">
        <w:rPr>
          <w:rFonts w:cs="Times New Roman"/>
          <w:szCs w:val="28"/>
        </w:rPr>
        <w:t xml:space="preserve">З 25 областей у </w:t>
      </w:r>
      <w:r w:rsidR="00DE0FA3">
        <w:rPr>
          <w:rFonts w:cs="Times New Roman"/>
          <w:szCs w:val="28"/>
        </w:rPr>
        <w:t>20</w:t>
      </w:r>
      <w:r w:rsidRPr="0024080D">
        <w:rPr>
          <w:rFonts w:cs="Times New Roman"/>
          <w:szCs w:val="28"/>
        </w:rPr>
        <w:t xml:space="preserve"> відзначено збільшення частки </w:t>
      </w:r>
      <w:proofErr w:type="spellStart"/>
      <w:r w:rsidRPr="0024080D">
        <w:rPr>
          <w:rFonts w:cs="Times New Roman"/>
          <w:szCs w:val="28"/>
        </w:rPr>
        <w:t>бактеріологічно</w:t>
      </w:r>
      <w:proofErr w:type="spellEnd"/>
      <w:r w:rsidRPr="0024080D">
        <w:rPr>
          <w:rFonts w:cs="Times New Roman"/>
          <w:szCs w:val="28"/>
        </w:rPr>
        <w:t xml:space="preserve"> підтверджених випадків (понад 3%), в </w:t>
      </w:r>
      <w:r w:rsidR="00DE0FA3">
        <w:rPr>
          <w:rFonts w:cs="Times New Roman"/>
          <w:szCs w:val="28"/>
        </w:rPr>
        <w:t>двох</w:t>
      </w:r>
      <w:r w:rsidRPr="0024080D">
        <w:rPr>
          <w:rFonts w:cs="Times New Roman"/>
          <w:szCs w:val="28"/>
        </w:rPr>
        <w:t xml:space="preserve"> – без змін, у </w:t>
      </w:r>
      <w:r w:rsidR="00DE0FA3">
        <w:rPr>
          <w:rFonts w:cs="Times New Roman"/>
          <w:szCs w:val="28"/>
        </w:rPr>
        <w:t>трьох</w:t>
      </w:r>
      <w:r w:rsidRPr="0024080D">
        <w:rPr>
          <w:rFonts w:cs="Times New Roman"/>
          <w:szCs w:val="28"/>
        </w:rPr>
        <w:t xml:space="preserve"> (Одеська, </w:t>
      </w:r>
      <w:r w:rsidRPr="0024080D">
        <w:rPr>
          <w:rFonts w:cs="Times New Roman"/>
          <w:szCs w:val="28"/>
        </w:rPr>
        <w:lastRenderedPageBreak/>
        <w:t xml:space="preserve">Сумська та </w:t>
      </w:r>
      <w:r w:rsidR="00DE0FA3">
        <w:rPr>
          <w:rFonts w:cs="Times New Roman"/>
          <w:szCs w:val="28"/>
        </w:rPr>
        <w:t>Чернігівська</w:t>
      </w:r>
      <w:r w:rsidRPr="0024080D">
        <w:rPr>
          <w:rFonts w:cs="Times New Roman"/>
          <w:szCs w:val="28"/>
        </w:rPr>
        <w:t xml:space="preserve">) – частка </w:t>
      </w:r>
      <w:proofErr w:type="spellStart"/>
      <w:r w:rsidRPr="0024080D">
        <w:rPr>
          <w:rFonts w:cs="Times New Roman"/>
          <w:szCs w:val="28"/>
        </w:rPr>
        <w:t>бактеріологічно</w:t>
      </w:r>
      <w:proofErr w:type="spellEnd"/>
      <w:r w:rsidRPr="0024080D">
        <w:rPr>
          <w:rFonts w:cs="Times New Roman"/>
          <w:szCs w:val="28"/>
        </w:rPr>
        <w:t xml:space="preserve"> підтверджених випадків знизилася у 202</w:t>
      </w:r>
      <w:r w:rsidR="00DE0FA3">
        <w:rPr>
          <w:rFonts w:cs="Times New Roman"/>
          <w:szCs w:val="28"/>
        </w:rPr>
        <w:t>1</w:t>
      </w:r>
      <w:r w:rsidRPr="0024080D">
        <w:rPr>
          <w:rFonts w:cs="Times New Roman"/>
          <w:szCs w:val="28"/>
        </w:rPr>
        <w:t> р. порівняно до показників 201</w:t>
      </w:r>
      <w:r w:rsidR="00DE0FA3">
        <w:rPr>
          <w:rFonts w:cs="Times New Roman"/>
          <w:szCs w:val="28"/>
        </w:rPr>
        <w:t>6</w:t>
      </w:r>
      <w:r w:rsidRPr="0024080D">
        <w:rPr>
          <w:rFonts w:cs="Times New Roman"/>
          <w:szCs w:val="28"/>
        </w:rPr>
        <w:t xml:space="preserve"> р. (рисунок 3.10). </w:t>
      </w:r>
    </w:p>
    <w:p w14:paraId="6EE74245" w14:textId="6C287A57" w:rsidR="004B3AED" w:rsidRPr="0024080D" w:rsidRDefault="00DE0FA3" w:rsidP="004B3AED">
      <w:pPr>
        <w:widowControl w:val="0"/>
        <w:pBdr>
          <w:top w:val="nil"/>
          <w:left w:val="nil"/>
          <w:bottom w:val="nil"/>
          <w:right w:val="nil"/>
          <w:between w:val="nil"/>
        </w:pBdr>
        <w:ind w:firstLine="0"/>
        <w:jc w:val="center"/>
        <w:rPr>
          <w:rFonts w:cs="Times New Roman"/>
          <w:noProof/>
          <w:szCs w:val="28"/>
        </w:rPr>
      </w:pPr>
      <w:r w:rsidRPr="00DE0FA3">
        <w:rPr>
          <w:rFonts w:cs="Times New Roman"/>
          <w:noProof/>
          <w:szCs w:val="28"/>
        </w:rPr>
        <w:drawing>
          <wp:inline distT="0" distB="0" distL="0" distR="0" wp14:anchorId="67EA55A9" wp14:editId="0EE5D4C9">
            <wp:extent cx="5940425" cy="3295650"/>
            <wp:effectExtent l="0" t="0" r="0" b="0"/>
            <wp:docPr id="28" name="Діаграма 28">
              <a:extLst xmlns:a="http://schemas.openxmlformats.org/drawingml/2006/main">
                <a:ext uri="{FF2B5EF4-FFF2-40B4-BE49-F238E27FC236}">
                  <a16:creationId xmlns:a16="http://schemas.microsoft.com/office/drawing/2014/main" id="{5F7E2AB5-0DFA-4C09-8FC4-E9A6A8C67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E6377F" w14:textId="7A8371B2" w:rsidR="004B3AED" w:rsidRPr="0024080D" w:rsidRDefault="004B3AED" w:rsidP="001065DE">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E15F75">
        <w:rPr>
          <w:rFonts w:cs="Times New Roman"/>
          <w:b/>
          <w:szCs w:val="28"/>
        </w:rPr>
        <w:t>2.9</w:t>
      </w:r>
      <w:r w:rsidRPr="0024080D">
        <w:rPr>
          <w:rFonts w:cs="Times New Roman"/>
          <w:b/>
          <w:szCs w:val="28"/>
        </w:rPr>
        <w:t xml:space="preserve">. Частка </w:t>
      </w:r>
      <w:proofErr w:type="spellStart"/>
      <w:r w:rsidRPr="0024080D">
        <w:rPr>
          <w:rFonts w:cs="Times New Roman"/>
          <w:b/>
          <w:szCs w:val="28"/>
        </w:rPr>
        <w:t>бактеріологічно</w:t>
      </w:r>
      <w:proofErr w:type="spellEnd"/>
      <w:r w:rsidRPr="0024080D">
        <w:rPr>
          <w:rFonts w:cs="Times New Roman"/>
          <w:b/>
          <w:szCs w:val="28"/>
        </w:rPr>
        <w:t xml:space="preserve"> підтверджених </w:t>
      </w:r>
      <w:r w:rsidRPr="0024080D">
        <w:rPr>
          <w:rFonts w:cs="Times New Roman"/>
          <w:b/>
          <w:szCs w:val="28"/>
        </w:rPr>
        <w:br/>
        <w:t>випадків ТБ (нові випадки і рецидиви)</w:t>
      </w:r>
    </w:p>
    <w:p w14:paraId="72EBC24C" w14:textId="77777777" w:rsidR="004B3AED" w:rsidRPr="0024080D" w:rsidRDefault="004B3AED" w:rsidP="001065DE">
      <w:pPr>
        <w:pStyle w:val="4"/>
        <w:spacing w:line="252" w:lineRule="auto"/>
        <w:rPr>
          <w:b/>
        </w:rPr>
      </w:pPr>
      <w:bookmarkStart w:id="40" w:name="_Toc88088839"/>
      <w:bookmarkStart w:id="41" w:name="_Toc89149118"/>
      <w:r w:rsidRPr="0024080D">
        <w:t>Динаміка за локалізацією захворювання</w:t>
      </w:r>
      <w:bookmarkEnd w:id="40"/>
      <w:bookmarkEnd w:id="41"/>
      <w:r w:rsidRPr="0024080D">
        <w:t xml:space="preserve"> </w:t>
      </w:r>
    </w:p>
    <w:p w14:paraId="5989E288" w14:textId="08A6C816" w:rsidR="004B3AED" w:rsidRPr="0024080D" w:rsidRDefault="004B3AED" w:rsidP="001065DE">
      <w:pPr>
        <w:widowControl w:val="0"/>
        <w:pBdr>
          <w:top w:val="nil"/>
          <w:left w:val="nil"/>
          <w:bottom w:val="nil"/>
          <w:right w:val="nil"/>
          <w:between w:val="nil"/>
        </w:pBdr>
        <w:spacing w:after="120" w:line="252" w:lineRule="auto"/>
        <w:rPr>
          <w:rFonts w:cs="Times New Roman"/>
          <w:szCs w:val="28"/>
        </w:rPr>
      </w:pPr>
      <w:r w:rsidRPr="0024080D">
        <w:rPr>
          <w:rFonts w:cs="Times New Roman"/>
          <w:szCs w:val="28"/>
        </w:rPr>
        <w:t>У період з 201</w:t>
      </w:r>
      <w:r w:rsidR="007E5B99">
        <w:rPr>
          <w:rFonts w:cs="Times New Roman"/>
          <w:szCs w:val="28"/>
        </w:rPr>
        <w:t>6</w:t>
      </w:r>
      <w:r w:rsidRPr="0024080D">
        <w:rPr>
          <w:rFonts w:cs="Times New Roman"/>
          <w:szCs w:val="28"/>
        </w:rPr>
        <w:t xml:space="preserve"> по 202</w:t>
      </w:r>
      <w:r w:rsidR="007E5B99">
        <w:rPr>
          <w:rFonts w:cs="Times New Roman"/>
          <w:szCs w:val="28"/>
        </w:rPr>
        <w:t>1</w:t>
      </w:r>
      <w:r w:rsidRPr="0024080D">
        <w:rPr>
          <w:rFonts w:cs="Times New Roman"/>
          <w:szCs w:val="28"/>
        </w:rPr>
        <w:t xml:space="preserve"> рр. на фоні зменшення загальної кількості випадків ТБ відзначено тенденцію до зменшення кількості випадків </w:t>
      </w:r>
      <w:proofErr w:type="spellStart"/>
      <w:r w:rsidRPr="0024080D">
        <w:rPr>
          <w:rFonts w:cs="Times New Roman"/>
          <w:szCs w:val="28"/>
        </w:rPr>
        <w:t>позалегеневого</w:t>
      </w:r>
      <w:proofErr w:type="spellEnd"/>
      <w:r w:rsidRPr="0024080D">
        <w:rPr>
          <w:rFonts w:cs="Times New Roman"/>
          <w:szCs w:val="28"/>
        </w:rPr>
        <w:t xml:space="preserve"> ТБ у загальній структурі захворюваності з </w:t>
      </w:r>
      <w:r w:rsidR="007E5B99">
        <w:rPr>
          <w:rFonts w:cs="Times New Roman"/>
          <w:szCs w:val="28"/>
        </w:rPr>
        <w:t>9,3</w:t>
      </w:r>
      <w:r w:rsidRPr="0024080D">
        <w:rPr>
          <w:rFonts w:cs="Times New Roman"/>
          <w:szCs w:val="28"/>
        </w:rPr>
        <w:t>% у 201</w:t>
      </w:r>
      <w:r w:rsidR="007E5B99">
        <w:rPr>
          <w:rFonts w:cs="Times New Roman"/>
          <w:szCs w:val="28"/>
        </w:rPr>
        <w:t>6</w:t>
      </w:r>
      <w:r w:rsidRPr="0024080D">
        <w:rPr>
          <w:rFonts w:cs="Times New Roman"/>
          <w:szCs w:val="28"/>
        </w:rPr>
        <w:t> р. до 8,</w:t>
      </w:r>
      <w:r w:rsidR="007E5B99">
        <w:rPr>
          <w:rFonts w:cs="Times New Roman"/>
          <w:szCs w:val="28"/>
        </w:rPr>
        <w:t>5</w:t>
      </w:r>
      <w:r w:rsidRPr="0024080D">
        <w:rPr>
          <w:rFonts w:cs="Times New Roman"/>
          <w:szCs w:val="28"/>
        </w:rPr>
        <w:t>% у 202</w:t>
      </w:r>
      <w:r w:rsidR="007E5B99">
        <w:rPr>
          <w:rFonts w:cs="Times New Roman"/>
          <w:szCs w:val="28"/>
        </w:rPr>
        <w:t>1</w:t>
      </w:r>
      <w:r w:rsidRPr="0024080D">
        <w:rPr>
          <w:rFonts w:cs="Times New Roman"/>
          <w:szCs w:val="28"/>
        </w:rPr>
        <w:t xml:space="preserve"> р. </w:t>
      </w:r>
    </w:p>
    <w:p w14:paraId="19C45E17" w14:textId="4470FCD8" w:rsidR="004B3AED" w:rsidRPr="0024080D" w:rsidRDefault="007E5B99" w:rsidP="004B3AED">
      <w:pPr>
        <w:widowControl w:val="0"/>
        <w:pBdr>
          <w:top w:val="nil"/>
          <w:left w:val="nil"/>
          <w:bottom w:val="nil"/>
          <w:right w:val="nil"/>
          <w:between w:val="nil"/>
        </w:pBdr>
        <w:ind w:firstLine="0"/>
        <w:jc w:val="center"/>
        <w:rPr>
          <w:rFonts w:cs="Times New Roman"/>
          <w:szCs w:val="28"/>
        </w:rPr>
      </w:pPr>
      <w:r w:rsidRPr="007E5B99">
        <w:rPr>
          <w:rFonts w:cs="Times New Roman"/>
          <w:noProof/>
          <w:szCs w:val="28"/>
        </w:rPr>
        <w:drawing>
          <wp:inline distT="0" distB="0" distL="0" distR="0" wp14:anchorId="3DA0CA27" wp14:editId="2B38A647">
            <wp:extent cx="5940425" cy="3090545"/>
            <wp:effectExtent l="0" t="0" r="3175" b="0"/>
            <wp:docPr id="32" name="Діаграма 32">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5A544D" w14:textId="1B725C4B" w:rsidR="004B3AED" w:rsidRPr="0024080D" w:rsidRDefault="004B3AED" w:rsidP="001065DE">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E15F75">
        <w:rPr>
          <w:rFonts w:cs="Times New Roman"/>
          <w:b/>
          <w:szCs w:val="28"/>
        </w:rPr>
        <w:t>2.10</w:t>
      </w:r>
      <w:r w:rsidRPr="0024080D">
        <w:rPr>
          <w:rFonts w:cs="Times New Roman"/>
          <w:b/>
          <w:szCs w:val="28"/>
        </w:rPr>
        <w:t xml:space="preserve">. Динаміка реєстрації нових випадків і рецидивів </w:t>
      </w:r>
      <w:r w:rsidRPr="0024080D">
        <w:rPr>
          <w:rFonts w:cs="Times New Roman"/>
          <w:b/>
          <w:szCs w:val="28"/>
        </w:rPr>
        <w:br/>
        <w:t xml:space="preserve">легеневого і </w:t>
      </w:r>
      <w:proofErr w:type="spellStart"/>
      <w:r w:rsidRPr="0024080D">
        <w:rPr>
          <w:rFonts w:cs="Times New Roman"/>
          <w:b/>
          <w:szCs w:val="28"/>
        </w:rPr>
        <w:t>позалегеневого</w:t>
      </w:r>
      <w:proofErr w:type="spellEnd"/>
      <w:r w:rsidRPr="0024080D">
        <w:rPr>
          <w:rFonts w:cs="Times New Roman"/>
          <w:b/>
          <w:szCs w:val="28"/>
        </w:rPr>
        <w:t xml:space="preserve"> ТБ; частка випадків </w:t>
      </w:r>
      <w:proofErr w:type="spellStart"/>
      <w:r w:rsidRPr="0024080D">
        <w:rPr>
          <w:rFonts w:cs="Times New Roman"/>
          <w:b/>
          <w:szCs w:val="28"/>
        </w:rPr>
        <w:t>позалегеневого</w:t>
      </w:r>
      <w:proofErr w:type="spellEnd"/>
      <w:r w:rsidRPr="0024080D">
        <w:rPr>
          <w:rFonts w:cs="Times New Roman"/>
          <w:b/>
          <w:szCs w:val="28"/>
        </w:rPr>
        <w:t xml:space="preserve"> ТБ</w:t>
      </w:r>
    </w:p>
    <w:p w14:paraId="2D60CD70" w14:textId="64F0194C" w:rsidR="004B3AED" w:rsidRPr="0024080D" w:rsidRDefault="004B3AED" w:rsidP="001065DE">
      <w:pPr>
        <w:widowControl w:val="0"/>
        <w:pBdr>
          <w:top w:val="nil"/>
          <w:left w:val="nil"/>
          <w:bottom w:val="nil"/>
          <w:right w:val="nil"/>
          <w:between w:val="nil"/>
        </w:pBdr>
        <w:spacing w:line="252" w:lineRule="auto"/>
        <w:rPr>
          <w:rFonts w:cs="Times New Roman"/>
          <w:szCs w:val="28"/>
        </w:rPr>
      </w:pPr>
      <w:r w:rsidRPr="0024080D">
        <w:rPr>
          <w:rFonts w:cs="Times New Roman"/>
          <w:szCs w:val="28"/>
        </w:rPr>
        <w:lastRenderedPageBreak/>
        <w:t>У 202</w:t>
      </w:r>
      <w:r w:rsidR="00BB2275">
        <w:rPr>
          <w:rFonts w:cs="Times New Roman"/>
          <w:szCs w:val="28"/>
        </w:rPr>
        <w:t>1</w:t>
      </w:r>
      <w:r w:rsidRPr="0024080D">
        <w:rPr>
          <w:rFonts w:cs="Times New Roman"/>
          <w:szCs w:val="28"/>
        </w:rPr>
        <w:t xml:space="preserve"> р. частка випадків </w:t>
      </w:r>
      <w:proofErr w:type="spellStart"/>
      <w:r w:rsidRPr="0024080D">
        <w:rPr>
          <w:rFonts w:cs="Times New Roman"/>
          <w:szCs w:val="28"/>
        </w:rPr>
        <w:t>позалегеневого</w:t>
      </w:r>
      <w:proofErr w:type="spellEnd"/>
      <w:r w:rsidRPr="0024080D">
        <w:rPr>
          <w:rFonts w:cs="Times New Roman"/>
          <w:szCs w:val="28"/>
        </w:rPr>
        <w:t xml:space="preserve"> ТБ варіювала від 3,</w:t>
      </w:r>
      <w:r w:rsidR="00BB2275">
        <w:rPr>
          <w:rFonts w:cs="Times New Roman"/>
          <w:szCs w:val="28"/>
        </w:rPr>
        <w:t>7</w:t>
      </w:r>
      <w:r w:rsidRPr="0024080D">
        <w:rPr>
          <w:rFonts w:cs="Times New Roman"/>
          <w:szCs w:val="28"/>
        </w:rPr>
        <w:t>% у </w:t>
      </w:r>
      <w:r w:rsidR="00BB2275">
        <w:rPr>
          <w:rFonts w:cs="Times New Roman"/>
          <w:szCs w:val="28"/>
        </w:rPr>
        <w:t>Луганській</w:t>
      </w:r>
      <w:r w:rsidRPr="0024080D">
        <w:rPr>
          <w:rFonts w:cs="Times New Roman"/>
          <w:szCs w:val="28"/>
        </w:rPr>
        <w:t xml:space="preserve"> до </w:t>
      </w:r>
      <w:r w:rsidR="00BB2275">
        <w:rPr>
          <w:rFonts w:cs="Times New Roman"/>
          <w:szCs w:val="28"/>
        </w:rPr>
        <w:t>16,9</w:t>
      </w:r>
      <w:r w:rsidRPr="0024080D">
        <w:rPr>
          <w:rFonts w:cs="Times New Roman"/>
          <w:szCs w:val="28"/>
        </w:rPr>
        <w:t xml:space="preserve">% </w:t>
      </w:r>
      <w:r w:rsidR="00BB2275">
        <w:rPr>
          <w:rFonts w:cs="Times New Roman"/>
          <w:szCs w:val="28"/>
        </w:rPr>
        <w:t xml:space="preserve">У Волинській </w:t>
      </w:r>
      <w:r w:rsidRPr="0024080D">
        <w:rPr>
          <w:rFonts w:cs="Times New Roman"/>
          <w:szCs w:val="28"/>
        </w:rPr>
        <w:t xml:space="preserve">областях. Загалом, суттєвої зміни частки випадків </w:t>
      </w:r>
      <w:proofErr w:type="spellStart"/>
      <w:r w:rsidRPr="0024080D">
        <w:rPr>
          <w:rFonts w:cs="Times New Roman"/>
          <w:szCs w:val="28"/>
        </w:rPr>
        <w:t>позалегеневого</w:t>
      </w:r>
      <w:proofErr w:type="spellEnd"/>
      <w:r w:rsidRPr="0024080D">
        <w:rPr>
          <w:rFonts w:cs="Times New Roman"/>
          <w:szCs w:val="28"/>
        </w:rPr>
        <w:t xml:space="preserve"> ТБ не відзначено, що свідчить про загальну стабільність діагностики ТБ (рисунок 3.12). </w:t>
      </w:r>
    </w:p>
    <w:p w14:paraId="75B615C1" w14:textId="46B4E65E" w:rsidR="004B3AED" w:rsidRPr="0024080D" w:rsidRDefault="00BB2275" w:rsidP="004B3AED">
      <w:pPr>
        <w:widowControl w:val="0"/>
        <w:pBdr>
          <w:top w:val="nil"/>
          <w:left w:val="nil"/>
          <w:bottom w:val="nil"/>
          <w:right w:val="nil"/>
          <w:between w:val="nil"/>
        </w:pBdr>
        <w:ind w:firstLine="0"/>
        <w:jc w:val="center"/>
        <w:rPr>
          <w:rFonts w:cs="Times New Roman"/>
          <w:szCs w:val="28"/>
        </w:rPr>
      </w:pPr>
      <w:r w:rsidRPr="00BB2275">
        <w:rPr>
          <w:rFonts w:cs="Times New Roman"/>
          <w:noProof/>
          <w:szCs w:val="28"/>
        </w:rPr>
        <w:drawing>
          <wp:inline distT="0" distB="0" distL="0" distR="0" wp14:anchorId="24F67CF1" wp14:editId="7E80D188">
            <wp:extent cx="5940425" cy="2952750"/>
            <wp:effectExtent l="0" t="0" r="0" b="0"/>
            <wp:docPr id="41" name="Діаграма 41">
              <a:extLst xmlns:a="http://schemas.openxmlformats.org/drawingml/2006/main">
                <a:ext uri="{FF2B5EF4-FFF2-40B4-BE49-F238E27FC236}">
                  <a16:creationId xmlns:a16="http://schemas.microsoft.com/office/drawing/2014/main" id="{5F7E2AB5-0DFA-4C09-8FC4-E9A6A8C67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6D85AC" w14:textId="0F028F96" w:rsidR="004B3AED" w:rsidRPr="0024080D" w:rsidRDefault="004B3AED" w:rsidP="004B3AED">
      <w:pPr>
        <w:widowControl w:val="0"/>
        <w:pBdr>
          <w:top w:val="nil"/>
          <w:left w:val="nil"/>
          <w:bottom w:val="nil"/>
          <w:right w:val="nil"/>
          <w:between w:val="nil"/>
        </w:pBdr>
        <w:spacing w:before="120" w:after="100" w:afterAutospacing="1"/>
        <w:ind w:firstLine="0"/>
        <w:jc w:val="center"/>
        <w:rPr>
          <w:rFonts w:cs="Times New Roman"/>
          <w:b/>
          <w:szCs w:val="28"/>
        </w:rPr>
      </w:pPr>
      <w:r w:rsidRPr="0024080D">
        <w:rPr>
          <w:rFonts w:cs="Times New Roman"/>
          <w:b/>
          <w:szCs w:val="28"/>
        </w:rPr>
        <w:t>Рисунок </w:t>
      </w:r>
      <w:r w:rsidR="00E15F75">
        <w:rPr>
          <w:rFonts w:cs="Times New Roman"/>
          <w:b/>
          <w:szCs w:val="28"/>
        </w:rPr>
        <w:t>2.11</w:t>
      </w:r>
      <w:r w:rsidRPr="0024080D">
        <w:rPr>
          <w:rFonts w:cs="Times New Roman"/>
          <w:b/>
          <w:szCs w:val="28"/>
        </w:rPr>
        <w:t xml:space="preserve">. Частка випадків </w:t>
      </w:r>
      <w:proofErr w:type="spellStart"/>
      <w:r w:rsidRPr="0024080D">
        <w:rPr>
          <w:rFonts w:cs="Times New Roman"/>
          <w:b/>
          <w:szCs w:val="28"/>
        </w:rPr>
        <w:t>позалегеневого</w:t>
      </w:r>
      <w:proofErr w:type="spellEnd"/>
      <w:r w:rsidRPr="0024080D">
        <w:rPr>
          <w:rFonts w:cs="Times New Roman"/>
          <w:b/>
          <w:szCs w:val="28"/>
        </w:rPr>
        <w:t xml:space="preserve"> ТБ</w:t>
      </w:r>
      <w:r w:rsidRPr="0024080D">
        <w:rPr>
          <w:rFonts w:cs="Times New Roman"/>
          <w:b/>
          <w:szCs w:val="28"/>
        </w:rPr>
        <w:br/>
        <w:t>у 201</w:t>
      </w:r>
      <w:r w:rsidR="00BB2275">
        <w:rPr>
          <w:rFonts w:cs="Times New Roman"/>
          <w:b/>
          <w:szCs w:val="28"/>
        </w:rPr>
        <w:t>6</w:t>
      </w:r>
      <w:r w:rsidRPr="0024080D">
        <w:rPr>
          <w:rFonts w:cs="Times New Roman"/>
          <w:b/>
          <w:szCs w:val="28"/>
        </w:rPr>
        <w:t xml:space="preserve"> і 202</w:t>
      </w:r>
      <w:r w:rsidR="00BB2275">
        <w:rPr>
          <w:rFonts w:cs="Times New Roman"/>
          <w:b/>
          <w:szCs w:val="28"/>
        </w:rPr>
        <w:t>1</w:t>
      </w:r>
      <w:r w:rsidRPr="0024080D">
        <w:rPr>
          <w:rFonts w:cs="Times New Roman"/>
          <w:b/>
          <w:szCs w:val="28"/>
        </w:rPr>
        <w:t> рр. по регіонах</w:t>
      </w:r>
    </w:p>
    <w:p w14:paraId="35ADFB5D" w14:textId="77777777" w:rsidR="004B3AED" w:rsidRPr="0024080D" w:rsidRDefault="004B3AED" w:rsidP="004B3AED">
      <w:pPr>
        <w:pStyle w:val="4"/>
        <w:rPr>
          <w:b/>
        </w:rPr>
      </w:pPr>
      <w:bookmarkStart w:id="42" w:name="_Toc88088840"/>
      <w:bookmarkStart w:id="43" w:name="_Toc89149119"/>
      <w:r w:rsidRPr="0024080D">
        <w:t>Динаміка за історією лікування</w:t>
      </w:r>
      <w:bookmarkEnd w:id="42"/>
      <w:bookmarkEnd w:id="43"/>
      <w:r w:rsidRPr="0024080D">
        <w:t xml:space="preserve"> </w:t>
      </w:r>
    </w:p>
    <w:p w14:paraId="6E90FD7E" w14:textId="36E6B128" w:rsidR="004B3AED" w:rsidRPr="0024080D" w:rsidRDefault="004B3AED" w:rsidP="00C752BA">
      <w:pPr>
        <w:widowControl w:val="0"/>
        <w:pBdr>
          <w:top w:val="nil"/>
          <w:left w:val="nil"/>
          <w:bottom w:val="nil"/>
          <w:right w:val="nil"/>
          <w:between w:val="nil"/>
        </w:pBdr>
        <w:tabs>
          <w:tab w:val="left" w:pos="709"/>
          <w:tab w:val="left" w:pos="8647"/>
        </w:tabs>
        <w:spacing w:after="120"/>
        <w:rPr>
          <w:rFonts w:cs="Times New Roman"/>
          <w:szCs w:val="28"/>
        </w:rPr>
      </w:pPr>
      <w:r w:rsidRPr="0024080D">
        <w:rPr>
          <w:rFonts w:cs="Times New Roman"/>
          <w:szCs w:val="28"/>
        </w:rPr>
        <w:t xml:space="preserve">За останні шість років абсолютна кількість як нових випадків ТБ, так і </w:t>
      </w:r>
      <w:r w:rsidR="00495488">
        <w:rPr>
          <w:rFonts w:cs="Times New Roman"/>
          <w:szCs w:val="28"/>
        </w:rPr>
        <w:t>повторних випадків</w:t>
      </w:r>
      <w:r w:rsidRPr="0024080D">
        <w:rPr>
          <w:rFonts w:cs="Times New Roman"/>
          <w:szCs w:val="28"/>
        </w:rPr>
        <w:t xml:space="preserve"> захворювання знизилася. У період з 201</w:t>
      </w:r>
      <w:r w:rsidR="00495488">
        <w:rPr>
          <w:rFonts w:cs="Times New Roman"/>
          <w:szCs w:val="28"/>
        </w:rPr>
        <w:t>6</w:t>
      </w:r>
      <w:r w:rsidRPr="0024080D">
        <w:rPr>
          <w:rFonts w:cs="Times New Roman"/>
          <w:szCs w:val="28"/>
        </w:rPr>
        <w:t xml:space="preserve"> по 202</w:t>
      </w:r>
      <w:r w:rsidR="00495488">
        <w:rPr>
          <w:rFonts w:cs="Times New Roman"/>
          <w:szCs w:val="28"/>
        </w:rPr>
        <w:t>1</w:t>
      </w:r>
      <w:r w:rsidRPr="0024080D">
        <w:rPr>
          <w:rFonts w:cs="Times New Roman"/>
          <w:szCs w:val="28"/>
        </w:rPr>
        <w:t xml:space="preserve"> рр. відзначено більше зменшення частки повторно пролікованих пацієнтів, з </w:t>
      </w:r>
      <w:r w:rsidR="00495488">
        <w:rPr>
          <w:rFonts w:cs="Times New Roman"/>
          <w:szCs w:val="28"/>
        </w:rPr>
        <w:t>31,6</w:t>
      </w:r>
      <w:r w:rsidRPr="0024080D">
        <w:rPr>
          <w:rFonts w:cs="Times New Roman"/>
          <w:szCs w:val="28"/>
        </w:rPr>
        <w:t xml:space="preserve">% до </w:t>
      </w:r>
      <w:r w:rsidR="00495488">
        <w:rPr>
          <w:rFonts w:cs="Times New Roman"/>
          <w:szCs w:val="28"/>
        </w:rPr>
        <w:t>25,9</w:t>
      </w:r>
      <w:r w:rsidRPr="0024080D">
        <w:rPr>
          <w:rFonts w:cs="Times New Roman"/>
          <w:szCs w:val="28"/>
        </w:rPr>
        <w:t xml:space="preserve">% </w:t>
      </w:r>
      <w:r w:rsidR="00495488">
        <w:rPr>
          <w:rFonts w:cs="Times New Roman"/>
          <w:szCs w:val="28"/>
        </w:rPr>
        <w:t>відповідно.</w:t>
      </w:r>
      <w:r w:rsidRPr="0024080D">
        <w:rPr>
          <w:rFonts w:cs="Times New Roman"/>
          <w:szCs w:val="28"/>
        </w:rPr>
        <w:t xml:space="preserve"> (рисунок 3.13). </w:t>
      </w:r>
    </w:p>
    <w:p w14:paraId="4B59BB64" w14:textId="5735B9D2" w:rsidR="004B3AED" w:rsidRPr="0024080D" w:rsidRDefault="00495488" w:rsidP="004B3AED">
      <w:pPr>
        <w:widowControl w:val="0"/>
        <w:pBdr>
          <w:top w:val="nil"/>
          <w:left w:val="nil"/>
          <w:bottom w:val="nil"/>
          <w:right w:val="nil"/>
          <w:between w:val="nil"/>
        </w:pBdr>
        <w:ind w:firstLine="0"/>
        <w:jc w:val="center"/>
        <w:rPr>
          <w:rFonts w:cs="Times New Roman"/>
          <w:szCs w:val="28"/>
        </w:rPr>
      </w:pPr>
      <w:r w:rsidRPr="00495488">
        <w:rPr>
          <w:rFonts w:cs="Times New Roman"/>
          <w:noProof/>
          <w:szCs w:val="28"/>
        </w:rPr>
        <w:drawing>
          <wp:inline distT="0" distB="0" distL="0" distR="0" wp14:anchorId="432698BD" wp14:editId="7CFB4E42">
            <wp:extent cx="5940425" cy="3090545"/>
            <wp:effectExtent l="0" t="0" r="3175" b="0"/>
            <wp:docPr id="51" name="Діаграма 51">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76C577" w14:textId="3260F74B"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E15F75">
        <w:rPr>
          <w:rFonts w:cs="Times New Roman"/>
          <w:b/>
          <w:szCs w:val="28"/>
        </w:rPr>
        <w:t>2.12</w:t>
      </w:r>
      <w:r w:rsidRPr="0024080D">
        <w:rPr>
          <w:rFonts w:cs="Times New Roman"/>
          <w:b/>
          <w:szCs w:val="28"/>
        </w:rPr>
        <w:t xml:space="preserve">. Динаміка реєстрації нових і повторних випадків ТБ, </w:t>
      </w:r>
      <w:r w:rsidRPr="0024080D">
        <w:rPr>
          <w:rFonts w:cs="Times New Roman"/>
          <w:b/>
          <w:szCs w:val="28"/>
        </w:rPr>
        <w:br/>
        <w:t>а також частки повторного лікування серед усіх випадків ТБ</w:t>
      </w:r>
    </w:p>
    <w:p w14:paraId="038253C8" w14:textId="29FA88CB"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lastRenderedPageBreak/>
        <w:t xml:space="preserve">Частка виявлення повторних випадків за областями у 2020 р. незначною мірою варіюється: від </w:t>
      </w:r>
      <w:r w:rsidR="00353761">
        <w:rPr>
          <w:rFonts w:cs="Times New Roman"/>
          <w:szCs w:val="28"/>
        </w:rPr>
        <w:t>20,3</w:t>
      </w:r>
      <w:r w:rsidRPr="0024080D">
        <w:rPr>
          <w:rFonts w:cs="Times New Roman"/>
          <w:szCs w:val="28"/>
        </w:rPr>
        <w:t xml:space="preserve">% у </w:t>
      </w:r>
      <w:r w:rsidR="00353761">
        <w:rPr>
          <w:rFonts w:cs="Times New Roman"/>
          <w:szCs w:val="28"/>
        </w:rPr>
        <w:t>Луганській</w:t>
      </w:r>
      <w:r w:rsidRPr="0024080D">
        <w:rPr>
          <w:rFonts w:cs="Times New Roman"/>
          <w:szCs w:val="28"/>
        </w:rPr>
        <w:t xml:space="preserve"> області до </w:t>
      </w:r>
      <w:r w:rsidR="00353761">
        <w:rPr>
          <w:rFonts w:cs="Times New Roman"/>
          <w:szCs w:val="28"/>
        </w:rPr>
        <w:t>35,1</w:t>
      </w:r>
      <w:r w:rsidRPr="0024080D">
        <w:rPr>
          <w:rFonts w:cs="Times New Roman"/>
          <w:szCs w:val="28"/>
        </w:rPr>
        <w:t xml:space="preserve">% в </w:t>
      </w:r>
      <w:r w:rsidR="00353761">
        <w:rPr>
          <w:rFonts w:cs="Times New Roman"/>
          <w:szCs w:val="28"/>
        </w:rPr>
        <w:t>Херсонській</w:t>
      </w:r>
      <w:r w:rsidRPr="0024080D">
        <w:rPr>
          <w:rFonts w:cs="Times New Roman"/>
          <w:szCs w:val="28"/>
        </w:rPr>
        <w:t xml:space="preserve"> області (рисунок 3.14). Частково ці відмінності можна пояснити неоднорідністю ко</w:t>
      </w:r>
      <w:r w:rsidR="00353761">
        <w:rPr>
          <w:rFonts w:cs="Times New Roman"/>
          <w:szCs w:val="28"/>
        </w:rPr>
        <w:t>-</w:t>
      </w:r>
      <w:r w:rsidRPr="0024080D">
        <w:rPr>
          <w:rFonts w:cs="Times New Roman"/>
          <w:szCs w:val="28"/>
        </w:rPr>
        <w:t xml:space="preserve">інфекції ВІЛ/ТБ. Проте різкі коливання частки перехворілих в межах області обумовлює деяка нестабільність або зміни практики діагностики чи повідомлення про перехворілих. </w:t>
      </w:r>
    </w:p>
    <w:p w14:paraId="39D4C233" w14:textId="775397D1" w:rsidR="004B3AED" w:rsidRPr="0024080D" w:rsidRDefault="00353761" w:rsidP="004B3AED">
      <w:pPr>
        <w:widowControl w:val="0"/>
        <w:pBdr>
          <w:top w:val="nil"/>
          <w:left w:val="nil"/>
          <w:bottom w:val="nil"/>
          <w:right w:val="nil"/>
          <w:between w:val="nil"/>
        </w:pBdr>
        <w:ind w:firstLine="0"/>
        <w:jc w:val="center"/>
        <w:rPr>
          <w:rFonts w:cs="Times New Roman"/>
          <w:szCs w:val="28"/>
        </w:rPr>
      </w:pPr>
      <w:r w:rsidRPr="00353761">
        <w:rPr>
          <w:rFonts w:cs="Times New Roman"/>
          <w:noProof/>
          <w:szCs w:val="28"/>
        </w:rPr>
        <w:drawing>
          <wp:inline distT="0" distB="0" distL="0" distR="0" wp14:anchorId="5CF4147A" wp14:editId="1B30C5C2">
            <wp:extent cx="5940425" cy="2686050"/>
            <wp:effectExtent l="0" t="0" r="3175" b="0"/>
            <wp:docPr id="56" name="Діаграма 56">
              <a:extLst xmlns:a="http://schemas.openxmlformats.org/drawingml/2006/main">
                <a:ext uri="{FF2B5EF4-FFF2-40B4-BE49-F238E27FC236}">
                  <a16:creationId xmlns:a16="http://schemas.microsoft.com/office/drawing/2014/main" id="{5F7E2AB5-0DFA-4C09-8FC4-E9A6A8C67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2AEE41" w14:textId="645C5D48"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E15F75">
        <w:rPr>
          <w:rFonts w:cs="Times New Roman"/>
          <w:b/>
          <w:szCs w:val="28"/>
        </w:rPr>
        <w:t>2.13</w:t>
      </w:r>
      <w:r w:rsidRPr="0024080D">
        <w:rPr>
          <w:rFonts w:cs="Times New Roman"/>
          <w:b/>
          <w:szCs w:val="28"/>
        </w:rPr>
        <w:t>. Частка раніше пролікованих випадків ТБ</w:t>
      </w:r>
      <w:r w:rsidRPr="0024080D">
        <w:rPr>
          <w:rFonts w:cs="Times New Roman"/>
          <w:b/>
          <w:szCs w:val="28"/>
        </w:rPr>
        <w:br/>
        <w:t>по регіонах у 201</w:t>
      </w:r>
      <w:r w:rsidR="003D5DAC">
        <w:rPr>
          <w:rFonts w:cs="Times New Roman"/>
          <w:b/>
          <w:szCs w:val="28"/>
        </w:rPr>
        <w:t>6</w:t>
      </w:r>
      <w:r w:rsidRPr="0024080D">
        <w:rPr>
          <w:rFonts w:cs="Times New Roman"/>
          <w:b/>
          <w:szCs w:val="28"/>
        </w:rPr>
        <w:t xml:space="preserve"> і 202</w:t>
      </w:r>
      <w:r w:rsidR="003D5DAC">
        <w:rPr>
          <w:rFonts w:cs="Times New Roman"/>
          <w:b/>
          <w:szCs w:val="28"/>
        </w:rPr>
        <w:t>1</w:t>
      </w:r>
      <w:r w:rsidRPr="0024080D">
        <w:rPr>
          <w:rFonts w:cs="Times New Roman"/>
          <w:b/>
          <w:szCs w:val="28"/>
        </w:rPr>
        <w:t xml:space="preserve"> рр.</w:t>
      </w:r>
    </w:p>
    <w:p w14:paraId="3402F148" w14:textId="77777777" w:rsidR="004B3AED" w:rsidRPr="0024080D" w:rsidRDefault="004B3AED" w:rsidP="004B3AED">
      <w:pPr>
        <w:pStyle w:val="4"/>
        <w:rPr>
          <w:b/>
        </w:rPr>
      </w:pPr>
      <w:bookmarkStart w:id="44" w:name="_Toc88088841"/>
      <w:bookmarkStart w:id="45" w:name="_Toc89149120"/>
      <w:bookmarkStart w:id="46" w:name="_Hlk105765943"/>
      <w:r w:rsidRPr="0024080D">
        <w:t>Динаміка за повідомленнями про випадки ТБ у д</w:t>
      </w:r>
      <w:bookmarkEnd w:id="44"/>
      <w:r w:rsidRPr="0024080D">
        <w:t>ітей</w:t>
      </w:r>
      <w:bookmarkEnd w:id="45"/>
    </w:p>
    <w:p w14:paraId="6FEF1D70" w14:textId="6BF42627"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 xml:space="preserve">Абсолютне число випадків ТБ у дітей </w:t>
      </w:r>
      <w:r w:rsidR="00A1031E">
        <w:rPr>
          <w:rFonts w:cs="Times New Roman"/>
          <w:szCs w:val="28"/>
        </w:rPr>
        <w:t>збільшилось</w:t>
      </w:r>
      <w:r w:rsidRPr="0024080D">
        <w:rPr>
          <w:rFonts w:cs="Times New Roman"/>
          <w:szCs w:val="28"/>
        </w:rPr>
        <w:t xml:space="preserve"> з </w:t>
      </w:r>
      <w:r w:rsidR="00A1031E">
        <w:rPr>
          <w:rFonts w:cs="Times New Roman"/>
          <w:szCs w:val="28"/>
        </w:rPr>
        <w:t>377</w:t>
      </w:r>
      <w:r w:rsidRPr="0024080D">
        <w:rPr>
          <w:rFonts w:cs="Times New Roman"/>
          <w:szCs w:val="28"/>
        </w:rPr>
        <w:t xml:space="preserve"> до </w:t>
      </w:r>
      <w:r w:rsidR="00A1031E">
        <w:rPr>
          <w:rFonts w:cs="Times New Roman"/>
          <w:szCs w:val="28"/>
        </w:rPr>
        <w:t>463</w:t>
      </w:r>
      <w:r w:rsidRPr="0024080D">
        <w:rPr>
          <w:rFonts w:cs="Times New Roman"/>
          <w:szCs w:val="28"/>
        </w:rPr>
        <w:t xml:space="preserve"> порівняно до показників минулого року. Поряд зі </w:t>
      </w:r>
      <w:r w:rsidR="00A1031E">
        <w:rPr>
          <w:rFonts w:cs="Times New Roman"/>
          <w:szCs w:val="28"/>
        </w:rPr>
        <w:t>збільшенням</w:t>
      </w:r>
      <w:r w:rsidRPr="0024080D">
        <w:rPr>
          <w:rFonts w:cs="Times New Roman"/>
          <w:szCs w:val="28"/>
        </w:rPr>
        <w:t xml:space="preserve"> </w:t>
      </w:r>
      <w:r w:rsidR="00A1031E">
        <w:rPr>
          <w:rFonts w:cs="Times New Roman"/>
          <w:szCs w:val="28"/>
        </w:rPr>
        <w:t>абсолютної кількості</w:t>
      </w:r>
      <w:r w:rsidRPr="0024080D">
        <w:rPr>
          <w:rFonts w:cs="Times New Roman"/>
          <w:szCs w:val="28"/>
        </w:rPr>
        <w:t xml:space="preserve"> реєстрації нових випадків ТБ та рецидивів захворювання, відзначено збільшення </w:t>
      </w:r>
      <w:r w:rsidR="00A1031E">
        <w:rPr>
          <w:rFonts w:cs="Times New Roman"/>
          <w:szCs w:val="28"/>
        </w:rPr>
        <w:t xml:space="preserve">відсотка </w:t>
      </w:r>
      <w:r w:rsidRPr="0024080D">
        <w:rPr>
          <w:rFonts w:cs="Times New Roman"/>
          <w:szCs w:val="28"/>
        </w:rPr>
        <w:t xml:space="preserve">ТБ у дітей </w:t>
      </w:r>
      <w:r w:rsidR="009B50E3">
        <w:rPr>
          <w:rFonts w:cs="Times New Roman"/>
          <w:szCs w:val="28"/>
        </w:rPr>
        <w:t xml:space="preserve">серед загальної кількості випадків </w:t>
      </w:r>
      <w:r w:rsidRPr="0024080D">
        <w:rPr>
          <w:rFonts w:cs="Times New Roman"/>
          <w:szCs w:val="28"/>
        </w:rPr>
        <w:t xml:space="preserve">з </w:t>
      </w:r>
      <w:r w:rsidR="009B50E3">
        <w:rPr>
          <w:rFonts w:cs="Times New Roman"/>
          <w:szCs w:val="28"/>
        </w:rPr>
        <w:t>2,0</w:t>
      </w:r>
      <w:r w:rsidRPr="0024080D">
        <w:rPr>
          <w:rFonts w:cs="Times New Roman"/>
          <w:szCs w:val="28"/>
        </w:rPr>
        <w:t>% у 201</w:t>
      </w:r>
      <w:r w:rsidR="009B50E3">
        <w:rPr>
          <w:rFonts w:cs="Times New Roman"/>
          <w:szCs w:val="28"/>
        </w:rPr>
        <w:t>6</w:t>
      </w:r>
      <w:r w:rsidRPr="0024080D">
        <w:rPr>
          <w:rFonts w:cs="Times New Roman"/>
          <w:szCs w:val="28"/>
        </w:rPr>
        <w:t> р. до 2,</w:t>
      </w:r>
      <w:r w:rsidR="009B50E3">
        <w:rPr>
          <w:rFonts w:cs="Times New Roman"/>
          <w:szCs w:val="28"/>
        </w:rPr>
        <w:t>5</w:t>
      </w:r>
      <w:r w:rsidRPr="0024080D">
        <w:rPr>
          <w:rFonts w:cs="Times New Roman"/>
          <w:szCs w:val="28"/>
        </w:rPr>
        <w:t>% у 202</w:t>
      </w:r>
      <w:r w:rsidR="009B50E3">
        <w:rPr>
          <w:rFonts w:cs="Times New Roman"/>
          <w:szCs w:val="28"/>
        </w:rPr>
        <w:t>1</w:t>
      </w:r>
      <w:r w:rsidRPr="0024080D">
        <w:rPr>
          <w:rFonts w:cs="Times New Roman"/>
          <w:szCs w:val="28"/>
        </w:rPr>
        <w:t xml:space="preserve"> р. (рисунок 3.15). </w:t>
      </w:r>
    </w:p>
    <w:p w14:paraId="43493A10" w14:textId="7A363B79" w:rsidR="004B3AED" w:rsidRPr="0024080D" w:rsidRDefault="00A1031E" w:rsidP="004B3AED">
      <w:pPr>
        <w:widowControl w:val="0"/>
        <w:pBdr>
          <w:top w:val="nil"/>
          <w:left w:val="nil"/>
          <w:bottom w:val="nil"/>
          <w:right w:val="nil"/>
          <w:between w:val="nil"/>
        </w:pBdr>
        <w:ind w:firstLine="0"/>
        <w:jc w:val="center"/>
        <w:rPr>
          <w:rFonts w:cs="Times New Roman"/>
          <w:szCs w:val="28"/>
        </w:rPr>
      </w:pPr>
      <w:r w:rsidRPr="00A1031E">
        <w:rPr>
          <w:rFonts w:cs="Times New Roman"/>
          <w:noProof/>
          <w:szCs w:val="28"/>
        </w:rPr>
        <w:drawing>
          <wp:inline distT="0" distB="0" distL="0" distR="0" wp14:anchorId="0D947D62" wp14:editId="19AAB045">
            <wp:extent cx="5549900" cy="2614295"/>
            <wp:effectExtent l="0" t="0" r="0" b="0"/>
            <wp:docPr id="147" name="Діаграма 147">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4552B3" w14:textId="5CC9CEB6" w:rsidR="004B3AED" w:rsidRPr="0024080D" w:rsidRDefault="004B3AED" w:rsidP="00CC22BF">
      <w:pPr>
        <w:widowControl w:val="0"/>
        <w:pBdr>
          <w:top w:val="nil"/>
          <w:left w:val="nil"/>
          <w:bottom w:val="nil"/>
          <w:right w:val="nil"/>
          <w:between w:val="nil"/>
        </w:pBdr>
        <w:tabs>
          <w:tab w:val="left" w:pos="851"/>
        </w:tabs>
        <w:spacing w:before="120" w:after="120"/>
        <w:ind w:firstLine="0"/>
        <w:jc w:val="center"/>
        <w:rPr>
          <w:rFonts w:cs="Times New Roman"/>
          <w:b/>
          <w:szCs w:val="28"/>
        </w:rPr>
      </w:pPr>
      <w:r w:rsidRPr="0024080D">
        <w:rPr>
          <w:rFonts w:cs="Times New Roman"/>
          <w:b/>
          <w:szCs w:val="28"/>
        </w:rPr>
        <w:t>Рисунок </w:t>
      </w:r>
      <w:r w:rsidR="00E15F75">
        <w:rPr>
          <w:rFonts w:cs="Times New Roman"/>
          <w:b/>
          <w:szCs w:val="28"/>
        </w:rPr>
        <w:t>2.14</w:t>
      </w:r>
      <w:r w:rsidRPr="0024080D">
        <w:rPr>
          <w:rFonts w:cs="Times New Roman"/>
          <w:b/>
          <w:szCs w:val="28"/>
        </w:rPr>
        <w:t xml:space="preserve">. Кількість і відсоток випадків ТБ </w:t>
      </w:r>
      <w:r w:rsidRPr="0024080D">
        <w:rPr>
          <w:rFonts w:cs="Times New Roman"/>
          <w:b/>
          <w:szCs w:val="28"/>
        </w:rPr>
        <w:br/>
        <w:t xml:space="preserve">у дітей віком </w:t>
      </w:r>
      <w:r w:rsidR="002A43EA" w:rsidRPr="0024080D">
        <w:rPr>
          <w:rFonts w:cs="Times New Roman"/>
          <w:b/>
          <w:szCs w:val="28"/>
        </w:rPr>
        <w:t>0–</w:t>
      </w:r>
      <w:r w:rsidRPr="0024080D">
        <w:rPr>
          <w:rFonts w:cs="Times New Roman"/>
          <w:b/>
          <w:szCs w:val="28"/>
        </w:rPr>
        <w:t xml:space="preserve">14 років (нових та рецидивів) </w:t>
      </w:r>
      <w:r w:rsidRPr="0024080D">
        <w:rPr>
          <w:rFonts w:cs="Times New Roman"/>
          <w:b/>
          <w:szCs w:val="28"/>
        </w:rPr>
        <w:br/>
        <w:t>серед загальної кількості випадків ТБ</w:t>
      </w:r>
    </w:p>
    <w:p w14:paraId="5D828387" w14:textId="77777777"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lastRenderedPageBreak/>
        <w:t xml:space="preserve">Часто ТБ не розглядають як можливий діагноз при дитячих захворюваннях, тому він залишається невиявленим. Важко встановити остаточний діагноз ТБ у дітей, оскільки він </w:t>
      </w:r>
      <w:proofErr w:type="spellStart"/>
      <w:r w:rsidRPr="0024080D">
        <w:rPr>
          <w:rFonts w:cs="Times New Roman"/>
          <w:szCs w:val="28"/>
        </w:rPr>
        <w:t>рідко</w:t>
      </w:r>
      <w:proofErr w:type="spellEnd"/>
      <w:r w:rsidRPr="0024080D">
        <w:rPr>
          <w:rFonts w:cs="Times New Roman"/>
          <w:szCs w:val="28"/>
        </w:rPr>
        <w:t xml:space="preserve"> підтверджується </w:t>
      </w:r>
      <w:proofErr w:type="spellStart"/>
      <w:r w:rsidRPr="0024080D">
        <w:rPr>
          <w:rFonts w:cs="Times New Roman"/>
          <w:szCs w:val="28"/>
        </w:rPr>
        <w:t>бактеріологічно</w:t>
      </w:r>
      <w:proofErr w:type="spellEnd"/>
      <w:r w:rsidRPr="0024080D">
        <w:rPr>
          <w:rFonts w:cs="Times New Roman"/>
          <w:szCs w:val="28"/>
        </w:rPr>
        <w:t xml:space="preserve">. Фактичні дані свідчать про те, що у країнах з епідемією ТБ, зокрема в Україні, де відзначають найвищий рівень реєстрації випадків серед молодих вікових груп, а рівень розвитку економіки є невисоким (низький і середній рівень доходу), очікувана частка випадків ТБ у дітей має становити від 5 до 10%. </w:t>
      </w:r>
    </w:p>
    <w:p w14:paraId="72FCBE76" w14:textId="77777777"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 xml:space="preserve">Частка нижче 5% передбачає неповний діагноз або неповну звітність про випадки ТБ у дітей. Оскільки останнім часом частка випадків ТБ у дітей на національному рівні постійно була нижчою за очікуваний рівень (принаймні, 5%), можна припустити, що Україна потребує покращення діагностики ТБ у дітей. При спостереженні за часткою випадків ТБ у дітей з розподілом за областями було виявлено досить різкі </w:t>
      </w:r>
      <w:proofErr w:type="spellStart"/>
      <w:r w:rsidRPr="0024080D">
        <w:rPr>
          <w:rFonts w:cs="Times New Roman"/>
          <w:szCs w:val="28"/>
        </w:rPr>
        <w:t>міжрічні</w:t>
      </w:r>
      <w:proofErr w:type="spellEnd"/>
      <w:r w:rsidRPr="0024080D">
        <w:rPr>
          <w:rFonts w:cs="Times New Roman"/>
          <w:szCs w:val="28"/>
        </w:rPr>
        <w:t xml:space="preserve"> коливання у процентному відношенні випадків ТБ у дітей, що свідчить про непостійність спостереження за динамікою діагностики цього показника. </w:t>
      </w:r>
    </w:p>
    <w:p w14:paraId="6523AEB3" w14:textId="3C441719"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На регіональному рівні частка виявлення випадків ТБ у дітей у 202</w:t>
      </w:r>
      <w:r w:rsidR="007A22B6">
        <w:rPr>
          <w:rFonts w:cs="Times New Roman"/>
          <w:szCs w:val="28"/>
        </w:rPr>
        <w:t>1</w:t>
      </w:r>
      <w:r w:rsidRPr="0024080D">
        <w:rPr>
          <w:rFonts w:cs="Times New Roman"/>
          <w:szCs w:val="28"/>
        </w:rPr>
        <w:t xml:space="preserve"> р. коливалася від 0% у </w:t>
      </w:r>
      <w:r w:rsidR="007A22B6">
        <w:rPr>
          <w:rFonts w:cs="Times New Roman"/>
          <w:szCs w:val="28"/>
        </w:rPr>
        <w:t>Тернопільській</w:t>
      </w:r>
      <w:r w:rsidRPr="0024080D">
        <w:rPr>
          <w:rFonts w:cs="Times New Roman"/>
          <w:szCs w:val="28"/>
        </w:rPr>
        <w:t xml:space="preserve"> області до </w:t>
      </w:r>
      <w:r w:rsidR="007A22B6">
        <w:rPr>
          <w:rFonts w:cs="Times New Roman"/>
          <w:szCs w:val="28"/>
        </w:rPr>
        <w:t>7,6</w:t>
      </w:r>
      <w:r w:rsidRPr="0024080D">
        <w:rPr>
          <w:rFonts w:cs="Times New Roman"/>
          <w:szCs w:val="28"/>
        </w:rPr>
        <w:t>% у Запорізькій області. У </w:t>
      </w:r>
      <w:r w:rsidR="007603D1">
        <w:rPr>
          <w:rFonts w:cs="Times New Roman"/>
          <w:szCs w:val="28"/>
        </w:rPr>
        <w:t>восьми</w:t>
      </w:r>
      <w:r w:rsidRPr="0024080D">
        <w:rPr>
          <w:rFonts w:cs="Times New Roman"/>
          <w:szCs w:val="28"/>
        </w:rPr>
        <w:t xml:space="preserve"> областях частка виявлення випадків ТБ у дітей знизилася, у </w:t>
      </w:r>
      <w:r w:rsidR="00FB2448">
        <w:rPr>
          <w:rFonts w:cs="Times New Roman"/>
          <w:szCs w:val="28"/>
        </w:rPr>
        <w:t>п’яти</w:t>
      </w:r>
      <w:r w:rsidRPr="0024080D">
        <w:rPr>
          <w:rFonts w:cs="Times New Roman"/>
          <w:szCs w:val="28"/>
        </w:rPr>
        <w:t xml:space="preserve"> – залишилася здебільшого стабільною, а у 1</w:t>
      </w:r>
      <w:r w:rsidR="00FB2448">
        <w:rPr>
          <w:rFonts w:cs="Times New Roman"/>
          <w:szCs w:val="28"/>
        </w:rPr>
        <w:t>2</w:t>
      </w:r>
      <w:r w:rsidRPr="0024080D">
        <w:rPr>
          <w:rFonts w:cs="Times New Roman"/>
          <w:szCs w:val="28"/>
        </w:rPr>
        <w:t xml:space="preserve"> </w:t>
      </w:r>
      <w:r w:rsidR="00FB2448">
        <w:rPr>
          <w:rFonts w:cs="Times New Roman"/>
          <w:szCs w:val="28"/>
        </w:rPr>
        <w:t>регіонах</w:t>
      </w:r>
      <w:r w:rsidRPr="0024080D">
        <w:rPr>
          <w:rFonts w:cs="Times New Roman"/>
          <w:szCs w:val="28"/>
        </w:rPr>
        <w:t xml:space="preserve"> – збільшилася, ймовірніше, через покращення діагностики ТБ у дітей.</w:t>
      </w:r>
    </w:p>
    <w:p w14:paraId="24F1F035" w14:textId="5686A7EC" w:rsidR="004B3AED" w:rsidRPr="0024080D" w:rsidRDefault="00EF0B16" w:rsidP="004B3AED">
      <w:pPr>
        <w:widowControl w:val="0"/>
        <w:pBdr>
          <w:top w:val="nil"/>
          <w:left w:val="nil"/>
          <w:bottom w:val="nil"/>
          <w:right w:val="nil"/>
          <w:between w:val="nil"/>
        </w:pBdr>
        <w:ind w:firstLine="0"/>
        <w:jc w:val="center"/>
        <w:rPr>
          <w:rFonts w:cs="Times New Roman"/>
          <w:szCs w:val="28"/>
        </w:rPr>
      </w:pPr>
      <w:r w:rsidRPr="00EF0B16">
        <w:rPr>
          <w:rFonts w:cs="Times New Roman"/>
          <w:noProof/>
          <w:szCs w:val="28"/>
        </w:rPr>
        <w:drawing>
          <wp:inline distT="0" distB="0" distL="0" distR="0" wp14:anchorId="06E4EA98" wp14:editId="398B2AE4">
            <wp:extent cx="5940425" cy="3105150"/>
            <wp:effectExtent l="0" t="0" r="3175" b="0"/>
            <wp:docPr id="148" name="Діаграма 148">
              <a:extLst xmlns:a="http://schemas.openxmlformats.org/drawingml/2006/main">
                <a:ext uri="{FF2B5EF4-FFF2-40B4-BE49-F238E27FC236}">
                  <a16:creationId xmlns:a16="http://schemas.microsoft.com/office/drawing/2014/main" id="{5F7E2AB5-0DFA-4C09-8FC4-E9A6A8C67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98D94C" w14:textId="705609D5"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E15F75">
        <w:rPr>
          <w:rFonts w:cs="Times New Roman"/>
          <w:b/>
          <w:szCs w:val="28"/>
        </w:rPr>
        <w:t>2.15</w:t>
      </w:r>
      <w:r w:rsidRPr="0024080D">
        <w:rPr>
          <w:rFonts w:cs="Times New Roman"/>
          <w:b/>
          <w:szCs w:val="28"/>
        </w:rPr>
        <w:t xml:space="preserve">. Частка випадків ТБ у дітей </w:t>
      </w:r>
      <w:r w:rsidRPr="0024080D">
        <w:rPr>
          <w:rFonts w:cs="Times New Roman"/>
          <w:b/>
          <w:szCs w:val="28"/>
        </w:rPr>
        <w:br/>
        <w:t xml:space="preserve">(нові випадки і рецидиви захворювання) </w:t>
      </w:r>
      <w:r w:rsidRPr="0024080D">
        <w:rPr>
          <w:rFonts w:cs="Times New Roman"/>
          <w:b/>
          <w:szCs w:val="28"/>
        </w:rPr>
        <w:br/>
        <w:t>по регіонах у 201</w:t>
      </w:r>
      <w:r w:rsidR="001051E9">
        <w:rPr>
          <w:rFonts w:cs="Times New Roman"/>
          <w:b/>
          <w:szCs w:val="28"/>
        </w:rPr>
        <w:t>6</w:t>
      </w:r>
      <w:r w:rsidRPr="0024080D">
        <w:rPr>
          <w:rFonts w:cs="Times New Roman"/>
          <w:b/>
          <w:szCs w:val="28"/>
        </w:rPr>
        <w:t xml:space="preserve"> і 202</w:t>
      </w:r>
      <w:r w:rsidR="001051E9">
        <w:rPr>
          <w:rFonts w:cs="Times New Roman"/>
          <w:b/>
          <w:szCs w:val="28"/>
        </w:rPr>
        <w:t>1</w:t>
      </w:r>
      <w:r w:rsidRPr="0024080D">
        <w:rPr>
          <w:rFonts w:cs="Times New Roman"/>
          <w:b/>
          <w:szCs w:val="28"/>
        </w:rPr>
        <w:t xml:space="preserve"> рр. </w:t>
      </w:r>
    </w:p>
    <w:p w14:paraId="382DDE1B" w14:textId="04C1A483" w:rsidR="004B3AED" w:rsidRPr="0024080D" w:rsidRDefault="004B3AED" w:rsidP="005E7BFC">
      <w:pPr>
        <w:widowControl w:val="0"/>
        <w:pBdr>
          <w:top w:val="nil"/>
          <w:left w:val="nil"/>
          <w:bottom w:val="nil"/>
          <w:right w:val="nil"/>
          <w:between w:val="nil"/>
        </w:pBdr>
        <w:spacing w:line="250" w:lineRule="auto"/>
        <w:rPr>
          <w:rFonts w:cs="Times New Roman"/>
          <w:szCs w:val="28"/>
        </w:rPr>
      </w:pPr>
      <w:r w:rsidRPr="0024080D">
        <w:rPr>
          <w:rFonts w:cs="Times New Roman"/>
          <w:spacing w:val="-2"/>
          <w:szCs w:val="28"/>
        </w:rPr>
        <w:t xml:space="preserve">Дані епіднагляду щодо дітей, у яких виявлено ТБ, вважають </w:t>
      </w:r>
      <w:proofErr w:type="spellStart"/>
      <w:r w:rsidRPr="0024080D">
        <w:rPr>
          <w:rFonts w:cs="Times New Roman"/>
          <w:spacing w:val="-2"/>
          <w:szCs w:val="28"/>
        </w:rPr>
        <w:t>надійними</w:t>
      </w:r>
      <w:proofErr w:type="spellEnd"/>
      <w:r w:rsidRPr="0024080D">
        <w:rPr>
          <w:rFonts w:cs="Times New Roman"/>
          <w:spacing w:val="-2"/>
          <w:szCs w:val="28"/>
        </w:rPr>
        <w:t xml:space="preserve"> і точними, а про всі випадки ТБ у дітей звітують, якщо співвідношення вікових груп 0–4 роки до 5–14 років перебуває у діапазоні 1,5–3,0. У 201</w:t>
      </w:r>
      <w:r w:rsidR="003D5DAC">
        <w:rPr>
          <w:rFonts w:cs="Times New Roman"/>
          <w:spacing w:val="-2"/>
          <w:szCs w:val="28"/>
        </w:rPr>
        <w:t>6</w:t>
      </w:r>
      <w:r w:rsidRPr="0024080D">
        <w:rPr>
          <w:rFonts w:cs="Times New Roman"/>
          <w:spacing w:val="-2"/>
          <w:szCs w:val="28"/>
        </w:rPr>
        <w:t>–202</w:t>
      </w:r>
      <w:r w:rsidR="001051E9">
        <w:rPr>
          <w:rFonts w:cs="Times New Roman"/>
          <w:spacing w:val="-2"/>
          <w:szCs w:val="28"/>
        </w:rPr>
        <w:t>1</w:t>
      </w:r>
      <w:r w:rsidRPr="0024080D">
        <w:rPr>
          <w:rFonts w:cs="Times New Roman"/>
          <w:spacing w:val="-2"/>
          <w:szCs w:val="28"/>
        </w:rPr>
        <w:t xml:space="preserve"> рр. співвідношення вікових груп 0–4 роки до 5–14 років становило 0,9–0,3. </w:t>
      </w:r>
    </w:p>
    <w:p w14:paraId="52AE777E" w14:textId="77777777" w:rsidR="004B3AED" w:rsidRPr="0024080D" w:rsidRDefault="004B3AED" w:rsidP="004B3AED">
      <w:pPr>
        <w:widowControl w:val="0"/>
        <w:pBdr>
          <w:top w:val="nil"/>
          <w:left w:val="nil"/>
          <w:bottom w:val="nil"/>
          <w:right w:val="nil"/>
          <w:between w:val="nil"/>
        </w:pBdr>
        <w:spacing w:after="120"/>
        <w:ind w:firstLine="0"/>
        <w:jc w:val="center"/>
        <w:rPr>
          <w:rFonts w:cs="Times New Roman"/>
          <w:szCs w:val="28"/>
        </w:rPr>
      </w:pPr>
      <w:r w:rsidRPr="0024080D">
        <w:rPr>
          <w:rFonts w:cs="Times New Roman"/>
          <w:noProof/>
          <w:szCs w:val="28"/>
        </w:rPr>
        <w:lastRenderedPageBreak/>
        <w:drawing>
          <wp:inline distT="0" distB="0" distL="0" distR="0" wp14:anchorId="0C97ED0E" wp14:editId="0CE907F8">
            <wp:extent cx="4802588" cy="1908313"/>
            <wp:effectExtent l="0" t="0" r="17145" b="15875"/>
            <wp:docPr id="33" name="Диаграмма 6">
              <a:extLst xmlns:a="http://schemas.openxmlformats.org/drawingml/2006/main">
                <a:ext uri="{FF2B5EF4-FFF2-40B4-BE49-F238E27FC236}">
                  <a16:creationId xmlns:a16="http://schemas.microsoft.com/office/drawing/2014/main" id="{38A8B211-1221-4A65-8F48-C2A199CF5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2AF3C5" w14:textId="3D51D00E" w:rsidR="004B3AED" w:rsidRPr="0024080D" w:rsidRDefault="004B3AED" w:rsidP="00CC22BF">
      <w:pPr>
        <w:widowControl w:val="0"/>
        <w:pBdr>
          <w:top w:val="nil"/>
          <w:left w:val="nil"/>
          <w:bottom w:val="nil"/>
          <w:right w:val="nil"/>
          <w:between w:val="nil"/>
        </w:pBdr>
        <w:tabs>
          <w:tab w:val="left" w:pos="709"/>
          <w:tab w:val="left" w:pos="8222"/>
          <w:tab w:val="left" w:pos="8505"/>
        </w:tabs>
        <w:spacing w:line="250" w:lineRule="auto"/>
        <w:ind w:firstLine="0"/>
        <w:jc w:val="center"/>
        <w:rPr>
          <w:rFonts w:cs="Times New Roman"/>
          <w:b/>
          <w:szCs w:val="28"/>
        </w:rPr>
      </w:pPr>
      <w:r w:rsidRPr="0024080D">
        <w:rPr>
          <w:rFonts w:cs="Times New Roman"/>
          <w:b/>
          <w:szCs w:val="28"/>
        </w:rPr>
        <w:t>Рисунок </w:t>
      </w:r>
      <w:r w:rsidR="00E15F75">
        <w:rPr>
          <w:rFonts w:cs="Times New Roman"/>
          <w:b/>
          <w:szCs w:val="28"/>
        </w:rPr>
        <w:t>2.16</w:t>
      </w:r>
      <w:r w:rsidRPr="0024080D">
        <w:rPr>
          <w:rFonts w:cs="Times New Roman"/>
          <w:b/>
          <w:szCs w:val="28"/>
        </w:rPr>
        <w:t>. Співвідношення вікових груп 0–4 роки до 5–14 років</w:t>
      </w:r>
      <w:r w:rsidRPr="0024080D">
        <w:rPr>
          <w:rFonts w:cs="Times New Roman"/>
          <w:b/>
          <w:szCs w:val="28"/>
        </w:rPr>
        <w:br/>
        <w:t>серед дітей</w:t>
      </w:r>
      <w:r w:rsidR="00CC22BF" w:rsidRPr="0024080D">
        <w:rPr>
          <w:rFonts w:cs="Times New Roman"/>
          <w:b/>
          <w:szCs w:val="28"/>
        </w:rPr>
        <w:t>, хворих на ТБ, в Україні, 201</w:t>
      </w:r>
      <w:r w:rsidR="00A22E99">
        <w:rPr>
          <w:rFonts w:cs="Times New Roman"/>
          <w:b/>
          <w:szCs w:val="28"/>
        </w:rPr>
        <w:t>6</w:t>
      </w:r>
      <w:r w:rsidR="00CC22BF" w:rsidRPr="0024080D">
        <w:rPr>
          <w:rFonts w:cs="Times New Roman"/>
          <w:b/>
          <w:szCs w:val="28"/>
        </w:rPr>
        <w:t>–</w:t>
      </w:r>
      <w:r w:rsidRPr="0024080D">
        <w:rPr>
          <w:rFonts w:cs="Times New Roman"/>
          <w:b/>
          <w:szCs w:val="28"/>
        </w:rPr>
        <w:t>202</w:t>
      </w:r>
      <w:r w:rsidR="00A22E99">
        <w:rPr>
          <w:rFonts w:cs="Times New Roman"/>
          <w:b/>
          <w:szCs w:val="28"/>
        </w:rPr>
        <w:t>1</w:t>
      </w:r>
      <w:r w:rsidRPr="0024080D">
        <w:rPr>
          <w:rFonts w:cs="Times New Roman"/>
          <w:b/>
          <w:szCs w:val="28"/>
        </w:rPr>
        <w:t> рр.</w:t>
      </w:r>
    </w:p>
    <w:p w14:paraId="49EBA5AA" w14:textId="5A42897A" w:rsidR="005E7BFC" w:rsidRPr="0024080D" w:rsidRDefault="005E7BFC" w:rsidP="005E7BFC">
      <w:pPr>
        <w:widowControl w:val="0"/>
        <w:pBdr>
          <w:top w:val="nil"/>
          <w:left w:val="nil"/>
          <w:bottom w:val="nil"/>
          <w:right w:val="nil"/>
          <w:between w:val="nil"/>
        </w:pBdr>
        <w:spacing w:line="250" w:lineRule="auto"/>
        <w:rPr>
          <w:rFonts w:cs="Times New Roman"/>
          <w:spacing w:val="-2"/>
          <w:szCs w:val="28"/>
        </w:rPr>
      </w:pPr>
      <w:bookmarkStart w:id="47" w:name="_Toc88088842"/>
      <w:bookmarkStart w:id="48" w:name="_Toc89149121"/>
      <w:r w:rsidRPr="0024080D">
        <w:rPr>
          <w:rFonts w:cs="Times New Roman"/>
          <w:spacing w:val="-2"/>
          <w:szCs w:val="28"/>
        </w:rPr>
        <w:t xml:space="preserve">За поточними статистичними даними відзначено </w:t>
      </w:r>
      <w:r>
        <w:rPr>
          <w:rFonts w:cs="Times New Roman"/>
          <w:spacing w:val="-2"/>
          <w:szCs w:val="28"/>
        </w:rPr>
        <w:t>збільшення</w:t>
      </w:r>
      <w:r w:rsidRPr="0024080D">
        <w:rPr>
          <w:rFonts w:cs="Times New Roman"/>
          <w:spacing w:val="-2"/>
          <w:szCs w:val="28"/>
        </w:rPr>
        <w:t xml:space="preserve"> частки випадків ТБ у дітей (віком до 17 років) серед усіх нових випадків ТБ та рецидивів захворювання: у 202</w:t>
      </w:r>
      <w:r>
        <w:rPr>
          <w:rFonts w:cs="Times New Roman"/>
          <w:spacing w:val="-2"/>
          <w:szCs w:val="28"/>
        </w:rPr>
        <w:t>1</w:t>
      </w:r>
      <w:r w:rsidRPr="0024080D">
        <w:rPr>
          <w:rFonts w:cs="Times New Roman"/>
          <w:spacing w:val="-2"/>
          <w:szCs w:val="28"/>
        </w:rPr>
        <w:t xml:space="preserve"> р. загальний показник по Україні становив </w:t>
      </w:r>
      <w:r>
        <w:rPr>
          <w:rFonts w:cs="Times New Roman"/>
          <w:spacing w:val="-2"/>
          <w:szCs w:val="28"/>
        </w:rPr>
        <w:t>8</w:t>
      </w:r>
      <w:r w:rsidRPr="0024080D">
        <w:rPr>
          <w:rFonts w:cs="Times New Roman"/>
          <w:spacing w:val="-2"/>
          <w:szCs w:val="28"/>
        </w:rPr>
        <w:t xml:space="preserve">,2 проти </w:t>
      </w:r>
      <w:r>
        <w:rPr>
          <w:rFonts w:cs="Times New Roman"/>
          <w:spacing w:val="-2"/>
          <w:szCs w:val="28"/>
        </w:rPr>
        <w:t>7,2</w:t>
      </w:r>
      <w:r w:rsidRPr="0024080D">
        <w:rPr>
          <w:rFonts w:cs="Times New Roman"/>
          <w:spacing w:val="-2"/>
          <w:szCs w:val="28"/>
        </w:rPr>
        <w:t xml:space="preserve"> на 100 000 населення у 20</w:t>
      </w:r>
      <w:r>
        <w:rPr>
          <w:rFonts w:cs="Times New Roman"/>
          <w:spacing w:val="-2"/>
          <w:szCs w:val="28"/>
        </w:rPr>
        <w:t>20</w:t>
      </w:r>
      <w:r w:rsidRPr="0024080D">
        <w:rPr>
          <w:rFonts w:cs="Times New Roman"/>
          <w:spacing w:val="-2"/>
          <w:szCs w:val="28"/>
        </w:rPr>
        <w:t xml:space="preserve"> р., що є </w:t>
      </w:r>
      <w:r>
        <w:rPr>
          <w:rFonts w:cs="Times New Roman"/>
          <w:spacing w:val="-2"/>
          <w:szCs w:val="28"/>
        </w:rPr>
        <w:t>вищим</w:t>
      </w:r>
      <w:r w:rsidRPr="0024080D">
        <w:rPr>
          <w:rFonts w:cs="Times New Roman"/>
          <w:spacing w:val="-2"/>
          <w:szCs w:val="28"/>
        </w:rPr>
        <w:t xml:space="preserve"> на </w:t>
      </w:r>
      <w:r>
        <w:rPr>
          <w:rFonts w:cs="Times New Roman"/>
          <w:spacing w:val="-2"/>
          <w:szCs w:val="28"/>
        </w:rPr>
        <w:t>13,9</w:t>
      </w:r>
      <w:r w:rsidRPr="0024080D">
        <w:rPr>
          <w:rFonts w:cs="Times New Roman"/>
          <w:spacing w:val="-2"/>
          <w:szCs w:val="28"/>
        </w:rPr>
        <w:t xml:space="preserve">%. Загалом ТБ діагностовано у </w:t>
      </w:r>
      <w:r>
        <w:rPr>
          <w:rFonts w:cs="Times New Roman"/>
          <w:spacing w:val="-2"/>
          <w:szCs w:val="28"/>
        </w:rPr>
        <w:t>610</w:t>
      </w:r>
      <w:r w:rsidRPr="0024080D">
        <w:rPr>
          <w:rFonts w:cs="Times New Roman"/>
          <w:spacing w:val="-2"/>
          <w:szCs w:val="28"/>
        </w:rPr>
        <w:t xml:space="preserve"> дітей проти </w:t>
      </w:r>
      <w:r>
        <w:rPr>
          <w:rFonts w:cs="Times New Roman"/>
          <w:spacing w:val="-2"/>
          <w:szCs w:val="28"/>
        </w:rPr>
        <w:t>540</w:t>
      </w:r>
      <w:r w:rsidRPr="0024080D">
        <w:rPr>
          <w:rFonts w:cs="Times New Roman"/>
          <w:spacing w:val="-2"/>
          <w:szCs w:val="28"/>
        </w:rPr>
        <w:t xml:space="preserve"> у минулому році. </w:t>
      </w:r>
    </w:p>
    <w:p w14:paraId="703F3BD4" w14:textId="52D48DBD" w:rsidR="005E7BFC" w:rsidRPr="0024080D" w:rsidRDefault="005E7BFC" w:rsidP="005E7BFC">
      <w:pPr>
        <w:widowControl w:val="0"/>
        <w:pBdr>
          <w:top w:val="nil"/>
          <w:left w:val="nil"/>
          <w:bottom w:val="nil"/>
          <w:right w:val="nil"/>
          <w:between w:val="nil"/>
        </w:pBdr>
        <w:spacing w:after="120" w:line="250" w:lineRule="auto"/>
        <w:rPr>
          <w:rFonts w:cs="Times New Roman"/>
          <w:szCs w:val="28"/>
        </w:rPr>
      </w:pPr>
      <w:r w:rsidRPr="0024080D">
        <w:rPr>
          <w:rFonts w:cs="Times New Roman"/>
          <w:szCs w:val="28"/>
        </w:rPr>
        <w:t>Приріст захворюваності у дітей віком до 17 років відзначено у </w:t>
      </w:r>
      <w:r w:rsidR="00ED184E">
        <w:rPr>
          <w:rFonts w:cs="Times New Roman"/>
          <w:szCs w:val="28"/>
        </w:rPr>
        <w:t>п’яти</w:t>
      </w:r>
      <w:r w:rsidRPr="0024080D">
        <w:rPr>
          <w:rFonts w:cs="Times New Roman"/>
          <w:szCs w:val="28"/>
        </w:rPr>
        <w:t xml:space="preserve"> областях: Волинській (</w:t>
      </w:r>
      <w:r w:rsidR="00ED184E">
        <w:rPr>
          <w:rFonts w:cs="Times New Roman"/>
          <w:szCs w:val="28"/>
        </w:rPr>
        <w:t>53,4</w:t>
      </w:r>
      <w:r w:rsidRPr="0024080D">
        <w:rPr>
          <w:rFonts w:cs="Times New Roman"/>
          <w:szCs w:val="28"/>
        </w:rPr>
        <w:t xml:space="preserve">%), </w:t>
      </w:r>
      <w:r w:rsidR="00ED184E">
        <w:rPr>
          <w:rFonts w:cs="Times New Roman"/>
          <w:szCs w:val="28"/>
        </w:rPr>
        <w:t>Закарпатській</w:t>
      </w:r>
      <w:r w:rsidRPr="0024080D">
        <w:rPr>
          <w:rFonts w:cs="Times New Roman"/>
          <w:szCs w:val="28"/>
        </w:rPr>
        <w:t xml:space="preserve"> (</w:t>
      </w:r>
      <w:r w:rsidR="00ED184E">
        <w:rPr>
          <w:rFonts w:cs="Times New Roman"/>
          <w:szCs w:val="28"/>
        </w:rPr>
        <w:t>120</w:t>
      </w:r>
      <w:r w:rsidRPr="0024080D">
        <w:rPr>
          <w:rFonts w:cs="Times New Roman"/>
          <w:szCs w:val="28"/>
        </w:rPr>
        <w:t xml:space="preserve">%), </w:t>
      </w:r>
      <w:r w:rsidR="00ED184E">
        <w:rPr>
          <w:rFonts w:cs="Times New Roman"/>
          <w:szCs w:val="28"/>
        </w:rPr>
        <w:t>Івано-Франківській</w:t>
      </w:r>
      <w:r w:rsidRPr="0024080D">
        <w:rPr>
          <w:rFonts w:cs="Times New Roman"/>
          <w:szCs w:val="28"/>
        </w:rPr>
        <w:t xml:space="preserve"> (</w:t>
      </w:r>
      <w:r w:rsidR="00ED184E">
        <w:rPr>
          <w:rFonts w:cs="Times New Roman"/>
          <w:szCs w:val="28"/>
        </w:rPr>
        <w:t>200</w:t>
      </w:r>
      <w:r w:rsidRPr="0024080D">
        <w:rPr>
          <w:rFonts w:cs="Times New Roman"/>
          <w:szCs w:val="28"/>
        </w:rPr>
        <w:t>%)</w:t>
      </w:r>
      <w:r w:rsidR="00D30711">
        <w:rPr>
          <w:rFonts w:cs="Times New Roman"/>
          <w:szCs w:val="28"/>
        </w:rPr>
        <w:t>, Кіровоградській (86,2%)</w:t>
      </w:r>
      <w:r w:rsidRPr="0024080D">
        <w:rPr>
          <w:rFonts w:cs="Times New Roman"/>
          <w:szCs w:val="28"/>
        </w:rPr>
        <w:t xml:space="preserve"> та </w:t>
      </w:r>
      <w:r w:rsidR="00D30711">
        <w:rPr>
          <w:rFonts w:cs="Times New Roman"/>
          <w:szCs w:val="28"/>
        </w:rPr>
        <w:t>Сумській</w:t>
      </w:r>
      <w:r w:rsidRPr="0024080D">
        <w:rPr>
          <w:rFonts w:cs="Times New Roman"/>
          <w:szCs w:val="28"/>
        </w:rPr>
        <w:t xml:space="preserve"> (</w:t>
      </w:r>
      <w:r w:rsidR="00D30711">
        <w:rPr>
          <w:rFonts w:cs="Times New Roman"/>
          <w:szCs w:val="28"/>
        </w:rPr>
        <w:t>172,2</w:t>
      </w:r>
      <w:r w:rsidRPr="0024080D">
        <w:rPr>
          <w:rFonts w:cs="Times New Roman"/>
          <w:szCs w:val="28"/>
        </w:rPr>
        <w:t>%). В інших регіонах спостерігають</w:t>
      </w:r>
      <w:r w:rsidR="00D30711">
        <w:rPr>
          <w:rFonts w:cs="Times New Roman"/>
          <w:szCs w:val="28"/>
        </w:rPr>
        <w:t xml:space="preserve"> відносну стабільність</w:t>
      </w:r>
      <w:r w:rsidRPr="0024080D">
        <w:rPr>
          <w:rFonts w:cs="Times New Roman"/>
          <w:szCs w:val="28"/>
        </w:rPr>
        <w:t xml:space="preserve"> </w:t>
      </w:r>
      <w:r w:rsidR="00D30711">
        <w:rPr>
          <w:rFonts w:cs="Times New Roman"/>
          <w:szCs w:val="28"/>
        </w:rPr>
        <w:t xml:space="preserve">або </w:t>
      </w:r>
      <w:r w:rsidRPr="0024080D">
        <w:rPr>
          <w:rFonts w:cs="Times New Roman"/>
          <w:szCs w:val="28"/>
        </w:rPr>
        <w:t xml:space="preserve">зниження рівня захворюваності у цій віковій категорії. </w:t>
      </w:r>
    </w:p>
    <w:bookmarkEnd w:id="46"/>
    <w:p w14:paraId="2CD67B9F" w14:textId="530FEF07" w:rsidR="004B3AED" w:rsidRPr="0024080D" w:rsidRDefault="004B3AED" w:rsidP="00CC22BF">
      <w:pPr>
        <w:pStyle w:val="4"/>
        <w:spacing w:line="250" w:lineRule="auto"/>
        <w:rPr>
          <w:b/>
        </w:rPr>
      </w:pPr>
      <w:r w:rsidRPr="0024080D">
        <w:t>Динаміка повідомлення про ТБ за статтю</w:t>
      </w:r>
      <w:bookmarkEnd w:id="47"/>
      <w:bookmarkEnd w:id="48"/>
      <w:r w:rsidRPr="0024080D">
        <w:t xml:space="preserve"> </w:t>
      </w:r>
    </w:p>
    <w:p w14:paraId="3B515F4C" w14:textId="3BF1EC1C" w:rsidR="004B3AED" w:rsidRPr="0024080D" w:rsidRDefault="004B3AED" w:rsidP="00CC22BF">
      <w:pPr>
        <w:widowControl w:val="0"/>
        <w:pBdr>
          <w:top w:val="nil"/>
          <w:left w:val="nil"/>
          <w:bottom w:val="nil"/>
          <w:right w:val="nil"/>
          <w:between w:val="nil"/>
        </w:pBdr>
        <w:spacing w:after="120" w:line="250" w:lineRule="auto"/>
        <w:rPr>
          <w:rFonts w:cs="Times New Roman"/>
          <w:szCs w:val="28"/>
        </w:rPr>
      </w:pPr>
      <w:r w:rsidRPr="00CE5A51">
        <w:rPr>
          <w:rFonts w:cs="Times New Roman"/>
          <w:szCs w:val="28"/>
        </w:rPr>
        <w:t>З 201</w:t>
      </w:r>
      <w:r w:rsidR="00CE5A51">
        <w:rPr>
          <w:rFonts w:cs="Times New Roman"/>
          <w:szCs w:val="28"/>
        </w:rPr>
        <w:t>6</w:t>
      </w:r>
      <w:r w:rsidRPr="0024080D">
        <w:rPr>
          <w:rFonts w:cs="Times New Roman"/>
          <w:szCs w:val="28"/>
        </w:rPr>
        <w:t xml:space="preserve"> по 202</w:t>
      </w:r>
      <w:r w:rsidR="00CE5A51">
        <w:rPr>
          <w:rFonts w:cs="Times New Roman"/>
          <w:szCs w:val="28"/>
        </w:rPr>
        <w:t>1</w:t>
      </w:r>
      <w:r w:rsidRPr="0024080D">
        <w:rPr>
          <w:rFonts w:cs="Times New Roman"/>
          <w:szCs w:val="28"/>
        </w:rPr>
        <w:t> рр. в Україні зниження показників реєстрації випадків ТБ серед чоловіків та жінок було здебільшого пропорційним; частка всіх нових випадків ТБ і рецидивів захворювання серед чоловіків залишалася стабільною на рівні близько 70%. У 202</w:t>
      </w:r>
      <w:r w:rsidR="00CE5A51">
        <w:rPr>
          <w:rFonts w:cs="Times New Roman"/>
          <w:szCs w:val="28"/>
        </w:rPr>
        <w:t>1</w:t>
      </w:r>
      <w:r w:rsidR="002A43EA" w:rsidRPr="0024080D">
        <w:rPr>
          <w:rFonts w:cs="Times New Roman"/>
          <w:szCs w:val="28"/>
        </w:rPr>
        <w:t> р.</w:t>
      </w:r>
      <w:r w:rsidRPr="0024080D">
        <w:rPr>
          <w:rFonts w:cs="Times New Roman"/>
          <w:szCs w:val="28"/>
        </w:rPr>
        <w:t xml:space="preserve"> – </w:t>
      </w:r>
      <w:r w:rsidR="00CE5A51">
        <w:rPr>
          <w:rFonts w:cs="Times New Roman"/>
          <w:szCs w:val="28"/>
        </w:rPr>
        <w:t>71,0</w:t>
      </w:r>
      <w:r w:rsidRPr="0024080D">
        <w:rPr>
          <w:rFonts w:cs="Times New Roman"/>
          <w:szCs w:val="28"/>
        </w:rPr>
        <w:t xml:space="preserve">% (рисунок 3.18). </w:t>
      </w:r>
    </w:p>
    <w:p w14:paraId="3BC1CCF6" w14:textId="34D50809" w:rsidR="004B3AED" w:rsidRPr="0024080D" w:rsidRDefault="00CE5A51" w:rsidP="004B3AED">
      <w:pPr>
        <w:widowControl w:val="0"/>
        <w:pBdr>
          <w:top w:val="nil"/>
          <w:left w:val="nil"/>
          <w:bottom w:val="nil"/>
          <w:right w:val="nil"/>
          <w:between w:val="nil"/>
        </w:pBdr>
        <w:ind w:firstLine="0"/>
        <w:jc w:val="center"/>
        <w:rPr>
          <w:rFonts w:cs="Times New Roman"/>
          <w:szCs w:val="28"/>
        </w:rPr>
      </w:pPr>
      <w:r w:rsidRPr="00CE5A51">
        <w:rPr>
          <w:rFonts w:cs="Times New Roman"/>
          <w:noProof/>
          <w:szCs w:val="28"/>
        </w:rPr>
        <w:drawing>
          <wp:inline distT="0" distB="0" distL="0" distR="0" wp14:anchorId="6BA20E98" wp14:editId="20D5C061">
            <wp:extent cx="5940425" cy="2828925"/>
            <wp:effectExtent l="0" t="0" r="3175" b="0"/>
            <wp:docPr id="57" name="Діаграма 57">
              <a:extLst xmlns:a="http://schemas.openxmlformats.org/drawingml/2006/main">
                <a:ext uri="{FF2B5EF4-FFF2-40B4-BE49-F238E27FC236}">
                  <a16:creationId xmlns:a16="http://schemas.microsoft.com/office/drawing/2014/main" id="{BC0E8380-C5BE-4469-BDB3-F46032957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E0D7DB" w14:textId="08B1240B" w:rsidR="004B3AED" w:rsidRPr="0024080D" w:rsidRDefault="004B3AED" w:rsidP="00CC22BF">
      <w:pPr>
        <w:widowControl w:val="0"/>
        <w:pBdr>
          <w:top w:val="nil"/>
          <w:left w:val="nil"/>
          <w:bottom w:val="nil"/>
          <w:right w:val="nil"/>
          <w:between w:val="nil"/>
        </w:pBdr>
        <w:spacing w:before="120" w:after="120" w:line="250" w:lineRule="auto"/>
        <w:ind w:firstLine="0"/>
        <w:jc w:val="center"/>
        <w:rPr>
          <w:rFonts w:cs="Times New Roman"/>
          <w:b/>
          <w:szCs w:val="28"/>
        </w:rPr>
      </w:pPr>
      <w:r w:rsidRPr="0024080D">
        <w:rPr>
          <w:rFonts w:cs="Times New Roman"/>
          <w:b/>
          <w:szCs w:val="28"/>
        </w:rPr>
        <w:t>Рисунок </w:t>
      </w:r>
      <w:r w:rsidR="00E15F75">
        <w:rPr>
          <w:rFonts w:cs="Times New Roman"/>
          <w:b/>
          <w:szCs w:val="28"/>
        </w:rPr>
        <w:t>2.17</w:t>
      </w:r>
      <w:r w:rsidRPr="0024080D">
        <w:rPr>
          <w:rFonts w:cs="Times New Roman"/>
          <w:b/>
          <w:szCs w:val="28"/>
        </w:rPr>
        <w:t xml:space="preserve">. Кількість нових випадків ТБ </w:t>
      </w:r>
      <w:r w:rsidRPr="0024080D">
        <w:rPr>
          <w:rFonts w:cs="Times New Roman"/>
          <w:b/>
          <w:szCs w:val="28"/>
        </w:rPr>
        <w:br/>
        <w:t>і рецидивів захворювання з розподілом за статтю</w:t>
      </w:r>
    </w:p>
    <w:p w14:paraId="10C5A1E9" w14:textId="77777777" w:rsidR="004B3AED" w:rsidRPr="0024080D" w:rsidRDefault="004B3AED" w:rsidP="00CF58EE">
      <w:pPr>
        <w:widowControl w:val="0"/>
        <w:pBdr>
          <w:top w:val="nil"/>
          <w:left w:val="nil"/>
          <w:bottom w:val="nil"/>
          <w:right w:val="nil"/>
          <w:between w:val="nil"/>
        </w:pBdr>
        <w:spacing w:after="120" w:line="252" w:lineRule="auto"/>
        <w:rPr>
          <w:rFonts w:cs="Times New Roman"/>
          <w:szCs w:val="28"/>
        </w:rPr>
      </w:pPr>
      <w:r w:rsidRPr="0024080D">
        <w:rPr>
          <w:rFonts w:cs="Times New Roman"/>
          <w:szCs w:val="28"/>
        </w:rPr>
        <w:lastRenderedPageBreak/>
        <w:t xml:space="preserve">Найбільша вікова група серед пацієнтів з ТБ – чоловіки віком 35–44 років, проте найбільше абсолютне число </w:t>
      </w:r>
      <w:proofErr w:type="spellStart"/>
      <w:r w:rsidRPr="0024080D">
        <w:rPr>
          <w:rFonts w:cs="Times New Roman"/>
          <w:szCs w:val="28"/>
        </w:rPr>
        <w:t>недовиявлених</w:t>
      </w:r>
      <w:proofErr w:type="spellEnd"/>
      <w:r w:rsidRPr="0024080D">
        <w:rPr>
          <w:rFonts w:cs="Times New Roman"/>
          <w:szCs w:val="28"/>
        </w:rPr>
        <w:t xml:space="preserve"> хворих на ТБ припадає на чоловіків віком 25–34 років (рисунок 3.19). </w:t>
      </w:r>
    </w:p>
    <w:p w14:paraId="08E127B6" w14:textId="31C3D2ED" w:rsidR="004B3AED" w:rsidRPr="0024080D" w:rsidRDefault="00D229C9" w:rsidP="004B3AED">
      <w:pPr>
        <w:widowControl w:val="0"/>
        <w:pBdr>
          <w:top w:val="nil"/>
          <w:left w:val="nil"/>
          <w:bottom w:val="nil"/>
          <w:right w:val="nil"/>
          <w:between w:val="nil"/>
        </w:pBdr>
        <w:ind w:firstLine="0"/>
        <w:jc w:val="center"/>
        <w:rPr>
          <w:rFonts w:cs="Times New Roman"/>
          <w:szCs w:val="28"/>
        </w:rPr>
      </w:pPr>
      <w:r w:rsidRPr="00D229C9">
        <w:rPr>
          <w:rFonts w:cs="Times New Roman"/>
          <w:noProof/>
          <w:szCs w:val="28"/>
        </w:rPr>
        <w:drawing>
          <wp:inline distT="0" distB="0" distL="0" distR="0" wp14:anchorId="407FADA2" wp14:editId="4A02E545">
            <wp:extent cx="5940425" cy="2619375"/>
            <wp:effectExtent l="0" t="0" r="0" b="0"/>
            <wp:docPr id="70" name="Діаграма 70">
              <a:extLst xmlns:a="http://schemas.openxmlformats.org/drawingml/2006/main">
                <a:ext uri="{FF2B5EF4-FFF2-40B4-BE49-F238E27FC236}">
                  <a16:creationId xmlns:a16="http://schemas.microsoft.com/office/drawing/2014/main" id="{663932B7-EC69-426D-B8DE-FDA4931A1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BD3035" w14:textId="4FA15D8F" w:rsidR="004B3AED" w:rsidRPr="0024080D" w:rsidRDefault="004B3AED" w:rsidP="00CF58EE">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340602">
        <w:rPr>
          <w:rFonts w:cs="Times New Roman"/>
          <w:b/>
          <w:szCs w:val="28"/>
        </w:rPr>
        <w:t>2.18</w:t>
      </w:r>
      <w:r w:rsidRPr="0024080D">
        <w:rPr>
          <w:rFonts w:cs="Times New Roman"/>
          <w:b/>
          <w:szCs w:val="28"/>
        </w:rPr>
        <w:t>. Повідомлення про випадки ТБ в Україні</w:t>
      </w:r>
      <w:r w:rsidRPr="0024080D">
        <w:rPr>
          <w:rFonts w:cs="Times New Roman"/>
          <w:b/>
          <w:szCs w:val="28"/>
        </w:rPr>
        <w:br/>
        <w:t>з розподілом за віком і статтю, 202</w:t>
      </w:r>
      <w:r w:rsidR="00D229C9">
        <w:rPr>
          <w:rFonts w:cs="Times New Roman"/>
          <w:b/>
          <w:szCs w:val="28"/>
        </w:rPr>
        <w:t>1</w:t>
      </w:r>
      <w:r w:rsidRPr="0024080D">
        <w:rPr>
          <w:rFonts w:cs="Times New Roman"/>
          <w:b/>
          <w:szCs w:val="28"/>
        </w:rPr>
        <w:t> р.</w:t>
      </w:r>
    </w:p>
    <w:p w14:paraId="34EF38D9" w14:textId="77777777" w:rsidR="004B3AED" w:rsidRPr="0024080D" w:rsidRDefault="004B3AED" w:rsidP="00CF58EE">
      <w:pPr>
        <w:pStyle w:val="4"/>
        <w:spacing w:line="252" w:lineRule="auto"/>
        <w:rPr>
          <w:b/>
        </w:rPr>
      </w:pPr>
      <w:bookmarkStart w:id="49" w:name="_Toc88088843"/>
      <w:bookmarkStart w:id="50" w:name="_Toc89149122"/>
      <w:r w:rsidRPr="0024080D">
        <w:t>Динаміка повідомлення про ТБ за віком</w:t>
      </w:r>
      <w:bookmarkEnd w:id="49"/>
      <w:bookmarkEnd w:id="50"/>
      <w:r w:rsidRPr="0024080D">
        <w:t xml:space="preserve"> </w:t>
      </w:r>
    </w:p>
    <w:p w14:paraId="58649D45" w14:textId="5CC09E27" w:rsidR="004B3AED" w:rsidRPr="0024080D" w:rsidRDefault="004B3AED" w:rsidP="00CF58EE">
      <w:pPr>
        <w:widowControl w:val="0"/>
        <w:pBdr>
          <w:top w:val="nil"/>
          <w:left w:val="nil"/>
          <w:bottom w:val="nil"/>
          <w:right w:val="nil"/>
          <w:between w:val="nil"/>
        </w:pBdr>
        <w:spacing w:line="252" w:lineRule="auto"/>
        <w:rPr>
          <w:rFonts w:cs="Times New Roman"/>
          <w:szCs w:val="28"/>
        </w:rPr>
      </w:pPr>
      <w:r w:rsidRPr="0024080D">
        <w:rPr>
          <w:rFonts w:cs="Times New Roman"/>
          <w:szCs w:val="28"/>
        </w:rPr>
        <w:t>На рисунку 3.20 наведено динаміку показників реєстрації нових випадків ТБ і рецидивів захворювання з розподілом за віковими групами. Найбільший тягар ТБ мають люди віком 35–44 роки. У період з 201</w:t>
      </w:r>
      <w:r w:rsidR="007C7087">
        <w:rPr>
          <w:rFonts w:cs="Times New Roman"/>
          <w:szCs w:val="28"/>
        </w:rPr>
        <w:t>6</w:t>
      </w:r>
      <w:r w:rsidRPr="0024080D">
        <w:rPr>
          <w:rFonts w:cs="Times New Roman"/>
          <w:szCs w:val="28"/>
        </w:rPr>
        <w:t xml:space="preserve"> по 20</w:t>
      </w:r>
      <w:r w:rsidR="007C7087">
        <w:rPr>
          <w:rFonts w:cs="Times New Roman"/>
          <w:szCs w:val="28"/>
        </w:rPr>
        <w:t>20</w:t>
      </w:r>
      <w:r w:rsidRPr="0024080D">
        <w:rPr>
          <w:rFonts w:cs="Times New Roman"/>
          <w:szCs w:val="28"/>
        </w:rPr>
        <w:t xml:space="preserve"> рр. показники захворюваності на ТБ знижувались в усіх вікових групах у пацієнтів старше 14 років, але різними темпами: найбільш швидке зниження було відзначено у віковій групі 25–34 роки (–8,0% щорічно) і 15–24 роки (–6,3% щорічно), тоді як у людей старшого віку воно було відносно повільним. </w:t>
      </w:r>
    </w:p>
    <w:p w14:paraId="26F24200" w14:textId="6043EDF9" w:rsidR="004B3AED" w:rsidRPr="0024080D" w:rsidRDefault="004B3AED" w:rsidP="00CF58EE">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Ця модель тимчасових змін узгоджується із загальним розумінням епідеміології ТБ – «старіння епідемії», що є ознакою зниження тягаря ТБ у реальній популяції. ТБ у людей літнього віку найчастіше виникає у результаті </w:t>
      </w:r>
      <w:proofErr w:type="spellStart"/>
      <w:r w:rsidRPr="0024080D">
        <w:rPr>
          <w:rFonts w:cs="Times New Roman"/>
          <w:szCs w:val="28"/>
        </w:rPr>
        <w:t>реактивації</w:t>
      </w:r>
      <w:proofErr w:type="spellEnd"/>
      <w:r w:rsidRPr="0024080D">
        <w:rPr>
          <w:rFonts w:cs="Times New Roman"/>
          <w:szCs w:val="28"/>
        </w:rPr>
        <w:t xml:space="preserve"> латентної </w:t>
      </w:r>
      <w:r w:rsidR="003436C2" w:rsidRPr="0024080D">
        <w:rPr>
          <w:rFonts w:cs="Times New Roman"/>
          <w:szCs w:val="28"/>
        </w:rPr>
        <w:t xml:space="preserve">туберкульозної </w:t>
      </w:r>
      <w:r w:rsidRPr="0024080D">
        <w:rPr>
          <w:rFonts w:cs="Times New Roman"/>
          <w:szCs w:val="28"/>
        </w:rPr>
        <w:t>інфекції</w:t>
      </w:r>
      <w:r w:rsidR="003436C2" w:rsidRPr="0024080D">
        <w:rPr>
          <w:rFonts w:cs="Times New Roman"/>
          <w:szCs w:val="28"/>
        </w:rPr>
        <w:t xml:space="preserve"> (ЛТБІ)</w:t>
      </w:r>
      <w:r w:rsidRPr="0024080D">
        <w:rPr>
          <w:rFonts w:cs="Times New Roman"/>
          <w:szCs w:val="28"/>
        </w:rPr>
        <w:t xml:space="preserve">; отже, зниження швидкості передачі мало впливає на показники захворюваності на ТБ у цій віковій групі. Навпаки, ТБ у молодших вікових групах є результатом недавнього інфікування, а зниження кількості зареєстрованих випадків ТБ у цих вікових групах передбачає зниження щорічного ризику інфікування, отже, зниження передачі ТБ серед загального населення. Відсутність зниження показників реєстрації випадків ТБ у дітей можна пояснити покращенням діагностики або зміною практики діагностики, підвищенням якості діагностичних процедур ТБ у країні. </w:t>
      </w:r>
    </w:p>
    <w:p w14:paraId="36DABCFD" w14:textId="00A1B800" w:rsidR="004B3AED" w:rsidRPr="0024080D" w:rsidRDefault="007C7087" w:rsidP="004B3AED">
      <w:pPr>
        <w:widowControl w:val="0"/>
        <w:pBdr>
          <w:top w:val="nil"/>
          <w:left w:val="nil"/>
          <w:bottom w:val="nil"/>
          <w:right w:val="nil"/>
          <w:between w:val="nil"/>
        </w:pBdr>
        <w:ind w:firstLine="0"/>
        <w:jc w:val="center"/>
        <w:rPr>
          <w:rFonts w:cs="Times New Roman"/>
          <w:szCs w:val="28"/>
        </w:rPr>
      </w:pPr>
      <w:r w:rsidRPr="007C7087">
        <w:rPr>
          <w:rFonts w:cs="Times New Roman"/>
          <w:noProof/>
          <w:szCs w:val="28"/>
        </w:rPr>
        <w:lastRenderedPageBreak/>
        <w:drawing>
          <wp:inline distT="0" distB="0" distL="0" distR="0" wp14:anchorId="571C7658" wp14:editId="3FF78FC4">
            <wp:extent cx="5940425" cy="3400425"/>
            <wp:effectExtent l="0" t="0" r="3175" b="0"/>
            <wp:docPr id="72" name="Діаграма 72">
              <a:extLst xmlns:a="http://schemas.openxmlformats.org/drawingml/2006/main">
                <a:ext uri="{FF2B5EF4-FFF2-40B4-BE49-F238E27FC236}">
                  <a16:creationId xmlns:a16="http://schemas.microsoft.com/office/drawing/2014/main" id="{8C16544B-9396-4559-966E-1DD392EB3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90F83A" w14:textId="6C5B03E0"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2.19</w:t>
      </w:r>
      <w:r w:rsidRPr="0024080D">
        <w:rPr>
          <w:rFonts w:cs="Times New Roman"/>
          <w:b/>
          <w:szCs w:val="28"/>
        </w:rPr>
        <w:t xml:space="preserve">. Тенденція реєстрації нових випадків ТБ </w:t>
      </w:r>
      <w:r w:rsidRPr="0024080D">
        <w:rPr>
          <w:rFonts w:cs="Times New Roman"/>
          <w:b/>
          <w:szCs w:val="28"/>
        </w:rPr>
        <w:br/>
        <w:t xml:space="preserve">і рецидивів захворювання за віковим показником </w:t>
      </w:r>
      <w:r w:rsidRPr="0024080D">
        <w:rPr>
          <w:rFonts w:cs="Times New Roman"/>
          <w:b/>
          <w:szCs w:val="28"/>
        </w:rPr>
        <w:br/>
        <w:t>на 100 000 населення</w:t>
      </w:r>
    </w:p>
    <w:p w14:paraId="548F7307" w14:textId="77777777" w:rsidR="004B3AED" w:rsidRPr="0024080D" w:rsidRDefault="004B3AED" w:rsidP="004B3AED">
      <w:pPr>
        <w:pStyle w:val="4"/>
        <w:rPr>
          <w:b/>
        </w:rPr>
      </w:pPr>
      <w:bookmarkStart w:id="51" w:name="_Toc88088844"/>
      <w:bookmarkStart w:id="52" w:name="_Toc89149123"/>
      <w:r w:rsidRPr="003D1E05">
        <w:t>Динаміка</w:t>
      </w:r>
      <w:r w:rsidRPr="0024080D">
        <w:t xml:space="preserve"> за реєстрацією </w:t>
      </w:r>
      <w:proofErr w:type="spellStart"/>
      <w:r w:rsidRPr="0024080D">
        <w:t>коінфекції</w:t>
      </w:r>
      <w:proofErr w:type="spellEnd"/>
      <w:r w:rsidRPr="0024080D">
        <w:t xml:space="preserve"> ТБ/ВІЛ</w:t>
      </w:r>
      <w:bookmarkEnd w:id="51"/>
      <w:bookmarkEnd w:id="52"/>
      <w:r w:rsidRPr="0024080D">
        <w:t xml:space="preserve"> </w:t>
      </w:r>
    </w:p>
    <w:p w14:paraId="1E3CC8F6" w14:textId="6B0361CF"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За даними поточного епіднагляду, у період з 201</w:t>
      </w:r>
      <w:r w:rsidR="008A07DA">
        <w:rPr>
          <w:rFonts w:cs="Times New Roman"/>
          <w:szCs w:val="28"/>
        </w:rPr>
        <w:t>6</w:t>
      </w:r>
      <w:r w:rsidRPr="0024080D">
        <w:rPr>
          <w:rFonts w:cs="Times New Roman"/>
          <w:szCs w:val="28"/>
        </w:rPr>
        <w:t xml:space="preserve"> по 202</w:t>
      </w:r>
      <w:r w:rsidR="008A07DA">
        <w:rPr>
          <w:rFonts w:cs="Times New Roman"/>
          <w:szCs w:val="28"/>
        </w:rPr>
        <w:t>1</w:t>
      </w:r>
      <w:r w:rsidRPr="0024080D">
        <w:rPr>
          <w:rFonts w:cs="Times New Roman"/>
          <w:szCs w:val="28"/>
        </w:rPr>
        <w:t> рр. показник абсолютної кількості випадків ко</w:t>
      </w:r>
      <w:r w:rsidR="008A07DA">
        <w:rPr>
          <w:rFonts w:cs="Times New Roman"/>
          <w:szCs w:val="28"/>
        </w:rPr>
        <w:t>-</w:t>
      </w:r>
      <w:r w:rsidRPr="0024080D">
        <w:rPr>
          <w:rFonts w:cs="Times New Roman"/>
          <w:szCs w:val="28"/>
        </w:rPr>
        <w:t xml:space="preserve">інфекції ТБ/ВІЛ знизився з </w:t>
      </w:r>
      <w:r w:rsidR="008A07DA">
        <w:rPr>
          <w:rFonts w:cs="Times New Roman"/>
          <w:szCs w:val="28"/>
        </w:rPr>
        <w:t>6051</w:t>
      </w:r>
      <w:r w:rsidRPr="0024080D">
        <w:rPr>
          <w:rFonts w:cs="Times New Roman"/>
          <w:szCs w:val="28"/>
        </w:rPr>
        <w:t xml:space="preserve"> до 3</w:t>
      </w:r>
      <w:r w:rsidR="008A07DA">
        <w:rPr>
          <w:rFonts w:cs="Times New Roman"/>
          <w:szCs w:val="28"/>
        </w:rPr>
        <w:t>646</w:t>
      </w:r>
      <w:r w:rsidRPr="0024080D">
        <w:rPr>
          <w:rFonts w:cs="Times New Roman"/>
          <w:szCs w:val="28"/>
        </w:rPr>
        <w:t xml:space="preserve">, </w:t>
      </w:r>
      <w:r w:rsidR="008A07DA">
        <w:rPr>
          <w:rFonts w:cs="Times New Roman"/>
          <w:szCs w:val="28"/>
        </w:rPr>
        <w:t>як і частка</w:t>
      </w:r>
      <w:r w:rsidRPr="0024080D">
        <w:rPr>
          <w:rFonts w:cs="Times New Roman"/>
          <w:szCs w:val="28"/>
        </w:rPr>
        <w:t xml:space="preserve"> нових випадків ТБ і рецидивів захворювання з ко</w:t>
      </w:r>
      <w:r w:rsidR="008A07DA">
        <w:rPr>
          <w:rFonts w:cs="Times New Roman"/>
          <w:szCs w:val="28"/>
        </w:rPr>
        <w:t>-</w:t>
      </w:r>
      <w:r w:rsidRPr="0024080D">
        <w:rPr>
          <w:rFonts w:cs="Times New Roman"/>
          <w:szCs w:val="28"/>
        </w:rPr>
        <w:t xml:space="preserve">інфекцією ВІЛ/ТБ  </w:t>
      </w:r>
      <w:r w:rsidR="003D1E05">
        <w:rPr>
          <w:rFonts w:cs="Times New Roman"/>
          <w:szCs w:val="28"/>
        </w:rPr>
        <w:t xml:space="preserve">з </w:t>
      </w:r>
      <w:r w:rsidRPr="0024080D">
        <w:rPr>
          <w:rFonts w:cs="Times New Roman"/>
          <w:szCs w:val="28"/>
        </w:rPr>
        <w:t xml:space="preserve"> 23,0%</w:t>
      </w:r>
      <w:r w:rsidR="003D1E05">
        <w:rPr>
          <w:rFonts w:cs="Times New Roman"/>
          <w:szCs w:val="28"/>
        </w:rPr>
        <w:t xml:space="preserve"> до 20,1%</w:t>
      </w:r>
      <w:r w:rsidRPr="0024080D">
        <w:rPr>
          <w:rFonts w:cs="Times New Roman"/>
          <w:szCs w:val="28"/>
        </w:rPr>
        <w:t xml:space="preserve"> (рисунок 3.21). </w:t>
      </w:r>
    </w:p>
    <w:p w14:paraId="1CF63626" w14:textId="6E849CEF" w:rsidR="004B3AED" w:rsidRPr="0024080D" w:rsidRDefault="008A07DA" w:rsidP="004B3AED">
      <w:pPr>
        <w:widowControl w:val="0"/>
        <w:pBdr>
          <w:top w:val="nil"/>
          <w:left w:val="nil"/>
          <w:bottom w:val="nil"/>
          <w:right w:val="nil"/>
          <w:between w:val="nil"/>
        </w:pBdr>
        <w:ind w:firstLine="0"/>
        <w:jc w:val="center"/>
        <w:rPr>
          <w:rFonts w:cs="Times New Roman"/>
          <w:szCs w:val="28"/>
        </w:rPr>
      </w:pPr>
      <w:r w:rsidRPr="008A07DA">
        <w:rPr>
          <w:rFonts w:cs="Times New Roman"/>
          <w:noProof/>
          <w:szCs w:val="28"/>
        </w:rPr>
        <w:drawing>
          <wp:inline distT="0" distB="0" distL="0" distR="0" wp14:anchorId="70857B86" wp14:editId="1805F644">
            <wp:extent cx="5940425" cy="3074670"/>
            <wp:effectExtent l="0" t="0" r="3175" b="0"/>
            <wp:docPr id="34" name="Діаграма 34">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880CCC" w14:textId="2C8C3B51"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2.20</w:t>
      </w:r>
      <w:r w:rsidRPr="0024080D">
        <w:rPr>
          <w:rFonts w:cs="Times New Roman"/>
          <w:b/>
          <w:szCs w:val="28"/>
        </w:rPr>
        <w:t xml:space="preserve">. Динаміка кількості зареєстрованих нових випадків ТБ </w:t>
      </w:r>
      <w:r w:rsidRPr="0024080D">
        <w:rPr>
          <w:rFonts w:cs="Times New Roman"/>
          <w:b/>
          <w:szCs w:val="28"/>
        </w:rPr>
        <w:br/>
        <w:t xml:space="preserve">і рецидивів захворювання залежно від ВІЛ-статусу; частка </w:t>
      </w:r>
      <w:r w:rsidRPr="0024080D">
        <w:rPr>
          <w:rFonts w:cs="Times New Roman"/>
          <w:b/>
          <w:szCs w:val="28"/>
        </w:rPr>
        <w:br/>
        <w:t>випадків ТБ у людей з позитивним ВІЛ-статусом</w:t>
      </w:r>
    </w:p>
    <w:p w14:paraId="7A5FC267" w14:textId="1CBEE529"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lastRenderedPageBreak/>
        <w:t xml:space="preserve">Найвищий рівень захворюваності на ТБ/ВІЛ відзначено в Одеській області – </w:t>
      </w:r>
      <w:r w:rsidR="00A67433">
        <w:rPr>
          <w:rFonts w:cs="Times New Roman"/>
          <w:szCs w:val="28"/>
        </w:rPr>
        <w:t>33,1</w:t>
      </w:r>
      <w:r w:rsidRPr="0024080D">
        <w:rPr>
          <w:rFonts w:cs="Times New Roman"/>
          <w:szCs w:val="28"/>
        </w:rPr>
        <w:t xml:space="preserve"> на 100 000 населення, найнижчий – у </w:t>
      </w:r>
      <w:r w:rsidR="00A67433">
        <w:rPr>
          <w:rFonts w:cs="Times New Roman"/>
          <w:szCs w:val="28"/>
        </w:rPr>
        <w:t>Івано-Франківській</w:t>
      </w:r>
      <w:r w:rsidRPr="0024080D">
        <w:rPr>
          <w:rFonts w:cs="Times New Roman"/>
          <w:szCs w:val="28"/>
        </w:rPr>
        <w:t xml:space="preserve"> області – 1,2 на 100 000 населення. </w:t>
      </w:r>
    </w:p>
    <w:p w14:paraId="46B1D085" w14:textId="4E3640A0" w:rsidR="004B3AED" w:rsidRPr="0024080D" w:rsidRDefault="00A67433" w:rsidP="004B3AED">
      <w:pPr>
        <w:widowControl w:val="0"/>
        <w:pBdr>
          <w:top w:val="nil"/>
          <w:left w:val="nil"/>
          <w:bottom w:val="nil"/>
          <w:right w:val="nil"/>
          <w:between w:val="nil"/>
        </w:pBdr>
        <w:ind w:firstLine="0"/>
        <w:jc w:val="center"/>
        <w:rPr>
          <w:rFonts w:cs="Times New Roman"/>
          <w:noProof/>
          <w:szCs w:val="28"/>
        </w:rPr>
      </w:pPr>
      <w:r w:rsidRPr="00A67433">
        <w:rPr>
          <w:rFonts w:cs="Times New Roman"/>
          <w:noProof/>
          <w:szCs w:val="28"/>
        </w:rPr>
        <w:drawing>
          <wp:inline distT="0" distB="0" distL="0" distR="0" wp14:anchorId="125A281F" wp14:editId="6C8D8B11">
            <wp:extent cx="5940425" cy="3067050"/>
            <wp:effectExtent l="0" t="0" r="3175" b="0"/>
            <wp:docPr id="39" name="Діаграма 39">
              <a:extLst xmlns:a="http://schemas.openxmlformats.org/drawingml/2006/main">
                <a:ext uri="{FF2B5EF4-FFF2-40B4-BE49-F238E27FC236}">
                  <a16:creationId xmlns:a16="http://schemas.microsoft.com/office/drawing/2014/main" id="{48423C70-545B-42AB-87C6-BD0CCF8A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9955C2" w14:textId="5485FA98" w:rsidR="004B3AED" w:rsidRPr="0024080D" w:rsidRDefault="004B3AED" w:rsidP="00CF58EE">
      <w:pPr>
        <w:widowControl w:val="0"/>
        <w:pBdr>
          <w:top w:val="nil"/>
          <w:left w:val="nil"/>
          <w:bottom w:val="nil"/>
          <w:right w:val="nil"/>
          <w:between w:val="nil"/>
        </w:pBdr>
        <w:spacing w:after="120" w:line="252" w:lineRule="auto"/>
        <w:ind w:firstLine="0"/>
        <w:jc w:val="center"/>
        <w:rPr>
          <w:rFonts w:cs="Times New Roman"/>
          <w:b/>
          <w:szCs w:val="28"/>
        </w:rPr>
      </w:pPr>
      <w:r w:rsidRPr="0024080D">
        <w:rPr>
          <w:rFonts w:cs="Times New Roman"/>
          <w:b/>
          <w:szCs w:val="28"/>
        </w:rPr>
        <w:t>Рисунок </w:t>
      </w:r>
      <w:r w:rsidR="00340602">
        <w:rPr>
          <w:rFonts w:cs="Times New Roman"/>
          <w:b/>
          <w:szCs w:val="28"/>
        </w:rPr>
        <w:t>2.21</w:t>
      </w:r>
      <w:r w:rsidRPr="0024080D">
        <w:rPr>
          <w:rFonts w:cs="Times New Roman"/>
          <w:b/>
          <w:szCs w:val="28"/>
        </w:rPr>
        <w:t xml:space="preserve">. Рівень захворюваності на ТБ/ВІЛ </w:t>
      </w:r>
      <w:r w:rsidRPr="0024080D">
        <w:rPr>
          <w:rFonts w:cs="Times New Roman"/>
          <w:b/>
          <w:szCs w:val="28"/>
        </w:rPr>
        <w:br/>
        <w:t>в регіонах України у 202</w:t>
      </w:r>
      <w:r w:rsidR="00D00DA3">
        <w:rPr>
          <w:rFonts w:cs="Times New Roman"/>
          <w:b/>
          <w:szCs w:val="28"/>
        </w:rPr>
        <w:t>1</w:t>
      </w:r>
      <w:r w:rsidRPr="0024080D">
        <w:rPr>
          <w:rFonts w:cs="Times New Roman"/>
          <w:b/>
          <w:szCs w:val="28"/>
        </w:rPr>
        <w:t> р. (на 100 000 населення)</w:t>
      </w:r>
    </w:p>
    <w:p w14:paraId="4B7BCC57" w14:textId="1A25ECF0" w:rsidR="004B3AED" w:rsidRPr="0024080D" w:rsidRDefault="004B3AED" w:rsidP="00CF58EE">
      <w:pPr>
        <w:widowControl w:val="0"/>
        <w:pBdr>
          <w:top w:val="nil"/>
          <w:left w:val="nil"/>
          <w:bottom w:val="nil"/>
          <w:right w:val="nil"/>
          <w:between w:val="nil"/>
        </w:pBdr>
        <w:spacing w:after="120" w:line="252" w:lineRule="auto"/>
        <w:rPr>
          <w:rFonts w:cs="Times New Roman"/>
          <w:szCs w:val="28"/>
        </w:rPr>
      </w:pPr>
      <w:r w:rsidRPr="0024080D">
        <w:rPr>
          <w:rFonts w:cs="Times New Roman"/>
          <w:szCs w:val="28"/>
        </w:rPr>
        <w:t>Найвищий показник кількості хворих з ко</w:t>
      </w:r>
      <w:r w:rsidR="00401344">
        <w:rPr>
          <w:rFonts w:cs="Times New Roman"/>
          <w:szCs w:val="28"/>
        </w:rPr>
        <w:t>-</w:t>
      </w:r>
      <w:r w:rsidRPr="0024080D">
        <w:rPr>
          <w:rFonts w:cs="Times New Roman"/>
          <w:szCs w:val="28"/>
        </w:rPr>
        <w:t>інфекцією ТБ/ВІЛ у структурі захворюваності на активну форму ТБ у 20</w:t>
      </w:r>
      <w:r w:rsidR="005E58BA">
        <w:rPr>
          <w:rFonts w:cs="Times New Roman"/>
          <w:szCs w:val="28"/>
        </w:rPr>
        <w:t>21</w:t>
      </w:r>
      <w:r w:rsidRPr="0024080D">
        <w:rPr>
          <w:rFonts w:cs="Times New Roman"/>
          <w:szCs w:val="28"/>
        </w:rPr>
        <w:t xml:space="preserve"> р. відзначено в </w:t>
      </w:r>
      <w:r w:rsidR="00401344">
        <w:rPr>
          <w:rFonts w:cs="Times New Roman"/>
          <w:szCs w:val="28"/>
        </w:rPr>
        <w:t xml:space="preserve">Донецькій області – 31,8%, </w:t>
      </w:r>
      <w:r w:rsidRPr="0024080D">
        <w:rPr>
          <w:rFonts w:cs="Times New Roman"/>
          <w:szCs w:val="28"/>
        </w:rPr>
        <w:t xml:space="preserve">Одеській – </w:t>
      </w:r>
      <w:r w:rsidR="00401344">
        <w:rPr>
          <w:rFonts w:cs="Times New Roman"/>
          <w:szCs w:val="28"/>
        </w:rPr>
        <w:t>31,7</w:t>
      </w:r>
      <w:r w:rsidRPr="0024080D">
        <w:rPr>
          <w:rFonts w:cs="Times New Roman"/>
          <w:szCs w:val="28"/>
        </w:rPr>
        <w:t xml:space="preserve">%, найнижчий – у </w:t>
      </w:r>
      <w:r w:rsidR="00401344">
        <w:rPr>
          <w:rFonts w:cs="Times New Roman"/>
          <w:szCs w:val="28"/>
        </w:rPr>
        <w:t xml:space="preserve">Івано-Франківській 4,7% та </w:t>
      </w:r>
      <w:r w:rsidRPr="0024080D">
        <w:rPr>
          <w:rFonts w:cs="Times New Roman"/>
          <w:szCs w:val="28"/>
        </w:rPr>
        <w:t xml:space="preserve">Закарпатській області – </w:t>
      </w:r>
      <w:r w:rsidR="00401344">
        <w:rPr>
          <w:rFonts w:cs="Times New Roman"/>
          <w:szCs w:val="28"/>
        </w:rPr>
        <w:t>4</w:t>
      </w:r>
      <w:r w:rsidRPr="0024080D">
        <w:rPr>
          <w:rFonts w:cs="Times New Roman"/>
          <w:szCs w:val="28"/>
        </w:rPr>
        <w:t>,3%, тобто спостерігається значна географічна неоднорідність частки ВІЛ-інфікованих серед нових випадків ТБ та рецидивів захворювання між регіонами.</w:t>
      </w:r>
    </w:p>
    <w:p w14:paraId="2C539D91" w14:textId="4F3D0D7B" w:rsidR="00DA0A51" w:rsidRDefault="00401344" w:rsidP="00DA0A51">
      <w:pPr>
        <w:widowControl w:val="0"/>
        <w:pBdr>
          <w:top w:val="nil"/>
          <w:left w:val="nil"/>
          <w:bottom w:val="nil"/>
          <w:right w:val="nil"/>
          <w:between w:val="nil"/>
        </w:pBdr>
        <w:spacing w:before="120" w:after="120" w:line="252" w:lineRule="auto"/>
        <w:ind w:firstLine="0"/>
        <w:jc w:val="center"/>
        <w:rPr>
          <w:rFonts w:cs="Times New Roman"/>
          <w:b/>
          <w:szCs w:val="28"/>
        </w:rPr>
      </w:pPr>
      <w:r w:rsidRPr="00401344">
        <w:rPr>
          <w:rFonts w:cs="Times New Roman"/>
          <w:b/>
          <w:noProof/>
          <w:szCs w:val="28"/>
        </w:rPr>
        <w:drawing>
          <wp:inline distT="0" distB="0" distL="0" distR="0" wp14:anchorId="74E6CE3D" wp14:editId="7EC34488">
            <wp:extent cx="5940425" cy="3014980"/>
            <wp:effectExtent l="0" t="0" r="3175" b="0"/>
            <wp:docPr id="35" name="Діаграма 35">
              <a:extLst xmlns:a="http://schemas.openxmlformats.org/drawingml/2006/main">
                <a:ext uri="{FF2B5EF4-FFF2-40B4-BE49-F238E27FC236}">
                  <a16:creationId xmlns:a16="http://schemas.microsoft.com/office/drawing/2014/main" id="{34EA92A5-9CD5-4B40-88A6-824385E43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B3AED" w:rsidRPr="0024080D">
        <w:rPr>
          <w:rFonts w:cs="Times New Roman"/>
          <w:b/>
          <w:szCs w:val="28"/>
        </w:rPr>
        <w:t>Рисунок </w:t>
      </w:r>
      <w:r w:rsidR="00340602">
        <w:rPr>
          <w:rFonts w:cs="Times New Roman"/>
          <w:b/>
          <w:szCs w:val="28"/>
        </w:rPr>
        <w:t>2.22</w:t>
      </w:r>
      <w:r w:rsidR="004B3AED" w:rsidRPr="0024080D">
        <w:rPr>
          <w:rFonts w:cs="Times New Roman"/>
          <w:b/>
          <w:szCs w:val="28"/>
        </w:rPr>
        <w:t xml:space="preserve">. Частка пацієнтів з ТБ/ВІЛ серед хворих на ТБ </w:t>
      </w:r>
      <w:r w:rsidR="004B3AED" w:rsidRPr="0024080D">
        <w:rPr>
          <w:rFonts w:cs="Times New Roman"/>
          <w:b/>
          <w:szCs w:val="28"/>
        </w:rPr>
        <w:br/>
        <w:t xml:space="preserve">(нові випадки ТБ і рецидиви захворювання) </w:t>
      </w:r>
      <w:r w:rsidR="004B3AED" w:rsidRPr="0024080D">
        <w:rPr>
          <w:rFonts w:cs="Times New Roman"/>
          <w:b/>
          <w:szCs w:val="28"/>
        </w:rPr>
        <w:br/>
        <w:t>в регіонах України у 202</w:t>
      </w:r>
      <w:r w:rsidR="005E58BA">
        <w:rPr>
          <w:rFonts w:cs="Times New Roman"/>
          <w:b/>
          <w:szCs w:val="28"/>
        </w:rPr>
        <w:t>1</w:t>
      </w:r>
      <w:r w:rsidR="004B3AED" w:rsidRPr="0024080D">
        <w:rPr>
          <w:rFonts w:cs="Times New Roman"/>
          <w:b/>
          <w:szCs w:val="28"/>
        </w:rPr>
        <w:t> р. (%)</w:t>
      </w:r>
      <w:bookmarkStart w:id="53" w:name="_Toc88088845"/>
      <w:bookmarkStart w:id="54" w:name="_Toc89149124"/>
    </w:p>
    <w:p w14:paraId="755B54A1" w14:textId="2EA0AAA5" w:rsidR="00DA0A51" w:rsidRDefault="00DA0A51" w:rsidP="006E329A">
      <w:pPr>
        <w:widowControl w:val="0"/>
        <w:pBdr>
          <w:top w:val="nil"/>
          <w:left w:val="nil"/>
          <w:bottom w:val="nil"/>
          <w:right w:val="nil"/>
          <w:between w:val="nil"/>
        </w:pBdr>
        <w:spacing w:before="120" w:after="120" w:line="252" w:lineRule="auto"/>
        <w:rPr>
          <w:rFonts w:cs="Times New Roman"/>
          <w:bCs/>
          <w:szCs w:val="28"/>
          <w:lang w:val="ru-RU"/>
        </w:rPr>
      </w:pPr>
      <w:r w:rsidRPr="0024080D">
        <w:rPr>
          <w:rFonts w:cs="Times New Roman"/>
          <w:szCs w:val="28"/>
        </w:rPr>
        <w:lastRenderedPageBreak/>
        <w:t>Незважаючи на таку неоднорідність, тенденція поширення ТБ/ВІЛ у період з 201</w:t>
      </w:r>
      <w:r>
        <w:rPr>
          <w:rFonts w:cs="Times New Roman"/>
          <w:szCs w:val="28"/>
        </w:rPr>
        <w:t>6</w:t>
      </w:r>
      <w:r w:rsidRPr="0024080D">
        <w:rPr>
          <w:rFonts w:cs="Times New Roman"/>
          <w:szCs w:val="28"/>
        </w:rPr>
        <w:t xml:space="preserve"> по 202</w:t>
      </w:r>
      <w:r>
        <w:rPr>
          <w:rFonts w:cs="Times New Roman"/>
          <w:szCs w:val="28"/>
        </w:rPr>
        <w:t>1</w:t>
      </w:r>
      <w:r w:rsidRPr="0024080D">
        <w:rPr>
          <w:rFonts w:cs="Times New Roman"/>
          <w:szCs w:val="28"/>
        </w:rPr>
        <w:t xml:space="preserve"> рр. за регіонами є досить стабільною: з 25 </w:t>
      </w:r>
      <w:r w:rsidR="004E047F">
        <w:rPr>
          <w:rFonts w:cs="Times New Roman"/>
          <w:szCs w:val="28"/>
        </w:rPr>
        <w:t>областей</w:t>
      </w:r>
      <w:r w:rsidRPr="0024080D">
        <w:rPr>
          <w:rFonts w:cs="Times New Roman"/>
          <w:szCs w:val="28"/>
        </w:rPr>
        <w:t xml:space="preserve"> </w:t>
      </w:r>
      <w:r w:rsidR="004E047F">
        <w:rPr>
          <w:rFonts w:cs="Times New Roman"/>
          <w:szCs w:val="28"/>
        </w:rPr>
        <w:t>тільки</w:t>
      </w:r>
      <w:r w:rsidR="004E047F" w:rsidRPr="004E047F">
        <w:rPr>
          <w:rFonts w:cs="Times New Roman"/>
          <w:szCs w:val="28"/>
        </w:rPr>
        <w:t xml:space="preserve"> </w:t>
      </w:r>
      <w:r w:rsidRPr="0024080D">
        <w:rPr>
          <w:rFonts w:cs="Times New Roman"/>
          <w:szCs w:val="28"/>
        </w:rPr>
        <w:t>у </w:t>
      </w:r>
      <w:r w:rsidR="004E047F">
        <w:rPr>
          <w:rFonts w:cs="Times New Roman"/>
          <w:szCs w:val="28"/>
        </w:rPr>
        <w:t>трьох</w:t>
      </w:r>
      <w:r w:rsidRPr="0024080D">
        <w:rPr>
          <w:rFonts w:cs="Times New Roman"/>
          <w:szCs w:val="28"/>
        </w:rPr>
        <w:t xml:space="preserve"> відзначено зростання поширеності ВІЛ-інфекції більш ніж на 1%</w:t>
      </w:r>
      <w:r w:rsidR="004E047F">
        <w:rPr>
          <w:rFonts w:cs="Times New Roman"/>
          <w:szCs w:val="28"/>
        </w:rPr>
        <w:t xml:space="preserve"> -</w:t>
      </w:r>
      <w:r w:rsidRPr="0024080D">
        <w:rPr>
          <w:rFonts w:cs="Times New Roman"/>
          <w:szCs w:val="28"/>
        </w:rPr>
        <w:t> </w:t>
      </w:r>
      <w:r w:rsidR="004E047F">
        <w:rPr>
          <w:rFonts w:cs="Times New Roman"/>
          <w:szCs w:val="28"/>
        </w:rPr>
        <w:t>Одеській</w:t>
      </w:r>
      <w:r w:rsidRPr="0024080D">
        <w:rPr>
          <w:rFonts w:cs="Times New Roman"/>
          <w:szCs w:val="28"/>
        </w:rPr>
        <w:t xml:space="preserve">, </w:t>
      </w:r>
      <w:r w:rsidR="004E047F">
        <w:rPr>
          <w:rFonts w:cs="Times New Roman"/>
          <w:szCs w:val="28"/>
        </w:rPr>
        <w:t>Рівненській</w:t>
      </w:r>
      <w:r w:rsidRPr="0024080D">
        <w:rPr>
          <w:rFonts w:cs="Times New Roman"/>
          <w:szCs w:val="28"/>
        </w:rPr>
        <w:t xml:space="preserve"> та </w:t>
      </w:r>
      <w:r w:rsidR="004E047F">
        <w:rPr>
          <w:rFonts w:cs="Times New Roman"/>
          <w:szCs w:val="28"/>
        </w:rPr>
        <w:t>Харківській</w:t>
      </w:r>
      <w:r w:rsidR="006E329A">
        <w:rPr>
          <w:rFonts w:cs="Times New Roman"/>
          <w:szCs w:val="28"/>
        </w:rPr>
        <w:t>. В усіх</w:t>
      </w:r>
      <w:r w:rsidRPr="0024080D">
        <w:rPr>
          <w:rFonts w:cs="Times New Roman"/>
          <w:szCs w:val="28"/>
        </w:rPr>
        <w:t xml:space="preserve"> </w:t>
      </w:r>
      <w:r w:rsidR="006E329A">
        <w:rPr>
          <w:rFonts w:cs="Times New Roman"/>
          <w:szCs w:val="28"/>
        </w:rPr>
        <w:t xml:space="preserve">інших регіонах </w:t>
      </w:r>
      <w:r w:rsidRPr="0024080D">
        <w:rPr>
          <w:rFonts w:cs="Times New Roman"/>
          <w:szCs w:val="28"/>
        </w:rPr>
        <w:t>відзначено спад</w:t>
      </w:r>
      <w:r w:rsidR="006E329A">
        <w:rPr>
          <w:rFonts w:cs="Times New Roman"/>
          <w:szCs w:val="28"/>
        </w:rPr>
        <w:t>.</w:t>
      </w:r>
      <w:r>
        <w:rPr>
          <w:noProof/>
        </w:rPr>
        <w:drawing>
          <wp:inline distT="0" distB="0" distL="0" distR="0" wp14:anchorId="68220290" wp14:editId="26D306F0">
            <wp:extent cx="5924550" cy="4533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7264" cy="4535977"/>
                    </a:xfrm>
                    <a:prstGeom prst="rect">
                      <a:avLst/>
                    </a:prstGeom>
                    <a:noFill/>
                    <a:ln>
                      <a:noFill/>
                    </a:ln>
                  </pic:spPr>
                </pic:pic>
              </a:graphicData>
            </a:graphic>
          </wp:inline>
        </w:drawing>
      </w:r>
    </w:p>
    <w:p w14:paraId="1DAA9549" w14:textId="122B211F" w:rsidR="004E047F" w:rsidRPr="0024080D" w:rsidRDefault="004E047F" w:rsidP="004E047F">
      <w:pPr>
        <w:widowControl w:val="0"/>
        <w:pBdr>
          <w:top w:val="nil"/>
          <w:left w:val="nil"/>
          <w:bottom w:val="nil"/>
          <w:right w:val="nil"/>
          <w:between w:val="nil"/>
        </w:pBdr>
        <w:spacing w:before="120" w:after="120" w:line="228" w:lineRule="auto"/>
        <w:ind w:firstLine="0"/>
        <w:jc w:val="center"/>
        <w:rPr>
          <w:rFonts w:cs="Times New Roman"/>
          <w:b/>
          <w:szCs w:val="28"/>
        </w:rPr>
      </w:pPr>
      <w:r w:rsidRPr="0024080D">
        <w:rPr>
          <w:rFonts w:cs="Times New Roman"/>
          <w:b/>
          <w:szCs w:val="28"/>
        </w:rPr>
        <w:t>Рисунок </w:t>
      </w:r>
      <w:r w:rsidR="00340602">
        <w:rPr>
          <w:rFonts w:cs="Times New Roman"/>
          <w:b/>
          <w:szCs w:val="28"/>
        </w:rPr>
        <w:t>2.23</w:t>
      </w:r>
      <w:r w:rsidRPr="0024080D">
        <w:rPr>
          <w:rFonts w:cs="Times New Roman"/>
          <w:b/>
          <w:szCs w:val="28"/>
        </w:rPr>
        <w:t>. Динаміка захворюваності на ТБ/ВІЛ</w:t>
      </w:r>
      <w:r w:rsidRPr="0024080D">
        <w:rPr>
          <w:rFonts w:cs="Times New Roman"/>
          <w:b/>
          <w:szCs w:val="28"/>
        </w:rPr>
        <w:br/>
        <w:t>по регіонах України</w:t>
      </w:r>
    </w:p>
    <w:p w14:paraId="777574AF" w14:textId="77777777" w:rsidR="00DA0A51" w:rsidRPr="004E047F" w:rsidRDefault="00DA0A51" w:rsidP="00DA0A51">
      <w:pPr>
        <w:widowControl w:val="0"/>
        <w:pBdr>
          <w:top w:val="nil"/>
          <w:left w:val="nil"/>
          <w:bottom w:val="nil"/>
          <w:right w:val="nil"/>
          <w:between w:val="nil"/>
        </w:pBdr>
        <w:spacing w:before="120" w:after="120" w:line="252" w:lineRule="auto"/>
        <w:ind w:firstLine="0"/>
        <w:rPr>
          <w:rFonts w:cs="Times New Roman"/>
          <w:bCs/>
          <w:szCs w:val="28"/>
        </w:rPr>
      </w:pPr>
    </w:p>
    <w:p w14:paraId="1A9D1F36" w14:textId="4FA5F277" w:rsidR="004B3AED" w:rsidRPr="0024080D" w:rsidRDefault="004B3AED" w:rsidP="00CF58EE">
      <w:pPr>
        <w:pStyle w:val="4"/>
        <w:spacing w:line="228" w:lineRule="auto"/>
        <w:rPr>
          <w:b/>
        </w:rPr>
      </w:pPr>
      <w:r w:rsidRPr="0024080D">
        <w:t>Динаміка показників захворюваності на МЛС/ШЛС-ТБ</w:t>
      </w:r>
      <w:bookmarkEnd w:id="53"/>
      <w:bookmarkEnd w:id="54"/>
    </w:p>
    <w:p w14:paraId="18C32327" w14:textId="60707F05" w:rsidR="004B3AED" w:rsidRPr="0024080D" w:rsidRDefault="004B3AED" w:rsidP="00CF58EE">
      <w:pPr>
        <w:widowControl w:val="0"/>
        <w:pBdr>
          <w:top w:val="nil"/>
          <w:left w:val="nil"/>
          <w:bottom w:val="nil"/>
          <w:right w:val="nil"/>
          <w:between w:val="nil"/>
        </w:pBdr>
        <w:spacing w:after="120" w:line="228" w:lineRule="auto"/>
        <w:rPr>
          <w:rFonts w:cs="Times New Roman"/>
          <w:szCs w:val="28"/>
        </w:rPr>
      </w:pPr>
      <w:r w:rsidRPr="0024080D">
        <w:rPr>
          <w:rFonts w:cs="Times New Roman"/>
          <w:szCs w:val="28"/>
        </w:rPr>
        <w:t xml:space="preserve">Зі зменшенням кількості </w:t>
      </w:r>
      <w:r w:rsidR="001810C7">
        <w:rPr>
          <w:rFonts w:cs="Times New Roman"/>
          <w:szCs w:val="28"/>
        </w:rPr>
        <w:t xml:space="preserve">зареєстрованих </w:t>
      </w:r>
      <w:r w:rsidRPr="0024080D">
        <w:rPr>
          <w:rFonts w:cs="Times New Roman"/>
          <w:szCs w:val="28"/>
        </w:rPr>
        <w:t xml:space="preserve">випадків ТБ відзначено зниження показника абсолютної кількості </w:t>
      </w:r>
      <w:r w:rsidR="001810C7" w:rsidRPr="001810C7">
        <w:rPr>
          <w:rFonts w:cs="Times New Roman"/>
          <w:szCs w:val="28"/>
        </w:rPr>
        <w:t xml:space="preserve">вперше </w:t>
      </w:r>
      <w:r w:rsidRPr="0024080D">
        <w:rPr>
          <w:rFonts w:cs="Times New Roman"/>
          <w:szCs w:val="28"/>
        </w:rPr>
        <w:t>зареєстрованих випадків МЛС/ШЛС-ТБ в Україні у період з 201</w:t>
      </w:r>
      <w:r w:rsidR="001810C7">
        <w:rPr>
          <w:rFonts w:cs="Times New Roman"/>
          <w:szCs w:val="28"/>
        </w:rPr>
        <w:t>6</w:t>
      </w:r>
      <w:r w:rsidRPr="0024080D">
        <w:rPr>
          <w:rFonts w:cs="Times New Roman"/>
          <w:szCs w:val="28"/>
        </w:rPr>
        <w:t xml:space="preserve"> до 202</w:t>
      </w:r>
      <w:r w:rsidR="001810C7">
        <w:rPr>
          <w:rFonts w:cs="Times New Roman"/>
          <w:szCs w:val="28"/>
        </w:rPr>
        <w:t>1</w:t>
      </w:r>
      <w:r w:rsidRPr="0024080D">
        <w:rPr>
          <w:rFonts w:cs="Times New Roman"/>
          <w:szCs w:val="28"/>
        </w:rPr>
        <w:t xml:space="preserve"> рр. (рисунок 3.25). </w:t>
      </w:r>
    </w:p>
    <w:p w14:paraId="11283C0E" w14:textId="11C15881" w:rsidR="004B3AED" w:rsidRPr="0024080D" w:rsidRDefault="001810C7" w:rsidP="004B3AED">
      <w:pPr>
        <w:widowControl w:val="0"/>
        <w:pBdr>
          <w:top w:val="nil"/>
          <w:left w:val="nil"/>
          <w:bottom w:val="nil"/>
          <w:right w:val="nil"/>
          <w:between w:val="nil"/>
        </w:pBdr>
        <w:ind w:firstLine="0"/>
        <w:jc w:val="center"/>
        <w:rPr>
          <w:rFonts w:cs="Times New Roman"/>
          <w:szCs w:val="28"/>
        </w:rPr>
      </w:pPr>
      <w:r w:rsidRPr="001810C7">
        <w:rPr>
          <w:rFonts w:cs="Times New Roman"/>
          <w:noProof/>
          <w:szCs w:val="28"/>
        </w:rPr>
        <w:lastRenderedPageBreak/>
        <w:drawing>
          <wp:inline distT="0" distB="0" distL="0" distR="0" wp14:anchorId="416D1372" wp14:editId="139194EA">
            <wp:extent cx="5940425" cy="2638425"/>
            <wp:effectExtent l="0" t="0" r="3175" b="0"/>
            <wp:docPr id="1" name="Діаграма 1">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9490FE" w14:textId="36832F90" w:rsidR="004B3AED" w:rsidRPr="0024080D" w:rsidRDefault="004B3AED" w:rsidP="00CF58EE">
      <w:pPr>
        <w:widowControl w:val="0"/>
        <w:pBdr>
          <w:top w:val="nil"/>
          <w:left w:val="nil"/>
          <w:bottom w:val="nil"/>
          <w:right w:val="nil"/>
          <w:between w:val="nil"/>
        </w:pBdr>
        <w:spacing w:before="120" w:after="120" w:line="228" w:lineRule="auto"/>
        <w:ind w:firstLine="0"/>
        <w:jc w:val="center"/>
        <w:rPr>
          <w:rFonts w:cs="Times New Roman"/>
          <w:b/>
          <w:szCs w:val="28"/>
        </w:rPr>
      </w:pPr>
      <w:r w:rsidRPr="0024080D">
        <w:rPr>
          <w:rFonts w:cs="Times New Roman"/>
          <w:b/>
          <w:szCs w:val="28"/>
        </w:rPr>
        <w:t>Рисунок </w:t>
      </w:r>
      <w:r w:rsidR="00340602">
        <w:rPr>
          <w:rFonts w:cs="Times New Roman"/>
          <w:b/>
          <w:szCs w:val="28"/>
        </w:rPr>
        <w:t>2.24</w:t>
      </w:r>
      <w:r w:rsidRPr="0024080D">
        <w:rPr>
          <w:rFonts w:cs="Times New Roman"/>
          <w:b/>
          <w:szCs w:val="28"/>
        </w:rPr>
        <w:t xml:space="preserve">. Динаміка захворюваності на МЛС/ШЛС-ТБ </w:t>
      </w:r>
      <w:r w:rsidRPr="0024080D">
        <w:rPr>
          <w:rFonts w:cs="Times New Roman"/>
          <w:b/>
          <w:szCs w:val="28"/>
        </w:rPr>
        <w:br/>
        <w:t>на 100 000 населення</w:t>
      </w:r>
    </w:p>
    <w:p w14:paraId="118B4B0D" w14:textId="1B37C843" w:rsidR="004B3AED" w:rsidRPr="0024080D" w:rsidRDefault="004B3AED" w:rsidP="00CF58EE">
      <w:pPr>
        <w:widowControl w:val="0"/>
        <w:pBdr>
          <w:top w:val="nil"/>
          <w:left w:val="nil"/>
          <w:bottom w:val="nil"/>
          <w:right w:val="nil"/>
          <w:between w:val="nil"/>
        </w:pBdr>
        <w:spacing w:line="228" w:lineRule="auto"/>
        <w:rPr>
          <w:rFonts w:cs="Times New Roman"/>
          <w:szCs w:val="28"/>
        </w:rPr>
      </w:pPr>
      <w:r w:rsidRPr="0024080D">
        <w:rPr>
          <w:rFonts w:cs="Times New Roman"/>
          <w:szCs w:val="28"/>
        </w:rPr>
        <w:t>Кількість зареєстрованих випадків ТБ із вперше встановленим діагнозом МЛС-ТБ (Риф-ТБ) та/або ШЛС-ТБ має тенденцію до зниження кожного року; у 202</w:t>
      </w:r>
      <w:r w:rsidR="00596E32">
        <w:rPr>
          <w:rFonts w:cs="Times New Roman"/>
          <w:szCs w:val="28"/>
        </w:rPr>
        <w:t>1</w:t>
      </w:r>
      <w:r w:rsidRPr="0024080D">
        <w:rPr>
          <w:rFonts w:cs="Times New Roman"/>
          <w:szCs w:val="28"/>
        </w:rPr>
        <w:t xml:space="preserve"> р. абсолютна кількість таких випадків зменшилась на </w:t>
      </w:r>
      <w:r w:rsidR="00596E32">
        <w:rPr>
          <w:rFonts w:cs="Times New Roman"/>
          <w:szCs w:val="28"/>
        </w:rPr>
        <w:t>4</w:t>
      </w:r>
      <w:r w:rsidRPr="0024080D">
        <w:rPr>
          <w:rFonts w:cs="Times New Roman"/>
          <w:szCs w:val="28"/>
        </w:rPr>
        <w:t>,9% порівняно до 20</w:t>
      </w:r>
      <w:r w:rsidR="00596E32">
        <w:rPr>
          <w:rFonts w:cs="Times New Roman"/>
          <w:szCs w:val="28"/>
        </w:rPr>
        <w:t>20</w:t>
      </w:r>
      <w:r w:rsidRPr="0024080D">
        <w:rPr>
          <w:rFonts w:cs="Times New Roman"/>
          <w:szCs w:val="28"/>
        </w:rPr>
        <w:t xml:space="preserve"> р. </w:t>
      </w:r>
    </w:p>
    <w:p w14:paraId="27CADEFB" w14:textId="1C3853E9" w:rsidR="004B3AED" w:rsidRPr="0024080D" w:rsidRDefault="004B3AED" w:rsidP="00DC6532">
      <w:pPr>
        <w:widowControl w:val="0"/>
        <w:pBdr>
          <w:top w:val="nil"/>
          <w:left w:val="nil"/>
          <w:bottom w:val="nil"/>
          <w:right w:val="nil"/>
          <w:between w:val="nil"/>
        </w:pBdr>
        <w:spacing w:line="252" w:lineRule="auto"/>
        <w:rPr>
          <w:rFonts w:cs="Times New Roman"/>
          <w:szCs w:val="28"/>
        </w:rPr>
      </w:pPr>
      <w:r w:rsidRPr="0024080D">
        <w:rPr>
          <w:rFonts w:cs="Times New Roman"/>
          <w:szCs w:val="28"/>
        </w:rPr>
        <w:t>За оціночними даними ВООЗ, в Україні у 2020 р. мало бути виявлено принаймні 6</w:t>
      </w:r>
      <w:r w:rsidR="00A70D09">
        <w:rPr>
          <w:rFonts w:cs="Times New Roman"/>
          <w:szCs w:val="28"/>
        </w:rPr>
        <w:t>5</w:t>
      </w:r>
      <w:r w:rsidRPr="0024080D">
        <w:rPr>
          <w:rFonts w:cs="Times New Roman"/>
          <w:szCs w:val="28"/>
        </w:rPr>
        <w:t xml:space="preserve">00 таких випадків, проте за поточними статистичними даними було зареєстровано лише </w:t>
      </w:r>
      <w:r w:rsidR="00A70D09">
        <w:rPr>
          <w:rFonts w:cs="Times New Roman"/>
          <w:szCs w:val="28"/>
        </w:rPr>
        <w:t>3884</w:t>
      </w:r>
      <w:r w:rsidRPr="0024080D">
        <w:rPr>
          <w:rFonts w:cs="Times New Roman"/>
          <w:szCs w:val="28"/>
        </w:rPr>
        <w:t xml:space="preserve"> випадки. Отже, у 202</w:t>
      </w:r>
      <w:r w:rsidR="00A70D09">
        <w:rPr>
          <w:rFonts w:cs="Times New Roman"/>
          <w:szCs w:val="28"/>
        </w:rPr>
        <w:t>1</w:t>
      </w:r>
      <w:r w:rsidRPr="0024080D">
        <w:rPr>
          <w:rFonts w:cs="Times New Roman"/>
          <w:szCs w:val="28"/>
        </w:rPr>
        <w:t xml:space="preserve"> р., як і в минулі роки, було </w:t>
      </w:r>
      <w:proofErr w:type="spellStart"/>
      <w:r w:rsidRPr="0024080D">
        <w:rPr>
          <w:rFonts w:cs="Times New Roman"/>
          <w:szCs w:val="28"/>
        </w:rPr>
        <w:t>недовиявлено</w:t>
      </w:r>
      <w:proofErr w:type="spellEnd"/>
      <w:r w:rsidRPr="0024080D">
        <w:rPr>
          <w:rFonts w:cs="Times New Roman"/>
          <w:szCs w:val="28"/>
        </w:rPr>
        <w:t xml:space="preserve"> близько </w:t>
      </w:r>
      <w:r w:rsidR="00A70D09">
        <w:rPr>
          <w:rFonts w:cs="Times New Roman"/>
          <w:szCs w:val="28"/>
        </w:rPr>
        <w:t>35</w:t>
      </w:r>
      <w:r w:rsidRPr="0024080D">
        <w:rPr>
          <w:rFonts w:cs="Times New Roman"/>
          <w:szCs w:val="28"/>
        </w:rPr>
        <w:t xml:space="preserve">% випадків МЛС-ТБ. </w:t>
      </w:r>
    </w:p>
    <w:p w14:paraId="2CD911EF" w14:textId="77777777" w:rsidR="004B3AED" w:rsidRPr="0024080D" w:rsidRDefault="004B3AED" w:rsidP="00DC6532">
      <w:pPr>
        <w:widowControl w:val="0"/>
        <w:pBdr>
          <w:top w:val="nil"/>
          <w:left w:val="nil"/>
          <w:bottom w:val="nil"/>
          <w:right w:val="nil"/>
          <w:between w:val="nil"/>
        </w:pBdr>
        <w:spacing w:after="240" w:line="252" w:lineRule="auto"/>
        <w:rPr>
          <w:rFonts w:cs="Times New Roman"/>
          <w:szCs w:val="28"/>
        </w:rPr>
      </w:pPr>
      <w:r w:rsidRPr="0024080D">
        <w:rPr>
          <w:rFonts w:cs="Times New Roman"/>
          <w:szCs w:val="28"/>
        </w:rPr>
        <w:t>Протягом останніх шести років частка виявлення МЛС-ТБ серед нових випадків ТБ залишається стабільною, проте частка МЛС-ТБ серед повторних випадків ТБ має тенденцію до зниження.</w:t>
      </w:r>
    </w:p>
    <w:p w14:paraId="1E91D3FE" w14:textId="1B0840EB" w:rsidR="004B3AED" w:rsidRPr="0024080D" w:rsidRDefault="00176722" w:rsidP="00DC6532">
      <w:pPr>
        <w:widowControl w:val="0"/>
        <w:pBdr>
          <w:top w:val="nil"/>
          <w:left w:val="nil"/>
          <w:bottom w:val="nil"/>
          <w:right w:val="nil"/>
          <w:between w:val="nil"/>
        </w:pBdr>
        <w:spacing w:line="252" w:lineRule="auto"/>
        <w:ind w:firstLine="0"/>
        <w:jc w:val="center"/>
        <w:rPr>
          <w:rFonts w:cs="Times New Roman"/>
          <w:szCs w:val="28"/>
        </w:rPr>
      </w:pPr>
      <w:r w:rsidRPr="00176722">
        <w:rPr>
          <w:rFonts w:cs="Times New Roman"/>
          <w:noProof/>
          <w:szCs w:val="28"/>
        </w:rPr>
        <w:drawing>
          <wp:inline distT="0" distB="0" distL="0" distR="0" wp14:anchorId="26AF24A1" wp14:editId="7623FAD3">
            <wp:extent cx="5940425" cy="2800350"/>
            <wp:effectExtent l="0" t="0" r="3175" b="0"/>
            <wp:docPr id="44" name="Діаграма 44">
              <a:extLst xmlns:a="http://schemas.openxmlformats.org/drawingml/2006/main">
                <a:ext uri="{FF2B5EF4-FFF2-40B4-BE49-F238E27FC236}">
                  <a16:creationId xmlns:a16="http://schemas.microsoft.com/office/drawing/2014/main" id="{BCB4F3BE-E8DF-4327-A9EE-8894B74E5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7E8CC4" w14:textId="18B797D5" w:rsidR="004B3AED" w:rsidRPr="0024080D" w:rsidRDefault="004B3AED" w:rsidP="00DC6532">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340602">
        <w:rPr>
          <w:rFonts w:cs="Times New Roman"/>
          <w:b/>
          <w:szCs w:val="28"/>
        </w:rPr>
        <w:t>2.25</w:t>
      </w:r>
      <w:r w:rsidRPr="0024080D">
        <w:rPr>
          <w:rFonts w:cs="Times New Roman"/>
          <w:b/>
          <w:szCs w:val="28"/>
        </w:rPr>
        <w:t>. Виявлення частки МЛС</w:t>
      </w:r>
      <w:r w:rsidR="00D949F1">
        <w:rPr>
          <w:rFonts w:cs="Times New Roman"/>
          <w:b/>
          <w:szCs w:val="28"/>
          <w:lang w:val="ru-RU"/>
        </w:rPr>
        <w:t>-</w:t>
      </w:r>
      <w:r w:rsidRPr="0024080D">
        <w:rPr>
          <w:rFonts w:cs="Times New Roman"/>
          <w:b/>
          <w:szCs w:val="28"/>
        </w:rPr>
        <w:t xml:space="preserve">ТБ серед нових </w:t>
      </w:r>
      <w:r w:rsidRPr="0024080D">
        <w:rPr>
          <w:rFonts w:cs="Times New Roman"/>
          <w:b/>
          <w:szCs w:val="28"/>
        </w:rPr>
        <w:br/>
        <w:t>та повторних випадків ТБ у період з 201</w:t>
      </w:r>
      <w:r w:rsidR="00176722">
        <w:rPr>
          <w:rFonts w:cs="Times New Roman"/>
          <w:b/>
          <w:szCs w:val="28"/>
        </w:rPr>
        <w:t>6</w:t>
      </w:r>
      <w:r w:rsidRPr="0024080D">
        <w:rPr>
          <w:rFonts w:cs="Times New Roman"/>
          <w:b/>
          <w:szCs w:val="28"/>
        </w:rPr>
        <w:t xml:space="preserve"> по 202</w:t>
      </w:r>
      <w:r w:rsidR="00176722">
        <w:rPr>
          <w:rFonts w:cs="Times New Roman"/>
          <w:b/>
          <w:szCs w:val="28"/>
        </w:rPr>
        <w:t>1</w:t>
      </w:r>
      <w:r w:rsidRPr="0024080D">
        <w:rPr>
          <w:rFonts w:cs="Times New Roman"/>
          <w:b/>
          <w:szCs w:val="28"/>
        </w:rPr>
        <w:t xml:space="preserve"> рр.</w:t>
      </w:r>
    </w:p>
    <w:p w14:paraId="20EB1EB6" w14:textId="0700AEDB" w:rsidR="004B3AED" w:rsidRPr="0024080D" w:rsidRDefault="004B3AED" w:rsidP="00DC6532">
      <w:pPr>
        <w:widowControl w:val="0"/>
        <w:pBdr>
          <w:top w:val="nil"/>
          <w:left w:val="nil"/>
          <w:bottom w:val="nil"/>
          <w:right w:val="nil"/>
          <w:between w:val="nil"/>
        </w:pBdr>
        <w:spacing w:after="240" w:line="252" w:lineRule="auto"/>
        <w:rPr>
          <w:rFonts w:cs="Times New Roman"/>
          <w:szCs w:val="28"/>
        </w:rPr>
      </w:pPr>
      <w:r w:rsidRPr="0024080D">
        <w:rPr>
          <w:rFonts w:cs="Times New Roman"/>
          <w:szCs w:val="28"/>
        </w:rPr>
        <w:t>У 202</w:t>
      </w:r>
      <w:r w:rsidR="00F812DD">
        <w:rPr>
          <w:rFonts w:cs="Times New Roman"/>
          <w:szCs w:val="28"/>
        </w:rPr>
        <w:t>1</w:t>
      </w:r>
      <w:r w:rsidRPr="0024080D">
        <w:rPr>
          <w:rFonts w:cs="Times New Roman"/>
          <w:szCs w:val="28"/>
        </w:rPr>
        <w:t xml:space="preserve"> р. найбільшу кількість вперше </w:t>
      </w:r>
      <w:proofErr w:type="spellStart"/>
      <w:r w:rsidRPr="0024080D">
        <w:rPr>
          <w:rFonts w:cs="Times New Roman"/>
          <w:szCs w:val="28"/>
        </w:rPr>
        <w:t>діагностованих</w:t>
      </w:r>
      <w:proofErr w:type="spellEnd"/>
      <w:r w:rsidRPr="0024080D">
        <w:rPr>
          <w:rFonts w:cs="Times New Roman"/>
          <w:szCs w:val="28"/>
        </w:rPr>
        <w:t xml:space="preserve"> випадків </w:t>
      </w:r>
      <w:r w:rsidRPr="0024080D">
        <w:rPr>
          <w:rFonts w:cs="Times New Roman"/>
          <w:szCs w:val="28"/>
        </w:rPr>
        <w:br/>
      </w:r>
      <w:r w:rsidRPr="0024080D">
        <w:rPr>
          <w:rFonts w:cs="Times New Roman"/>
          <w:szCs w:val="28"/>
        </w:rPr>
        <w:lastRenderedPageBreak/>
        <w:t>МЛС-ТБ, Риф-ТБ та ШЛС-ТБ було зареєстровано у Дніпропетровській (</w:t>
      </w:r>
      <w:r w:rsidR="00C61FC1">
        <w:rPr>
          <w:rFonts w:cs="Times New Roman"/>
          <w:szCs w:val="28"/>
        </w:rPr>
        <w:t>475</w:t>
      </w:r>
      <w:r w:rsidRPr="0024080D">
        <w:rPr>
          <w:rFonts w:cs="Times New Roman"/>
          <w:szCs w:val="28"/>
        </w:rPr>
        <w:t>) та Одеській (39</w:t>
      </w:r>
      <w:r w:rsidR="00C61FC1">
        <w:rPr>
          <w:rFonts w:cs="Times New Roman"/>
          <w:szCs w:val="28"/>
        </w:rPr>
        <w:t>9</w:t>
      </w:r>
      <w:r w:rsidRPr="0024080D">
        <w:rPr>
          <w:rFonts w:cs="Times New Roman"/>
          <w:szCs w:val="28"/>
        </w:rPr>
        <w:t>) областях, найменшу кількість – у Чернівецькій (</w:t>
      </w:r>
      <w:r w:rsidR="00C61FC1">
        <w:rPr>
          <w:rFonts w:cs="Times New Roman"/>
          <w:szCs w:val="28"/>
        </w:rPr>
        <w:t>42</w:t>
      </w:r>
      <w:r w:rsidRPr="0024080D">
        <w:rPr>
          <w:rFonts w:cs="Times New Roman"/>
          <w:szCs w:val="28"/>
        </w:rPr>
        <w:t>) та Тернопільській (3</w:t>
      </w:r>
      <w:r w:rsidR="00C61FC1">
        <w:rPr>
          <w:rFonts w:cs="Times New Roman"/>
          <w:szCs w:val="28"/>
        </w:rPr>
        <w:t>8</w:t>
      </w:r>
      <w:r w:rsidRPr="0024080D">
        <w:rPr>
          <w:rFonts w:cs="Times New Roman"/>
          <w:szCs w:val="28"/>
        </w:rPr>
        <w:t>) областях. Порівняно до показників 20</w:t>
      </w:r>
      <w:r w:rsidR="00C61FC1">
        <w:rPr>
          <w:rFonts w:cs="Times New Roman"/>
          <w:szCs w:val="28"/>
        </w:rPr>
        <w:t>20</w:t>
      </w:r>
      <w:r w:rsidRPr="0024080D">
        <w:rPr>
          <w:rFonts w:cs="Times New Roman"/>
          <w:szCs w:val="28"/>
        </w:rPr>
        <w:t> р., в усіх регіонах відзначено зменшення кількості таких випадків.</w:t>
      </w:r>
    </w:p>
    <w:p w14:paraId="7705E7FB" w14:textId="0C6952A3" w:rsidR="004B3AED" w:rsidRPr="0024080D" w:rsidRDefault="00F812DD" w:rsidP="00DC6532">
      <w:pPr>
        <w:widowControl w:val="0"/>
        <w:pBdr>
          <w:top w:val="nil"/>
          <w:left w:val="nil"/>
          <w:bottom w:val="nil"/>
          <w:right w:val="nil"/>
          <w:between w:val="nil"/>
        </w:pBdr>
        <w:spacing w:after="120" w:line="252" w:lineRule="auto"/>
        <w:ind w:firstLine="0"/>
        <w:jc w:val="center"/>
        <w:rPr>
          <w:rFonts w:cs="Times New Roman"/>
          <w:szCs w:val="28"/>
        </w:rPr>
      </w:pPr>
      <w:r w:rsidRPr="00F812DD">
        <w:rPr>
          <w:rFonts w:cs="Times New Roman"/>
          <w:noProof/>
          <w:szCs w:val="28"/>
        </w:rPr>
        <w:drawing>
          <wp:inline distT="0" distB="0" distL="0" distR="0" wp14:anchorId="3F93F482" wp14:editId="6D18F779">
            <wp:extent cx="5940425" cy="2371725"/>
            <wp:effectExtent l="0" t="0" r="3175" b="0"/>
            <wp:docPr id="46" name="Діаграма 46">
              <a:extLst xmlns:a="http://schemas.openxmlformats.org/drawingml/2006/main">
                <a:ext uri="{FF2B5EF4-FFF2-40B4-BE49-F238E27FC236}">
                  <a16:creationId xmlns:a16="http://schemas.microsoft.com/office/drawing/2014/main" id="{21CDD534-3F4A-4F30-B0CC-1976DC046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8A18D68" w14:textId="35F74F9D" w:rsidR="004B3AED" w:rsidRPr="0024080D" w:rsidRDefault="004B3AED" w:rsidP="00DC6532">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340602">
        <w:rPr>
          <w:rFonts w:cs="Times New Roman"/>
          <w:b/>
          <w:szCs w:val="28"/>
        </w:rPr>
        <w:t>2.26</w:t>
      </w:r>
      <w:r w:rsidRPr="0024080D">
        <w:rPr>
          <w:rFonts w:cs="Times New Roman"/>
          <w:b/>
          <w:szCs w:val="28"/>
        </w:rPr>
        <w:t xml:space="preserve">. Кількість зареєстрованих хворих на ТБ із вперше </w:t>
      </w:r>
      <w:proofErr w:type="spellStart"/>
      <w:r w:rsidRPr="0024080D">
        <w:rPr>
          <w:rFonts w:cs="Times New Roman"/>
          <w:b/>
          <w:szCs w:val="28"/>
        </w:rPr>
        <w:t>діагностованим</w:t>
      </w:r>
      <w:proofErr w:type="spellEnd"/>
      <w:r w:rsidRPr="0024080D">
        <w:rPr>
          <w:rFonts w:cs="Times New Roman"/>
          <w:b/>
          <w:szCs w:val="28"/>
        </w:rPr>
        <w:t xml:space="preserve"> МЛС-ТБ, Риф-ТБ та/або ШЛС-ТБ </w:t>
      </w:r>
      <w:r w:rsidRPr="0024080D">
        <w:rPr>
          <w:rFonts w:cs="Times New Roman"/>
          <w:b/>
          <w:szCs w:val="28"/>
        </w:rPr>
        <w:br/>
        <w:t>в Україні у період з 201</w:t>
      </w:r>
      <w:r w:rsidR="00F812DD">
        <w:rPr>
          <w:rFonts w:cs="Times New Roman"/>
          <w:b/>
          <w:szCs w:val="28"/>
        </w:rPr>
        <w:t>6</w:t>
      </w:r>
      <w:r w:rsidRPr="0024080D">
        <w:rPr>
          <w:rFonts w:cs="Times New Roman"/>
          <w:b/>
          <w:szCs w:val="28"/>
        </w:rPr>
        <w:t xml:space="preserve"> по 202</w:t>
      </w:r>
      <w:r w:rsidR="00F812DD">
        <w:rPr>
          <w:rFonts w:cs="Times New Roman"/>
          <w:b/>
          <w:szCs w:val="28"/>
        </w:rPr>
        <w:t>1</w:t>
      </w:r>
      <w:r w:rsidRPr="0024080D">
        <w:rPr>
          <w:rFonts w:cs="Times New Roman"/>
          <w:b/>
          <w:szCs w:val="28"/>
        </w:rPr>
        <w:t xml:space="preserve"> рр.</w:t>
      </w:r>
    </w:p>
    <w:p w14:paraId="1988189C" w14:textId="77777777" w:rsidR="00DC6532" w:rsidRPr="0024080D" w:rsidRDefault="00DC6532" w:rsidP="004B3AED">
      <w:pPr>
        <w:widowControl w:val="0"/>
        <w:pBdr>
          <w:top w:val="nil"/>
          <w:left w:val="nil"/>
          <w:bottom w:val="nil"/>
          <w:right w:val="nil"/>
          <w:between w:val="nil"/>
        </w:pBdr>
        <w:rPr>
          <w:rFonts w:cs="Times New Roman"/>
          <w:szCs w:val="28"/>
        </w:rPr>
      </w:pPr>
    </w:p>
    <w:p w14:paraId="28BAA6F9" w14:textId="3E8B39B3" w:rsidR="004B3AED" w:rsidRPr="0024080D" w:rsidRDefault="004B3AED" w:rsidP="00DC6532">
      <w:pPr>
        <w:widowControl w:val="0"/>
        <w:pBdr>
          <w:top w:val="nil"/>
          <w:left w:val="nil"/>
          <w:bottom w:val="nil"/>
          <w:right w:val="nil"/>
          <w:between w:val="nil"/>
        </w:pBdr>
        <w:spacing w:line="228" w:lineRule="auto"/>
        <w:rPr>
          <w:rFonts w:cs="Times New Roman"/>
          <w:szCs w:val="28"/>
        </w:rPr>
      </w:pPr>
      <w:r w:rsidRPr="0024080D">
        <w:rPr>
          <w:rFonts w:cs="Times New Roman"/>
          <w:szCs w:val="28"/>
        </w:rPr>
        <w:t>Нижчі показники охоплення лікуванням із застосуванням препаратів другого ряду відзначено у</w:t>
      </w:r>
      <w:r w:rsidR="008C308C">
        <w:rPr>
          <w:rFonts w:cs="Times New Roman"/>
          <w:szCs w:val="28"/>
        </w:rPr>
        <w:t xml:space="preserve"> Закарпатській  (80,9%),</w:t>
      </w:r>
      <w:r w:rsidRPr="0024080D">
        <w:rPr>
          <w:rFonts w:cs="Times New Roman"/>
          <w:szCs w:val="28"/>
        </w:rPr>
        <w:t xml:space="preserve"> Кіровоградській (</w:t>
      </w:r>
      <w:r w:rsidR="008C308C">
        <w:rPr>
          <w:rFonts w:cs="Times New Roman"/>
          <w:szCs w:val="28"/>
        </w:rPr>
        <w:t>80</w:t>
      </w:r>
      <w:r w:rsidRPr="0024080D">
        <w:rPr>
          <w:rFonts w:cs="Times New Roman"/>
          <w:szCs w:val="28"/>
        </w:rPr>
        <w:t>,2%) та Полтавській (</w:t>
      </w:r>
      <w:r w:rsidR="008C308C">
        <w:rPr>
          <w:rFonts w:cs="Times New Roman"/>
          <w:szCs w:val="28"/>
        </w:rPr>
        <w:t>79,6</w:t>
      </w:r>
      <w:r w:rsidRPr="0024080D">
        <w:rPr>
          <w:rFonts w:cs="Times New Roman"/>
          <w:szCs w:val="28"/>
        </w:rPr>
        <w:t>%) областях.</w:t>
      </w:r>
    </w:p>
    <w:p w14:paraId="6B7EED35" w14:textId="1D35E862" w:rsidR="008C308C" w:rsidRDefault="008C308C" w:rsidP="00DC6532">
      <w:pPr>
        <w:widowControl w:val="0"/>
        <w:pBdr>
          <w:top w:val="nil"/>
          <w:left w:val="nil"/>
          <w:bottom w:val="nil"/>
          <w:right w:val="nil"/>
          <w:between w:val="nil"/>
        </w:pBdr>
        <w:spacing w:line="228" w:lineRule="auto"/>
        <w:ind w:firstLine="0"/>
        <w:jc w:val="center"/>
        <w:rPr>
          <w:rFonts w:cs="Times New Roman"/>
          <w:noProof/>
          <w:szCs w:val="28"/>
        </w:rPr>
      </w:pPr>
      <w:r w:rsidRPr="008C308C">
        <w:rPr>
          <w:rFonts w:cs="Times New Roman"/>
          <w:noProof/>
          <w:szCs w:val="28"/>
        </w:rPr>
        <w:drawing>
          <wp:inline distT="0" distB="0" distL="0" distR="0" wp14:anchorId="3820B1E6" wp14:editId="589E945B">
            <wp:extent cx="5940425" cy="2592070"/>
            <wp:effectExtent l="0" t="0" r="3175" b="0"/>
            <wp:docPr id="48" name="Діаграма 48">
              <a:extLst xmlns:a="http://schemas.openxmlformats.org/drawingml/2006/main">
                <a:ext uri="{FF2B5EF4-FFF2-40B4-BE49-F238E27FC236}">
                  <a16:creationId xmlns:a16="http://schemas.microsoft.com/office/drawing/2014/main" id="{12FA7C58-5A87-4F26-9A25-9DBE9C0CB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BA47048" w14:textId="2EE5B24E" w:rsidR="004B3AED" w:rsidRPr="0024080D" w:rsidRDefault="004B3AED" w:rsidP="00DC6532">
      <w:pPr>
        <w:widowControl w:val="0"/>
        <w:pBdr>
          <w:top w:val="nil"/>
          <w:left w:val="nil"/>
          <w:bottom w:val="nil"/>
          <w:right w:val="nil"/>
          <w:between w:val="nil"/>
        </w:pBdr>
        <w:spacing w:line="228" w:lineRule="auto"/>
        <w:ind w:firstLine="0"/>
        <w:jc w:val="center"/>
        <w:rPr>
          <w:rFonts w:cs="Times New Roman"/>
          <w:b/>
          <w:szCs w:val="28"/>
        </w:rPr>
      </w:pPr>
      <w:r w:rsidRPr="0024080D">
        <w:rPr>
          <w:rFonts w:cs="Times New Roman"/>
          <w:b/>
          <w:szCs w:val="28"/>
        </w:rPr>
        <w:t>Рисунок </w:t>
      </w:r>
      <w:r w:rsidR="00340602">
        <w:rPr>
          <w:rFonts w:cs="Times New Roman"/>
          <w:b/>
          <w:szCs w:val="28"/>
        </w:rPr>
        <w:t>2.27</w:t>
      </w:r>
      <w:r w:rsidRPr="0024080D">
        <w:rPr>
          <w:rFonts w:cs="Times New Roman"/>
          <w:b/>
          <w:szCs w:val="28"/>
        </w:rPr>
        <w:t xml:space="preserve">. Кількість зареєстрованих хворих на ТБ </w:t>
      </w:r>
      <w:r w:rsidRPr="0024080D">
        <w:rPr>
          <w:rFonts w:cs="Times New Roman"/>
          <w:b/>
          <w:szCs w:val="28"/>
        </w:rPr>
        <w:br/>
        <w:t xml:space="preserve">із вперше </w:t>
      </w:r>
      <w:proofErr w:type="spellStart"/>
      <w:r w:rsidRPr="0024080D">
        <w:rPr>
          <w:rFonts w:cs="Times New Roman"/>
          <w:b/>
          <w:szCs w:val="28"/>
        </w:rPr>
        <w:t>діагностованим</w:t>
      </w:r>
      <w:proofErr w:type="spellEnd"/>
      <w:r w:rsidRPr="0024080D">
        <w:rPr>
          <w:rFonts w:cs="Times New Roman"/>
          <w:b/>
          <w:szCs w:val="28"/>
        </w:rPr>
        <w:t xml:space="preserve"> МЛС-ТБ</w:t>
      </w:r>
      <w:r w:rsidR="00D949F1" w:rsidRPr="00D949F1">
        <w:rPr>
          <w:rFonts w:cs="Times New Roman"/>
          <w:b/>
          <w:szCs w:val="28"/>
        </w:rPr>
        <w:t>,</w:t>
      </w:r>
      <w:r w:rsidRPr="0024080D">
        <w:rPr>
          <w:rFonts w:cs="Times New Roman"/>
          <w:b/>
          <w:szCs w:val="28"/>
        </w:rPr>
        <w:t xml:space="preserve"> Риф-ТБ </w:t>
      </w:r>
      <w:r w:rsidR="00D949F1" w:rsidRPr="00D949F1">
        <w:rPr>
          <w:rFonts w:cs="Times New Roman"/>
          <w:b/>
          <w:szCs w:val="28"/>
        </w:rPr>
        <w:t>та/</w:t>
      </w:r>
      <w:r w:rsidRPr="0024080D">
        <w:rPr>
          <w:rFonts w:cs="Times New Roman"/>
          <w:b/>
          <w:szCs w:val="28"/>
        </w:rPr>
        <w:t xml:space="preserve">або ШЛС-ТБ, </w:t>
      </w:r>
      <w:r w:rsidRPr="0024080D">
        <w:rPr>
          <w:rFonts w:cs="Times New Roman"/>
          <w:b/>
          <w:szCs w:val="28"/>
        </w:rPr>
        <w:br/>
        <w:t xml:space="preserve">які розпочали лікування із застосуванням препаратів </w:t>
      </w:r>
      <w:r w:rsidRPr="0024080D">
        <w:rPr>
          <w:rFonts w:cs="Times New Roman"/>
          <w:b/>
          <w:szCs w:val="28"/>
        </w:rPr>
        <w:br/>
        <w:t>другого ряду по регіонах, 202</w:t>
      </w:r>
      <w:r w:rsidR="008C308C">
        <w:rPr>
          <w:rFonts w:cs="Times New Roman"/>
          <w:b/>
          <w:szCs w:val="28"/>
        </w:rPr>
        <w:t>1</w:t>
      </w:r>
      <w:r w:rsidRPr="0024080D">
        <w:rPr>
          <w:rFonts w:cs="Times New Roman"/>
          <w:b/>
          <w:szCs w:val="28"/>
        </w:rPr>
        <w:t> р.</w:t>
      </w:r>
    </w:p>
    <w:p w14:paraId="0E743B1F" w14:textId="77777777" w:rsidR="004B3AED" w:rsidRPr="0024080D" w:rsidRDefault="004B3AED" w:rsidP="00DC6532">
      <w:pPr>
        <w:pStyle w:val="4"/>
        <w:spacing w:line="228" w:lineRule="auto"/>
        <w:rPr>
          <w:b/>
        </w:rPr>
      </w:pPr>
      <w:bookmarkStart w:id="55" w:name="_Toc88088846"/>
      <w:bookmarkStart w:id="56" w:name="_Toc89149125"/>
      <w:r w:rsidRPr="0024080D">
        <w:t>Динаміка реєстрації ТБ серед ув’язнених</w:t>
      </w:r>
      <w:bookmarkEnd w:id="55"/>
      <w:bookmarkEnd w:id="56"/>
      <w:r w:rsidRPr="0024080D">
        <w:t xml:space="preserve"> </w:t>
      </w:r>
    </w:p>
    <w:p w14:paraId="1C0CDA3F" w14:textId="02ACDEB4" w:rsidR="004B3AED" w:rsidRPr="0024080D" w:rsidRDefault="004B3AED" w:rsidP="00DC6532">
      <w:pPr>
        <w:widowControl w:val="0"/>
        <w:pBdr>
          <w:top w:val="nil"/>
          <w:left w:val="nil"/>
          <w:bottom w:val="nil"/>
          <w:right w:val="nil"/>
          <w:between w:val="nil"/>
        </w:pBdr>
        <w:spacing w:after="120" w:line="228" w:lineRule="auto"/>
        <w:rPr>
          <w:rFonts w:cs="Times New Roman"/>
          <w:szCs w:val="28"/>
        </w:rPr>
      </w:pPr>
      <w:r w:rsidRPr="0024080D">
        <w:rPr>
          <w:rFonts w:cs="Times New Roman"/>
          <w:szCs w:val="28"/>
        </w:rPr>
        <w:t>З 201</w:t>
      </w:r>
      <w:r w:rsidR="004F2AB0">
        <w:rPr>
          <w:rFonts w:cs="Times New Roman"/>
          <w:szCs w:val="28"/>
        </w:rPr>
        <w:t>6</w:t>
      </w:r>
      <w:r w:rsidRPr="0024080D">
        <w:rPr>
          <w:rFonts w:cs="Times New Roman"/>
          <w:szCs w:val="28"/>
        </w:rPr>
        <w:t xml:space="preserve"> по 202</w:t>
      </w:r>
      <w:r w:rsidR="004F2AB0">
        <w:rPr>
          <w:rFonts w:cs="Times New Roman"/>
          <w:szCs w:val="28"/>
        </w:rPr>
        <w:t>1</w:t>
      </w:r>
      <w:r w:rsidRPr="0024080D">
        <w:rPr>
          <w:rFonts w:cs="Times New Roman"/>
          <w:szCs w:val="28"/>
        </w:rPr>
        <w:t xml:space="preserve"> рр. кількість зареєстрованих нових випадків ТБ і рецидивів захворювання у в’язницях знизилася з </w:t>
      </w:r>
      <w:r w:rsidR="004F2AB0">
        <w:rPr>
          <w:rFonts w:cs="Times New Roman"/>
          <w:szCs w:val="28"/>
        </w:rPr>
        <w:t>919</w:t>
      </w:r>
      <w:r w:rsidRPr="0024080D">
        <w:rPr>
          <w:rFonts w:cs="Times New Roman"/>
          <w:szCs w:val="28"/>
        </w:rPr>
        <w:t xml:space="preserve"> до </w:t>
      </w:r>
      <w:r w:rsidR="004F2AB0">
        <w:rPr>
          <w:rFonts w:cs="Times New Roman"/>
          <w:szCs w:val="28"/>
        </w:rPr>
        <w:t>547</w:t>
      </w:r>
      <w:r w:rsidRPr="0024080D">
        <w:rPr>
          <w:rFonts w:cs="Times New Roman"/>
          <w:szCs w:val="28"/>
        </w:rPr>
        <w:t xml:space="preserve"> (рисунок 3.29). У </w:t>
      </w:r>
      <w:r w:rsidRPr="0024080D">
        <w:rPr>
          <w:rFonts w:cs="Times New Roman"/>
          <w:szCs w:val="28"/>
        </w:rPr>
        <w:lastRenderedPageBreak/>
        <w:t>пенітенціарних установах показник реєстрації ТБ знизився з </w:t>
      </w:r>
      <w:r w:rsidR="004F2AB0">
        <w:rPr>
          <w:rFonts w:cs="Times New Roman"/>
          <w:szCs w:val="28"/>
        </w:rPr>
        <w:t>1405</w:t>
      </w:r>
      <w:r w:rsidRPr="0024080D">
        <w:rPr>
          <w:rFonts w:cs="Times New Roman"/>
          <w:szCs w:val="28"/>
        </w:rPr>
        <w:t xml:space="preserve"> на 100 000 </w:t>
      </w:r>
      <w:r w:rsidR="004F2AB0">
        <w:rPr>
          <w:rFonts w:cs="Times New Roman"/>
          <w:szCs w:val="28"/>
        </w:rPr>
        <w:t xml:space="preserve">відповідного </w:t>
      </w:r>
      <w:r w:rsidRPr="0024080D">
        <w:rPr>
          <w:rFonts w:cs="Times New Roman"/>
          <w:szCs w:val="28"/>
        </w:rPr>
        <w:t>населення у 201</w:t>
      </w:r>
      <w:r w:rsidR="004F2AB0">
        <w:rPr>
          <w:rFonts w:cs="Times New Roman"/>
          <w:szCs w:val="28"/>
        </w:rPr>
        <w:t>6</w:t>
      </w:r>
      <w:r w:rsidRPr="0024080D">
        <w:rPr>
          <w:rFonts w:cs="Times New Roman"/>
          <w:szCs w:val="28"/>
        </w:rPr>
        <w:t> р. до 11</w:t>
      </w:r>
      <w:r w:rsidR="004F2AB0">
        <w:rPr>
          <w:rFonts w:cs="Times New Roman"/>
          <w:szCs w:val="28"/>
        </w:rPr>
        <w:t>43</w:t>
      </w:r>
      <w:r w:rsidRPr="0024080D">
        <w:rPr>
          <w:rFonts w:cs="Times New Roman"/>
          <w:szCs w:val="28"/>
        </w:rPr>
        <w:t xml:space="preserve"> у 202</w:t>
      </w:r>
      <w:r w:rsidR="004F2AB0">
        <w:rPr>
          <w:rFonts w:cs="Times New Roman"/>
          <w:szCs w:val="28"/>
        </w:rPr>
        <w:t>1</w:t>
      </w:r>
      <w:r w:rsidRPr="0024080D">
        <w:rPr>
          <w:rFonts w:cs="Times New Roman"/>
          <w:szCs w:val="28"/>
        </w:rPr>
        <w:t xml:space="preserve"> р. Одна з причин – загальне скорочення кількості ув’язнених в країні, що сприяє зниженню переповненості в’язниць і рівня передачі ТБ серед ув’язнених. </w:t>
      </w:r>
    </w:p>
    <w:p w14:paraId="341D6F64" w14:textId="1F952831" w:rsidR="004B3AED" w:rsidRPr="0024080D" w:rsidRDefault="004F2AB0" w:rsidP="00DC6532">
      <w:pPr>
        <w:widowControl w:val="0"/>
        <w:pBdr>
          <w:top w:val="nil"/>
          <w:left w:val="nil"/>
          <w:bottom w:val="nil"/>
          <w:right w:val="nil"/>
          <w:between w:val="nil"/>
        </w:pBdr>
        <w:spacing w:line="228" w:lineRule="auto"/>
        <w:ind w:firstLine="0"/>
        <w:jc w:val="center"/>
        <w:rPr>
          <w:rFonts w:cs="Times New Roman"/>
          <w:szCs w:val="28"/>
        </w:rPr>
      </w:pPr>
      <w:r w:rsidRPr="004F2AB0">
        <w:rPr>
          <w:rFonts w:cs="Times New Roman"/>
          <w:noProof/>
          <w:szCs w:val="28"/>
        </w:rPr>
        <w:drawing>
          <wp:inline distT="0" distB="0" distL="0" distR="0" wp14:anchorId="38339573" wp14:editId="680CCB7D">
            <wp:extent cx="5940425" cy="3090545"/>
            <wp:effectExtent l="0" t="0" r="3175" b="0"/>
            <wp:docPr id="73" name="Діаграма 73">
              <a:extLst xmlns:a="http://schemas.openxmlformats.org/drawingml/2006/main">
                <a:ext uri="{FF2B5EF4-FFF2-40B4-BE49-F238E27FC236}">
                  <a16:creationId xmlns:a16="http://schemas.microsoft.com/office/drawing/2014/main" id="{01AC90A1-DD3A-4529-998D-F5B5B8CA6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8471443" w14:textId="19730F7C" w:rsidR="004B3AED" w:rsidRPr="0024080D" w:rsidRDefault="004B3AED" w:rsidP="00DC6532">
      <w:pPr>
        <w:widowControl w:val="0"/>
        <w:pBdr>
          <w:top w:val="nil"/>
          <w:left w:val="nil"/>
          <w:bottom w:val="nil"/>
          <w:right w:val="nil"/>
          <w:between w:val="nil"/>
        </w:pBdr>
        <w:spacing w:before="120" w:after="120" w:line="228" w:lineRule="auto"/>
        <w:ind w:firstLine="0"/>
        <w:jc w:val="center"/>
        <w:rPr>
          <w:rFonts w:cs="Times New Roman"/>
          <w:b/>
          <w:szCs w:val="28"/>
        </w:rPr>
      </w:pPr>
      <w:r w:rsidRPr="0024080D">
        <w:rPr>
          <w:rFonts w:cs="Times New Roman"/>
          <w:b/>
          <w:szCs w:val="28"/>
        </w:rPr>
        <w:t>Рисунок </w:t>
      </w:r>
      <w:r w:rsidR="00340602">
        <w:rPr>
          <w:rFonts w:cs="Times New Roman"/>
          <w:b/>
          <w:szCs w:val="28"/>
        </w:rPr>
        <w:t>2.28</w:t>
      </w:r>
      <w:r w:rsidRPr="0024080D">
        <w:rPr>
          <w:rFonts w:cs="Times New Roman"/>
          <w:b/>
          <w:szCs w:val="28"/>
        </w:rPr>
        <w:t xml:space="preserve">. Динаміка кількості нових випадків ТБ </w:t>
      </w:r>
      <w:r w:rsidRPr="0024080D">
        <w:rPr>
          <w:rFonts w:cs="Times New Roman"/>
          <w:b/>
          <w:szCs w:val="28"/>
        </w:rPr>
        <w:br/>
        <w:t>та рецидивів захворювання у в’язницях</w:t>
      </w:r>
    </w:p>
    <w:p w14:paraId="09E12C61" w14:textId="584EC347" w:rsidR="004B3AED" w:rsidRPr="0024080D" w:rsidRDefault="00DC6532" w:rsidP="00DC6532">
      <w:pPr>
        <w:pStyle w:val="2"/>
        <w:spacing w:line="252" w:lineRule="auto"/>
      </w:pPr>
      <w:bookmarkStart w:id="57" w:name="_Toc88088847"/>
      <w:bookmarkStart w:id="58" w:name="_Toc89149126"/>
      <w:r w:rsidRPr="0024080D">
        <w:t>Детермінанти туберкульозу</w:t>
      </w:r>
      <w:bookmarkEnd w:id="57"/>
      <w:bookmarkEnd w:id="58"/>
    </w:p>
    <w:p w14:paraId="6D927FDA" w14:textId="77777777" w:rsidR="004B3AED" w:rsidRPr="0024080D" w:rsidRDefault="004B3AED" w:rsidP="00DC6532">
      <w:pPr>
        <w:pStyle w:val="3"/>
        <w:spacing w:line="252" w:lineRule="auto"/>
      </w:pPr>
      <w:bookmarkStart w:id="59" w:name="_Toc88088849"/>
      <w:bookmarkStart w:id="60" w:name="_Toc89149128"/>
      <w:r w:rsidRPr="0024080D">
        <w:t>Охоплення ТМЧ</w:t>
      </w:r>
      <w:bookmarkEnd w:id="59"/>
      <w:bookmarkEnd w:id="60"/>
      <w:r w:rsidRPr="0024080D">
        <w:t xml:space="preserve"> </w:t>
      </w:r>
    </w:p>
    <w:p w14:paraId="283FBAEB" w14:textId="77777777" w:rsidR="004B3AED" w:rsidRPr="0024080D" w:rsidRDefault="004B3AED" w:rsidP="00DC6532">
      <w:pPr>
        <w:widowControl w:val="0"/>
        <w:pBdr>
          <w:top w:val="nil"/>
          <w:left w:val="nil"/>
          <w:bottom w:val="nil"/>
          <w:right w:val="nil"/>
          <w:between w:val="nil"/>
        </w:pBdr>
        <w:spacing w:after="120" w:line="252" w:lineRule="auto"/>
        <w:rPr>
          <w:rFonts w:cs="Times New Roman"/>
          <w:szCs w:val="28"/>
        </w:rPr>
      </w:pPr>
      <w:r w:rsidRPr="0024080D">
        <w:rPr>
          <w:rFonts w:cs="Times New Roman"/>
          <w:szCs w:val="28"/>
        </w:rPr>
        <w:t xml:space="preserve">Протягом останніх п’яти років показники охоплення ТМЧ, принаймні, до </w:t>
      </w:r>
      <w:proofErr w:type="spellStart"/>
      <w:r w:rsidRPr="0024080D">
        <w:rPr>
          <w:rFonts w:cs="Times New Roman"/>
          <w:szCs w:val="28"/>
        </w:rPr>
        <w:t>рифампіцину</w:t>
      </w:r>
      <w:proofErr w:type="spellEnd"/>
      <w:r w:rsidRPr="0024080D">
        <w:rPr>
          <w:rFonts w:cs="Times New Roman"/>
          <w:szCs w:val="28"/>
        </w:rPr>
        <w:t xml:space="preserve"> серед </w:t>
      </w:r>
      <w:proofErr w:type="spellStart"/>
      <w:r w:rsidRPr="0024080D">
        <w:rPr>
          <w:rFonts w:cs="Times New Roman"/>
          <w:szCs w:val="28"/>
        </w:rPr>
        <w:t>бактеріологічно</w:t>
      </w:r>
      <w:proofErr w:type="spellEnd"/>
      <w:r w:rsidRPr="0024080D">
        <w:rPr>
          <w:rFonts w:cs="Times New Roman"/>
          <w:szCs w:val="28"/>
        </w:rPr>
        <w:t xml:space="preserve"> підтверджених нових і повторних випадків ТБ легень були незмінно високими і перевищували 90% (рисунок 3.30). </w:t>
      </w:r>
    </w:p>
    <w:p w14:paraId="2FF2926D" w14:textId="0DBEDB19" w:rsidR="004B3AED" w:rsidRPr="0024080D" w:rsidRDefault="0077262C" w:rsidP="00DC6532">
      <w:pPr>
        <w:widowControl w:val="0"/>
        <w:pBdr>
          <w:top w:val="nil"/>
          <w:left w:val="nil"/>
          <w:bottom w:val="nil"/>
          <w:right w:val="nil"/>
          <w:between w:val="nil"/>
        </w:pBdr>
        <w:spacing w:line="252" w:lineRule="auto"/>
        <w:ind w:firstLine="0"/>
        <w:jc w:val="center"/>
        <w:rPr>
          <w:rFonts w:cs="Times New Roman"/>
          <w:szCs w:val="28"/>
        </w:rPr>
      </w:pPr>
      <w:r w:rsidRPr="0077262C">
        <w:rPr>
          <w:rFonts w:cs="Times New Roman"/>
          <w:noProof/>
          <w:szCs w:val="28"/>
        </w:rPr>
        <w:drawing>
          <wp:inline distT="0" distB="0" distL="0" distR="0" wp14:anchorId="6DE81530" wp14:editId="07B213A5">
            <wp:extent cx="5940425" cy="2458085"/>
            <wp:effectExtent l="0" t="0" r="0" b="0"/>
            <wp:docPr id="74" name="Діаграма 74">
              <a:extLst xmlns:a="http://schemas.openxmlformats.org/drawingml/2006/main">
                <a:ext uri="{FF2B5EF4-FFF2-40B4-BE49-F238E27FC236}">
                  <a16:creationId xmlns:a16="http://schemas.microsoft.com/office/drawing/2014/main" id="{BF4BE0B1-14BA-4569-8B33-171BAD4CE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E83D43" w14:textId="3A06E7D3" w:rsidR="004B3AED" w:rsidRPr="0024080D" w:rsidRDefault="004B3AED" w:rsidP="00DC6532">
      <w:pPr>
        <w:widowControl w:val="0"/>
        <w:pBdr>
          <w:top w:val="nil"/>
          <w:left w:val="nil"/>
          <w:bottom w:val="nil"/>
          <w:right w:val="nil"/>
          <w:between w:val="nil"/>
        </w:pBdr>
        <w:spacing w:before="120" w:after="120" w:line="252" w:lineRule="auto"/>
        <w:ind w:firstLine="0"/>
        <w:jc w:val="center"/>
        <w:rPr>
          <w:rFonts w:cs="Times New Roman"/>
          <w:b/>
          <w:szCs w:val="28"/>
        </w:rPr>
      </w:pPr>
      <w:r w:rsidRPr="0024080D">
        <w:rPr>
          <w:rFonts w:cs="Times New Roman"/>
          <w:b/>
          <w:szCs w:val="28"/>
        </w:rPr>
        <w:t>Рисунок </w:t>
      </w:r>
      <w:r w:rsidR="00340602">
        <w:rPr>
          <w:rFonts w:cs="Times New Roman"/>
          <w:b/>
          <w:szCs w:val="28"/>
        </w:rPr>
        <w:t>2.29</w:t>
      </w:r>
      <w:r w:rsidRPr="0024080D">
        <w:rPr>
          <w:rFonts w:cs="Times New Roman"/>
          <w:b/>
          <w:szCs w:val="28"/>
        </w:rPr>
        <w:t xml:space="preserve">. Тенденція охоплення ТМЧ, </w:t>
      </w:r>
      <w:r w:rsidRPr="0024080D">
        <w:rPr>
          <w:rFonts w:cs="Times New Roman"/>
          <w:b/>
          <w:szCs w:val="28"/>
        </w:rPr>
        <w:br/>
        <w:t xml:space="preserve">принаймні, до </w:t>
      </w:r>
      <w:proofErr w:type="spellStart"/>
      <w:r w:rsidRPr="0024080D">
        <w:rPr>
          <w:rFonts w:cs="Times New Roman"/>
          <w:b/>
          <w:szCs w:val="28"/>
        </w:rPr>
        <w:t>рифампіцину</w:t>
      </w:r>
      <w:proofErr w:type="spellEnd"/>
    </w:p>
    <w:p w14:paraId="7382E8C3" w14:textId="77777777" w:rsidR="004B3AED" w:rsidRPr="0024080D" w:rsidRDefault="004B3AED" w:rsidP="00DC6532">
      <w:pPr>
        <w:pStyle w:val="3"/>
        <w:spacing w:line="233" w:lineRule="auto"/>
      </w:pPr>
      <w:bookmarkStart w:id="61" w:name="_Toc88088850"/>
      <w:bookmarkStart w:id="62" w:name="_Toc89149129"/>
      <w:r w:rsidRPr="0024080D">
        <w:lastRenderedPageBreak/>
        <w:t>Використання молекулярно-генетичних методів діагностики ТБ</w:t>
      </w:r>
      <w:bookmarkEnd w:id="61"/>
      <w:bookmarkEnd w:id="62"/>
    </w:p>
    <w:p w14:paraId="00286E3D" w14:textId="7C48AFB3" w:rsidR="004B3AED" w:rsidRPr="0024080D" w:rsidRDefault="004B3AED" w:rsidP="00DC6532">
      <w:pPr>
        <w:widowControl w:val="0"/>
        <w:pBdr>
          <w:top w:val="nil"/>
          <w:left w:val="nil"/>
          <w:bottom w:val="nil"/>
          <w:right w:val="nil"/>
          <w:between w:val="nil"/>
        </w:pBdr>
        <w:spacing w:after="120" w:line="233" w:lineRule="auto"/>
        <w:rPr>
          <w:rFonts w:cs="Times New Roman"/>
          <w:szCs w:val="28"/>
        </w:rPr>
      </w:pPr>
      <w:r w:rsidRPr="0024080D">
        <w:rPr>
          <w:rFonts w:cs="Times New Roman"/>
          <w:szCs w:val="28"/>
        </w:rPr>
        <w:t>За статичними даними 202</w:t>
      </w:r>
      <w:r w:rsidR="00CB0132">
        <w:rPr>
          <w:rFonts w:cs="Times New Roman"/>
          <w:szCs w:val="28"/>
        </w:rPr>
        <w:t>1</w:t>
      </w:r>
      <w:r w:rsidRPr="0024080D">
        <w:rPr>
          <w:rFonts w:cs="Times New Roman"/>
          <w:szCs w:val="28"/>
        </w:rPr>
        <w:t> р. показник охоплення молекулярно-генетичним методом (МГМ) зареєстрованих випадків ТБ залишається на</w:t>
      </w:r>
      <w:r w:rsidR="00DC6532" w:rsidRPr="0024080D">
        <w:rPr>
          <w:rFonts w:cs="Times New Roman"/>
          <w:szCs w:val="28"/>
        </w:rPr>
        <w:t> </w:t>
      </w:r>
      <w:r w:rsidRPr="0024080D">
        <w:rPr>
          <w:rFonts w:cs="Times New Roman"/>
          <w:szCs w:val="28"/>
        </w:rPr>
        <w:t>рівні 2019 р.</w:t>
      </w:r>
    </w:p>
    <w:p w14:paraId="2A19D521" w14:textId="4B5CF5AD" w:rsidR="004B3AED" w:rsidRPr="0024080D" w:rsidRDefault="0077262C" w:rsidP="004B3AED">
      <w:pPr>
        <w:widowControl w:val="0"/>
        <w:pBdr>
          <w:top w:val="nil"/>
          <w:left w:val="nil"/>
          <w:bottom w:val="nil"/>
          <w:right w:val="nil"/>
          <w:between w:val="nil"/>
        </w:pBdr>
        <w:ind w:firstLine="0"/>
        <w:jc w:val="center"/>
        <w:rPr>
          <w:rFonts w:cs="Times New Roman"/>
          <w:b/>
          <w:bCs/>
          <w:szCs w:val="28"/>
        </w:rPr>
      </w:pPr>
      <w:r w:rsidRPr="0077262C">
        <w:rPr>
          <w:rFonts w:cs="Times New Roman"/>
          <w:b/>
          <w:bCs/>
          <w:noProof/>
          <w:szCs w:val="28"/>
        </w:rPr>
        <w:drawing>
          <wp:inline distT="0" distB="0" distL="0" distR="0" wp14:anchorId="4849CB48" wp14:editId="23C6DAFB">
            <wp:extent cx="5940425" cy="2458085"/>
            <wp:effectExtent l="0" t="0" r="0" b="0"/>
            <wp:docPr id="75" name="Діаграма 75">
              <a:extLst xmlns:a="http://schemas.openxmlformats.org/drawingml/2006/main">
                <a:ext uri="{FF2B5EF4-FFF2-40B4-BE49-F238E27FC236}">
                  <a16:creationId xmlns:a16="http://schemas.microsoft.com/office/drawing/2014/main" id="{4874815B-6D1F-4B4F-A2C6-75BB6F0AE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C122AF5" w14:textId="552CDA3C" w:rsidR="004B3AED" w:rsidRPr="0024080D" w:rsidRDefault="004B3AED" w:rsidP="00DC6532">
      <w:pPr>
        <w:widowControl w:val="0"/>
        <w:pBdr>
          <w:top w:val="nil"/>
          <w:left w:val="nil"/>
          <w:bottom w:val="nil"/>
          <w:right w:val="nil"/>
          <w:between w:val="nil"/>
        </w:pBdr>
        <w:spacing w:before="120" w:after="120" w:line="233" w:lineRule="auto"/>
        <w:ind w:firstLine="0"/>
        <w:jc w:val="center"/>
        <w:rPr>
          <w:rFonts w:cs="Times New Roman"/>
          <w:b/>
          <w:szCs w:val="28"/>
        </w:rPr>
      </w:pPr>
      <w:r w:rsidRPr="0024080D">
        <w:rPr>
          <w:rFonts w:cs="Times New Roman"/>
          <w:b/>
          <w:szCs w:val="28"/>
        </w:rPr>
        <w:t>Рисунок </w:t>
      </w:r>
      <w:r w:rsidR="00340602">
        <w:rPr>
          <w:rFonts w:cs="Times New Roman"/>
          <w:b/>
          <w:szCs w:val="28"/>
        </w:rPr>
        <w:t>2.30</w:t>
      </w:r>
      <w:r w:rsidRPr="0024080D">
        <w:rPr>
          <w:rFonts w:cs="Times New Roman"/>
          <w:b/>
          <w:szCs w:val="28"/>
        </w:rPr>
        <w:t xml:space="preserve">. Відсоток охоплення МГМ </w:t>
      </w:r>
      <w:r w:rsidRPr="0024080D">
        <w:rPr>
          <w:rFonts w:cs="Times New Roman"/>
          <w:b/>
          <w:szCs w:val="28"/>
        </w:rPr>
        <w:br/>
        <w:t>зареєстрованих випадків ТБ</w:t>
      </w:r>
    </w:p>
    <w:p w14:paraId="2006C44F" w14:textId="77777777" w:rsidR="004B3AED" w:rsidRPr="0024080D" w:rsidRDefault="004B3AED" w:rsidP="00DC6532">
      <w:pPr>
        <w:pStyle w:val="3"/>
        <w:spacing w:line="233" w:lineRule="auto"/>
      </w:pPr>
      <w:bookmarkStart w:id="63" w:name="_Toc88088851"/>
      <w:bookmarkStart w:id="64" w:name="_Toc89149130"/>
      <w:r w:rsidRPr="0024080D">
        <w:t>Систематичний скринінг на ТБ серед визначених груп ризику</w:t>
      </w:r>
      <w:bookmarkEnd w:id="63"/>
      <w:bookmarkEnd w:id="64"/>
      <w:r w:rsidRPr="0024080D">
        <w:t xml:space="preserve"> </w:t>
      </w:r>
    </w:p>
    <w:p w14:paraId="3EA5D33B" w14:textId="1E7C23F8" w:rsidR="004B3AED" w:rsidRPr="0024080D" w:rsidRDefault="004B3AED" w:rsidP="00DC6532">
      <w:pPr>
        <w:widowControl w:val="0"/>
        <w:pBdr>
          <w:top w:val="nil"/>
          <w:left w:val="nil"/>
          <w:bottom w:val="nil"/>
          <w:right w:val="nil"/>
          <w:between w:val="nil"/>
        </w:pBdr>
        <w:spacing w:line="233" w:lineRule="auto"/>
        <w:rPr>
          <w:rFonts w:cs="Times New Roman"/>
          <w:szCs w:val="28"/>
        </w:rPr>
      </w:pPr>
      <w:r w:rsidRPr="0024080D">
        <w:rPr>
          <w:rFonts w:cs="Times New Roman"/>
          <w:szCs w:val="28"/>
        </w:rPr>
        <w:t xml:space="preserve">Для досягнення амбіційної цілі ВООЗ щодо ліквідації ТБ до 2035 р. існує гостра необхідність розгортання стратегій для інтенсифікації виявлення випадків ТБ. Однією з таких стратегій є проведення систематичного обстеження на ТБ серед людей з груп високого ризику та вразливих верств населення. Відповідно до цілей Стратегії </w:t>
      </w:r>
      <w:r w:rsidR="00A27C0E" w:rsidRPr="0024080D">
        <w:rPr>
          <w:rFonts w:cs="Times New Roman"/>
          <w:szCs w:val="28"/>
        </w:rPr>
        <w:t xml:space="preserve">ВООЗ з </w:t>
      </w:r>
      <w:r w:rsidRPr="0024080D">
        <w:rPr>
          <w:rFonts w:cs="Times New Roman"/>
          <w:szCs w:val="28"/>
        </w:rPr>
        <w:t>ліквідації ТБ країнам слід досягти щонайменше 90% охоплення систематичним скринінгом на ТБ осіб з визначених груп ризику.</w:t>
      </w:r>
    </w:p>
    <w:p w14:paraId="7AA551AD" w14:textId="77777777" w:rsidR="004B3AED" w:rsidRPr="0024080D" w:rsidRDefault="004B3AED" w:rsidP="00DC6532">
      <w:pPr>
        <w:widowControl w:val="0"/>
        <w:pBdr>
          <w:top w:val="nil"/>
          <w:left w:val="nil"/>
          <w:bottom w:val="nil"/>
          <w:right w:val="nil"/>
          <w:between w:val="nil"/>
        </w:pBdr>
        <w:spacing w:line="233" w:lineRule="auto"/>
        <w:rPr>
          <w:rFonts w:cs="Times New Roman"/>
          <w:szCs w:val="28"/>
        </w:rPr>
      </w:pPr>
      <w:r w:rsidRPr="0024080D">
        <w:rPr>
          <w:rFonts w:cs="Times New Roman"/>
          <w:szCs w:val="28"/>
        </w:rPr>
        <w:t xml:space="preserve">Метою систематичного скринінгу на ТБ є раннє виявлення захворювання з мінімізацією ризиків щодо затримки діагностики та початку лікування, що, зі свого боку, зменшить ризики отримання незадовільних результатів лікування, наслідків для здоров’я, соціальних та економічних наслідків ТБ для окремих людей та їхніх сімей. Крім того, скринінг зменшує можливість передачі ТБ особам з осередкових та близьких контактів, оскільки допомагає ізолювати людей із вже </w:t>
      </w:r>
      <w:proofErr w:type="spellStart"/>
      <w:r w:rsidRPr="0024080D">
        <w:rPr>
          <w:rFonts w:cs="Times New Roman"/>
          <w:szCs w:val="28"/>
        </w:rPr>
        <w:t>діагностованим</w:t>
      </w:r>
      <w:proofErr w:type="spellEnd"/>
      <w:r w:rsidRPr="0024080D">
        <w:rPr>
          <w:rFonts w:cs="Times New Roman"/>
          <w:szCs w:val="28"/>
        </w:rPr>
        <w:t xml:space="preserve"> захворюванням та скоротити тривалість періоду контагіозності. Це зменшує кількість випадків захворюваності на ТБ, а отже, частоту виникнення та поширеність захворювання.</w:t>
      </w:r>
    </w:p>
    <w:p w14:paraId="333B527C" w14:textId="767E4A47" w:rsidR="004B3AED" w:rsidRPr="0024080D" w:rsidRDefault="004B3AED" w:rsidP="00DC6532">
      <w:pPr>
        <w:widowControl w:val="0"/>
        <w:pBdr>
          <w:top w:val="nil"/>
          <w:left w:val="nil"/>
          <w:bottom w:val="nil"/>
          <w:right w:val="nil"/>
          <w:between w:val="nil"/>
        </w:pBdr>
        <w:spacing w:after="120" w:line="233" w:lineRule="auto"/>
        <w:rPr>
          <w:rFonts w:cs="Times New Roman"/>
          <w:b/>
          <w:bCs/>
          <w:szCs w:val="28"/>
        </w:rPr>
      </w:pPr>
      <w:r w:rsidRPr="0024080D">
        <w:rPr>
          <w:rFonts w:cs="Times New Roman"/>
          <w:szCs w:val="28"/>
        </w:rPr>
        <w:t>За зведеними даними паспортних анкет регіонів за 202</w:t>
      </w:r>
      <w:r w:rsidR="00B52B91">
        <w:rPr>
          <w:rFonts w:cs="Times New Roman"/>
          <w:szCs w:val="28"/>
        </w:rPr>
        <w:t>1</w:t>
      </w:r>
      <w:r w:rsidRPr="0024080D">
        <w:rPr>
          <w:rFonts w:cs="Times New Roman"/>
          <w:szCs w:val="28"/>
        </w:rPr>
        <w:t> р. (</w:t>
      </w:r>
      <w:r w:rsidR="000805B9" w:rsidRPr="0024080D">
        <w:rPr>
          <w:rFonts w:cs="Times New Roman"/>
          <w:i/>
          <w:szCs w:val="28"/>
        </w:rPr>
        <w:t>див.</w:t>
      </w:r>
      <w:r w:rsidR="000805B9" w:rsidRPr="0024080D">
        <w:rPr>
          <w:rFonts w:cs="Times New Roman"/>
          <w:szCs w:val="28"/>
        </w:rPr>
        <w:t xml:space="preserve"> </w:t>
      </w:r>
      <w:r w:rsidRPr="0024080D">
        <w:rPr>
          <w:rFonts w:cs="Times New Roman"/>
          <w:szCs w:val="28"/>
        </w:rPr>
        <w:t>«Дані про чисельність, виявлення та захворюваність на ТБ серед груп підвищеного ризику захворювання на ТБ у регіоні»</w:t>
      </w:r>
      <w:r w:rsidR="000805B9" w:rsidRPr="0024080D">
        <w:rPr>
          <w:rFonts w:cs="Times New Roman"/>
          <w:szCs w:val="28"/>
        </w:rPr>
        <w:t>,</w:t>
      </w:r>
      <w:r w:rsidRPr="0024080D">
        <w:rPr>
          <w:rFonts w:cs="Times New Roman"/>
          <w:szCs w:val="28"/>
        </w:rPr>
        <w:t xml:space="preserve"> </w:t>
      </w:r>
      <w:r w:rsidR="000805B9" w:rsidRPr="0024080D">
        <w:rPr>
          <w:rFonts w:cs="Times New Roman"/>
          <w:szCs w:val="28"/>
        </w:rPr>
        <w:t>таблиця 2.1</w:t>
      </w:r>
      <w:r w:rsidRPr="0024080D">
        <w:rPr>
          <w:rFonts w:cs="Times New Roman"/>
          <w:szCs w:val="28"/>
        </w:rPr>
        <w:t>), середній показник охоплення систематичним скринінгом на ТБ</w:t>
      </w:r>
      <w:r w:rsidR="00DC6532" w:rsidRPr="0024080D">
        <w:rPr>
          <w:rFonts w:cs="Times New Roman"/>
          <w:szCs w:val="28"/>
        </w:rPr>
        <w:t xml:space="preserve"> серед визначених груп ризику в </w:t>
      </w:r>
      <w:r w:rsidRPr="0024080D">
        <w:rPr>
          <w:rFonts w:cs="Times New Roman"/>
          <w:szCs w:val="28"/>
        </w:rPr>
        <w:t>Україні становить 7</w:t>
      </w:r>
      <w:r w:rsidR="00B52B91">
        <w:rPr>
          <w:rFonts w:cs="Times New Roman"/>
          <w:szCs w:val="28"/>
        </w:rPr>
        <w:t>0</w:t>
      </w:r>
      <w:r w:rsidRPr="0024080D">
        <w:rPr>
          <w:rFonts w:cs="Times New Roman"/>
          <w:szCs w:val="28"/>
        </w:rPr>
        <w:t xml:space="preserve">,3% (мета – 100%). Найвищі показники охоплення систематичним скринінгом на ТБ серед визначених груп ризику захворювання на ТБ зафіксовано у </w:t>
      </w:r>
      <w:r w:rsidR="00AD0EF7">
        <w:rPr>
          <w:rFonts w:cs="Times New Roman"/>
          <w:szCs w:val="28"/>
        </w:rPr>
        <w:t xml:space="preserve">Чернівецькій </w:t>
      </w:r>
      <w:r w:rsidRPr="0024080D">
        <w:rPr>
          <w:rFonts w:cs="Times New Roman"/>
          <w:szCs w:val="28"/>
        </w:rPr>
        <w:t>(</w:t>
      </w:r>
      <w:r w:rsidR="00AD0EF7">
        <w:rPr>
          <w:rFonts w:cs="Times New Roman"/>
          <w:szCs w:val="28"/>
        </w:rPr>
        <w:t>100</w:t>
      </w:r>
      <w:r w:rsidRPr="0024080D">
        <w:rPr>
          <w:rFonts w:cs="Times New Roman"/>
          <w:szCs w:val="28"/>
        </w:rPr>
        <w:t>%), Луганській (</w:t>
      </w:r>
      <w:r w:rsidR="00AD0EF7">
        <w:rPr>
          <w:rFonts w:cs="Times New Roman"/>
          <w:szCs w:val="28"/>
        </w:rPr>
        <w:t>86,4</w:t>
      </w:r>
      <w:r w:rsidRPr="0024080D">
        <w:rPr>
          <w:rFonts w:cs="Times New Roman"/>
          <w:szCs w:val="28"/>
        </w:rPr>
        <w:t>%), Харківській (</w:t>
      </w:r>
      <w:r w:rsidR="00AD0EF7">
        <w:rPr>
          <w:rFonts w:cs="Times New Roman"/>
          <w:szCs w:val="28"/>
        </w:rPr>
        <w:t>88,2</w:t>
      </w:r>
      <w:r w:rsidRPr="0024080D">
        <w:rPr>
          <w:rFonts w:cs="Times New Roman"/>
          <w:szCs w:val="28"/>
        </w:rPr>
        <w:t>%)</w:t>
      </w:r>
      <w:r w:rsidR="00AD0EF7">
        <w:rPr>
          <w:rFonts w:cs="Times New Roman"/>
          <w:szCs w:val="28"/>
        </w:rPr>
        <w:t xml:space="preserve">, </w:t>
      </w:r>
      <w:r w:rsidRPr="0024080D">
        <w:rPr>
          <w:rFonts w:cs="Times New Roman"/>
          <w:szCs w:val="28"/>
        </w:rPr>
        <w:t>Миколаївській (</w:t>
      </w:r>
      <w:r w:rsidR="00AD0EF7">
        <w:rPr>
          <w:rFonts w:cs="Times New Roman"/>
          <w:szCs w:val="28"/>
        </w:rPr>
        <w:t>86,7</w:t>
      </w:r>
      <w:r w:rsidRPr="0024080D">
        <w:rPr>
          <w:rFonts w:cs="Times New Roman"/>
          <w:szCs w:val="28"/>
        </w:rPr>
        <w:t>%)</w:t>
      </w:r>
      <w:r w:rsidR="00AD0EF7">
        <w:rPr>
          <w:rFonts w:cs="Times New Roman"/>
          <w:szCs w:val="28"/>
        </w:rPr>
        <w:t xml:space="preserve"> та Дніпропетровській (87,2%)</w:t>
      </w:r>
      <w:r w:rsidRPr="0024080D">
        <w:rPr>
          <w:rFonts w:cs="Times New Roman"/>
          <w:szCs w:val="28"/>
        </w:rPr>
        <w:t xml:space="preserve"> </w:t>
      </w:r>
      <w:r w:rsidRPr="0024080D">
        <w:rPr>
          <w:rFonts w:cs="Times New Roman"/>
          <w:szCs w:val="28"/>
        </w:rPr>
        <w:lastRenderedPageBreak/>
        <w:t>областях, найнижчі – у Рівненській (3</w:t>
      </w:r>
      <w:r w:rsidR="00AD0EF7">
        <w:rPr>
          <w:rFonts w:cs="Times New Roman"/>
          <w:szCs w:val="28"/>
        </w:rPr>
        <w:t>2</w:t>
      </w:r>
      <w:r w:rsidRPr="0024080D">
        <w:rPr>
          <w:rFonts w:cs="Times New Roman"/>
          <w:szCs w:val="28"/>
        </w:rPr>
        <w:t>,2%), Тернопільській (</w:t>
      </w:r>
      <w:r w:rsidR="00AD0EF7">
        <w:rPr>
          <w:rFonts w:cs="Times New Roman"/>
          <w:szCs w:val="28"/>
        </w:rPr>
        <w:t>41,9</w:t>
      </w:r>
      <w:r w:rsidRPr="0024080D">
        <w:rPr>
          <w:rFonts w:cs="Times New Roman"/>
          <w:szCs w:val="28"/>
        </w:rPr>
        <w:t>%) та Волинській (54</w:t>
      </w:r>
      <w:r w:rsidR="00AD0EF7">
        <w:rPr>
          <w:rFonts w:cs="Times New Roman"/>
          <w:szCs w:val="28"/>
        </w:rPr>
        <w:t>,7</w:t>
      </w:r>
      <w:r w:rsidRPr="0024080D">
        <w:rPr>
          <w:rFonts w:cs="Times New Roman"/>
          <w:szCs w:val="28"/>
        </w:rPr>
        <w:t>%) областях.</w:t>
      </w:r>
      <w:r w:rsidRPr="0024080D">
        <w:rPr>
          <w:rFonts w:cs="Times New Roman"/>
          <w:b/>
          <w:bCs/>
          <w:szCs w:val="28"/>
        </w:rPr>
        <w:t xml:space="preserve"> </w:t>
      </w:r>
    </w:p>
    <w:p w14:paraId="05D82376" w14:textId="67D00FD7" w:rsidR="004B3AED" w:rsidRPr="0024080D" w:rsidRDefault="003B35F7" w:rsidP="004B3AED">
      <w:pPr>
        <w:widowControl w:val="0"/>
        <w:pBdr>
          <w:top w:val="nil"/>
          <w:left w:val="nil"/>
          <w:bottom w:val="nil"/>
          <w:right w:val="nil"/>
          <w:between w:val="nil"/>
        </w:pBdr>
        <w:ind w:firstLine="0"/>
        <w:jc w:val="center"/>
        <w:rPr>
          <w:rFonts w:cs="Times New Roman"/>
          <w:szCs w:val="28"/>
        </w:rPr>
      </w:pPr>
      <w:bookmarkStart w:id="65" w:name="_Hlk85463911"/>
      <w:r w:rsidRPr="003B35F7">
        <w:rPr>
          <w:rFonts w:cs="Times New Roman"/>
          <w:noProof/>
          <w:szCs w:val="28"/>
        </w:rPr>
        <w:drawing>
          <wp:inline distT="0" distB="0" distL="0" distR="0" wp14:anchorId="33FCABD5" wp14:editId="5D323ACC">
            <wp:extent cx="5940425" cy="2800350"/>
            <wp:effectExtent l="0" t="0" r="0" b="0"/>
            <wp:docPr id="77" name="Діаграма 77">
              <a:extLst xmlns:a="http://schemas.openxmlformats.org/drawingml/2006/main">
                <a:ext uri="{FF2B5EF4-FFF2-40B4-BE49-F238E27FC236}">
                  <a16:creationId xmlns:a16="http://schemas.microsoft.com/office/drawing/2014/main" id="{09AA3D80-024F-4083-A30D-B87885632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D51320" w14:textId="2E3F3B8D" w:rsidR="004B3AED" w:rsidRPr="0024080D" w:rsidRDefault="004B3AED" w:rsidP="00BA5D7E">
      <w:pPr>
        <w:widowControl w:val="0"/>
        <w:pBdr>
          <w:top w:val="nil"/>
          <w:left w:val="nil"/>
          <w:bottom w:val="nil"/>
          <w:right w:val="nil"/>
          <w:between w:val="nil"/>
        </w:pBdr>
        <w:spacing w:before="120" w:after="120" w:line="233" w:lineRule="auto"/>
        <w:ind w:firstLine="0"/>
        <w:jc w:val="center"/>
        <w:rPr>
          <w:rFonts w:cs="Times New Roman"/>
          <w:b/>
          <w:szCs w:val="28"/>
        </w:rPr>
      </w:pPr>
      <w:r w:rsidRPr="0024080D">
        <w:rPr>
          <w:rFonts w:cs="Times New Roman"/>
          <w:b/>
          <w:szCs w:val="28"/>
        </w:rPr>
        <w:t>Рисунок </w:t>
      </w:r>
      <w:r w:rsidR="00340602">
        <w:rPr>
          <w:rFonts w:cs="Times New Roman"/>
          <w:b/>
          <w:szCs w:val="28"/>
        </w:rPr>
        <w:t>2.31</w:t>
      </w:r>
      <w:r w:rsidRPr="0024080D">
        <w:rPr>
          <w:rFonts w:cs="Times New Roman"/>
          <w:b/>
          <w:szCs w:val="28"/>
        </w:rPr>
        <w:t>. Питома вага охоплення обстеженням на ТБ</w:t>
      </w:r>
      <w:r w:rsidRPr="0024080D">
        <w:rPr>
          <w:rFonts w:cs="Times New Roman"/>
          <w:b/>
          <w:szCs w:val="28"/>
        </w:rPr>
        <w:br/>
        <w:t xml:space="preserve">визначених груп ризику, % (за даними </w:t>
      </w:r>
      <w:r w:rsidRPr="0024080D">
        <w:rPr>
          <w:rFonts w:cs="Times New Roman"/>
          <w:b/>
          <w:szCs w:val="28"/>
        </w:rPr>
        <w:br/>
        <w:t>паспортних анкет регіонів за 202</w:t>
      </w:r>
      <w:r w:rsidR="003B35F7">
        <w:rPr>
          <w:rFonts w:cs="Times New Roman"/>
          <w:b/>
          <w:szCs w:val="28"/>
        </w:rPr>
        <w:t>1</w:t>
      </w:r>
      <w:r w:rsidRPr="0024080D">
        <w:rPr>
          <w:rFonts w:cs="Times New Roman"/>
          <w:b/>
          <w:szCs w:val="28"/>
        </w:rPr>
        <w:t> р.)</w:t>
      </w:r>
    </w:p>
    <w:p w14:paraId="3C4B8160" w14:textId="77777777" w:rsidR="004B3AED" w:rsidRPr="0024080D" w:rsidRDefault="004B3AED" w:rsidP="00BA5D7E">
      <w:pPr>
        <w:widowControl w:val="0"/>
        <w:pBdr>
          <w:top w:val="nil"/>
          <w:left w:val="nil"/>
          <w:bottom w:val="nil"/>
          <w:right w:val="nil"/>
          <w:between w:val="nil"/>
        </w:pBdr>
        <w:spacing w:line="233" w:lineRule="auto"/>
        <w:rPr>
          <w:rFonts w:cs="Times New Roman"/>
          <w:szCs w:val="28"/>
        </w:rPr>
      </w:pPr>
      <w:r w:rsidRPr="0024080D">
        <w:rPr>
          <w:rFonts w:cs="Times New Roman"/>
          <w:szCs w:val="28"/>
        </w:rPr>
        <w:t xml:space="preserve">Для виявлення всіх осіб із захворюванням на ТБ недостатньо виявити ТБ лише серед тих людей, які звертаються до закладів охорони здоров’я (ЗОЗ) (пасивне виявлення); за розрахунковими даними ВООЗ, в Україні щороку </w:t>
      </w:r>
      <w:proofErr w:type="spellStart"/>
      <w:r w:rsidRPr="0024080D">
        <w:rPr>
          <w:rFonts w:cs="Times New Roman"/>
          <w:szCs w:val="28"/>
        </w:rPr>
        <w:t>недовиявляють</w:t>
      </w:r>
      <w:proofErr w:type="spellEnd"/>
      <w:r w:rsidRPr="0024080D">
        <w:rPr>
          <w:rFonts w:cs="Times New Roman"/>
          <w:szCs w:val="28"/>
        </w:rPr>
        <w:t xml:space="preserve"> близько 20–24% випадків ТБ, а вплив супутньої пандемії, спричиненої коронавірусом SARSCoV-2 посилив кризу </w:t>
      </w:r>
      <w:proofErr w:type="spellStart"/>
      <w:r w:rsidRPr="0024080D">
        <w:rPr>
          <w:rFonts w:cs="Times New Roman"/>
          <w:szCs w:val="28"/>
        </w:rPr>
        <w:t>недовиявлення</w:t>
      </w:r>
      <w:proofErr w:type="spellEnd"/>
      <w:r w:rsidRPr="0024080D">
        <w:rPr>
          <w:rFonts w:cs="Times New Roman"/>
          <w:szCs w:val="28"/>
        </w:rPr>
        <w:t xml:space="preserve"> ТБ в Україні. Це свідчить про необхідність більш активного підходу до раннього виявлення ТБ та пояснює необхідність проведення систематичного скринінгу в осіб визначених груп ризику розвитку ТБ.</w:t>
      </w:r>
    </w:p>
    <w:p w14:paraId="37AF160B" w14:textId="0AEE531C" w:rsidR="004B3AED" w:rsidRPr="0024080D" w:rsidRDefault="004B3AED" w:rsidP="00BA5D7E">
      <w:pPr>
        <w:pStyle w:val="3"/>
        <w:spacing w:line="233" w:lineRule="auto"/>
        <w:rPr>
          <w:spacing w:val="-2"/>
        </w:rPr>
      </w:pPr>
      <w:bookmarkStart w:id="66" w:name="_Toc88088852"/>
      <w:bookmarkStart w:id="67" w:name="_Toc89149131"/>
      <w:bookmarkEnd w:id="65"/>
      <w:r w:rsidRPr="0024080D">
        <w:rPr>
          <w:spacing w:val="-2"/>
        </w:rPr>
        <w:t>Відстеження та систематичний скринінг на ТБ контактних осіб</w:t>
      </w:r>
      <w:bookmarkEnd w:id="66"/>
      <w:bookmarkEnd w:id="67"/>
    </w:p>
    <w:p w14:paraId="52ED797D" w14:textId="704BA3C7" w:rsidR="004B3AED" w:rsidRPr="0024080D" w:rsidRDefault="004B3AED" w:rsidP="00BA5D7E">
      <w:pPr>
        <w:widowControl w:val="0"/>
        <w:pBdr>
          <w:top w:val="nil"/>
          <w:left w:val="nil"/>
          <w:bottom w:val="nil"/>
          <w:right w:val="nil"/>
          <w:between w:val="nil"/>
        </w:pBdr>
        <w:spacing w:line="233" w:lineRule="auto"/>
        <w:rPr>
          <w:rFonts w:cs="Times New Roman"/>
          <w:szCs w:val="28"/>
        </w:rPr>
      </w:pPr>
      <w:r w:rsidRPr="0024080D">
        <w:rPr>
          <w:rFonts w:cs="Times New Roman"/>
          <w:szCs w:val="28"/>
        </w:rPr>
        <w:t xml:space="preserve">Осередкові та близькі контакти осіб із захворюванням на ТБ мають високий ризик інфікування та подальшого розвитку активної форми ТБ. Згідно національних стандартів та рекомендацій ВООЗ, всі осередкові та близькі контакти пацієнтів з </w:t>
      </w:r>
      <w:proofErr w:type="spellStart"/>
      <w:r w:rsidRPr="0024080D">
        <w:rPr>
          <w:rFonts w:cs="Times New Roman"/>
          <w:szCs w:val="28"/>
        </w:rPr>
        <w:t>бактеріологічно</w:t>
      </w:r>
      <w:proofErr w:type="spellEnd"/>
      <w:r w:rsidRPr="0024080D">
        <w:rPr>
          <w:rFonts w:cs="Times New Roman"/>
          <w:szCs w:val="28"/>
        </w:rPr>
        <w:t xml:space="preserve"> підтвердженим ТБ мають бути охоплені систематичним скринінгом на ТБ та пройти оцінювання щодо відповідності критеріям для призначення ПЛ ТБІ.</w:t>
      </w:r>
    </w:p>
    <w:p w14:paraId="7B5A93E9" w14:textId="1530275A" w:rsidR="004B3AED" w:rsidRPr="0024080D" w:rsidRDefault="004B3AED" w:rsidP="00BA5D7E">
      <w:pPr>
        <w:widowControl w:val="0"/>
        <w:pBdr>
          <w:top w:val="nil"/>
          <w:left w:val="nil"/>
          <w:bottom w:val="nil"/>
          <w:right w:val="nil"/>
          <w:between w:val="nil"/>
        </w:pBdr>
        <w:spacing w:line="233" w:lineRule="auto"/>
        <w:rPr>
          <w:rFonts w:cs="Times New Roman"/>
          <w:szCs w:val="28"/>
        </w:rPr>
      </w:pPr>
      <w:r w:rsidRPr="0024080D">
        <w:rPr>
          <w:rFonts w:cs="Times New Roman"/>
          <w:szCs w:val="28"/>
        </w:rPr>
        <w:t>Для проведення епіднагляду за контактними особами один раз на рік розраховують середню кількість контактних осіб на один індексний випадок ТБ, цей показник повинен бути не нижчим, ніж середній розмір домогосподарства. Середній розмір господарства щорічно розраховується Державною службою статистики по областям та Україні в цілому. За даними Державного комітету статистики України, у 2020 р. середній розмір домогосподарства становив 2,58 осіб, тоді як середній показник виявлених та обстежених контактів на один індексний випадок ТБ становив 1,86</w:t>
      </w:r>
      <w:r w:rsidR="00DD1F31">
        <w:rPr>
          <w:rFonts w:cs="Times New Roman"/>
          <w:szCs w:val="28"/>
        </w:rPr>
        <w:t>. У 2021 році</w:t>
      </w:r>
      <w:r w:rsidRPr="0024080D">
        <w:rPr>
          <w:rFonts w:cs="Times New Roman"/>
          <w:szCs w:val="28"/>
        </w:rPr>
        <w:t xml:space="preserve"> </w:t>
      </w:r>
      <w:r w:rsidR="00DD1F31">
        <w:rPr>
          <w:rFonts w:cs="Times New Roman"/>
          <w:szCs w:val="28"/>
        </w:rPr>
        <w:t xml:space="preserve">цей показник збільшився на 17,2% та становить 2,18 </w:t>
      </w:r>
      <w:r w:rsidRPr="0024080D">
        <w:rPr>
          <w:rFonts w:cs="Times New Roman"/>
          <w:szCs w:val="28"/>
        </w:rPr>
        <w:t>(</w:t>
      </w:r>
      <w:r w:rsidR="000805B9" w:rsidRPr="0024080D">
        <w:rPr>
          <w:rFonts w:cs="Times New Roman"/>
          <w:i/>
          <w:szCs w:val="28"/>
        </w:rPr>
        <w:t>див.</w:t>
      </w:r>
      <w:r w:rsidR="000805B9" w:rsidRPr="0024080D">
        <w:rPr>
          <w:rFonts w:cs="Times New Roman"/>
          <w:szCs w:val="28"/>
        </w:rPr>
        <w:t xml:space="preserve"> «Дані про чисельність, виявлення та захворюваність на ТБ серед груп підвищеного </w:t>
      </w:r>
      <w:r w:rsidR="000805B9" w:rsidRPr="0024080D">
        <w:rPr>
          <w:rFonts w:cs="Times New Roman"/>
          <w:szCs w:val="28"/>
        </w:rPr>
        <w:lastRenderedPageBreak/>
        <w:t xml:space="preserve">ризику захворювання на ТБ у регіоні», </w:t>
      </w:r>
      <w:r w:rsidRPr="0024080D">
        <w:rPr>
          <w:rFonts w:cs="Times New Roman"/>
          <w:szCs w:val="28"/>
        </w:rPr>
        <w:t>таблиця</w:t>
      </w:r>
      <w:r w:rsidR="000805B9" w:rsidRPr="0024080D">
        <w:rPr>
          <w:rFonts w:cs="Times New Roman"/>
          <w:szCs w:val="28"/>
        </w:rPr>
        <w:t> </w:t>
      </w:r>
      <w:r w:rsidRPr="0024080D">
        <w:rPr>
          <w:rFonts w:cs="Times New Roman"/>
          <w:szCs w:val="28"/>
        </w:rPr>
        <w:t xml:space="preserve">2.3 </w:t>
      </w:r>
      <w:r w:rsidR="000805B9" w:rsidRPr="0024080D">
        <w:rPr>
          <w:rFonts w:cs="Times New Roman"/>
          <w:szCs w:val="28"/>
        </w:rPr>
        <w:t>«</w:t>
      </w:r>
      <w:r w:rsidRPr="0024080D">
        <w:rPr>
          <w:rFonts w:cs="Times New Roman"/>
          <w:szCs w:val="28"/>
        </w:rPr>
        <w:t>Контактні та робота з ними</w:t>
      </w:r>
      <w:r w:rsidR="000805B9" w:rsidRPr="0024080D">
        <w:rPr>
          <w:rFonts w:cs="Times New Roman"/>
          <w:szCs w:val="28"/>
        </w:rPr>
        <w:t>»</w:t>
      </w:r>
      <w:r w:rsidRPr="0024080D">
        <w:rPr>
          <w:rFonts w:cs="Times New Roman"/>
          <w:szCs w:val="28"/>
        </w:rPr>
        <w:t xml:space="preserve">), що може свідчити </w:t>
      </w:r>
      <w:r w:rsidR="00DD1F31">
        <w:rPr>
          <w:rFonts w:cs="Times New Roman"/>
          <w:szCs w:val="28"/>
        </w:rPr>
        <w:t>про покращення</w:t>
      </w:r>
      <w:r w:rsidRPr="0024080D">
        <w:rPr>
          <w:rFonts w:cs="Times New Roman"/>
          <w:szCs w:val="28"/>
        </w:rPr>
        <w:t xml:space="preserve"> відстеження та обстеження контактних осіб</w:t>
      </w:r>
      <w:r w:rsidR="00DD1F31">
        <w:rPr>
          <w:rFonts w:cs="Times New Roman"/>
          <w:szCs w:val="28"/>
        </w:rPr>
        <w:t>, але ще недостатньо</w:t>
      </w:r>
      <w:r w:rsidRPr="0024080D">
        <w:rPr>
          <w:rFonts w:cs="Times New Roman"/>
          <w:szCs w:val="28"/>
        </w:rPr>
        <w:t xml:space="preserve">. </w:t>
      </w:r>
    </w:p>
    <w:p w14:paraId="5CE95A3D" w14:textId="5E83C26E" w:rsidR="004B3AED" w:rsidRPr="0024080D" w:rsidRDefault="004B3AED" w:rsidP="00BA5D7E">
      <w:pPr>
        <w:widowControl w:val="0"/>
        <w:pBdr>
          <w:top w:val="nil"/>
          <w:left w:val="nil"/>
          <w:bottom w:val="nil"/>
          <w:right w:val="nil"/>
          <w:between w:val="nil"/>
        </w:pBdr>
        <w:spacing w:line="252" w:lineRule="auto"/>
        <w:rPr>
          <w:rFonts w:cs="Times New Roman"/>
          <w:szCs w:val="28"/>
        </w:rPr>
      </w:pPr>
      <w:r w:rsidRPr="0024080D">
        <w:rPr>
          <w:rFonts w:cs="Times New Roman"/>
          <w:szCs w:val="28"/>
        </w:rPr>
        <w:t>За зведеними даними регіональних паспортних анкет за 202</w:t>
      </w:r>
      <w:r w:rsidR="00DD1F31">
        <w:rPr>
          <w:rFonts w:cs="Times New Roman"/>
          <w:szCs w:val="28"/>
        </w:rPr>
        <w:t>1</w:t>
      </w:r>
      <w:r w:rsidRPr="0024080D">
        <w:rPr>
          <w:rFonts w:cs="Times New Roman"/>
          <w:szCs w:val="28"/>
        </w:rPr>
        <w:t xml:space="preserve"> р., питома вага контактних осіб, в яких було проведено клінічне оцінювання на ТБ (огляд, анкетування, радіологічне обстеження органів грудної порожнини, мікробіологічна діагностика за наявності легеневих симптомів – бактеріоскопія та/або молекулярно-генетичне дослідження </w:t>
      </w:r>
      <w:proofErr w:type="spellStart"/>
      <w:r w:rsidRPr="0024080D">
        <w:rPr>
          <w:rFonts w:cs="Times New Roman"/>
          <w:szCs w:val="28"/>
        </w:rPr>
        <w:t>GeneXpert</w:t>
      </w:r>
      <w:proofErr w:type="spellEnd"/>
      <w:r w:rsidRPr="0024080D">
        <w:rPr>
          <w:rFonts w:cs="Times New Roman"/>
          <w:szCs w:val="28"/>
        </w:rPr>
        <w:t> </w:t>
      </w:r>
      <w:r w:rsidR="00BA5D7E" w:rsidRPr="0024080D">
        <w:rPr>
          <w:rFonts w:cs="Times New Roman"/>
          <w:szCs w:val="28"/>
        </w:rPr>
        <w:br/>
      </w:r>
      <w:r w:rsidRPr="0024080D">
        <w:rPr>
          <w:rFonts w:cs="Times New Roman"/>
          <w:szCs w:val="28"/>
        </w:rPr>
        <w:t xml:space="preserve">MTB/RIF), від загальної кількості виявлених контактів в середньому по Україні становить </w:t>
      </w:r>
      <w:r w:rsidR="00DD1F31">
        <w:rPr>
          <w:rFonts w:cs="Times New Roman"/>
          <w:szCs w:val="28"/>
        </w:rPr>
        <w:t>94,7</w:t>
      </w:r>
      <w:r w:rsidRPr="0024080D">
        <w:rPr>
          <w:rFonts w:cs="Times New Roman"/>
          <w:szCs w:val="28"/>
        </w:rPr>
        <w:t>% (мета – 100%).</w:t>
      </w:r>
    </w:p>
    <w:p w14:paraId="7F37B517" w14:textId="569C8708" w:rsidR="004B3AED" w:rsidRPr="0024080D" w:rsidRDefault="004B3AED" w:rsidP="00BA5D7E">
      <w:pPr>
        <w:spacing w:line="252" w:lineRule="auto"/>
        <w:rPr>
          <w:rFonts w:eastAsia="Times New Roman" w:cs="Times New Roman"/>
          <w:szCs w:val="28"/>
        </w:rPr>
      </w:pPr>
      <w:r w:rsidRPr="0024080D">
        <w:rPr>
          <w:rFonts w:eastAsia="Times New Roman" w:cs="Times New Roman"/>
          <w:szCs w:val="28"/>
        </w:rPr>
        <w:t>У 202</w:t>
      </w:r>
      <w:r w:rsidR="00DD1F31">
        <w:rPr>
          <w:rFonts w:eastAsia="Times New Roman" w:cs="Times New Roman"/>
          <w:szCs w:val="28"/>
        </w:rPr>
        <w:t>1</w:t>
      </w:r>
      <w:r w:rsidRPr="0024080D">
        <w:rPr>
          <w:rFonts w:eastAsia="Times New Roman" w:cs="Times New Roman"/>
          <w:szCs w:val="28"/>
        </w:rPr>
        <w:t xml:space="preserve"> р. в Україні виявлено </w:t>
      </w:r>
      <w:r w:rsidR="00852E8C">
        <w:rPr>
          <w:rFonts w:eastAsia="Times New Roman" w:cs="Times New Roman"/>
          <w:szCs w:val="28"/>
        </w:rPr>
        <w:t>429</w:t>
      </w:r>
      <w:r w:rsidRPr="0024080D">
        <w:rPr>
          <w:rFonts w:eastAsia="Times New Roman" w:cs="Times New Roman"/>
          <w:szCs w:val="28"/>
        </w:rPr>
        <w:t xml:space="preserve"> випадків захворювання на ТБ серед контактних осіб, що становить </w:t>
      </w:r>
      <w:r w:rsidR="00852E8C">
        <w:rPr>
          <w:rFonts w:eastAsia="Times New Roman" w:cs="Times New Roman"/>
          <w:szCs w:val="28"/>
        </w:rPr>
        <w:t>15,5</w:t>
      </w:r>
      <w:r w:rsidRPr="0024080D">
        <w:rPr>
          <w:rFonts w:eastAsia="Times New Roman" w:cs="Times New Roman"/>
          <w:szCs w:val="28"/>
        </w:rPr>
        <w:t xml:space="preserve"> на 1000 контактних осіб</w:t>
      </w:r>
      <w:r w:rsidR="00852E8C">
        <w:rPr>
          <w:rFonts w:eastAsia="Times New Roman" w:cs="Times New Roman"/>
          <w:szCs w:val="28"/>
        </w:rPr>
        <w:t xml:space="preserve"> (ф. 33-здоров)</w:t>
      </w:r>
      <w:r w:rsidRPr="0024080D">
        <w:rPr>
          <w:rFonts w:eastAsia="Times New Roman" w:cs="Times New Roman"/>
          <w:szCs w:val="28"/>
        </w:rPr>
        <w:t>. По регіонах показники захворюваності на ТБ серед контактних осіб коливається від 0 на 1000 контактних осіб (</w:t>
      </w:r>
      <w:r w:rsidR="00852E8C">
        <w:rPr>
          <w:rFonts w:eastAsia="Times New Roman" w:cs="Times New Roman"/>
          <w:szCs w:val="28"/>
        </w:rPr>
        <w:t>Донецька область</w:t>
      </w:r>
      <w:r w:rsidRPr="0024080D">
        <w:rPr>
          <w:rFonts w:eastAsia="Times New Roman" w:cs="Times New Roman"/>
          <w:szCs w:val="28"/>
        </w:rPr>
        <w:t xml:space="preserve">) до </w:t>
      </w:r>
      <w:r w:rsidR="00852E8C">
        <w:rPr>
          <w:rFonts w:eastAsia="Times New Roman" w:cs="Times New Roman"/>
          <w:szCs w:val="28"/>
        </w:rPr>
        <w:t>36,5</w:t>
      </w:r>
      <w:r w:rsidRPr="0024080D">
        <w:rPr>
          <w:rFonts w:eastAsia="Times New Roman" w:cs="Times New Roman"/>
          <w:szCs w:val="28"/>
        </w:rPr>
        <w:t xml:space="preserve"> на 1000 контактних осіб (Запорізька область). Високі показники захворюваності на ТБ серед контрактних осіб у 202</w:t>
      </w:r>
      <w:r w:rsidR="00852E8C">
        <w:rPr>
          <w:rFonts w:eastAsia="Times New Roman" w:cs="Times New Roman"/>
          <w:szCs w:val="28"/>
        </w:rPr>
        <w:t>1</w:t>
      </w:r>
      <w:r w:rsidRPr="0024080D">
        <w:rPr>
          <w:rFonts w:eastAsia="Times New Roman" w:cs="Times New Roman"/>
          <w:szCs w:val="28"/>
        </w:rPr>
        <w:t xml:space="preserve"> р. зафіксовано також </w:t>
      </w:r>
      <w:r w:rsidR="000805B9" w:rsidRPr="0024080D">
        <w:rPr>
          <w:rFonts w:eastAsia="Times New Roman" w:cs="Times New Roman"/>
          <w:szCs w:val="28"/>
        </w:rPr>
        <w:t xml:space="preserve">в </w:t>
      </w:r>
      <w:r w:rsidR="00C015EA">
        <w:rPr>
          <w:rFonts w:eastAsia="Times New Roman" w:cs="Times New Roman"/>
          <w:szCs w:val="28"/>
        </w:rPr>
        <w:t xml:space="preserve">Волинській </w:t>
      </w:r>
      <w:r w:rsidRPr="0024080D">
        <w:rPr>
          <w:rFonts w:eastAsia="Times New Roman" w:cs="Times New Roman"/>
          <w:szCs w:val="28"/>
        </w:rPr>
        <w:t>(</w:t>
      </w:r>
      <w:r w:rsidR="00C015EA">
        <w:rPr>
          <w:rFonts w:eastAsia="Times New Roman" w:cs="Times New Roman"/>
          <w:szCs w:val="28"/>
        </w:rPr>
        <w:t>34,3</w:t>
      </w:r>
      <w:r w:rsidRPr="0024080D">
        <w:rPr>
          <w:rFonts w:eastAsia="Times New Roman" w:cs="Times New Roman"/>
          <w:szCs w:val="28"/>
        </w:rPr>
        <w:t>), Кіровоградській (</w:t>
      </w:r>
      <w:r w:rsidR="00852E8C">
        <w:rPr>
          <w:rFonts w:eastAsia="Times New Roman" w:cs="Times New Roman"/>
          <w:szCs w:val="28"/>
        </w:rPr>
        <w:t>34,1</w:t>
      </w:r>
      <w:r w:rsidRPr="0024080D">
        <w:rPr>
          <w:rFonts w:eastAsia="Times New Roman" w:cs="Times New Roman"/>
          <w:szCs w:val="28"/>
        </w:rPr>
        <w:t>) та Черкаській (</w:t>
      </w:r>
      <w:r w:rsidR="00852E8C">
        <w:rPr>
          <w:rFonts w:eastAsia="Times New Roman" w:cs="Times New Roman"/>
          <w:szCs w:val="28"/>
        </w:rPr>
        <w:t>30,8</w:t>
      </w:r>
      <w:r w:rsidRPr="0024080D">
        <w:rPr>
          <w:rFonts w:eastAsia="Times New Roman" w:cs="Times New Roman"/>
          <w:szCs w:val="28"/>
        </w:rPr>
        <w:t>) областях.</w:t>
      </w:r>
    </w:p>
    <w:p w14:paraId="172B38E1" w14:textId="54ABD0D4" w:rsidR="004B3AED" w:rsidRPr="0024080D" w:rsidRDefault="004B3AED" w:rsidP="00BA5D7E">
      <w:pPr>
        <w:widowControl w:val="0"/>
        <w:pBdr>
          <w:top w:val="nil"/>
          <w:left w:val="nil"/>
          <w:bottom w:val="nil"/>
          <w:right w:val="nil"/>
          <w:between w:val="nil"/>
        </w:pBdr>
        <w:spacing w:after="120" w:line="252" w:lineRule="auto"/>
        <w:rPr>
          <w:rFonts w:eastAsia="Times New Roman" w:cs="Times New Roman"/>
          <w:szCs w:val="28"/>
        </w:rPr>
      </w:pPr>
      <w:r w:rsidRPr="0024080D">
        <w:rPr>
          <w:rFonts w:eastAsia="Times New Roman" w:cs="Times New Roman"/>
          <w:szCs w:val="28"/>
        </w:rPr>
        <w:t xml:space="preserve">Протягом останніх п’яти років показник охоплення ПЛ ТБІ серед контактних осіб знизився з </w:t>
      </w:r>
      <w:r w:rsidR="003D7143">
        <w:rPr>
          <w:rFonts w:eastAsia="Times New Roman" w:cs="Times New Roman"/>
          <w:szCs w:val="28"/>
        </w:rPr>
        <w:t>87,5</w:t>
      </w:r>
      <w:r w:rsidRPr="0024080D">
        <w:rPr>
          <w:rFonts w:eastAsia="Times New Roman" w:cs="Times New Roman"/>
          <w:szCs w:val="28"/>
        </w:rPr>
        <w:t>% у 201</w:t>
      </w:r>
      <w:r w:rsidR="003D7143">
        <w:rPr>
          <w:rFonts w:eastAsia="Times New Roman" w:cs="Times New Roman"/>
          <w:szCs w:val="28"/>
        </w:rPr>
        <w:t>7</w:t>
      </w:r>
      <w:r w:rsidRPr="0024080D">
        <w:rPr>
          <w:rFonts w:eastAsia="Times New Roman" w:cs="Times New Roman"/>
          <w:szCs w:val="28"/>
        </w:rPr>
        <w:t xml:space="preserve"> р. до </w:t>
      </w:r>
      <w:r w:rsidR="003D7143">
        <w:rPr>
          <w:rFonts w:eastAsia="Times New Roman" w:cs="Times New Roman"/>
          <w:szCs w:val="28"/>
        </w:rPr>
        <w:t>74,1</w:t>
      </w:r>
      <w:r w:rsidRPr="0024080D">
        <w:rPr>
          <w:rFonts w:eastAsia="Times New Roman" w:cs="Times New Roman"/>
          <w:szCs w:val="28"/>
        </w:rPr>
        <w:t>% у 202</w:t>
      </w:r>
      <w:r w:rsidR="003D7143">
        <w:rPr>
          <w:rFonts w:eastAsia="Times New Roman" w:cs="Times New Roman"/>
          <w:szCs w:val="28"/>
        </w:rPr>
        <w:t>1</w:t>
      </w:r>
      <w:r w:rsidRPr="0024080D">
        <w:rPr>
          <w:rFonts w:eastAsia="Times New Roman" w:cs="Times New Roman"/>
          <w:szCs w:val="28"/>
        </w:rPr>
        <w:t xml:space="preserve"> р. Погіршення цих показників відбулося переважно за рахунок дитячої вікової групи </w:t>
      </w:r>
      <w:r w:rsidR="00F14086">
        <w:rPr>
          <w:rFonts w:eastAsia="Times New Roman" w:cs="Times New Roman"/>
          <w:szCs w:val="28"/>
        </w:rPr>
        <w:t>15-17</w:t>
      </w:r>
      <w:r w:rsidRPr="0024080D">
        <w:rPr>
          <w:rFonts w:eastAsia="Times New Roman" w:cs="Times New Roman"/>
          <w:szCs w:val="28"/>
        </w:rPr>
        <w:t xml:space="preserve"> років (рисунок 3.33).</w:t>
      </w:r>
    </w:p>
    <w:p w14:paraId="7031DD70" w14:textId="0F619F21" w:rsidR="004B3AED" w:rsidRPr="0024080D" w:rsidRDefault="00F14086" w:rsidP="004B3AED">
      <w:pPr>
        <w:widowControl w:val="0"/>
        <w:pBdr>
          <w:top w:val="nil"/>
          <w:left w:val="nil"/>
          <w:bottom w:val="nil"/>
          <w:right w:val="nil"/>
          <w:between w:val="nil"/>
        </w:pBdr>
        <w:ind w:firstLine="0"/>
        <w:jc w:val="center"/>
        <w:rPr>
          <w:rFonts w:eastAsia="Times New Roman" w:cs="Times New Roman"/>
          <w:szCs w:val="28"/>
        </w:rPr>
      </w:pPr>
      <w:r w:rsidRPr="00F14086">
        <w:rPr>
          <w:rFonts w:eastAsia="Times New Roman" w:cs="Times New Roman"/>
          <w:noProof/>
          <w:szCs w:val="28"/>
        </w:rPr>
        <w:drawing>
          <wp:inline distT="0" distB="0" distL="0" distR="0" wp14:anchorId="2F2266AB" wp14:editId="75BB2AF1">
            <wp:extent cx="5940425" cy="2390775"/>
            <wp:effectExtent l="0" t="0" r="3175" b="9525"/>
            <wp:docPr id="79" name="Діаграма 79">
              <a:extLst xmlns:a="http://schemas.openxmlformats.org/drawingml/2006/main">
                <a:ext uri="{FF2B5EF4-FFF2-40B4-BE49-F238E27FC236}">
                  <a16:creationId xmlns:a16="http://schemas.microsoft.com/office/drawing/2014/main" id="{6849A7BA-99A9-494C-B1FE-826DE2A0E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408F963" w14:textId="6102EBB7" w:rsidR="004B3AED" w:rsidRPr="0024080D" w:rsidRDefault="004B3AED" w:rsidP="00BA5D7E">
      <w:pPr>
        <w:widowControl w:val="0"/>
        <w:pBdr>
          <w:top w:val="nil"/>
          <w:left w:val="nil"/>
          <w:bottom w:val="nil"/>
          <w:right w:val="nil"/>
          <w:between w:val="nil"/>
        </w:pBdr>
        <w:spacing w:before="120" w:after="120" w:line="252" w:lineRule="auto"/>
        <w:ind w:firstLine="0"/>
        <w:jc w:val="center"/>
        <w:rPr>
          <w:rFonts w:eastAsia="Times New Roman" w:cs="Times New Roman"/>
          <w:b/>
          <w:szCs w:val="28"/>
        </w:rPr>
      </w:pPr>
      <w:r w:rsidRPr="0024080D">
        <w:rPr>
          <w:rFonts w:eastAsia="Times New Roman" w:cs="Times New Roman"/>
          <w:b/>
          <w:szCs w:val="28"/>
        </w:rPr>
        <w:t>Рисунок </w:t>
      </w:r>
      <w:r w:rsidR="00340602">
        <w:rPr>
          <w:rFonts w:eastAsia="Times New Roman" w:cs="Times New Roman"/>
          <w:b/>
          <w:szCs w:val="28"/>
        </w:rPr>
        <w:t>2.32</w:t>
      </w:r>
      <w:r w:rsidRPr="0024080D">
        <w:rPr>
          <w:rFonts w:eastAsia="Times New Roman" w:cs="Times New Roman"/>
          <w:b/>
          <w:szCs w:val="28"/>
        </w:rPr>
        <w:t xml:space="preserve">. Охоплення ПЛ ТБІ контактних осіб, </w:t>
      </w:r>
      <w:r w:rsidRPr="0024080D">
        <w:rPr>
          <w:rFonts w:eastAsia="Times New Roman" w:cs="Times New Roman"/>
          <w:b/>
          <w:szCs w:val="28"/>
        </w:rPr>
        <w:br/>
        <w:t>когорти 201</w:t>
      </w:r>
      <w:r w:rsidR="00F14086">
        <w:rPr>
          <w:rFonts w:eastAsia="Times New Roman" w:cs="Times New Roman"/>
          <w:b/>
          <w:szCs w:val="28"/>
        </w:rPr>
        <w:t>7</w:t>
      </w:r>
      <w:r w:rsidRPr="0024080D">
        <w:rPr>
          <w:rFonts w:eastAsia="Times New Roman" w:cs="Times New Roman"/>
          <w:b/>
          <w:szCs w:val="28"/>
        </w:rPr>
        <w:t>–202</w:t>
      </w:r>
      <w:r w:rsidR="00F14086">
        <w:rPr>
          <w:rFonts w:eastAsia="Times New Roman" w:cs="Times New Roman"/>
          <w:b/>
          <w:szCs w:val="28"/>
        </w:rPr>
        <w:t>1</w:t>
      </w:r>
      <w:r w:rsidRPr="0024080D">
        <w:rPr>
          <w:rFonts w:eastAsia="Times New Roman" w:cs="Times New Roman"/>
          <w:b/>
          <w:szCs w:val="28"/>
        </w:rPr>
        <w:t xml:space="preserve"> рр.</w:t>
      </w:r>
    </w:p>
    <w:p w14:paraId="275433CB" w14:textId="77777777" w:rsidR="004B3AED" w:rsidRPr="0024080D" w:rsidRDefault="004B3AED" w:rsidP="00BA5D7E">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Діти та підлітки мають особливе значення під час проведення скринінгу контактів через високу поширеність ТБ у наймолодших вікових групах та важливість швидкої діагностики і призначення лікування через ризик швидкого прогресування захворювання у дітей віком &lt;5 років. Також важливим є початок ПЛ ТБІ, якщо захворювання на ТБ виключено. </w:t>
      </w:r>
    </w:p>
    <w:p w14:paraId="6453AAA4" w14:textId="204B7B25" w:rsidR="004B3AED" w:rsidRPr="0024080D" w:rsidRDefault="004B3AED" w:rsidP="00BA5D7E">
      <w:pPr>
        <w:widowControl w:val="0"/>
        <w:pBdr>
          <w:top w:val="nil"/>
          <w:left w:val="nil"/>
          <w:bottom w:val="nil"/>
          <w:right w:val="nil"/>
          <w:between w:val="nil"/>
        </w:pBdr>
        <w:spacing w:line="252" w:lineRule="auto"/>
        <w:rPr>
          <w:rFonts w:cs="Times New Roman"/>
          <w:spacing w:val="-2"/>
          <w:szCs w:val="28"/>
        </w:rPr>
      </w:pPr>
      <w:r w:rsidRPr="0024080D">
        <w:rPr>
          <w:rFonts w:cs="Times New Roman"/>
          <w:spacing w:val="-2"/>
          <w:szCs w:val="28"/>
        </w:rPr>
        <w:t>За даними регіональних паспортних анкет, питома вага контактних дітей віком &lt;5 років, в яких було проведено клінічне оцінювання на ТБ, в середньому по Україні у 202</w:t>
      </w:r>
      <w:r w:rsidR="008A0BF6">
        <w:rPr>
          <w:rFonts w:cs="Times New Roman"/>
          <w:spacing w:val="-2"/>
          <w:szCs w:val="28"/>
        </w:rPr>
        <w:t>1</w:t>
      </w:r>
      <w:r w:rsidRPr="0024080D">
        <w:rPr>
          <w:rFonts w:cs="Times New Roman"/>
          <w:spacing w:val="-2"/>
          <w:szCs w:val="28"/>
        </w:rPr>
        <w:t xml:space="preserve"> р. становить </w:t>
      </w:r>
      <w:r w:rsidR="008A0BF6">
        <w:rPr>
          <w:rFonts w:cs="Times New Roman"/>
          <w:spacing w:val="-2"/>
          <w:szCs w:val="28"/>
        </w:rPr>
        <w:t>98,3</w:t>
      </w:r>
      <w:r w:rsidRPr="0024080D">
        <w:rPr>
          <w:rFonts w:cs="Times New Roman"/>
          <w:spacing w:val="-2"/>
          <w:szCs w:val="28"/>
        </w:rPr>
        <w:t xml:space="preserve">% (мета – 100%), а охоплення </w:t>
      </w:r>
      <w:r w:rsidRPr="0024080D">
        <w:rPr>
          <w:rFonts w:cs="Times New Roman"/>
          <w:spacing w:val="-2"/>
          <w:szCs w:val="28"/>
        </w:rPr>
        <w:lastRenderedPageBreak/>
        <w:t xml:space="preserve">ПЛ ТБІ контактних дітей віком &lt;5 років – </w:t>
      </w:r>
      <w:r w:rsidR="003C6959">
        <w:rPr>
          <w:rFonts w:cs="Times New Roman"/>
          <w:spacing w:val="-2"/>
          <w:szCs w:val="28"/>
        </w:rPr>
        <w:t>70,2</w:t>
      </w:r>
      <w:r w:rsidRPr="0024080D">
        <w:rPr>
          <w:rFonts w:cs="Times New Roman"/>
          <w:spacing w:val="-2"/>
          <w:szCs w:val="28"/>
        </w:rPr>
        <w:t>%.</w:t>
      </w:r>
    </w:p>
    <w:p w14:paraId="0226FBBE" w14:textId="02ED035A" w:rsidR="001A459E" w:rsidRPr="001E22BC" w:rsidRDefault="001E22BC" w:rsidP="001E22BC">
      <w:pPr>
        <w:pStyle w:val="3"/>
        <w:spacing w:line="233" w:lineRule="auto"/>
        <w:rPr>
          <w:spacing w:val="-2"/>
        </w:rPr>
      </w:pPr>
      <w:r>
        <w:rPr>
          <w:spacing w:val="-2"/>
        </w:rPr>
        <w:t>Лікування туберкульозу</w:t>
      </w:r>
    </w:p>
    <w:p w14:paraId="78C642BF" w14:textId="58985097" w:rsidR="004B3AED" w:rsidRPr="0024080D" w:rsidRDefault="004B3AED" w:rsidP="00BA5D7E">
      <w:pPr>
        <w:widowControl w:val="0"/>
        <w:pBdr>
          <w:top w:val="nil"/>
          <w:left w:val="nil"/>
          <w:bottom w:val="nil"/>
          <w:right w:val="nil"/>
          <w:between w:val="nil"/>
        </w:pBdr>
        <w:spacing w:after="120" w:line="252" w:lineRule="auto"/>
        <w:rPr>
          <w:rFonts w:cs="Times New Roman"/>
          <w:szCs w:val="28"/>
        </w:rPr>
      </w:pPr>
      <w:r w:rsidRPr="0024080D">
        <w:rPr>
          <w:rFonts w:cs="Times New Roman"/>
          <w:szCs w:val="28"/>
        </w:rPr>
        <w:t xml:space="preserve">Лікування ТБ – одне з найбільш ефективних </w:t>
      </w:r>
      <w:r w:rsidR="001E22BC" w:rsidRPr="0024080D">
        <w:rPr>
          <w:rFonts w:cs="Times New Roman"/>
          <w:szCs w:val="28"/>
        </w:rPr>
        <w:t>утручань</w:t>
      </w:r>
      <w:r w:rsidRPr="0024080D">
        <w:rPr>
          <w:rFonts w:cs="Times New Roman"/>
          <w:szCs w:val="28"/>
        </w:rPr>
        <w:t xml:space="preserve"> у боротьбі із захворюванням, спрямоване на скорочення поширеності випадків серед населення і передачу інфекції. </w:t>
      </w:r>
    </w:p>
    <w:p w14:paraId="68FB8C2D" w14:textId="034B2340" w:rsidR="004B3AED" w:rsidRPr="0024080D" w:rsidRDefault="00250082" w:rsidP="004B3AED">
      <w:pPr>
        <w:widowControl w:val="0"/>
        <w:pBdr>
          <w:top w:val="nil"/>
          <w:left w:val="nil"/>
          <w:bottom w:val="nil"/>
          <w:right w:val="nil"/>
          <w:between w:val="nil"/>
        </w:pBdr>
        <w:ind w:firstLine="0"/>
        <w:jc w:val="center"/>
        <w:rPr>
          <w:rFonts w:cs="Times New Roman"/>
          <w:szCs w:val="28"/>
        </w:rPr>
      </w:pPr>
      <w:r w:rsidRPr="00250082">
        <w:rPr>
          <w:rFonts w:cs="Times New Roman"/>
          <w:noProof/>
          <w:szCs w:val="28"/>
        </w:rPr>
        <w:drawing>
          <wp:inline distT="0" distB="0" distL="0" distR="0" wp14:anchorId="7493FC7A" wp14:editId="36CBC82E">
            <wp:extent cx="5940425" cy="2606675"/>
            <wp:effectExtent l="0" t="0" r="3175" b="3175"/>
            <wp:docPr id="81" name="Діаграма 81">
              <a:extLst xmlns:a="http://schemas.openxmlformats.org/drawingml/2006/main">
                <a:ext uri="{FF2B5EF4-FFF2-40B4-BE49-F238E27FC236}">
                  <a16:creationId xmlns:a16="http://schemas.microsoft.com/office/drawing/2014/main" id="{78BF395B-540E-4401-BA5E-A54DD7F9D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3D7EAE" w14:textId="1577ADAC" w:rsidR="004B3AED" w:rsidRPr="0024080D" w:rsidRDefault="004B3AED" w:rsidP="004B3AED">
      <w:pPr>
        <w:widowControl w:val="0"/>
        <w:pBdr>
          <w:top w:val="nil"/>
          <w:left w:val="nil"/>
          <w:bottom w:val="nil"/>
          <w:right w:val="nil"/>
          <w:between w:val="nil"/>
        </w:pBdr>
        <w:spacing w:after="120"/>
        <w:ind w:firstLine="0"/>
        <w:jc w:val="center"/>
        <w:rPr>
          <w:rFonts w:cs="Times New Roman"/>
          <w:b/>
          <w:szCs w:val="28"/>
        </w:rPr>
      </w:pPr>
      <w:r w:rsidRPr="0024080D">
        <w:rPr>
          <w:rFonts w:cs="Times New Roman"/>
          <w:b/>
          <w:szCs w:val="28"/>
        </w:rPr>
        <w:t>Рисунок </w:t>
      </w:r>
      <w:r w:rsidR="00340602">
        <w:rPr>
          <w:rFonts w:cs="Times New Roman"/>
          <w:b/>
          <w:szCs w:val="28"/>
        </w:rPr>
        <w:t>2.33</w:t>
      </w:r>
      <w:r w:rsidRPr="0024080D">
        <w:rPr>
          <w:rFonts w:cs="Times New Roman"/>
          <w:b/>
          <w:szCs w:val="28"/>
        </w:rPr>
        <w:t xml:space="preserve">. Результати лікування випадків ТБ, </w:t>
      </w:r>
      <w:r w:rsidRPr="0024080D">
        <w:rPr>
          <w:rFonts w:cs="Times New Roman"/>
          <w:b/>
          <w:szCs w:val="28"/>
        </w:rPr>
        <w:br/>
        <w:t>які було зареєстровано у 20</w:t>
      </w:r>
      <w:r w:rsidR="009D2BE7">
        <w:rPr>
          <w:rFonts w:cs="Times New Roman"/>
          <w:b/>
          <w:szCs w:val="28"/>
        </w:rPr>
        <w:t>20</w:t>
      </w:r>
      <w:r w:rsidRPr="0024080D">
        <w:rPr>
          <w:rFonts w:cs="Times New Roman"/>
          <w:b/>
          <w:szCs w:val="28"/>
        </w:rPr>
        <w:t xml:space="preserve"> р. (дані з </w:t>
      </w:r>
      <w:r w:rsidR="00A44384" w:rsidRPr="0024080D">
        <w:rPr>
          <w:rFonts w:cs="Times New Roman"/>
          <w:b/>
          <w:szCs w:val="28"/>
        </w:rPr>
        <w:t xml:space="preserve">Реєстру </w:t>
      </w:r>
      <w:r w:rsidRPr="0024080D">
        <w:rPr>
          <w:rFonts w:cs="Times New Roman"/>
          <w:b/>
          <w:szCs w:val="28"/>
        </w:rPr>
        <w:t>хворих на ТБ)</w:t>
      </w:r>
    </w:p>
    <w:p w14:paraId="73319500" w14:textId="19060D1C"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Показник ефективності лікування нових випадків ТБ і рецидивів захворювання становить</w:t>
      </w:r>
      <w:r w:rsidR="009D2BE7">
        <w:rPr>
          <w:rFonts w:cs="Times New Roman"/>
          <w:szCs w:val="28"/>
        </w:rPr>
        <w:t xml:space="preserve"> 77,4% </w:t>
      </w:r>
      <w:r w:rsidRPr="0024080D">
        <w:rPr>
          <w:rFonts w:cs="Times New Roman"/>
          <w:szCs w:val="28"/>
        </w:rPr>
        <w:t>від останньої когорти (20</w:t>
      </w:r>
      <w:r w:rsidR="009D2BE7">
        <w:rPr>
          <w:rFonts w:cs="Times New Roman"/>
          <w:szCs w:val="28"/>
        </w:rPr>
        <w:t>20</w:t>
      </w:r>
      <w:r w:rsidRPr="0024080D">
        <w:rPr>
          <w:rFonts w:cs="Times New Roman"/>
          <w:szCs w:val="28"/>
        </w:rPr>
        <w:t xml:space="preserve"> р.), що на 2% </w:t>
      </w:r>
      <w:r w:rsidR="009D2BE7">
        <w:rPr>
          <w:rFonts w:cs="Times New Roman"/>
          <w:szCs w:val="28"/>
        </w:rPr>
        <w:t>нижче</w:t>
      </w:r>
      <w:r w:rsidRPr="0024080D">
        <w:rPr>
          <w:rFonts w:cs="Times New Roman"/>
          <w:szCs w:val="28"/>
        </w:rPr>
        <w:t xml:space="preserve"> результатів у 201</w:t>
      </w:r>
      <w:r w:rsidR="009D2BE7">
        <w:rPr>
          <w:rFonts w:cs="Times New Roman"/>
          <w:szCs w:val="28"/>
        </w:rPr>
        <w:t>9</w:t>
      </w:r>
      <w:r w:rsidRPr="0024080D">
        <w:rPr>
          <w:rFonts w:cs="Times New Roman"/>
          <w:szCs w:val="28"/>
        </w:rPr>
        <w:t> р. (</w:t>
      </w:r>
      <w:r w:rsidR="009D2BE7">
        <w:rPr>
          <w:rFonts w:cs="Times New Roman"/>
          <w:szCs w:val="28"/>
        </w:rPr>
        <w:t>79,2</w:t>
      </w:r>
      <w:r w:rsidRPr="0024080D">
        <w:rPr>
          <w:rFonts w:cs="Times New Roman"/>
          <w:szCs w:val="28"/>
        </w:rPr>
        <w:t xml:space="preserve">%). </w:t>
      </w:r>
    </w:p>
    <w:p w14:paraId="502E1F41" w14:textId="2B6AB483"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 xml:space="preserve">Покращення результатів лікування, відзначене протягом </w:t>
      </w:r>
      <w:r w:rsidR="00D03D7D">
        <w:rPr>
          <w:rFonts w:cs="Times New Roman"/>
          <w:szCs w:val="28"/>
        </w:rPr>
        <w:t>попередніх</w:t>
      </w:r>
      <w:r w:rsidRPr="0024080D">
        <w:rPr>
          <w:rFonts w:cs="Times New Roman"/>
          <w:szCs w:val="28"/>
        </w:rPr>
        <w:t xml:space="preserve"> п’яти років, було обумовлено здебільшого скороченням кількості випадків, втрачених </w:t>
      </w:r>
      <w:r w:rsidR="005A7D8A" w:rsidRPr="0024080D">
        <w:rPr>
          <w:rFonts w:cs="Times New Roman"/>
          <w:szCs w:val="28"/>
        </w:rPr>
        <w:t>для</w:t>
      </w:r>
      <w:r w:rsidRPr="0024080D">
        <w:rPr>
          <w:rFonts w:cs="Times New Roman"/>
          <w:szCs w:val="28"/>
        </w:rPr>
        <w:t xml:space="preserve"> подальшого спостереження</w:t>
      </w:r>
      <w:r w:rsidR="005A7D8A" w:rsidRPr="0024080D">
        <w:rPr>
          <w:rFonts w:cs="Times New Roman"/>
          <w:szCs w:val="28"/>
        </w:rPr>
        <w:t xml:space="preserve"> (ВПС)</w:t>
      </w:r>
      <w:r w:rsidRPr="0024080D">
        <w:rPr>
          <w:rFonts w:cs="Times New Roman"/>
          <w:szCs w:val="28"/>
        </w:rPr>
        <w:t>, а також випадків невдачі лікування або летальних наслідків (рисунок 3.35), проте загальна ефективність лікування все ще нижче цільового показника ВООЗ у 85% для Європейського регіону і нижче глобального цільового показника ефективності лікування у 90%.</w:t>
      </w:r>
    </w:p>
    <w:p w14:paraId="1471DD01" w14:textId="726D6248" w:rsidR="004B3AED" w:rsidRPr="0024080D" w:rsidRDefault="00D03D7D" w:rsidP="004B3AED">
      <w:pPr>
        <w:widowControl w:val="0"/>
        <w:pBdr>
          <w:top w:val="nil"/>
          <w:left w:val="nil"/>
          <w:bottom w:val="nil"/>
          <w:right w:val="nil"/>
          <w:between w:val="nil"/>
        </w:pBdr>
        <w:ind w:firstLine="0"/>
        <w:jc w:val="center"/>
        <w:rPr>
          <w:rFonts w:cs="Times New Roman"/>
          <w:szCs w:val="28"/>
        </w:rPr>
      </w:pPr>
      <w:r w:rsidRPr="00D03D7D">
        <w:rPr>
          <w:rFonts w:cs="Times New Roman"/>
          <w:noProof/>
          <w:szCs w:val="28"/>
        </w:rPr>
        <w:lastRenderedPageBreak/>
        <w:drawing>
          <wp:inline distT="0" distB="0" distL="0" distR="0" wp14:anchorId="69604BEE" wp14:editId="1CB1F307">
            <wp:extent cx="5940425" cy="2752725"/>
            <wp:effectExtent l="0" t="0" r="0" b="0"/>
            <wp:docPr id="82" name="Діаграма 82">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38216A" w14:textId="631EF509" w:rsidR="004B3AED" w:rsidRPr="0024080D" w:rsidRDefault="004B3AED" w:rsidP="004B3AED">
      <w:pPr>
        <w:widowControl w:val="0"/>
        <w:pBdr>
          <w:top w:val="nil"/>
          <w:left w:val="nil"/>
          <w:bottom w:val="nil"/>
          <w:right w:val="nil"/>
          <w:between w:val="nil"/>
        </w:pBdr>
        <w:tabs>
          <w:tab w:val="left" w:pos="567"/>
          <w:tab w:val="left" w:pos="8789"/>
        </w:tabs>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2.34</w:t>
      </w:r>
      <w:r w:rsidRPr="0024080D">
        <w:rPr>
          <w:rFonts w:cs="Times New Roman"/>
          <w:b/>
          <w:szCs w:val="28"/>
        </w:rPr>
        <w:t xml:space="preserve">. Результати лікування нових випадків ТБ </w:t>
      </w:r>
      <w:r w:rsidRPr="0024080D">
        <w:rPr>
          <w:rFonts w:cs="Times New Roman"/>
          <w:b/>
          <w:szCs w:val="28"/>
        </w:rPr>
        <w:br/>
        <w:t>та рецидивів захворювання, когорти 201</w:t>
      </w:r>
      <w:r w:rsidR="00D03D7D">
        <w:rPr>
          <w:rFonts w:cs="Times New Roman"/>
          <w:b/>
          <w:szCs w:val="28"/>
        </w:rPr>
        <w:t>6</w:t>
      </w:r>
      <w:r w:rsidRPr="0024080D">
        <w:rPr>
          <w:rFonts w:cs="Times New Roman"/>
          <w:b/>
          <w:szCs w:val="28"/>
        </w:rPr>
        <w:t>–20</w:t>
      </w:r>
      <w:r w:rsidR="00D03D7D">
        <w:rPr>
          <w:rFonts w:cs="Times New Roman"/>
          <w:b/>
          <w:szCs w:val="28"/>
        </w:rPr>
        <w:t>20</w:t>
      </w:r>
      <w:r w:rsidRPr="0024080D">
        <w:rPr>
          <w:rFonts w:cs="Times New Roman"/>
          <w:b/>
          <w:szCs w:val="28"/>
        </w:rPr>
        <w:t xml:space="preserve"> рр.</w:t>
      </w:r>
    </w:p>
    <w:p w14:paraId="5766C63C" w14:textId="5132E946" w:rsidR="004B3AED" w:rsidRPr="0024080D" w:rsidRDefault="004047F5" w:rsidP="004B3AED">
      <w:pPr>
        <w:widowControl w:val="0"/>
        <w:pBdr>
          <w:top w:val="nil"/>
          <w:left w:val="nil"/>
          <w:bottom w:val="nil"/>
          <w:right w:val="nil"/>
          <w:between w:val="nil"/>
        </w:pBdr>
        <w:ind w:firstLine="0"/>
        <w:jc w:val="center"/>
        <w:rPr>
          <w:rFonts w:cs="Times New Roman"/>
          <w:szCs w:val="28"/>
        </w:rPr>
      </w:pPr>
      <w:r w:rsidRPr="004047F5">
        <w:rPr>
          <w:rFonts w:cs="Times New Roman"/>
          <w:noProof/>
          <w:szCs w:val="28"/>
        </w:rPr>
        <w:drawing>
          <wp:inline distT="0" distB="0" distL="0" distR="0" wp14:anchorId="292BF467" wp14:editId="355ED0B8">
            <wp:extent cx="5940425" cy="2657475"/>
            <wp:effectExtent l="0" t="0" r="0" b="0"/>
            <wp:docPr id="83" name="Діаграма 83">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CFC6D6" w14:textId="663A84A2" w:rsidR="004B3AED" w:rsidRPr="0024080D" w:rsidRDefault="004B3AED" w:rsidP="004B3AED">
      <w:pPr>
        <w:widowControl w:val="0"/>
        <w:pBdr>
          <w:top w:val="nil"/>
          <w:left w:val="nil"/>
          <w:bottom w:val="nil"/>
          <w:right w:val="nil"/>
          <w:between w:val="nil"/>
        </w:pBdr>
        <w:tabs>
          <w:tab w:val="left" w:pos="426"/>
        </w:tabs>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2.35</w:t>
      </w:r>
      <w:r w:rsidRPr="0024080D">
        <w:rPr>
          <w:rFonts w:cs="Times New Roman"/>
          <w:b/>
          <w:szCs w:val="28"/>
        </w:rPr>
        <w:t xml:space="preserve">. Результати випадків повторного лікування ТБ </w:t>
      </w:r>
      <w:r w:rsidRPr="0024080D">
        <w:rPr>
          <w:rFonts w:cs="Times New Roman"/>
          <w:b/>
          <w:szCs w:val="28"/>
        </w:rPr>
        <w:br/>
        <w:t>(окрім рецидивів), когорти 2014–2019 рр.</w:t>
      </w:r>
    </w:p>
    <w:p w14:paraId="6A0BCDD1" w14:textId="7BA32FD1"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Показник ефективності лікування при повторному лікуванні ТБ (окрім рецидивів) у когорті 20</w:t>
      </w:r>
      <w:r w:rsidR="004047F5">
        <w:rPr>
          <w:rFonts w:cs="Times New Roman"/>
          <w:szCs w:val="28"/>
        </w:rPr>
        <w:t>20</w:t>
      </w:r>
      <w:r w:rsidRPr="0024080D">
        <w:rPr>
          <w:rFonts w:cs="Times New Roman"/>
          <w:szCs w:val="28"/>
        </w:rPr>
        <w:t xml:space="preserve"> р. становить </w:t>
      </w:r>
      <w:r w:rsidR="004047F5">
        <w:rPr>
          <w:rFonts w:cs="Times New Roman"/>
          <w:szCs w:val="28"/>
        </w:rPr>
        <w:t>67,6</w:t>
      </w:r>
      <w:r w:rsidRPr="0024080D">
        <w:rPr>
          <w:rFonts w:cs="Times New Roman"/>
          <w:szCs w:val="28"/>
        </w:rPr>
        <w:t xml:space="preserve">%, що на </w:t>
      </w:r>
      <w:r w:rsidR="004047F5">
        <w:rPr>
          <w:rFonts w:cs="Times New Roman"/>
          <w:szCs w:val="28"/>
        </w:rPr>
        <w:t>5,6</w:t>
      </w:r>
      <w:r w:rsidRPr="0024080D">
        <w:rPr>
          <w:rFonts w:cs="Times New Roman"/>
          <w:szCs w:val="28"/>
        </w:rPr>
        <w:t>% вище за показник 201</w:t>
      </w:r>
      <w:r w:rsidR="004047F5">
        <w:rPr>
          <w:rFonts w:cs="Times New Roman"/>
          <w:szCs w:val="28"/>
        </w:rPr>
        <w:t>9</w:t>
      </w:r>
      <w:r w:rsidRPr="0024080D">
        <w:rPr>
          <w:rFonts w:cs="Times New Roman"/>
          <w:szCs w:val="28"/>
        </w:rPr>
        <w:t> р. (</w:t>
      </w:r>
      <w:r w:rsidR="004047F5">
        <w:rPr>
          <w:rFonts w:cs="Times New Roman"/>
          <w:szCs w:val="28"/>
        </w:rPr>
        <w:t>64,0</w:t>
      </w:r>
      <w:r w:rsidRPr="0024080D">
        <w:rPr>
          <w:rFonts w:cs="Times New Roman"/>
          <w:szCs w:val="28"/>
        </w:rPr>
        <w:t xml:space="preserve">%). Основною причиною зниження показників ефективності повторного лікування є </w:t>
      </w:r>
      <w:r w:rsidR="005A7D8A" w:rsidRPr="0024080D">
        <w:rPr>
          <w:rFonts w:cs="Times New Roman"/>
          <w:szCs w:val="28"/>
        </w:rPr>
        <w:t xml:space="preserve">ВПС </w:t>
      </w:r>
      <w:r w:rsidRPr="0024080D">
        <w:rPr>
          <w:rFonts w:cs="Times New Roman"/>
          <w:szCs w:val="28"/>
        </w:rPr>
        <w:t>(</w:t>
      </w:r>
      <w:r w:rsidR="004047F5">
        <w:rPr>
          <w:rFonts w:cs="Times New Roman"/>
          <w:szCs w:val="28"/>
        </w:rPr>
        <w:t>12,7</w:t>
      </w:r>
      <w:r w:rsidRPr="0024080D">
        <w:rPr>
          <w:rFonts w:cs="Times New Roman"/>
          <w:szCs w:val="28"/>
        </w:rPr>
        <w:t>%), летальні наслідки (</w:t>
      </w:r>
      <w:r w:rsidR="004047F5">
        <w:rPr>
          <w:rFonts w:cs="Times New Roman"/>
          <w:szCs w:val="28"/>
        </w:rPr>
        <w:t>9,5</w:t>
      </w:r>
      <w:r w:rsidRPr="0024080D">
        <w:rPr>
          <w:rFonts w:cs="Times New Roman"/>
          <w:szCs w:val="28"/>
        </w:rPr>
        <w:t>%) та невдача лікування (10,</w:t>
      </w:r>
      <w:r w:rsidR="004047F5">
        <w:rPr>
          <w:rFonts w:cs="Times New Roman"/>
          <w:szCs w:val="28"/>
        </w:rPr>
        <w:t>1</w:t>
      </w:r>
      <w:r w:rsidRPr="0024080D">
        <w:rPr>
          <w:rFonts w:cs="Times New Roman"/>
          <w:szCs w:val="28"/>
        </w:rPr>
        <w:t>%).</w:t>
      </w:r>
    </w:p>
    <w:p w14:paraId="61E3AF1A" w14:textId="37BCB674" w:rsidR="004B3AED" w:rsidRPr="0024080D" w:rsidRDefault="004B3AED" w:rsidP="004B3AED">
      <w:pPr>
        <w:widowControl w:val="0"/>
        <w:pBdr>
          <w:top w:val="nil"/>
          <w:left w:val="nil"/>
          <w:bottom w:val="nil"/>
          <w:right w:val="nil"/>
          <w:between w:val="nil"/>
        </w:pBdr>
        <w:tabs>
          <w:tab w:val="left" w:pos="8789"/>
        </w:tabs>
        <w:rPr>
          <w:rFonts w:cs="Times New Roman"/>
          <w:szCs w:val="28"/>
        </w:rPr>
      </w:pPr>
      <w:r w:rsidRPr="0024080D">
        <w:rPr>
          <w:rFonts w:cs="Times New Roman"/>
          <w:szCs w:val="28"/>
        </w:rPr>
        <w:t xml:space="preserve">Протягом останніх десяти років показник ефективності лікування ШЛС/МЛС-ТБ був нижчим за цільовий показник ВООЗ (75%). Він був зіставним для двох останніх когорт (2017–2018 рр.) та становив </w:t>
      </w:r>
      <w:r w:rsidR="006E27F6">
        <w:rPr>
          <w:rFonts w:cs="Times New Roman"/>
          <w:szCs w:val="28"/>
        </w:rPr>
        <w:t>до 50%</w:t>
      </w:r>
      <w:r w:rsidRPr="0024080D">
        <w:rPr>
          <w:rFonts w:cs="Times New Roman"/>
          <w:szCs w:val="28"/>
        </w:rPr>
        <w:t>.</w:t>
      </w:r>
    </w:p>
    <w:p w14:paraId="76C17306" w14:textId="1F208935"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За останні п’ять років основною причиною втрат результату лікування була невдача лікування (майже кожен четвертий), що насамперед було обумовлено відсутністю доступу до нових АМБП (</w:t>
      </w:r>
      <w:proofErr w:type="spellStart"/>
      <w:r w:rsidRPr="0024080D">
        <w:rPr>
          <w:rFonts w:cs="Times New Roman"/>
          <w:szCs w:val="28"/>
        </w:rPr>
        <w:t>бедаквіліну</w:t>
      </w:r>
      <w:proofErr w:type="spellEnd"/>
      <w:r w:rsidRPr="0024080D">
        <w:rPr>
          <w:rFonts w:cs="Times New Roman"/>
          <w:szCs w:val="28"/>
        </w:rPr>
        <w:t xml:space="preserve"> та </w:t>
      </w:r>
      <w:proofErr w:type="spellStart"/>
      <w:r w:rsidRPr="0024080D">
        <w:rPr>
          <w:rFonts w:cs="Times New Roman"/>
          <w:szCs w:val="28"/>
        </w:rPr>
        <w:t>деламаніду</w:t>
      </w:r>
      <w:proofErr w:type="spellEnd"/>
      <w:r w:rsidRPr="0024080D">
        <w:rPr>
          <w:rFonts w:cs="Times New Roman"/>
          <w:szCs w:val="28"/>
        </w:rPr>
        <w:t xml:space="preserve">). </w:t>
      </w:r>
      <w:r w:rsidR="00915B71">
        <w:rPr>
          <w:rFonts w:cs="Times New Roman"/>
          <w:szCs w:val="28"/>
        </w:rPr>
        <w:t xml:space="preserve">У 2019 ці препарати були у достатній кількості, тому знизився відсоток невдач лікування майже вдвічі з 22,3 у 2018 році до 12,5 у 2019. </w:t>
      </w:r>
      <w:r w:rsidRPr="0024080D">
        <w:rPr>
          <w:rFonts w:cs="Times New Roman"/>
          <w:szCs w:val="28"/>
        </w:rPr>
        <w:lastRenderedPageBreak/>
        <w:t xml:space="preserve">Питома вага летальних наслідків знизилась з </w:t>
      </w:r>
      <w:r w:rsidR="006E27F6">
        <w:rPr>
          <w:rFonts w:cs="Times New Roman"/>
          <w:szCs w:val="28"/>
        </w:rPr>
        <w:t>15,6</w:t>
      </w:r>
      <w:r w:rsidRPr="0024080D">
        <w:rPr>
          <w:rFonts w:cs="Times New Roman"/>
          <w:szCs w:val="28"/>
        </w:rPr>
        <w:t>% у когорті 201</w:t>
      </w:r>
      <w:r w:rsidR="006E27F6">
        <w:rPr>
          <w:rFonts w:cs="Times New Roman"/>
          <w:szCs w:val="28"/>
        </w:rPr>
        <w:t>8</w:t>
      </w:r>
      <w:r w:rsidRPr="0024080D">
        <w:rPr>
          <w:rFonts w:cs="Times New Roman"/>
          <w:szCs w:val="28"/>
        </w:rPr>
        <w:t xml:space="preserve"> р. до </w:t>
      </w:r>
      <w:r w:rsidR="006E27F6">
        <w:rPr>
          <w:rFonts w:cs="Times New Roman"/>
          <w:szCs w:val="28"/>
        </w:rPr>
        <w:t>13,4</w:t>
      </w:r>
      <w:r w:rsidRPr="0024080D">
        <w:rPr>
          <w:rFonts w:cs="Times New Roman"/>
          <w:szCs w:val="28"/>
        </w:rPr>
        <w:t>% у когорті 201</w:t>
      </w:r>
      <w:r w:rsidR="006E27F6">
        <w:rPr>
          <w:rFonts w:cs="Times New Roman"/>
          <w:szCs w:val="28"/>
        </w:rPr>
        <w:t>9</w:t>
      </w:r>
      <w:r w:rsidRPr="0024080D">
        <w:rPr>
          <w:rFonts w:cs="Times New Roman"/>
          <w:szCs w:val="28"/>
        </w:rPr>
        <w:t xml:space="preserve"> р, тоді як частка </w:t>
      </w:r>
      <w:r w:rsidR="005A7D8A" w:rsidRPr="0024080D">
        <w:rPr>
          <w:rFonts w:cs="Times New Roman"/>
          <w:szCs w:val="28"/>
        </w:rPr>
        <w:t xml:space="preserve">ВПС </w:t>
      </w:r>
      <w:r w:rsidRPr="0024080D">
        <w:rPr>
          <w:rFonts w:cs="Times New Roman"/>
          <w:szCs w:val="28"/>
        </w:rPr>
        <w:t>пацієнтів зменшилась лише на 2,</w:t>
      </w:r>
      <w:r w:rsidR="00915B71">
        <w:rPr>
          <w:rFonts w:cs="Times New Roman"/>
          <w:szCs w:val="28"/>
        </w:rPr>
        <w:t>0</w:t>
      </w:r>
      <w:r w:rsidRPr="0024080D">
        <w:rPr>
          <w:rFonts w:cs="Times New Roman"/>
          <w:szCs w:val="28"/>
        </w:rPr>
        <w:t>%</w:t>
      </w:r>
      <w:r w:rsidR="00915B71">
        <w:rPr>
          <w:rFonts w:cs="Times New Roman"/>
          <w:szCs w:val="28"/>
        </w:rPr>
        <w:t>.</w:t>
      </w:r>
      <w:r w:rsidRPr="0024080D">
        <w:rPr>
          <w:rFonts w:cs="Times New Roman"/>
          <w:szCs w:val="28"/>
        </w:rPr>
        <w:t xml:space="preserve"> (рисунок 3.37).</w:t>
      </w:r>
    </w:p>
    <w:p w14:paraId="7666B3AC" w14:textId="24BB002E" w:rsidR="004B3AED" w:rsidRPr="0024080D" w:rsidRDefault="006E27F6" w:rsidP="004B3AED">
      <w:pPr>
        <w:widowControl w:val="0"/>
        <w:pBdr>
          <w:top w:val="nil"/>
          <w:left w:val="nil"/>
          <w:bottom w:val="nil"/>
          <w:right w:val="nil"/>
          <w:between w:val="nil"/>
        </w:pBdr>
        <w:ind w:firstLine="0"/>
        <w:jc w:val="center"/>
        <w:rPr>
          <w:rFonts w:cs="Times New Roman"/>
          <w:szCs w:val="28"/>
        </w:rPr>
      </w:pPr>
      <w:r w:rsidRPr="006E27F6">
        <w:rPr>
          <w:rFonts w:cs="Times New Roman"/>
          <w:noProof/>
          <w:szCs w:val="28"/>
        </w:rPr>
        <w:drawing>
          <wp:inline distT="0" distB="0" distL="0" distR="0" wp14:anchorId="3502BCAE" wp14:editId="64D51CF5">
            <wp:extent cx="5940425" cy="2733675"/>
            <wp:effectExtent l="0" t="0" r="0" b="0"/>
            <wp:docPr id="85" name="Діаграма 85">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D07CF7C" w14:textId="4CA259D2"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2.36</w:t>
      </w:r>
      <w:r w:rsidRPr="0024080D">
        <w:rPr>
          <w:rFonts w:cs="Times New Roman"/>
          <w:b/>
          <w:szCs w:val="28"/>
        </w:rPr>
        <w:t xml:space="preserve">. Результати лікування випадків МЛС-ТБ, </w:t>
      </w:r>
      <w:r w:rsidRPr="0024080D">
        <w:rPr>
          <w:rFonts w:cs="Times New Roman"/>
          <w:b/>
          <w:szCs w:val="28"/>
        </w:rPr>
        <w:br/>
        <w:t>когорти 201</w:t>
      </w:r>
      <w:r w:rsidR="006E27F6">
        <w:rPr>
          <w:rFonts w:cs="Times New Roman"/>
          <w:b/>
          <w:szCs w:val="28"/>
        </w:rPr>
        <w:t>7</w:t>
      </w:r>
      <w:r w:rsidRPr="0024080D">
        <w:rPr>
          <w:rFonts w:cs="Times New Roman"/>
          <w:b/>
          <w:szCs w:val="28"/>
        </w:rPr>
        <w:t>–201</w:t>
      </w:r>
      <w:r w:rsidR="006E27F6">
        <w:rPr>
          <w:rFonts w:cs="Times New Roman"/>
          <w:b/>
          <w:szCs w:val="28"/>
        </w:rPr>
        <w:t>9</w:t>
      </w:r>
      <w:r w:rsidRPr="0024080D">
        <w:rPr>
          <w:rFonts w:cs="Times New Roman"/>
          <w:b/>
          <w:szCs w:val="28"/>
        </w:rPr>
        <w:t xml:space="preserve"> рр.</w:t>
      </w:r>
    </w:p>
    <w:p w14:paraId="0FAFA795" w14:textId="77777777" w:rsidR="004B3AED" w:rsidRPr="0024080D" w:rsidRDefault="004B3AED" w:rsidP="00BA5D7E">
      <w:pPr>
        <w:widowControl w:val="0"/>
        <w:pBdr>
          <w:top w:val="nil"/>
          <w:left w:val="nil"/>
          <w:bottom w:val="nil"/>
          <w:right w:val="nil"/>
          <w:between w:val="nil"/>
        </w:pBdr>
        <w:spacing w:line="228" w:lineRule="auto"/>
        <w:rPr>
          <w:rFonts w:cs="Times New Roman"/>
          <w:szCs w:val="28"/>
        </w:rPr>
      </w:pPr>
      <w:r w:rsidRPr="0024080D">
        <w:rPr>
          <w:rFonts w:cs="Times New Roman"/>
          <w:szCs w:val="28"/>
        </w:rPr>
        <w:t>Наведені результати зобов’язують країну мобілізувати ресурси і зусилля для забезпечення загального доступу до швидкої та якісної діагностики ТБ та ЛС-ТБ, а також до відповідного та своєчасного лікування для всіх пацієнтів відповідно до профілю резистентності.</w:t>
      </w:r>
    </w:p>
    <w:p w14:paraId="0679BE12" w14:textId="2683BE6D" w:rsidR="004B3AED" w:rsidRPr="0024080D" w:rsidRDefault="004B3AED" w:rsidP="00BA5D7E">
      <w:pPr>
        <w:widowControl w:val="0"/>
        <w:pBdr>
          <w:top w:val="nil"/>
          <w:left w:val="nil"/>
          <w:bottom w:val="nil"/>
          <w:right w:val="nil"/>
          <w:between w:val="nil"/>
        </w:pBdr>
        <w:tabs>
          <w:tab w:val="left" w:pos="8789"/>
        </w:tabs>
        <w:spacing w:after="120" w:line="228" w:lineRule="auto"/>
        <w:rPr>
          <w:rFonts w:cs="Times New Roman"/>
          <w:szCs w:val="28"/>
        </w:rPr>
      </w:pPr>
      <w:bookmarkStart w:id="68" w:name="_Hlk105766017"/>
      <w:r w:rsidRPr="0024080D">
        <w:rPr>
          <w:rFonts w:cs="Times New Roman"/>
          <w:szCs w:val="28"/>
        </w:rPr>
        <w:t>Показники ефективності лікування дітей з ТБ підвищилися і протягом останніх трьох років стабільно перевищують 9</w:t>
      </w:r>
      <w:r w:rsidR="00DA54AA">
        <w:rPr>
          <w:rFonts w:cs="Times New Roman"/>
          <w:szCs w:val="28"/>
        </w:rPr>
        <w:t>5</w:t>
      </w:r>
      <w:r w:rsidRPr="0024080D">
        <w:rPr>
          <w:rFonts w:cs="Times New Roman"/>
          <w:szCs w:val="28"/>
        </w:rPr>
        <w:t>% (рисунок 3.39). У 202</w:t>
      </w:r>
      <w:r w:rsidR="00DA54AA">
        <w:rPr>
          <w:rFonts w:cs="Times New Roman"/>
          <w:szCs w:val="28"/>
        </w:rPr>
        <w:t>1</w:t>
      </w:r>
      <w:r w:rsidRPr="0024080D">
        <w:rPr>
          <w:rFonts w:cs="Times New Roman"/>
          <w:szCs w:val="28"/>
        </w:rPr>
        <w:t xml:space="preserve"> р. ефективність лікування ТБ (нові випадки та рецидиви захворювання) у дітей віком 0–14 років становить </w:t>
      </w:r>
      <w:r w:rsidR="00DA54AA">
        <w:rPr>
          <w:rFonts w:cs="Times New Roman"/>
          <w:szCs w:val="28"/>
        </w:rPr>
        <w:t>95,8</w:t>
      </w:r>
      <w:r w:rsidRPr="0024080D">
        <w:rPr>
          <w:rFonts w:cs="Times New Roman"/>
          <w:szCs w:val="28"/>
        </w:rPr>
        <w:t>%.</w:t>
      </w:r>
    </w:p>
    <w:p w14:paraId="077D650D" w14:textId="4B9E25CA" w:rsidR="004B3AED" w:rsidRPr="0024080D" w:rsidRDefault="00DA54AA" w:rsidP="004B3AED">
      <w:pPr>
        <w:widowControl w:val="0"/>
        <w:pBdr>
          <w:top w:val="nil"/>
          <w:left w:val="nil"/>
          <w:bottom w:val="nil"/>
          <w:right w:val="nil"/>
          <w:between w:val="nil"/>
        </w:pBdr>
        <w:ind w:firstLine="0"/>
        <w:jc w:val="center"/>
        <w:rPr>
          <w:rFonts w:cs="Times New Roman"/>
          <w:szCs w:val="28"/>
        </w:rPr>
      </w:pPr>
      <w:r w:rsidRPr="00DA54AA">
        <w:rPr>
          <w:rFonts w:cs="Times New Roman"/>
          <w:noProof/>
          <w:szCs w:val="28"/>
        </w:rPr>
        <w:drawing>
          <wp:inline distT="0" distB="0" distL="0" distR="0" wp14:anchorId="0D1C8356" wp14:editId="0BB2B365">
            <wp:extent cx="5940425" cy="3076575"/>
            <wp:effectExtent l="0" t="0" r="0" b="0"/>
            <wp:docPr id="88" name="Діаграма 88">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09A5326" w14:textId="02876491" w:rsidR="004B3AED" w:rsidRPr="0024080D" w:rsidRDefault="004B3AED" w:rsidP="00BA5D7E">
      <w:pPr>
        <w:widowControl w:val="0"/>
        <w:pBdr>
          <w:top w:val="nil"/>
          <w:left w:val="nil"/>
          <w:bottom w:val="nil"/>
          <w:right w:val="nil"/>
          <w:between w:val="nil"/>
        </w:pBdr>
        <w:spacing w:before="120" w:after="120" w:line="228" w:lineRule="auto"/>
        <w:ind w:firstLine="0"/>
        <w:jc w:val="center"/>
        <w:rPr>
          <w:rFonts w:cs="Times New Roman"/>
          <w:b/>
          <w:szCs w:val="28"/>
        </w:rPr>
      </w:pPr>
      <w:r w:rsidRPr="0024080D">
        <w:rPr>
          <w:rFonts w:cs="Times New Roman"/>
          <w:b/>
          <w:szCs w:val="28"/>
        </w:rPr>
        <w:t>Рисунок </w:t>
      </w:r>
      <w:r w:rsidR="00340602">
        <w:rPr>
          <w:rFonts w:cs="Times New Roman"/>
          <w:b/>
          <w:szCs w:val="28"/>
        </w:rPr>
        <w:t>2.37</w:t>
      </w:r>
      <w:r w:rsidRPr="0024080D">
        <w:rPr>
          <w:rFonts w:cs="Times New Roman"/>
          <w:b/>
          <w:szCs w:val="28"/>
        </w:rPr>
        <w:t xml:space="preserve">. Результати лікування дітей (0–14 роки), </w:t>
      </w:r>
      <w:r w:rsidRPr="0024080D">
        <w:rPr>
          <w:rFonts w:cs="Times New Roman"/>
          <w:b/>
          <w:szCs w:val="28"/>
        </w:rPr>
        <w:br/>
        <w:t>когорти 201</w:t>
      </w:r>
      <w:r w:rsidR="00DA54AA">
        <w:rPr>
          <w:rFonts w:cs="Times New Roman"/>
          <w:b/>
          <w:szCs w:val="28"/>
        </w:rPr>
        <w:t>6</w:t>
      </w:r>
      <w:r w:rsidRPr="0024080D">
        <w:rPr>
          <w:rFonts w:cs="Times New Roman"/>
          <w:b/>
          <w:szCs w:val="28"/>
        </w:rPr>
        <w:t>–20</w:t>
      </w:r>
      <w:r w:rsidR="00DA54AA">
        <w:rPr>
          <w:rFonts w:cs="Times New Roman"/>
          <w:b/>
          <w:szCs w:val="28"/>
        </w:rPr>
        <w:t>20</w:t>
      </w:r>
      <w:r w:rsidRPr="0024080D">
        <w:rPr>
          <w:rFonts w:cs="Times New Roman"/>
          <w:b/>
          <w:szCs w:val="28"/>
        </w:rPr>
        <w:t xml:space="preserve"> рр.</w:t>
      </w:r>
    </w:p>
    <w:bookmarkEnd w:id="68"/>
    <w:p w14:paraId="6B74D82E" w14:textId="4648915F"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lastRenderedPageBreak/>
        <w:t xml:space="preserve">Показник ефективності лікування нових випадків ТБ і рецидивів захворювання також підвищився у пенітенціарних установах до 75,7% у 2019 р., що можна порівняти з таким у загального населення (рисунок 3.40). Важливо звернути увагу на </w:t>
      </w:r>
      <w:r w:rsidR="005A7D8A" w:rsidRPr="0024080D">
        <w:rPr>
          <w:rFonts w:cs="Times New Roman"/>
          <w:szCs w:val="28"/>
        </w:rPr>
        <w:t>ВПС-</w:t>
      </w:r>
      <w:r w:rsidRPr="0024080D">
        <w:rPr>
          <w:rFonts w:cs="Times New Roman"/>
          <w:szCs w:val="28"/>
        </w:rPr>
        <w:t>пацієнтів</w:t>
      </w:r>
      <w:r w:rsidR="005A7D8A" w:rsidRPr="0024080D">
        <w:rPr>
          <w:rFonts w:cs="Times New Roman"/>
          <w:szCs w:val="28"/>
        </w:rPr>
        <w:t xml:space="preserve"> </w:t>
      </w:r>
      <w:r w:rsidRPr="0024080D">
        <w:rPr>
          <w:rFonts w:cs="Times New Roman"/>
          <w:szCs w:val="28"/>
        </w:rPr>
        <w:t xml:space="preserve">– </w:t>
      </w:r>
      <w:r w:rsidR="00BA5D7E" w:rsidRPr="0024080D">
        <w:rPr>
          <w:rFonts w:cs="Times New Roman"/>
          <w:szCs w:val="28"/>
        </w:rPr>
        <w:t>їх частка збільшилась до 11,0 у </w:t>
      </w:r>
      <w:r w:rsidRPr="0024080D">
        <w:rPr>
          <w:rFonts w:cs="Times New Roman"/>
          <w:szCs w:val="28"/>
        </w:rPr>
        <w:t xml:space="preserve">2019 р. Тому необхідним є покращення ефективної співпраці пенітенціарної системи та цивільного сектору. </w:t>
      </w:r>
    </w:p>
    <w:p w14:paraId="7C9654D1" w14:textId="64D5F3BC" w:rsidR="004B3AED" w:rsidRPr="0024080D" w:rsidRDefault="000439EC" w:rsidP="004B3AED">
      <w:pPr>
        <w:widowControl w:val="0"/>
        <w:pBdr>
          <w:top w:val="nil"/>
          <w:left w:val="nil"/>
          <w:bottom w:val="nil"/>
          <w:right w:val="nil"/>
          <w:between w:val="nil"/>
        </w:pBdr>
        <w:ind w:firstLine="0"/>
        <w:jc w:val="center"/>
        <w:rPr>
          <w:rFonts w:cs="Times New Roman"/>
          <w:szCs w:val="28"/>
        </w:rPr>
      </w:pPr>
      <w:r w:rsidRPr="000439EC">
        <w:rPr>
          <w:rFonts w:cs="Times New Roman"/>
          <w:noProof/>
          <w:szCs w:val="28"/>
        </w:rPr>
        <w:drawing>
          <wp:inline distT="0" distB="0" distL="0" distR="0" wp14:anchorId="7EF461D0" wp14:editId="31737F9D">
            <wp:extent cx="5940425" cy="2705100"/>
            <wp:effectExtent l="0" t="0" r="0" b="0"/>
            <wp:docPr id="89" name="Діаграма 89">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E40DCB9" w14:textId="002ADEA9"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2.38</w:t>
      </w:r>
      <w:r w:rsidRPr="0024080D">
        <w:rPr>
          <w:rFonts w:cs="Times New Roman"/>
          <w:b/>
          <w:szCs w:val="28"/>
        </w:rPr>
        <w:t>. Результати лікування нових випадків ТБ та рецидивів захворювання у пенітенціарних установах, когорти 201</w:t>
      </w:r>
      <w:r w:rsidR="000439EC">
        <w:rPr>
          <w:rFonts w:cs="Times New Roman"/>
          <w:b/>
          <w:szCs w:val="28"/>
        </w:rPr>
        <w:t>6</w:t>
      </w:r>
      <w:r w:rsidRPr="0024080D">
        <w:rPr>
          <w:rFonts w:cs="Times New Roman"/>
          <w:b/>
          <w:szCs w:val="28"/>
        </w:rPr>
        <w:t>–20</w:t>
      </w:r>
      <w:r w:rsidR="000439EC">
        <w:rPr>
          <w:rFonts w:cs="Times New Roman"/>
          <w:b/>
          <w:szCs w:val="28"/>
        </w:rPr>
        <w:t>20</w:t>
      </w:r>
      <w:r w:rsidRPr="0024080D">
        <w:rPr>
          <w:rFonts w:cs="Times New Roman"/>
          <w:b/>
          <w:szCs w:val="28"/>
        </w:rPr>
        <w:t xml:space="preserve"> рр.</w:t>
      </w:r>
    </w:p>
    <w:p w14:paraId="0960765C" w14:textId="60A648F2" w:rsidR="004B3AED" w:rsidRPr="0024080D" w:rsidRDefault="00DB624E" w:rsidP="00BA5D7E">
      <w:pPr>
        <w:widowControl w:val="0"/>
        <w:pBdr>
          <w:top w:val="nil"/>
          <w:left w:val="nil"/>
          <w:bottom w:val="nil"/>
          <w:right w:val="nil"/>
          <w:between w:val="nil"/>
        </w:pBdr>
        <w:tabs>
          <w:tab w:val="left" w:pos="851"/>
          <w:tab w:val="left" w:pos="993"/>
          <w:tab w:val="left" w:pos="8505"/>
        </w:tabs>
        <w:spacing w:after="120"/>
        <w:rPr>
          <w:rFonts w:cs="Times New Roman"/>
          <w:szCs w:val="28"/>
        </w:rPr>
      </w:pPr>
      <w:r>
        <w:rPr>
          <w:rFonts w:cs="Times New Roman"/>
          <w:szCs w:val="28"/>
        </w:rPr>
        <w:t>П</w:t>
      </w:r>
      <w:r w:rsidR="004B3AED" w:rsidRPr="0024080D">
        <w:rPr>
          <w:rFonts w:cs="Times New Roman"/>
          <w:szCs w:val="28"/>
        </w:rPr>
        <w:t xml:space="preserve">оказник ефективності лікування нових випадків ТБ і рецидивів ТБ/ВІЛ </w:t>
      </w:r>
      <w:r>
        <w:rPr>
          <w:rFonts w:cs="Times New Roman"/>
          <w:szCs w:val="28"/>
        </w:rPr>
        <w:t>знизився у пацієнтів 2020 року до 67,3%</w:t>
      </w:r>
      <w:r w:rsidR="004B3AED" w:rsidRPr="0024080D">
        <w:rPr>
          <w:rFonts w:cs="Times New Roman"/>
          <w:szCs w:val="28"/>
        </w:rPr>
        <w:t xml:space="preserve"> з </w:t>
      </w:r>
      <w:r w:rsidR="00E7718B">
        <w:rPr>
          <w:rFonts w:cs="Times New Roman"/>
          <w:szCs w:val="28"/>
        </w:rPr>
        <w:t>71,1</w:t>
      </w:r>
      <w:r w:rsidR="004B3AED" w:rsidRPr="0024080D">
        <w:rPr>
          <w:rFonts w:cs="Times New Roman"/>
          <w:szCs w:val="28"/>
        </w:rPr>
        <w:t>% у 201</w:t>
      </w:r>
      <w:r w:rsidR="00E7718B">
        <w:rPr>
          <w:rFonts w:cs="Times New Roman"/>
          <w:szCs w:val="28"/>
        </w:rPr>
        <w:t>9</w:t>
      </w:r>
      <w:r w:rsidR="004B3AED" w:rsidRPr="0024080D">
        <w:rPr>
          <w:rFonts w:cs="Times New Roman"/>
          <w:szCs w:val="28"/>
        </w:rPr>
        <w:t xml:space="preserve"> р. (рисунок 3.41). Це </w:t>
      </w:r>
      <w:r w:rsidR="00E7718B">
        <w:rPr>
          <w:rFonts w:cs="Times New Roman"/>
          <w:szCs w:val="28"/>
        </w:rPr>
        <w:t>погіршення</w:t>
      </w:r>
      <w:r w:rsidR="004B3AED" w:rsidRPr="0024080D">
        <w:rPr>
          <w:rFonts w:cs="Times New Roman"/>
          <w:szCs w:val="28"/>
        </w:rPr>
        <w:t xml:space="preserve"> обумовлено зниженням </w:t>
      </w:r>
      <w:r w:rsidR="00E7718B">
        <w:rPr>
          <w:rFonts w:cs="Times New Roman"/>
          <w:szCs w:val="28"/>
        </w:rPr>
        <w:t>ефективності лікування серед усіх пацієнтів, а також збільшенням часки померлих</w:t>
      </w:r>
      <w:r w:rsidR="004B3AED" w:rsidRPr="0024080D">
        <w:rPr>
          <w:rFonts w:cs="Times New Roman"/>
          <w:szCs w:val="28"/>
        </w:rPr>
        <w:t xml:space="preserve">. </w:t>
      </w:r>
    </w:p>
    <w:p w14:paraId="54A95008" w14:textId="3EF43101" w:rsidR="004B3AED" w:rsidRPr="0024080D" w:rsidRDefault="00DB624E" w:rsidP="004B3AED">
      <w:pPr>
        <w:widowControl w:val="0"/>
        <w:pBdr>
          <w:top w:val="nil"/>
          <w:left w:val="nil"/>
          <w:bottom w:val="nil"/>
          <w:right w:val="nil"/>
          <w:between w:val="nil"/>
        </w:pBdr>
        <w:ind w:firstLine="0"/>
        <w:jc w:val="center"/>
        <w:rPr>
          <w:rFonts w:cs="Times New Roman"/>
          <w:szCs w:val="28"/>
        </w:rPr>
      </w:pPr>
      <w:r w:rsidRPr="00DB624E">
        <w:rPr>
          <w:rFonts w:cs="Times New Roman"/>
          <w:noProof/>
          <w:szCs w:val="28"/>
        </w:rPr>
        <w:drawing>
          <wp:inline distT="0" distB="0" distL="0" distR="0" wp14:anchorId="3908C689" wp14:editId="6B469117">
            <wp:extent cx="5940425" cy="2857500"/>
            <wp:effectExtent l="0" t="0" r="0" b="0"/>
            <wp:docPr id="90" name="Діаграма 90">
              <a:extLst xmlns:a="http://schemas.openxmlformats.org/drawingml/2006/main">
                <a:ext uri="{FF2B5EF4-FFF2-40B4-BE49-F238E27FC236}">
                  <a16:creationId xmlns:a16="http://schemas.microsoft.com/office/drawing/2014/main" id="{3C0E7400-A641-45BB-86A4-C2E2E4DDD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E702DFA" w14:textId="27B1F424"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2.39</w:t>
      </w:r>
      <w:r w:rsidRPr="0024080D">
        <w:rPr>
          <w:rFonts w:cs="Times New Roman"/>
          <w:b/>
          <w:szCs w:val="28"/>
        </w:rPr>
        <w:t xml:space="preserve">. Результати лікування нових випадків ТБ/ВІЛ </w:t>
      </w:r>
      <w:r w:rsidRPr="0024080D">
        <w:rPr>
          <w:rFonts w:cs="Times New Roman"/>
          <w:b/>
          <w:szCs w:val="28"/>
        </w:rPr>
        <w:br/>
        <w:t>та рецидивів захворювання, когорти 20</w:t>
      </w:r>
      <w:r w:rsidR="00DB624E">
        <w:rPr>
          <w:rFonts w:cs="Times New Roman"/>
          <w:b/>
          <w:szCs w:val="28"/>
        </w:rPr>
        <w:t>16</w:t>
      </w:r>
      <w:r w:rsidRPr="0024080D">
        <w:rPr>
          <w:rFonts w:cs="Times New Roman"/>
          <w:b/>
          <w:szCs w:val="28"/>
        </w:rPr>
        <w:t>–20</w:t>
      </w:r>
      <w:r w:rsidR="00DB624E">
        <w:rPr>
          <w:rFonts w:cs="Times New Roman"/>
          <w:b/>
          <w:szCs w:val="28"/>
        </w:rPr>
        <w:t>20</w:t>
      </w:r>
      <w:r w:rsidRPr="0024080D">
        <w:rPr>
          <w:rFonts w:cs="Times New Roman"/>
          <w:b/>
          <w:szCs w:val="28"/>
        </w:rPr>
        <w:t xml:space="preserve"> рр.</w:t>
      </w:r>
    </w:p>
    <w:p w14:paraId="30A0BF51" w14:textId="77777777"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 xml:space="preserve">Серед основних причин, що обумовлюють низькі показники </w:t>
      </w:r>
      <w:r w:rsidRPr="0024080D">
        <w:rPr>
          <w:rFonts w:cs="Times New Roman"/>
          <w:szCs w:val="28"/>
        </w:rPr>
        <w:lastRenderedPageBreak/>
        <w:t xml:space="preserve">ефективності лікування як серед випадків ТБ, так і серед МЛС/Риф-ТБ, слід зазначити наступне: </w:t>
      </w:r>
    </w:p>
    <w:p w14:paraId="21D844B2" w14:textId="77777777"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 xml:space="preserve">висока питома вага пацієнтів з </w:t>
      </w:r>
      <w:proofErr w:type="spellStart"/>
      <w:r w:rsidRPr="0024080D">
        <w:rPr>
          <w:rFonts w:cs="Times New Roman"/>
          <w:szCs w:val="28"/>
        </w:rPr>
        <w:t>коінфекцією</w:t>
      </w:r>
      <w:proofErr w:type="spellEnd"/>
      <w:r w:rsidRPr="0024080D">
        <w:rPr>
          <w:rFonts w:cs="Times New Roman"/>
          <w:szCs w:val="28"/>
        </w:rPr>
        <w:t xml:space="preserve"> ТБ/ВІЛ у структурі загальної захворюваності на ТБ – поширення ВІЛ-інфекції є однією з основних причин підвищення частоти виникнення випадків </w:t>
      </w:r>
      <w:proofErr w:type="spellStart"/>
      <w:r w:rsidRPr="0024080D">
        <w:rPr>
          <w:rFonts w:cs="Times New Roman"/>
          <w:szCs w:val="28"/>
        </w:rPr>
        <w:t>гостропрогресуючих</w:t>
      </w:r>
      <w:proofErr w:type="spellEnd"/>
      <w:r w:rsidRPr="0024080D">
        <w:rPr>
          <w:rFonts w:cs="Times New Roman"/>
          <w:szCs w:val="28"/>
        </w:rPr>
        <w:t xml:space="preserve"> форм ТБ, що суттєво підвищує ризик летального наслідку; </w:t>
      </w:r>
    </w:p>
    <w:p w14:paraId="00D011F9" w14:textId="48517A8E"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пізнє виявлення хворих на ТБ на рівні закладів первинної меди</w:t>
      </w:r>
      <w:r w:rsidR="002976EE" w:rsidRPr="0024080D">
        <w:rPr>
          <w:rFonts w:cs="Times New Roman"/>
          <w:szCs w:val="28"/>
        </w:rPr>
        <w:t xml:space="preserve">ко-санітарної </w:t>
      </w:r>
      <w:r w:rsidRPr="0024080D">
        <w:rPr>
          <w:rFonts w:cs="Times New Roman"/>
          <w:szCs w:val="28"/>
        </w:rPr>
        <w:t xml:space="preserve">допомоги </w:t>
      </w:r>
      <w:r w:rsidR="002976EE" w:rsidRPr="0024080D">
        <w:rPr>
          <w:rFonts w:cs="Times New Roman"/>
          <w:szCs w:val="28"/>
        </w:rPr>
        <w:t xml:space="preserve">(ПМСД) </w:t>
      </w:r>
      <w:r w:rsidRPr="0024080D">
        <w:rPr>
          <w:rFonts w:cs="Times New Roman"/>
          <w:szCs w:val="28"/>
        </w:rPr>
        <w:t xml:space="preserve">– це одна з основних причин низької ефективності лікування, високих показників смертності на першому році спостереження та встановленні діагнозу ТБ посмертно; </w:t>
      </w:r>
    </w:p>
    <w:p w14:paraId="494E1E80" w14:textId="150C4CF0"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 xml:space="preserve">недоліки організації лікування мало доступних для органів охорони здоров’я верств населення (наприклад, бездомні, мігранти, ромське населення, особи, що повернулися з місць позбавлення волі), зокрема недостатнє використання можливостей </w:t>
      </w:r>
      <w:r w:rsidR="007F6BD6" w:rsidRPr="0024080D">
        <w:rPr>
          <w:rFonts w:cs="Times New Roman"/>
          <w:szCs w:val="28"/>
        </w:rPr>
        <w:t>проектів</w:t>
      </w:r>
      <w:r w:rsidRPr="0024080D">
        <w:rPr>
          <w:rFonts w:cs="Times New Roman"/>
          <w:szCs w:val="28"/>
        </w:rPr>
        <w:t xml:space="preserve"> медико-психосоціальної підтримки хворих під час лікування на місцях та відсутність оптимальних заходів соціального захисту з боку держави і місцевих органів самоврядування для зазначеної категорії хворих; </w:t>
      </w:r>
    </w:p>
    <w:p w14:paraId="54F4F24F" w14:textId="77777777"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 xml:space="preserve">обмежені можливості щодо організації моніторингу та управління побічними реакціями на АМБП, особливо на амбулаторному етапі, зокрема через нестачу ресурсів, географічні та логістичні обмеження доступу до своєчасного моніторингу; </w:t>
      </w:r>
    </w:p>
    <w:p w14:paraId="5400B5E3" w14:textId="77777777"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 xml:space="preserve">попередні механізми фінансування протитуберкульозних закладів (ПТЗ), які підтримували практику тривалої і часто необґрунтованої госпіталізації, що суперечить пацієнт-орієнтованому підходу та сприяє </w:t>
      </w:r>
      <w:proofErr w:type="spellStart"/>
      <w:r w:rsidRPr="0024080D">
        <w:rPr>
          <w:rFonts w:cs="Times New Roman"/>
          <w:szCs w:val="28"/>
        </w:rPr>
        <w:t>внутрішньолікарняному</w:t>
      </w:r>
      <w:proofErr w:type="spellEnd"/>
      <w:r w:rsidRPr="0024080D">
        <w:rPr>
          <w:rFonts w:cs="Times New Roman"/>
          <w:szCs w:val="28"/>
        </w:rPr>
        <w:t xml:space="preserve"> інфікуванню хворих на ТБ резистентними до АМБП штамами </w:t>
      </w:r>
      <w:proofErr w:type="spellStart"/>
      <w:r w:rsidRPr="0024080D">
        <w:rPr>
          <w:rFonts w:cs="Times New Roman"/>
          <w:i/>
          <w:szCs w:val="28"/>
        </w:rPr>
        <w:t>Mycobacterium</w:t>
      </w:r>
      <w:proofErr w:type="spellEnd"/>
      <w:r w:rsidRPr="0024080D">
        <w:rPr>
          <w:rFonts w:cs="Times New Roman"/>
          <w:i/>
          <w:szCs w:val="28"/>
        </w:rPr>
        <w:t xml:space="preserve"> </w:t>
      </w:r>
      <w:proofErr w:type="spellStart"/>
      <w:r w:rsidRPr="0024080D">
        <w:rPr>
          <w:rFonts w:cs="Times New Roman"/>
          <w:i/>
          <w:szCs w:val="28"/>
        </w:rPr>
        <w:t>tuberculosis</w:t>
      </w:r>
      <w:proofErr w:type="spellEnd"/>
      <w:r w:rsidRPr="0024080D">
        <w:rPr>
          <w:rFonts w:cs="Times New Roman"/>
          <w:szCs w:val="28"/>
        </w:rPr>
        <w:t xml:space="preserve">; </w:t>
      </w:r>
    </w:p>
    <w:p w14:paraId="3A4EA29A" w14:textId="77777777" w:rsidR="004B3AED" w:rsidRPr="0024080D" w:rsidRDefault="004B3AED" w:rsidP="004B3AED">
      <w:pPr>
        <w:pStyle w:val="a7"/>
        <w:widowControl w:val="0"/>
        <w:numPr>
          <w:ilvl w:val="0"/>
          <w:numId w:val="8"/>
        </w:numPr>
        <w:pBdr>
          <w:top w:val="nil"/>
          <w:left w:val="nil"/>
          <w:bottom w:val="nil"/>
          <w:right w:val="nil"/>
          <w:between w:val="nil"/>
        </w:pBdr>
        <w:tabs>
          <w:tab w:val="left" w:pos="993"/>
        </w:tabs>
        <w:ind w:left="0" w:firstLine="709"/>
        <w:rPr>
          <w:rFonts w:cs="Times New Roman"/>
          <w:szCs w:val="28"/>
        </w:rPr>
      </w:pPr>
      <w:r w:rsidRPr="0024080D">
        <w:rPr>
          <w:rFonts w:cs="Times New Roman"/>
          <w:szCs w:val="28"/>
        </w:rPr>
        <w:t xml:space="preserve">недостатній рівень обізнаності населення щодо ТБ, як наслідок – високий рівень стигматизації та </w:t>
      </w:r>
      <w:proofErr w:type="spellStart"/>
      <w:r w:rsidRPr="0024080D">
        <w:rPr>
          <w:rFonts w:cs="Times New Roman"/>
          <w:szCs w:val="28"/>
        </w:rPr>
        <w:t>самостигматизації</w:t>
      </w:r>
      <w:proofErr w:type="spellEnd"/>
      <w:r w:rsidRPr="0024080D">
        <w:rPr>
          <w:rFonts w:cs="Times New Roman"/>
          <w:szCs w:val="28"/>
        </w:rPr>
        <w:t>, недостатня мотивація для своєчасного проходження діагностики та початку лікування.</w:t>
      </w:r>
    </w:p>
    <w:p w14:paraId="75C0BF51" w14:textId="77777777" w:rsidR="004B3AED" w:rsidRPr="0024080D" w:rsidRDefault="004B3AED" w:rsidP="004B3AED">
      <w:pPr>
        <w:pStyle w:val="3"/>
      </w:pPr>
      <w:bookmarkStart w:id="69" w:name="_Toc88088853"/>
      <w:bookmarkStart w:id="70" w:name="_Toc89149132"/>
      <w:r w:rsidRPr="0024080D">
        <w:t>Тестування на ВІЛ хворих на ТБ та охоплення АРТ пацієнтів з ТБ/ВІЛ</w:t>
      </w:r>
      <w:bookmarkEnd w:id="69"/>
      <w:bookmarkEnd w:id="70"/>
      <w:r w:rsidRPr="0024080D">
        <w:t xml:space="preserve"> </w:t>
      </w:r>
    </w:p>
    <w:p w14:paraId="7E786A4D" w14:textId="77777777" w:rsidR="004B3AED"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 xml:space="preserve">Для забезпечення ефективного надання послуг із боротьби з ТБ і ВІЛ ВООЗ рекомендує проведення тестування на ВІЛ в усіх хворих на ТБ; надання АРТ хворим на ТБ з позитивним ВІЛ-статусом, проведення регулярного скринінгу на ТБ у ЛЖВ, надання ПЛ ТБІ для ЛЖВ, які не хворіють на активну форму ТБ. </w:t>
      </w:r>
    </w:p>
    <w:p w14:paraId="6C93111E" w14:textId="3512CC93" w:rsidR="004B3AED" w:rsidRPr="0024080D" w:rsidRDefault="004B3AED" w:rsidP="004B3AED">
      <w:pPr>
        <w:widowControl w:val="0"/>
        <w:pBdr>
          <w:top w:val="nil"/>
          <w:left w:val="nil"/>
          <w:bottom w:val="nil"/>
          <w:right w:val="nil"/>
          <w:between w:val="nil"/>
        </w:pBdr>
        <w:spacing w:after="120"/>
        <w:rPr>
          <w:rFonts w:cs="Times New Roman"/>
          <w:szCs w:val="28"/>
        </w:rPr>
      </w:pPr>
      <w:r w:rsidRPr="0024080D">
        <w:rPr>
          <w:rFonts w:cs="Times New Roman"/>
          <w:szCs w:val="28"/>
        </w:rPr>
        <w:t>З 2011 по 2014 рр. показники тестування хворих на ТБ та ВІЛ підвищилися з 74,5 до 96,9% і залишаються на рівні понад 9</w:t>
      </w:r>
      <w:r w:rsidR="007D63BD">
        <w:rPr>
          <w:rFonts w:cs="Times New Roman"/>
          <w:szCs w:val="28"/>
        </w:rPr>
        <w:t>9</w:t>
      </w:r>
      <w:r w:rsidRPr="0024080D">
        <w:rPr>
          <w:rFonts w:cs="Times New Roman"/>
          <w:szCs w:val="28"/>
        </w:rPr>
        <w:t>%. У 202</w:t>
      </w:r>
      <w:r w:rsidR="007D63BD">
        <w:rPr>
          <w:rFonts w:cs="Times New Roman"/>
          <w:szCs w:val="28"/>
        </w:rPr>
        <w:t>1</w:t>
      </w:r>
      <w:r w:rsidRPr="0024080D">
        <w:rPr>
          <w:rFonts w:cs="Times New Roman"/>
          <w:szCs w:val="28"/>
        </w:rPr>
        <w:t xml:space="preserve"> р. тестуванням на ВІЛ було охоплено 99,1% пацієнтів. Стабільне підвищення показників охоплення АРТ серед пацієнтів з </w:t>
      </w:r>
      <w:proofErr w:type="spellStart"/>
      <w:r w:rsidRPr="0024080D">
        <w:rPr>
          <w:rFonts w:cs="Times New Roman"/>
          <w:szCs w:val="28"/>
        </w:rPr>
        <w:t>коінфекцією</w:t>
      </w:r>
      <w:proofErr w:type="spellEnd"/>
      <w:r w:rsidRPr="0024080D">
        <w:rPr>
          <w:rFonts w:cs="Times New Roman"/>
          <w:szCs w:val="28"/>
        </w:rPr>
        <w:t xml:space="preserve"> ТБ/ВІЛ почалося з 2013 р., а до кінця 202</w:t>
      </w:r>
      <w:r w:rsidR="007D63BD">
        <w:rPr>
          <w:rFonts w:cs="Times New Roman"/>
          <w:szCs w:val="28"/>
        </w:rPr>
        <w:t>1</w:t>
      </w:r>
      <w:r w:rsidRPr="0024080D">
        <w:rPr>
          <w:rFonts w:cs="Times New Roman"/>
          <w:szCs w:val="28"/>
        </w:rPr>
        <w:t xml:space="preserve"> р. становило </w:t>
      </w:r>
      <w:r w:rsidR="007D63BD">
        <w:rPr>
          <w:rFonts w:cs="Times New Roman"/>
          <w:szCs w:val="28"/>
        </w:rPr>
        <w:t>92,5</w:t>
      </w:r>
      <w:r w:rsidRPr="0024080D">
        <w:rPr>
          <w:rFonts w:cs="Times New Roman"/>
          <w:szCs w:val="28"/>
        </w:rPr>
        <w:t xml:space="preserve">%, досягнувши встановленого у 90% глобального цільового показника (рисунок 3.42). </w:t>
      </w:r>
    </w:p>
    <w:p w14:paraId="6104A38F" w14:textId="5ADA725E" w:rsidR="004B3AED" w:rsidRPr="0024080D" w:rsidRDefault="007D63BD" w:rsidP="004B3AED">
      <w:pPr>
        <w:widowControl w:val="0"/>
        <w:pBdr>
          <w:top w:val="nil"/>
          <w:left w:val="nil"/>
          <w:bottom w:val="nil"/>
          <w:right w:val="nil"/>
          <w:between w:val="nil"/>
        </w:pBdr>
        <w:ind w:firstLine="0"/>
        <w:jc w:val="center"/>
        <w:rPr>
          <w:rFonts w:cs="Times New Roman"/>
          <w:szCs w:val="28"/>
        </w:rPr>
      </w:pPr>
      <w:r w:rsidRPr="007D63BD">
        <w:rPr>
          <w:rFonts w:cs="Times New Roman"/>
          <w:noProof/>
          <w:szCs w:val="28"/>
        </w:rPr>
        <w:lastRenderedPageBreak/>
        <w:drawing>
          <wp:inline distT="0" distB="0" distL="0" distR="0" wp14:anchorId="09625665" wp14:editId="0E09F87F">
            <wp:extent cx="5940425" cy="3430270"/>
            <wp:effectExtent l="0" t="0" r="3175" b="0"/>
            <wp:docPr id="91" name="Діаграма 91">
              <a:extLst xmlns:a="http://schemas.openxmlformats.org/drawingml/2006/main">
                <a:ext uri="{FF2B5EF4-FFF2-40B4-BE49-F238E27FC236}">
                  <a16:creationId xmlns:a16="http://schemas.microsoft.com/office/drawing/2014/main" id="{522D411C-8893-49B8-971C-4F0F0F8E0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A0381F0" w14:textId="495DDF68" w:rsidR="004B3AED" w:rsidRPr="0024080D" w:rsidRDefault="004B3AED" w:rsidP="004B3AED">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2.40</w:t>
      </w:r>
      <w:r w:rsidRPr="0024080D">
        <w:rPr>
          <w:rFonts w:cs="Times New Roman"/>
          <w:b/>
          <w:szCs w:val="28"/>
        </w:rPr>
        <w:t xml:space="preserve">. Спільні заходи боротьби з ТБ/ВІЛ, </w:t>
      </w:r>
      <w:r w:rsidRPr="0024080D">
        <w:rPr>
          <w:rFonts w:cs="Times New Roman"/>
          <w:b/>
          <w:szCs w:val="28"/>
        </w:rPr>
        <w:br/>
        <w:t>2011-202</w:t>
      </w:r>
      <w:r w:rsidR="007D63BD">
        <w:rPr>
          <w:rFonts w:cs="Times New Roman"/>
          <w:b/>
          <w:szCs w:val="28"/>
        </w:rPr>
        <w:t>1</w:t>
      </w:r>
      <w:r w:rsidRPr="0024080D">
        <w:rPr>
          <w:rFonts w:cs="Times New Roman"/>
          <w:b/>
          <w:szCs w:val="28"/>
        </w:rPr>
        <w:t> рр.</w:t>
      </w:r>
    </w:p>
    <w:p w14:paraId="439C97A0" w14:textId="60EE2E94" w:rsidR="00993105" w:rsidRPr="0024080D" w:rsidRDefault="004B3AED" w:rsidP="004B3AED">
      <w:pPr>
        <w:widowControl w:val="0"/>
        <w:pBdr>
          <w:top w:val="nil"/>
          <w:left w:val="nil"/>
          <w:bottom w:val="nil"/>
          <w:right w:val="nil"/>
          <w:between w:val="nil"/>
        </w:pBdr>
        <w:rPr>
          <w:rFonts w:cs="Times New Roman"/>
          <w:szCs w:val="28"/>
        </w:rPr>
      </w:pPr>
      <w:r w:rsidRPr="0024080D">
        <w:rPr>
          <w:rFonts w:cs="Times New Roman"/>
          <w:szCs w:val="28"/>
        </w:rPr>
        <w:t>Дані з 2011 по 2014 рр. включають усі випадки ТБ, а з 2015 по 202</w:t>
      </w:r>
      <w:r w:rsidR="007D63BD">
        <w:rPr>
          <w:rFonts w:cs="Times New Roman"/>
          <w:szCs w:val="28"/>
        </w:rPr>
        <w:t>1</w:t>
      </w:r>
      <w:r w:rsidRPr="0024080D">
        <w:rPr>
          <w:rFonts w:cs="Times New Roman"/>
          <w:szCs w:val="28"/>
        </w:rPr>
        <w:t> рр. – нові випадки ТБ та рецидиви захворювання.</w:t>
      </w:r>
    </w:p>
    <w:p w14:paraId="60593811" w14:textId="77777777" w:rsidR="00993105" w:rsidRPr="0024080D" w:rsidRDefault="00993105">
      <w:pPr>
        <w:spacing w:line="276" w:lineRule="auto"/>
        <w:ind w:firstLine="0"/>
        <w:jc w:val="left"/>
        <w:rPr>
          <w:rFonts w:cs="Times New Roman"/>
          <w:szCs w:val="28"/>
        </w:rPr>
      </w:pPr>
      <w:r w:rsidRPr="0024080D">
        <w:rPr>
          <w:rFonts w:cs="Times New Roman"/>
          <w:szCs w:val="28"/>
        </w:rPr>
        <w:br w:type="page"/>
      </w:r>
    </w:p>
    <w:p w14:paraId="3EAD7798" w14:textId="793E0D6B" w:rsidR="00593721" w:rsidRPr="0024080D" w:rsidRDefault="00593721" w:rsidP="00733323">
      <w:pPr>
        <w:pStyle w:val="1"/>
        <w:spacing w:line="233" w:lineRule="auto"/>
      </w:pPr>
      <w:bookmarkStart w:id="71" w:name="_Toc89149133"/>
      <w:bookmarkStart w:id="72" w:name="_Toc88088855"/>
      <w:bookmarkStart w:id="73" w:name="_Hlk80003676"/>
      <w:r w:rsidRPr="00276063">
        <w:lastRenderedPageBreak/>
        <w:t>РОЗДІЛ </w:t>
      </w:r>
      <w:r w:rsidR="00340602">
        <w:t>3</w:t>
      </w:r>
      <w:r w:rsidRPr="00276063">
        <w:t>. ВИЯВЛЕННЯ ТА ДІАГНОСТИКА ТБ</w:t>
      </w:r>
      <w:bookmarkEnd w:id="71"/>
      <w:r w:rsidRPr="0024080D">
        <w:t xml:space="preserve"> </w:t>
      </w:r>
    </w:p>
    <w:p w14:paraId="1FD1D431" w14:textId="77777777" w:rsidR="00593721" w:rsidRPr="0024080D" w:rsidRDefault="00593721" w:rsidP="00733323">
      <w:pPr>
        <w:pStyle w:val="2"/>
        <w:spacing w:line="233" w:lineRule="auto"/>
      </w:pPr>
      <w:bookmarkStart w:id="74" w:name="_Toc89149134"/>
      <w:r w:rsidRPr="0024080D">
        <w:t>Виявлення ТБ</w:t>
      </w:r>
      <w:bookmarkEnd w:id="72"/>
      <w:bookmarkEnd w:id="74"/>
    </w:p>
    <w:p w14:paraId="4FC62AB3" w14:textId="77777777" w:rsidR="00593721" w:rsidRPr="00276063" w:rsidRDefault="00593721" w:rsidP="00733323">
      <w:pPr>
        <w:widowControl w:val="0"/>
        <w:pBdr>
          <w:top w:val="nil"/>
          <w:left w:val="nil"/>
          <w:bottom w:val="nil"/>
          <w:right w:val="nil"/>
          <w:between w:val="nil"/>
        </w:pBdr>
        <w:spacing w:line="233" w:lineRule="auto"/>
        <w:rPr>
          <w:rFonts w:cs="Times New Roman"/>
          <w:szCs w:val="28"/>
        </w:rPr>
      </w:pPr>
      <w:r w:rsidRPr="00276063">
        <w:rPr>
          <w:rFonts w:cs="Times New Roman"/>
          <w:szCs w:val="28"/>
        </w:rPr>
        <w:t xml:space="preserve">Стратегією ВООЗ з ліквідації ТБ визначено пріоритетність ранньої діагностики ТБ та проведення систематичного скринінгу на ТБ в осіб з груп високого ризику як ключового компоненту комплексного лікування і профілактики, орієнтованих на пацієнта. Для досягнення цілі з ліквідації ТБ до 2035 р. країнам слід досягти щонайменше охоплення у 90% систематичним скринінгом на ТБ осіб з визначених груп ризику. </w:t>
      </w:r>
    </w:p>
    <w:p w14:paraId="0060F923" w14:textId="77777777" w:rsidR="00593721" w:rsidRPr="00276063" w:rsidRDefault="00593721" w:rsidP="00733323">
      <w:pPr>
        <w:widowControl w:val="0"/>
        <w:pBdr>
          <w:top w:val="nil"/>
          <w:left w:val="nil"/>
          <w:bottom w:val="nil"/>
          <w:right w:val="nil"/>
          <w:between w:val="nil"/>
        </w:pBdr>
        <w:tabs>
          <w:tab w:val="left" w:pos="709"/>
        </w:tabs>
        <w:spacing w:line="233" w:lineRule="auto"/>
        <w:rPr>
          <w:rFonts w:cs="Times New Roman"/>
          <w:szCs w:val="28"/>
        </w:rPr>
      </w:pPr>
      <w:r w:rsidRPr="00276063">
        <w:rPr>
          <w:rFonts w:cs="Times New Roman"/>
          <w:szCs w:val="28"/>
        </w:rPr>
        <w:t>Політичною декларацією засідання високого рівня Генеральної Асамблеї ООН з боротьби із ТБ від 10 жовтня 2018 р. на період до 2022 р. визначено зобов’язання урядів країн щодо забезпечення послугами з діагностики та лікування понад 40 млн осіб із захворюванням на ТБ – цілі, що були сформульовані у межах флагманської ініціативи ВООЗ «Знайти. Вилікувати. Всіх. Покласти край туберкульозу» (https://www.who.int/tb/joint-initiative/en/). Так, стратегічною ціллю зокрема для України, встановленою міжнародним партнерством з ліквідації ТБ (</w:t>
      </w:r>
      <w:proofErr w:type="spellStart"/>
      <w:r w:rsidRPr="00276063">
        <w:rPr>
          <w:rFonts w:cs="Times New Roman"/>
          <w:szCs w:val="28"/>
        </w:rPr>
        <w:t>Stop</w:t>
      </w:r>
      <w:proofErr w:type="spellEnd"/>
      <w:r w:rsidRPr="00276063">
        <w:rPr>
          <w:rFonts w:cs="Times New Roman"/>
          <w:szCs w:val="28"/>
        </w:rPr>
        <w:t xml:space="preserve"> TB </w:t>
      </w:r>
      <w:proofErr w:type="spellStart"/>
      <w:r w:rsidRPr="00276063">
        <w:rPr>
          <w:rFonts w:cs="Times New Roman"/>
          <w:szCs w:val="28"/>
        </w:rPr>
        <w:t>Partnership</w:t>
      </w:r>
      <w:proofErr w:type="spellEnd"/>
      <w:r w:rsidRPr="00276063">
        <w:rPr>
          <w:rFonts w:cs="Times New Roman"/>
          <w:szCs w:val="28"/>
        </w:rPr>
        <w:t xml:space="preserve">) на період 2020–2022 рр., є своєчасне виявлення та надання лікування 135 100 особам. </w:t>
      </w:r>
    </w:p>
    <w:p w14:paraId="23425A9B" w14:textId="5F8C5EFE" w:rsidR="00593721" w:rsidRPr="00276063" w:rsidRDefault="00593721" w:rsidP="00733323">
      <w:pPr>
        <w:widowControl w:val="0"/>
        <w:pBdr>
          <w:top w:val="nil"/>
          <w:left w:val="nil"/>
          <w:bottom w:val="nil"/>
          <w:right w:val="nil"/>
          <w:between w:val="nil"/>
        </w:pBdr>
        <w:spacing w:line="233" w:lineRule="auto"/>
        <w:rPr>
          <w:rFonts w:cs="Times New Roman"/>
          <w:szCs w:val="28"/>
        </w:rPr>
      </w:pPr>
      <w:r w:rsidRPr="00276063">
        <w:rPr>
          <w:rFonts w:cs="Times New Roman"/>
          <w:szCs w:val="28"/>
        </w:rPr>
        <w:t xml:space="preserve">Україна посідає друге місце в Європейському регіоні щодо найвищого рівня тягаря ТБ, проте, за розрахунковими даними ВООЗ, щороку в Україні </w:t>
      </w:r>
      <w:proofErr w:type="spellStart"/>
      <w:r w:rsidRPr="00276063">
        <w:rPr>
          <w:rFonts w:cs="Times New Roman"/>
          <w:szCs w:val="28"/>
        </w:rPr>
        <w:t>недовиявляють</w:t>
      </w:r>
      <w:proofErr w:type="spellEnd"/>
      <w:r w:rsidR="00775579" w:rsidRPr="00276063">
        <w:rPr>
          <w:rFonts w:cs="Times New Roman"/>
          <w:szCs w:val="28"/>
        </w:rPr>
        <w:t xml:space="preserve"> випадки </w:t>
      </w:r>
      <w:proofErr w:type="spellStart"/>
      <w:r w:rsidR="00775579" w:rsidRPr="00276063">
        <w:rPr>
          <w:rFonts w:cs="Times New Roman"/>
          <w:szCs w:val="28"/>
        </w:rPr>
        <w:t>туберкультозу</w:t>
      </w:r>
      <w:proofErr w:type="spellEnd"/>
      <w:r w:rsidRPr="00276063">
        <w:rPr>
          <w:rFonts w:cs="Times New Roman"/>
          <w:szCs w:val="28"/>
        </w:rPr>
        <w:t xml:space="preserve">, тож пошук невиявлених випадків ТБ є суттєвим викликом. </w:t>
      </w:r>
    </w:p>
    <w:p w14:paraId="439AAA33" w14:textId="573AFE3E" w:rsidR="00593721" w:rsidRPr="00276063" w:rsidRDefault="00593721" w:rsidP="00733323">
      <w:pPr>
        <w:widowControl w:val="0"/>
        <w:pBdr>
          <w:top w:val="nil"/>
          <w:left w:val="nil"/>
          <w:bottom w:val="nil"/>
          <w:right w:val="nil"/>
          <w:between w:val="nil"/>
        </w:pBdr>
        <w:spacing w:line="233" w:lineRule="auto"/>
        <w:rPr>
          <w:rFonts w:cs="Times New Roman"/>
          <w:szCs w:val="28"/>
        </w:rPr>
      </w:pPr>
      <w:r w:rsidRPr="00276063">
        <w:rPr>
          <w:rFonts w:cs="Times New Roman"/>
          <w:szCs w:val="28"/>
        </w:rPr>
        <w:t xml:space="preserve">Зазначені цілі потребують впровадження в Україні кращих міжнародних підходів і практик щодо організації своєчасного виявлення та медичного супроводу осіб, хворих на ТБ, та осіб з </w:t>
      </w:r>
      <w:r w:rsidR="003436C2" w:rsidRPr="00276063">
        <w:rPr>
          <w:rFonts w:cs="Times New Roman"/>
          <w:szCs w:val="28"/>
        </w:rPr>
        <w:t>ЛТБІ</w:t>
      </w:r>
      <w:r w:rsidRPr="00276063">
        <w:rPr>
          <w:rFonts w:cs="Times New Roman"/>
          <w:szCs w:val="28"/>
        </w:rPr>
        <w:t xml:space="preserve">. Проведення активного систематичного скринінгу на ТБ серед визначених груп ризику є одним із важливих заходів для покращення показників раннього виявлення захворювання. </w:t>
      </w:r>
    </w:p>
    <w:p w14:paraId="1F80501B" w14:textId="77777777" w:rsidR="00593721" w:rsidRPr="00276063" w:rsidRDefault="00593721" w:rsidP="00733323">
      <w:pPr>
        <w:widowControl w:val="0"/>
        <w:pBdr>
          <w:top w:val="nil"/>
          <w:left w:val="nil"/>
          <w:bottom w:val="nil"/>
          <w:right w:val="nil"/>
          <w:between w:val="nil"/>
        </w:pBdr>
        <w:spacing w:line="233" w:lineRule="auto"/>
        <w:rPr>
          <w:rFonts w:cs="Times New Roman"/>
          <w:szCs w:val="28"/>
        </w:rPr>
      </w:pPr>
      <w:r w:rsidRPr="00276063">
        <w:rPr>
          <w:rFonts w:cs="Times New Roman"/>
          <w:szCs w:val="28"/>
        </w:rPr>
        <w:t xml:space="preserve">На сьогодні ВООЗ виділяє дві пріоритетні групи ризику, яким слід надавати перевагу при організації систематичного прицільного скринінгу: </w:t>
      </w:r>
    </w:p>
    <w:p w14:paraId="188DCCAA" w14:textId="77777777" w:rsidR="00593721" w:rsidRPr="00276063" w:rsidRDefault="00593721" w:rsidP="00733323">
      <w:pPr>
        <w:widowControl w:val="0"/>
        <w:pBdr>
          <w:top w:val="nil"/>
          <w:left w:val="nil"/>
          <w:bottom w:val="nil"/>
          <w:right w:val="nil"/>
          <w:between w:val="nil"/>
        </w:pBdr>
        <w:spacing w:line="233" w:lineRule="auto"/>
        <w:rPr>
          <w:rFonts w:cs="Times New Roman"/>
          <w:szCs w:val="28"/>
        </w:rPr>
      </w:pPr>
      <w:r w:rsidRPr="00276063">
        <w:rPr>
          <w:rFonts w:cs="Times New Roman"/>
          <w:szCs w:val="28"/>
        </w:rPr>
        <w:t>1. Особи з підвищеним ризиком прогресування від інфікування до активного ТБ:</w:t>
      </w:r>
    </w:p>
    <w:p w14:paraId="12F159B9"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ВІЛ-інфіковані особи;</w:t>
      </w:r>
    </w:p>
    <w:p w14:paraId="500BB804"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пацієнти із захворюванням на силікоз;</w:t>
      </w:r>
    </w:p>
    <w:p w14:paraId="6C9F58ED"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пацієнти, які починають або планують лікування фактору некрозу пухлин;</w:t>
      </w:r>
    </w:p>
    <w:p w14:paraId="38237662"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пацієнти, які отримують діаліз;</w:t>
      </w:r>
    </w:p>
    <w:p w14:paraId="438151DD"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 xml:space="preserve">пацієнти, які готуються до трансплантації органів або гематологічних трансфузій. </w:t>
      </w:r>
    </w:p>
    <w:p w14:paraId="532E50F8" w14:textId="77777777" w:rsidR="00593721" w:rsidRPr="00276063" w:rsidRDefault="00593721" w:rsidP="00733323">
      <w:pPr>
        <w:pStyle w:val="a7"/>
        <w:widowControl w:val="0"/>
        <w:pBdr>
          <w:top w:val="nil"/>
          <w:left w:val="nil"/>
          <w:bottom w:val="nil"/>
          <w:right w:val="nil"/>
          <w:between w:val="nil"/>
        </w:pBdr>
        <w:spacing w:line="233" w:lineRule="auto"/>
        <w:ind w:left="709" w:firstLine="0"/>
        <w:contextualSpacing w:val="0"/>
        <w:rPr>
          <w:rFonts w:cs="Times New Roman"/>
          <w:szCs w:val="28"/>
        </w:rPr>
      </w:pPr>
      <w:r w:rsidRPr="00276063">
        <w:rPr>
          <w:rFonts w:cs="Times New Roman"/>
          <w:szCs w:val="28"/>
        </w:rPr>
        <w:t>2. Пацієнти з підвищеним ризиком захворювання на ТБ:</w:t>
      </w:r>
    </w:p>
    <w:p w14:paraId="32E51116"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zCs w:val="28"/>
        </w:rPr>
      </w:pPr>
      <w:r w:rsidRPr="00276063">
        <w:rPr>
          <w:rFonts w:cs="Times New Roman"/>
          <w:szCs w:val="28"/>
        </w:rPr>
        <w:t xml:space="preserve">осередкові контакти людей з </w:t>
      </w:r>
      <w:proofErr w:type="spellStart"/>
      <w:r w:rsidRPr="00276063">
        <w:rPr>
          <w:rFonts w:cs="Times New Roman"/>
          <w:szCs w:val="28"/>
        </w:rPr>
        <w:t>бактеріологічно</w:t>
      </w:r>
      <w:proofErr w:type="spellEnd"/>
      <w:r w:rsidRPr="00276063">
        <w:rPr>
          <w:rFonts w:cs="Times New Roman"/>
          <w:szCs w:val="28"/>
        </w:rPr>
        <w:t xml:space="preserve"> підтвердженим ТБ, що зазвичай поділяються на: </w:t>
      </w:r>
    </w:p>
    <w:p w14:paraId="18CD4E6A" w14:textId="77777777" w:rsidR="00593721" w:rsidRPr="00276063" w:rsidRDefault="00593721" w:rsidP="00733323">
      <w:pPr>
        <w:widowControl w:val="0"/>
        <w:pBdr>
          <w:top w:val="nil"/>
          <w:left w:val="nil"/>
          <w:bottom w:val="nil"/>
          <w:right w:val="nil"/>
          <w:between w:val="nil"/>
        </w:pBdr>
        <w:spacing w:line="233" w:lineRule="auto"/>
        <w:ind w:firstLine="1418"/>
        <w:rPr>
          <w:rFonts w:cs="Times New Roman"/>
          <w:szCs w:val="28"/>
        </w:rPr>
      </w:pPr>
      <w:r w:rsidRPr="00276063">
        <w:rPr>
          <w:rFonts w:cs="Times New Roman"/>
          <w:szCs w:val="28"/>
        </w:rPr>
        <w:t>а) дітей віком до п’яти років;</w:t>
      </w:r>
    </w:p>
    <w:p w14:paraId="1745EEAF" w14:textId="77777777" w:rsidR="00593721" w:rsidRPr="00276063" w:rsidRDefault="00593721" w:rsidP="00733323">
      <w:pPr>
        <w:widowControl w:val="0"/>
        <w:pBdr>
          <w:top w:val="nil"/>
          <w:left w:val="nil"/>
          <w:bottom w:val="nil"/>
          <w:right w:val="nil"/>
          <w:between w:val="nil"/>
        </w:pBdr>
        <w:spacing w:line="233" w:lineRule="auto"/>
        <w:ind w:firstLine="1418"/>
        <w:rPr>
          <w:rFonts w:cs="Times New Roman"/>
          <w:szCs w:val="28"/>
        </w:rPr>
      </w:pPr>
      <w:r w:rsidRPr="00276063">
        <w:rPr>
          <w:rFonts w:cs="Times New Roman"/>
          <w:szCs w:val="28"/>
        </w:rPr>
        <w:t>б) дітей віком від п’яти років, підлітків та дорослих;</w:t>
      </w:r>
    </w:p>
    <w:p w14:paraId="70E26F8F" w14:textId="77777777" w:rsidR="00593721" w:rsidRPr="00276063" w:rsidRDefault="00593721" w:rsidP="00733323">
      <w:pPr>
        <w:pStyle w:val="a7"/>
        <w:widowControl w:val="0"/>
        <w:numPr>
          <w:ilvl w:val="0"/>
          <w:numId w:val="8"/>
        </w:numPr>
        <w:pBdr>
          <w:top w:val="nil"/>
          <w:left w:val="nil"/>
          <w:bottom w:val="nil"/>
          <w:right w:val="nil"/>
          <w:between w:val="nil"/>
        </w:pBdr>
        <w:tabs>
          <w:tab w:val="left" w:pos="993"/>
        </w:tabs>
        <w:spacing w:line="233" w:lineRule="auto"/>
        <w:ind w:left="0" w:firstLine="709"/>
        <w:rPr>
          <w:rFonts w:cs="Times New Roman"/>
          <w:spacing w:val="-2"/>
          <w:szCs w:val="28"/>
        </w:rPr>
      </w:pPr>
      <w:r w:rsidRPr="00276063">
        <w:rPr>
          <w:rFonts w:cs="Times New Roman"/>
          <w:spacing w:val="-2"/>
          <w:szCs w:val="28"/>
        </w:rPr>
        <w:t xml:space="preserve">ув’язнені, працівники системи охорони здоров’я, іммігранти з країн із високим тягарем ТБ, бездомні та особи, що вживають наркотичні речовини. </w:t>
      </w:r>
    </w:p>
    <w:p w14:paraId="39DEC5CC" w14:textId="77777777" w:rsidR="00593721" w:rsidRPr="00276063" w:rsidRDefault="00593721" w:rsidP="00593721">
      <w:pPr>
        <w:widowControl w:val="0"/>
        <w:pBdr>
          <w:top w:val="nil"/>
          <w:left w:val="nil"/>
          <w:bottom w:val="nil"/>
          <w:right w:val="nil"/>
          <w:between w:val="nil"/>
        </w:pBdr>
        <w:rPr>
          <w:rFonts w:cs="Times New Roman"/>
          <w:szCs w:val="28"/>
        </w:rPr>
      </w:pPr>
      <w:r w:rsidRPr="00276063">
        <w:rPr>
          <w:rFonts w:cs="Times New Roman"/>
          <w:szCs w:val="28"/>
        </w:rPr>
        <w:lastRenderedPageBreak/>
        <w:t xml:space="preserve">З 2014 р. в Україні відмовились від проведення масового скринінгу на ТБ та впровадили стратегію прицільного скринінгу серед визначених груп ризику. </w:t>
      </w:r>
    </w:p>
    <w:p w14:paraId="3256FEE6" w14:textId="364E0524" w:rsidR="00593721" w:rsidRPr="00276063" w:rsidRDefault="00593721" w:rsidP="00593721">
      <w:pPr>
        <w:widowControl w:val="0"/>
        <w:pBdr>
          <w:top w:val="nil"/>
          <w:left w:val="nil"/>
          <w:bottom w:val="nil"/>
          <w:right w:val="nil"/>
          <w:between w:val="nil"/>
        </w:pBdr>
        <w:rPr>
          <w:rFonts w:cs="Times New Roman"/>
          <w:szCs w:val="28"/>
        </w:rPr>
      </w:pPr>
      <w:r w:rsidRPr="00276063">
        <w:rPr>
          <w:rFonts w:cs="Times New Roman"/>
          <w:szCs w:val="28"/>
        </w:rPr>
        <w:t>Фахівцями Центру проведено аналіз щодо впровадження активного скринінгу на ТБ серед певних цільових груп ризику у 202</w:t>
      </w:r>
      <w:r w:rsidR="00775579" w:rsidRPr="00276063">
        <w:rPr>
          <w:rFonts w:cs="Times New Roman"/>
          <w:szCs w:val="28"/>
        </w:rPr>
        <w:t>1</w:t>
      </w:r>
      <w:r w:rsidRPr="00276063">
        <w:rPr>
          <w:rFonts w:cs="Times New Roman"/>
          <w:szCs w:val="28"/>
        </w:rPr>
        <w:t xml:space="preserve">р. за даними паспортних анкет регіонів. </w:t>
      </w:r>
    </w:p>
    <w:p w14:paraId="4E7D8496" w14:textId="77777777" w:rsidR="00593721" w:rsidRPr="0098566C" w:rsidRDefault="00593721" w:rsidP="00593721">
      <w:pPr>
        <w:pStyle w:val="2"/>
      </w:pPr>
      <w:bookmarkStart w:id="75" w:name="_Toc88088856"/>
      <w:bookmarkStart w:id="76" w:name="_Toc89149135"/>
      <w:r w:rsidRPr="0098566C">
        <w:t>Виявлення ТБ серед ВІЛ-інфікованих осіб</w:t>
      </w:r>
      <w:bookmarkEnd w:id="75"/>
      <w:bookmarkEnd w:id="76"/>
      <w:r w:rsidRPr="0098566C">
        <w:t xml:space="preserve"> </w:t>
      </w:r>
    </w:p>
    <w:p w14:paraId="40544FD3" w14:textId="5E1672E6" w:rsidR="00593721" w:rsidRPr="00450237" w:rsidRDefault="00593721" w:rsidP="00593721">
      <w:pPr>
        <w:widowControl w:val="0"/>
        <w:pBdr>
          <w:top w:val="nil"/>
          <w:left w:val="nil"/>
          <w:bottom w:val="nil"/>
          <w:right w:val="nil"/>
          <w:between w:val="nil"/>
        </w:pBdr>
        <w:rPr>
          <w:rFonts w:cs="Times New Roman"/>
          <w:szCs w:val="28"/>
        </w:rPr>
      </w:pPr>
      <w:r w:rsidRPr="00450237">
        <w:rPr>
          <w:rFonts w:cs="Times New Roman"/>
          <w:szCs w:val="28"/>
        </w:rPr>
        <w:t>Середній показник охоплення систематичним скринінгом на ТБ серед ЛЖВ в Україні у 202</w:t>
      </w:r>
      <w:r w:rsidR="00450237" w:rsidRPr="00450237">
        <w:rPr>
          <w:rFonts w:cs="Times New Roman"/>
          <w:szCs w:val="28"/>
        </w:rPr>
        <w:t>1</w:t>
      </w:r>
      <w:r w:rsidRPr="00450237">
        <w:rPr>
          <w:rFonts w:cs="Times New Roman"/>
          <w:szCs w:val="28"/>
        </w:rPr>
        <w:t> р. становить 85,</w:t>
      </w:r>
      <w:r w:rsidR="00450237" w:rsidRPr="00450237">
        <w:rPr>
          <w:rFonts w:cs="Times New Roman"/>
          <w:szCs w:val="28"/>
        </w:rPr>
        <w:t>2</w:t>
      </w:r>
      <w:r w:rsidRPr="00450237">
        <w:rPr>
          <w:rFonts w:cs="Times New Roman"/>
          <w:szCs w:val="28"/>
        </w:rPr>
        <w:t xml:space="preserve">% (мета≥90%). ЛЖВ зазнають приблизно у 19–20 разів більшого ризику захворіти на ТБ, ніж люди з негативним ВІЛ-статусом. За даними глобального звіту ВООЗ щодо ТБ, у 2019 р. до 30% усіх летальних наслідків, пов’язаних з ВІЛ, були спричинені ТБ. Таким чином, забезпечення раннього виявлення та лікування ТБ серед ЛЖВ має вирішальне значення для зменшення показників захворюваності та смертності у цій групі. </w:t>
      </w:r>
    </w:p>
    <w:p w14:paraId="7D87299D" w14:textId="6AA324B5" w:rsidR="00593721" w:rsidRPr="00450237" w:rsidRDefault="00593721" w:rsidP="00593721">
      <w:pPr>
        <w:widowControl w:val="0"/>
        <w:pBdr>
          <w:top w:val="nil"/>
          <w:left w:val="nil"/>
          <w:bottom w:val="nil"/>
          <w:right w:val="nil"/>
          <w:between w:val="nil"/>
        </w:pBdr>
        <w:spacing w:after="120"/>
        <w:rPr>
          <w:rFonts w:cs="Times New Roman"/>
          <w:szCs w:val="28"/>
        </w:rPr>
      </w:pPr>
      <w:r w:rsidRPr="00450237">
        <w:rPr>
          <w:rFonts w:cs="Times New Roman"/>
          <w:szCs w:val="28"/>
        </w:rPr>
        <w:t>За даними регіональних паспортних анкет, у 202</w:t>
      </w:r>
      <w:r w:rsidR="00450237" w:rsidRPr="00450237">
        <w:rPr>
          <w:rFonts w:cs="Times New Roman"/>
          <w:szCs w:val="28"/>
        </w:rPr>
        <w:t>1</w:t>
      </w:r>
      <w:r w:rsidRPr="00450237">
        <w:rPr>
          <w:rFonts w:cs="Times New Roman"/>
          <w:szCs w:val="28"/>
        </w:rPr>
        <w:t xml:space="preserve"> р. досягнуто цільового значення показника охоплення систематичним скринінгом на ТБ серед ЛЖВ (≥90%) у Дніпропетровській, Донецькій, Івано-Франківській,  Полтавській, </w:t>
      </w:r>
      <w:r w:rsidR="00450237">
        <w:rPr>
          <w:rFonts w:cs="Times New Roman"/>
          <w:szCs w:val="28"/>
        </w:rPr>
        <w:t>Херсонській, Хмельницькій, Чернігівській</w:t>
      </w:r>
      <w:r w:rsidRPr="00450237">
        <w:rPr>
          <w:rFonts w:cs="Times New Roman"/>
          <w:szCs w:val="28"/>
        </w:rPr>
        <w:t xml:space="preserve"> та Чернівецькій областях. Найнижчі показники охоплення систематичним скринінгом на ТБ серед ЛЖВ зафіксовано у </w:t>
      </w:r>
      <w:r w:rsidR="000E3E8B">
        <w:rPr>
          <w:rFonts w:cs="Times New Roman"/>
          <w:szCs w:val="28"/>
        </w:rPr>
        <w:t>Львівській</w:t>
      </w:r>
      <w:r w:rsidRPr="00450237">
        <w:rPr>
          <w:rFonts w:cs="Times New Roman"/>
          <w:szCs w:val="28"/>
        </w:rPr>
        <w:t xml:space="preserve"> (</w:t>
      </w:r>
      <w:r w:rsidR="000E3E8B">
        <w:rPr>
          <w:rFonts w:cs="Times New Roman"/>
          <w:szCs w:val="28"/>
        </w:rPr>
        <w:t>50,0</w:t>
      </w:r>
      <w:r w:rsidRPr="00450237">
        <w:rPr>
          <w:rFonts w:cs="Times New Roman"/>
          <w:szCs w:val="28"/>
        </w:rPr>
        <w:t>%)</w:t>
      </w:r>
      <w:r w:rsidR="00D845EE">
        <w:rPr>
          <w:rFonts w:cs="Times New Roman"/>
          <w:szCs w:val="28"/>
        </w:rPr>
        <w:t xml:space="preserve">, Харківській </w:t>
      </w:r>
      <w:r w:rsidR="002C2988">
        <w:rPr>
          <w:rFonts w:cs="Times New Roman"/>
          <w:szCs w:val="28"/>
        </w:rPr>
        <w:t>(56,0%)</w:t>
      </w:r>
      <w:r w:rsidR="000E3E8B">
        <w:rPr>
          <w:rFonts w:cs="Times New Roman"/>
          <w:szCs w:val="28"/>
        </w:rPr>
        <w:t xml:space="preserve"> та</w:t>
      </w:r>
      <w:r w:rsidRPr="00450237">
        <w:rPr>
          <w:rFonts w:cs="Times New Roman"/>
          <w:szCs w:val="28"/>
        </w:rPr>
        <w:t xml:space="preserve"> Черкаській (</w:t>
      </w:r>
      <w:r w:rsidR="000E3E8B">
        <w:rPr>
          <w:rFonts w:cs="Times New Roman"/>
          <w:szCs w:val="28"/>
        </w:rPr>
        <w:t>53,7</w:t>
      </w:r>
      <w:r w:rsidRPr="00450237">
        <w:rPr>
          <w:rFonts w:cs="Times New Roman"/>
          <w:szCs w:val="28"/>
        </w:rPr>
        <w:t xml:space="preserve">%) областях. </w:t>
      </w:r>
    </w:p>
    <w:p w14:paraId="455475AE" w14:textId="77777777" w:rsidR="00593721" w:rsidRPr="00E52E1F" w:rsidRDefault="00593721" w:rsidP="00593721">
      <w:pPr>
        <w:widowControl w:val="0"/>
        <w:pBdr>
          <w:top w:val="nil"/>
          <w:left w:val="nil"/>
          <w:bottom w:val="nil"/>
          <w:right w:val="nil"/>
          <w:between w:val="nil"/>
        </w:pBdr>
        <w:ind w:firstLine="0"/>
        <w:jc w:val="center"/>
        <w:rPr>
          <w:rFonts w:cs="Times New Roman"/>
          <w:noProof/>
          <w:szCs w:val="28"/>
          <w:highlight w:val="yellow"/>
        </w:rPr>
      </w:pPr>
      <w:r w:rsidRPr="00E52E1F">
        <w:rPr>
          <w:rFonts w:cs="Times New Roman"/>
          <w:noProof/>
          <w:szCs w:val="28"/>
          <w:highlight w:val="yellow"/>
        </w:rPr>
        <w:drawing>
          <wp:inline distT="0" distB="0" distL="0" distR="0" wp14:anchorId="3B19B5FD" wp14:editId="0FC420A1">
            <wp:extent cx="5335325" cy="2582545"/>
            <wp:effectExtent l="0" t="0" r="17780" b="8255"/>
            <wp:docPr id="49" name="Діаграма 49">
              <a:extLst xmlns:a="http://schemas.openxmlformats.org/drawingml/2006/main">
                <a:ext uri="{FF2B5EF4-FFF2-40B4-BE49-F238E27FC236}">
                  <a16:creationId xmlns:a16="http://schemas.microsoft.com/office/drawing/2014/main" id="{48423C70-545B-42AB-87C6-BD0CCF8A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433619C" w14:textId="76BF1608" w:rsidR="00593721" w:rsidRPr="002C2988" w:rsidRDefault="00593721" w:rsidP="00593721">
      <w:pPr>
        <w:widowControl w:val="0"/>
        <w:pBdr>
          <w:top w:val="nil"/>
          <w:left w:val="nil"/>
          <w:bottom w:val="nil"/>
          <w:right w:val="nil"/>
          <w:between w:val="nil"/>
        </w:pBdr>
        <w:spacing w:before="120" w:after="120"/>
        <w:ind w:firstLine="0"/>
        <w:jc w:val="center"/>
        <w:rPr>
          <w:rFonts w:cs="Times New Roman"/>
          <w:b/>
          <w:szCs w:val="28"/>
        </w:rPr>
      </w:pPr>
      <w:bookmarkStart w:id="77" w:name="_Toc88088857"/>
      <w:r w:rsidRPr="002C2988">
        <w:rPr>
          <w:rFonts w:cs="Times New Roman"/>
          <w:b/>
          <w:szCs w:val="28"/>
        </w:rPr>
        <w:t>Рисунок </w:t>
      </w:r>
      <w:r w:rsidR="00340602">
        <w:rPr>
          <w:rFonts w:cs="Times New Roman"/>
          <w:b/>
          <w:szCs w:val="28"/>
        </w:rPr>
        <w:t>3</w:t>
      </w:r>
      <w:r w:rsidRPr="002C2988">
        <w:rPr>
          <w:rFonts w:cs="Times New Roman"/>
          <w:b/>
          <w:szCs w:val="28"/>
        </w:rPr>
        <w:t xml:space="preserve">.1. Показники охоплення обстеженням на ТБ </w:t>
      </w:r>
      <w:r w:rsidRPr="002C2988">
        <w:rPr>
          <w:rFonts w:cs="Times New Roman"/>
          <w:b/>
          <w:szCs w:val="28"/>
        </w:rPr>
        <w:br/>
        <w:t>ВІЛ-інфікованих осіб, % (за даними паспортних анкет регіонів за 202</w:t>
      </w:r>
      <w:r w:rsidR="002C2988">
        <w:rPr>
          <w:rFonts w:cs="Times New Roman"/>
          <w:b/>
          <w:szCs w:val="28"/>
        </w:rPr>
        <w:t>1</w:t>
      </w:r>
      <w:r w:rsidRPr="002C2988">
        <w:rPr>
          <w:rFonts w:cs="Times New Roman"/>
          <w:b/>
          <w:szCs w:val="28"/>
        </w:rPr>
        <w:t> р.)</w:t>
      </w:r>
    </w:p>
    <w:p w14:paraId="52348FDD" w14:textId="77777777" w:rsidR="00593721" w:rsidRPr="009A135F" w:rsidRDefault="00593721" w:rsidP="00593721">
      <w:pPr>
        <w:pStyle w:val="2"/>
      </w:pPr>
      <w:bookmarkStart w:id="78" w:name="_Toc89149136"/>
      <w:r w:rsidRPr="009A135F">
        <w:t>Осередкові контакти осіб з ТБ</w:t>
      </w:r>
      <w:bookmarkEnd w:id="77"/>
      <w:bookmarkEnd w:id="78"/>
      <w:r w:rsidRPr="009A135F">
        <w:t xml:space="preserve"> </w:t>
      </w:r>
    </w:p>
    <w:p w14:paraId="457FE43B" w14:textId="768ADCE7" w:rsidR="00593721" w:rsidRPr="009A135F" w:rsidRDefault="00593721" w:rsidP="00593721">
      <w:pPr>
        <w:widowControl w:val="0"/>
        <w:pBdr>
          <w:top w:val="nil"/>
          <w:left w:val="nil"/>
          <w:bottom w:val="nil"/>
          <w:right w:val="nil"/>
          <w:between w:val="nil"/>
        </w:pBdr>
        <w:rPr>
          <w:rFonts w:cs="Times New Roman"/>
          <w:szCs w:val="28"/>
        </w:rPr>
      </w:pPr>
      <w:r w:rsidRPr="009A135F">
        <w:rPr>
          <w:rFonts w:cs="Times New Roman"/>
          <w:szCs w:val="28"/>
        </w:rPr>
        <w:t xml:space="preserve">Осередкові контакти осіб з </w:t>
      </w:r>
      <w:proofErr w:type="spellStart"/>
      <w:r w:rsidRPr="009A135F">
        <w:rPr>
          <w:rFonts w:cs="Times New Roman"/>
          <w:szCs w:val="28"/>
        </w:rPr>
        <w:t>бактеріологічно</w:t>
      </w:r>
      <w:proofErr w:type="spellEnd"/>
      <w:r w:rsidRPr="009A135F">
        <w:rPr>
          <w:rFonts w:cs="Times New Roman"/>
          <w:szCs w:val="28"/>
        </w:rPr>
        <w:t xml:space="preserve"> підтвердженим випадком ТБ (діти віком до п’яти років, підлітки та дорослі) мають доведено вищий ризик розвитку ТБ порівняно до загальної популяції, тому вони також належать до пріоритетних груп систематичного скринінгу на ТБ. Рекомендований ВООЗ рівень цільового значення показника щодо </w:t>
      </w:r>
      <w:r w:rsidRPr="009A135F">
        <w:rPr>
          <w:rFonts w:cs="Times New Roman"/>
          <w:szCs w:val="28"/>
        </w:rPr>
        <w:lastRenderedPageBreak/>
        <w:t>обстеження осіб, які перебувають на обліку через контакти з хворими на активний ТБ, становить 5–6 контактних осіб на 1 індексний випадок при їх 100-відсотковому обстеженні. Додатковим критерієм для оцінювання якості виявлення та обстеження контактних осіб може служити середній регіональний показник розміру домогосподарства.</w:t>
      </w:r>
      <w:r w:rsidR="006E45C3">
        <w:rPr>
          <w:rFonts w:cs="Times New Roman"/>
          <w:szCs w:val="28"/>
        </w:rPr>
        <w:t xml:space="preserve"> </w:t>
      </w:r>
      <w:r w:rsidRPr="009A135F">
        <w:rPr>
          <w:rFonts w:cs="Times New Roman"/>
          <w:szCs w:val="28"/>
        </w:rPr>
        <w:t xml:space="preserve"> </w:t>
      </w:r>
    </w:p>
    <w:p w14:paraId="56638832" w14:textId="37C9A382" w:rsidR="00593721" w:rsidRPr="0098566C" w:rsidRDefault="00593721" w:rsidP="00593721">
      <w:pPr>
        <w:widowControl w:val="0"/>
        <w:pBdr>
          <w:top w:val="nil"/>
          <w:left w:val="nil"/>
          <w:bottom w:val="nil"/>
          <w:right w:val="nil"/>
          <w:between w:val="nil"/>
        </w:pBdr>
        <w:spacing w:after="120"/>
        <w:rPr>
          <w:rFonts w:cs="Times New Roman"/>
          <w:szCs w:val="28"/>
        </w:rPr>
      </w:pPr>
      <w:r w:rsidRPr="0098566C">
        <w:rPr>
          <w:rFonts w:cs="Times New Roman"/>
          <w:szCs w:val="28"/>
        </w:rPr>
        <w:t>За даними регіональних паспортних анкет, у 202</w:t>
      </w:r>
      <w:r w:rsidR="006E45C3" w:rsidRPr="0098566C">
        <w:rPr>
          <w:rFonts w:cs="Times New Roman"/>
          <w:szCs w:val="28"/>
        </w:rPr>
        <w:t>1</w:t>
      </w:r>
      <w:r w:rsidRPr="0098566C">
        <w:rPr>
          <w:rFonts w:cs="Times New Roman"/>
          <w:szCs w:val="28"/>
        </w:rPr>
        <w:t xml:space="preserve"> р. у </w:t>
      </w:r>
      <w:r w:rsidR="0098566C">
        <w:rPr>
          <w:rFonts w:cs="Times New Roman"/>
          <w:szCs w:val="28"/>
        </w:rPr>
        <w:t>шести</w:t>
      </w:r>
      <w:r w:rsidRPr="0098566C">
        <w:rPr>
          <w:rFonts w:cs="Times New Roman"/>
          <w:szCs w:val="28"/>
        </w:rPr>
        <w:t xml:space="preserve"> регіонах із 25 досягнуто значення індексу виявлених та обстежених контактів на 1 індексний випадок ТБ на рівні або вище за середній регіональний показник розміру домогосподарства: у Полтавській (</w:t>
      </w:r>
      <w:r w:rsidR="0098566C">
        <w:rPr>
          <w:rFonts w:cs="Times New Roman"/>
          <w:szCs w:val="28"/>
        </w:rPr>
        <w:t>4,38</w:t>
      </w:r>
      <w:r w:rsidRPr="0098566C">
        <w:rPr>
          <w:rFonts w:cs="Times New Roman"/>
          <w:szCs w:val="28"/>
        </w:rPr>
        <w:t xml:space="preserve"> проти 2,35 відповідно), Кіровоградській (</w:t>
      </w:r>
      <w:r w:rsidR="0098566C">
        <w:rPr>
          <w:rFonts w:cs="Times New Roman"/>
          <w:szCs w:val="28"/>
        </w:rPr>
        <w:t>3,17</w:t>
      </w:r>
      <w:r w:rsidRPr="0098566C">
        <w:rPr>
          <w:rFonts w:cs="Times New Roman"/>
          <w:szCs w:val="28"/>
        </w:rPr>
        <w:t xml:space="preserve"> проти 2,27 відповідно)</w:t>
      </w:r>
      <w:r w:rsidR="0098566C">
        <w:rPr>
          <w:rFonts w:cs="Times New Roman"/>
          <w:szCs w:val="28"/>
        </w:rPr>
        <w:t>, Дніпропетровській (2,46 проти 2,36 відповідно), Запорізькій (2,79 проти 2,45 відповідно)</w:t>
      </w:r>
      <w:r w:rsidR="00504DE2">
        <w:rPr>
          <w:rFonts w:cs="Times New Roman"/>
          <w:szCs w:val="28"/>
        </w:rPr>
        <w:t>, Харківській (4,18 проти 2,42 відповідно)</w:t>
      </w:r>
      <w:r w:rsidRPr="0098566C">
        <w:rPr>
          <w:rFonts w:cs="Times New Roman"/>
          <w:szCs w:val="28"/>
        </w:rPr>
        <w:t xml:space="preserve"> та </w:t>
      </w:r>
      <w:r w:rsidR="00504DE2">
        <w:rPr>
          <w:rFonts w:cs="Times New Roman"/>
          <w:szCs w:val="28"/>
        </w:rPr>
        <w:t>Хмельницькій</w:t>
      </w:r>
      <w:r w:rsidRPr="0098566C">
        <w:rPr>
          <w:rFonts w:cs="Times New Roman"/>
          <w:szCs w:val="28"/>
        </w:rPr>
        <w:t xml:space="preserve"> (</w:t>
      </w:r>
      <w:r w:rsidR="00504DE2">
        <w:rPr>
          <w:rFonts w:cs="Times New Roman"/>
          <w:szCs w:val="28"/>
        </w:rPr>
        <w:t>5,0</w:t>
      </w:r>
      <w:r w:rsidRPr="0098566C">
        <w:rPr>
          <w:rFonts w:cs="Times New Roman"/>
          <w:szCs w:val="28"/>
        </w:rPr>
        <w:t xml:space="preserve"> проти 2,</w:t>
      </w:r>
      <w:r w:rsidR="00504DE2">
        <w:rPr>
          <w:rFonts w:cs="Times New Roman"/>
          <w:szCs w:val="28"/>
        </w:rPr>
        <w:t>63</w:t>
      </w:r>
      <w:r w:rsidRPr="0098566C">
        <w:rPr>
          <w:rFonts w:cs="Times New Roman"/>
          <w:szCs w:val="28"/>
        </w:rPr>
        <w:t xml:space="preserve"> відповідно) областях. Критично низький рівень відстеження контактів зафіксовано в Івано-Франківській (1,0</w:t>
      </w:r>
      <w:r w:rsidR="00EA1706">
        <w:rPr>
          <w:rFonts w:cs="Times New Roman"/>
          <w:szCs w:val="28"/>
        </w:rPr>
        <w:t>4</w:t>
      </w:r>
      <w:r w:rsidRPr="0098566C">
        <w:rPr>
          <w:rFonts w:cs="Times New Roman"/>
          <w:szCs w:val="28"/>
        </w:rPr>
        <w:t xml:space="preserve"> проти </w:t>
      </w:r>
      <w:r w:rsidR="00EA1706">
        <w:rPr>
          <w:rFonts w:cs="Times New Roman"/>
          <w:szCs w:val="28"/>
        </w:rPr>
        <w:t>2,99</w:t>
      </w:r>
      <w:r w:rsidRPr="0098566C">
        <w:rPr>
          <w:rFonts w:cs="Times New Roman"/>
          <w:szCs w:val="28"/>
        </w:rPr>
        <w:t xml:space="preserve"> відповідно), </w:t>
      </w:r>
      <w:r w:rsidR="00EA1706">
        <w:rPr>
          <w:rFonts w:cs="Times New Roman"/>
          <w:szCs w:val="28"/>
        </w:rPr>
        <w:t xml:space="preserve">Житомирській </w:t>
      </w:r>
      <w:r w:rsidRPr="0098566C">
        <w:rPr>
          <w:rFonts w:cs="Times New Roman"/>
          <w:szCs w:val="28"/>
        </w:rPr>
        <w:t>(1,0</w:t>
      </w:r>
      <w:r w:rsidR="00EA1706">
        <w:rPr>
          <w:rFonts w:cs="Times New Roman"/>
          <w:szCs w:val="28"/>
        </w:rPr>
        <w:t>1</w:t>
      </w:r>
      <w:r w:rsidRPr="0098566C">
        <w:rPr>
          <w:rFonts w:cs="Times New Roman"/>
          <w:szCs w:val="28"/>
        </w:rPr>
        <w:t xml:space="preserve"> проти 2,</w:t>
      </w:r>
      <w:r w:rsidR="00EA1706">
        <w:rPr>
          <w:rFonts w:cs="Times New Roman"/>
          <w:szCs w:val="28"/>
        </w:rPr>
        <w:t>49</w:t>
      </w:r>
      <w:r w:rsidRPr="0098566C">
        <w:rPr>
          <w:rFonts w:cs="Times New Roman"/>
          <w:szCs w:val="28"/>
        </w:rPr>
        <w:t xml:space="preserve"> відповідно), </w:t>
      </w:r>
      <w:r w:rsidR="00EA1706">
        <w:rPr>
          <w:rFonts w:cs="Times New Roman"/>
          <w:szCs w:val="28"/>
        </w:rPr>
        <w:t>Сумській</w:t>
      </w:r>
      <w:r w:rsidRPr="0098566C">
        <w:rPr>
          <w:rFonts w:cs="Times New Roman"/>
          <w:szCs w:val="28"/>
        </w:rPr>
        <w:t xml:space="preserve"> (0,</w:t>
      </w:r>
      <w:r w:rsidR="00EA1706">
        <w:rPr>
          <w:rFonts w:cs="Times New Roman"/>
          <w:szCs w:val="28"/>
        </w:rPr>
        <w:t>79</w:t>
      </w:r>
      <w:r w:rsidRPr="0098566C">
        <w:rPr>
          <w:rFonts w:cs="Times New Roman"/>
          <w:szCs w:val="28"/>
        </w:rPr>
        <w:t xml:space="preserve"> проти 2,</w:t>
      </w:r>
      <w:r w:rsidR="00EA1706">
        <w:rPr>
          <w:rFonts w:cs="Times New Roman"/>
          <w:szCs w:val="28"/>
        </w:rPr>
        <w:t>42</w:t>
      </w:r>
      <w:r w:rsidRPr="0098566C">
        <w:rPr>
          <w:rFonts w:cs="Times New Roman"/>
          <w:szCs w:val="28"/>
        </w:rPr>
        <w:t xml:space="preserve"> відповідно), </w:t>
      </w:r>
      <w:r w:rsidR="00EA1706">
        <w:rPr>
          <w:rFonts w:cs="Times New Roman"/>
          <w:szCs w:val="28"/>
        </w:rPr>
        <w:t>Черкаській</w:t>
      </w:r>
      <w:r w:rsidRPr="0098566C">
        <w:rPr>
          <w:rFonts w:cs="Times New Roman"/>
          <w:szCs w:val="28"/>
        </w:rPr>
        <w:t xml:space="preserve"> (0,</w:t>
      </w:r>
      <w:r w:rsidR="00EA1706">
        <w:rPr>
          <w:rFonts w:cs="Times New Roman"/>
          <w:szCs w:val="28"/>
        </w:rPr>
        <w:t>36</w:t>
      </w:r>
      <w:r w:rsidRPr="0098566C">
        <w:rPr>
          <w:rFonts w:cs="Times New Roman"/>
          <w:szCs w:val="28"/>
        </w:rPr>
        <w:t xml:space="preserve"> проти 2,</w:t>
      </w:r>
      <w:r w:rsidR="00EA1706">
        <w:rPr>
          <w:rFonts w:cs="Times New Roman"/>
          <w:szCs w:val="28"/>
        </w:rPr>
        <w:t>34</w:t>
      </w:r>
      <w:r w:rsidRPr="0098566C">
        <w:rPr>
          <w:rFonts w:cs="Times New Roman"/>
          <w:szCs w:val="28"/>
        </w:rPr>
        <w:t xml:space="preserve"> відповідно) та </w:t>
      </w:r>
      <w:r w:rsidR="00EA1706">
        <w:rPr>
          <w:rFonts w:cs="Times New Roman"/>
          <w:szCs w:val="28"/>
        </w:rPr>
        <w:t>Чернівецькій</w:t>
      </w:r>
      <w:r w:rsidRPr="0098566C">
        <w:rPr>
          <w:rFonts w:cs="Times New Roman"/>
          <w:szCs w:val="28"/>
        </w:rPr>
        <w:t xml:space="preserve"> (</w:t>
      </w:r>
      <w:r w:rsidR="00EA1706">
        <w:rPr>
          <w:rFonts w:cs="Times New Roman"/>
          <w:szCs w:val="28"/>
        </w:rPr>
        <w:t>1,06</w:t>
      </w:r>
      <w:r w:rsidRPr="0098566C">
        <w:rPr>
          <w:rFonts w:cs="Times New Roman"/>
          <w:szCs w:val="28"/>
        </w:rPr>
        <w:t xml:space="preserve"> проти 2,</w:t>
      </w:r>
      <w:r w:rsidR="00EA1706">
        <w:rPr>
          <w:rFonts w:cs="Times New Roman"/>
          <w:szCs w:val="28"/>
        </w:rPr>
        <w:t>89</w:t>
      </w:r>
      <w:r w:rsidRPr="0098566C">
        <w:rPr>
          <w:rFonts w:cs="Times New Roman"/>
          <w:szCs w:val="28"/>
        </w:rPr>
        <w:t xml:space="preserve"> відповідно)</w:t>
      </w:r>
      <w:r w:rsidR="00EA1706" w:rsidRPr="00EA1706">
        <w:rPr>
          <w:rFonts w:cs="Times New Roman"/>
          <w:szCs w:val="28"/>
        </w:rPr>
        <w:t xml:space="preserve"> </w:t>
      </w:r>
      <w:r w:rsidR="00EA1706" w:rsidRPr="0098566C">
        <w:rPr>
          <w:rFonts w:cs="Times New Roman"/>
          <w:szCs w:val="28"/>
        </w:rPr>
        <w:t>областях</w:t>
      </w:r>
      <w:r w:rsidRPr="0098566C">
        <w:rPr>
          <w:rFonts w:cs="Times New Roman"/>
          <w:szCs w:val="28"/>
        </w:rPr>
        <w:t>.</w:t>
      </w:r>
    </w:p>
    <w:p w14:paraId="436CBB0F" w14:textId="77777777" w:rsidR="00593721" w:rsidRPr="00E52E1F" w:rsidRDefault="00593721" w:rsidP="00593721">
      <w:pPr>
        <w:widowControl w:val="0"/>
        <w:pBdr>
          <w:top w:val="nil"/>
          <w:left w:val="nil"/>
          <w:bottom w:val="nil"/>
          <w:right w:val="nil"/>
          <w:between w:val="nil"/>
        </w:pBdr>
        <w:ind w:firstLine="0"/>
        <w:jc w:val="center"/>
        <w:rPr>
          <w:rFonts w:cs="Times New Roman"/>
          <w:szCs w:val="28"/>
          <w:highlight w:val="yellow"/>
        </w:rPr>
      </w:pPr>
      <w:r w:rsidRPr="00E52E1F">
        <w:rPr>
          <w:rFonts w:cs="Times New Roman"/>
          <w:noProof/>
          <w:szCs w:val="28"/>
          <w:highlight w:val="yellow"/>
        </w:rPr>
        <w:drawing>
          <wp:inline distT="0" distB="0" distL="0" distR="0" wp14:anchorId="742E3678" wp14:editId="05E0C5BE">
            <wp:extent cx="5080883" cy="2806811"/>
            <wp:effectExtent l="0" t="0" r="24765" b="12700"/>
            <wp:docPr id="37" name="Диаграмма 37">
              <a:extLst xmlns:a="http://schemas.openxmlformats.org/drawingml/2006/main">
                <a:ext uri="{FF2B5EF4-FFF2-40B4-BE49-F238E27FC236}">
                  <a16:creationId xmlns:a16="http://schemas.microsoft.com/office/drawing/2014/main" id="{F9E1848E-4AA7-4210-A228-83CF55C1B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D510092" w14:textId="412392BF" w:rsidR="00593721" w:rsidRPr="00E52E1F" w:rsidRDefault="00593721" w:rsidP="00593721">
      <w:pPr>
        <w:widowControl w:val="0"/>
        <w:pBdr>
          <w:top w:val="nil"/>
          <w:left w:val="nil"/>
          <w:bottom w:val="nil"/>
          <w:right w:val="nil"/>
          <w:between w:val="nil"/>
        </w:pBdr>
        <w:spacing w:before="120" w:after="120"/>
        <w:ind w:firstLine="0"/>
        <w:jc w:val="center"/>
        <w:rPr>
          <w:rFonts w:cs="Times New Roman"/>
          <w:b/>
          <w:szCs w:val="28"/>
          <w:highlight w:val="yellow"/>
        </w:rPr>
      </w:pPr>
      <w:r w:rsidRPr="00100034">
        <w:rPr>
          <w:rFonts w:cs="Times New Roman"/>
          <w:b/>
          <w:szCs w:val="28"/>
        </w:rPr>
        <w:t>Рисунок </w:t>
      </w:r>
      <w:r w:rsidR="00340602">
        <w:rPr>
          <w:rFonts w:cs="Times New Roman"/>
          <w:b/>
          <w:szCs w:val="28"/>
        </w:rPr>
        <w:t>3</w:t>
      </w:r>
      <w:r w:rsidRPr="00100034">
        <w:rPr>
          <w:rFonts w:cs="Times New Roman"/>
          <w:b/>
          <w:szCs w:val="28"/>
        </w:rPr>
        <w:t xml:space="preserve">.2. Середній індекс виявлених та обстежених контактів </w:t>
      </w:r>
      <w:r w:rsidRPr="00100034">
        <w:rPr>
          <w:rFonts w:cs="Times New Roman"/>
          <w:b/>
          <w:szCs w:val="28"/>
        </w:rPr>
        <w:br/>
        <w:t>на один індексний випадок (регіональні паспортні анкети, 202</w:t>
      </w:r>
      <w:r w:rsidR="00100034" w:rsidRPr="00100034">
        <w:rPr>
          <w:rFonts w:cs="Times New Roman"/>
          <w:b/>
          <w:szCs w:val="28"/>
        </w:rPr>
        <w:t>1</w:t>
      </w:r>
      <w:r w:rsidRPr="00100034">
        <w:rPr>
          <w:rFonts w:cs="Times New Roman"/>
          <w:b/>
          <w:szCs w:val="28"/>
        </w:rPr>
        <w:t xml:space="preserve"> р.)</w:t>
      </w:r>
    </w:p>
    <w:p w14:paraId="678FBDE0" w14:textId="52F82CBB" w:rsidR="00593721" w:rsidRPr="008E0A57" w:rsidRDefault="00593721" w:rsidP="00593721">
      <w:pPr>
        <w:widowControl w:val="0"/>
        <w:pBdr>
          <w:top w:val="nil"/>
          <w:left w:val="nil"/>
          <w:bottom w:val="nil"/>
          <w:right w:val="nil"/>
          <w:between w:val="nil"/>
        </w:pBdr>
        <w:rPr>
          <w:rFonts w:cs="Times New Roman"/>
          <w:szCs w:val="28"/>
        </w:rPr>
      </w:pPr>
      <w:r w:rsidRPr="008E0A57">
        <w:rPr>
          <w:rFonts w:cs="Times New Roman"/>
          <w:szCs w:val="28"/>
        </w:rPr>
        <w:t xml:space="preserve">За результатами аналізу регіональних паспортних анкет досягнуто цільового значення показника щодо охоплення обстеженням на ТБ серед виявлених контактних осіб у </w:t>
      </w:r>
      <w:r w:rsidR="008E0A57" w:rsidRPr="008E0A57">
        <w:rPr>
          <w:rFonts w:cs="Times New Roman"/>
          <w:szCs w:val="28"/>
        </w:rPr>
        <w:t>більшості регіонів України.</w:t>
      </w:r>
      <w:r w:rsidRPr="008E0A57">
        <w:rPr>
          <w:rFonts w:cs="Times New Roman"/>
          <w:szCs w:val="28"/>
        </w:rPr>
        <w:t xml:space="preserve"> Найнижчі показники охоплення систематичним скринінгом на ТБ серед контактних осіб зафіксовано у Запорізькій (</w:t>
      </w:r>
      <w:r w:rsidR="008E0A57" w:rsidRPr="008E0A57">
        <w:rPr>
          <w:rFonts w:cs="Times New Roman"/>
          <w:szCs w:val="28"/>
        </w:rPr>
        <w:t>85,6</w:t>
      </w:r>
      <w:r w:rsidRPr="008E0A57">
        <w:rPr>
          <w:rFonts w:cs="Times New Roman"/>
          <w:szCs w:val="28"/>
        </w:rPr>
        <w:t xml:space="preserve">%), </w:t>
      </w:r>
      <w:r w:rsidR="008E0A57" w:rsidRPr="008E0A57">
        <w:rPr>
          <w:rFonts w:cs="Times New Roman"/>
          <w:szCs w:val="28"/>
        </w:rPr>
        <w:t xml:space="preserve">Дніпропетровській </w:t>
      </w:r>
      <w:r w:rsidRPr="008E0A57">
        <w:rPr>
          <w:rFonts w:cs="Times New Roman"/>
          <w:szCs w:val="28"/>
        </w:rPr>
        <w:t>(</w:t>
      </w:r>
      <w:r w:rsidR="008E0A57" w:rsidRPr="008E0A57">
        <w:rPr>
          <w:rFonts w:cs="Times New Roman"/>
          <w:szCs w:val="28"/>
        </w:rPr>
        <w:t>88,0</w:t>
      </w:r>
      <w:r w:rsidRPr="008E0A57">
        <w:rPr>
          <w:rFonts w:cs="Times New Roman"/>
          <w:szCs w:val="28"/>
        </w:rPr>
        <w:t xml:space="preserve">%) та </w:t>
      </w:r>
      <w:r w:rsidR="008E0A57" w:rsidRPr="008E0A57">
        <w:rPr>
          <w:rFonts w:cs="Times New Roman"/>
          <w:szCs w:val="28"/>
        </w:rPr>
        <w:t>Полтавській</w:t>
      </w:r>
      <w:r w:rsidRPr="008E0A57">
        <w:rPr>
          <w:rFonts w:cs="Times New Roman"/>
          <w:szCs w:val="28"/>
        </w:rPr>
        <w:t xml:space="preserve"> (</w:t>
      </w:r>
      <w:r w:rsidR="008E0A57" w:rsidRPr="008E0A57">
        <w:rPr>
          <w:rFonts w:cs="Times New Roman"/>
          <w:szCs w:val="28"/>
        </w:rPr>
        <w:t>78</w:t>
      </w:r>
      <w:r w:rsidRPr="008E0A57">
        <w:rPr>
          <w:rFonts w:cs="Times New Roman"/>
          <w:szCs w:val="28"/>
        </w:rPr>
        <w:t>%) областях.</w:t>
      </w:r>
    </w:p>
    <w:p w14:paraId="1074163E" w14:textId="73D201E8" w:rsidR="00593721" w:rsidRPr="003346AD" w:rsidRDefault="00593721" w:rsidP="00733323">
      <w:pPr>
        <w:widowControl w:val="0"/>
        <w:pBdr>
          <w:top w:val="nil"/>
          <w:left w:val="nil"/>
          <w:bottom w:val="nil"/>
          <w:right w:val="nil"/>
          <w:between w:val="nil"/>
        </w:pBdr>
        <w:spacing w:after="240" w:line="252" w:lineRule="auto"/>
        <w:rPr>
          <w:rFonts w:cs="Times New Roman"/>
          <w:szCs w:val="28"/>
        </w:rPr>
      </w:pPr>
      <w:r w:rsidRPr="008E0A57">
        <w:rPr>
          <w:rFonts w:cs="Times New Roman"/>
          <w:szCs w:val="28"/>
        </w:rPr>
        <w:t xml:space="preserve">Питома вага контактних дітей віком &lt;5 років, яким було проведено клінічне оцінювання щодо ТБ, в середньому по Україні у 2020 р. становить </w:t>
      </w:r>
      <w:r w:rsidR="008E0A57" w:rsidRPr="008E0A57">
        <w:rPr>
          <w:rFonts w:cs="Times New Roman"/>
          <w:szCs w:val="28"/>
        </w:rPr>
        <w:t>98,3</w:t>
      </w:r>
      <w:r w:rsidRPr="008E0A57">
        <w:rPr>
          <w:rFonts w:cs="Times New Roman"/>
          <w:szCs w:val="28"/>
        </w:rPr>
        <w:t xml:space="preserve">% (мета – 100%). </w:t>
      </w:r>
      <w:r w:rsidRPr="003346AD">
        <w:rPr>
          <w:rFonts w:cs="Times New Roman"/>
          <w:szCs w:val="28"/>
        </w:rPr>
        <w:t xml:space="preserve">В переважній більшості регіонів досягнуто цільового значення показника або значення показника вище за середній по Україні </w:t>
      </w:r>
      <w:r w:rsidR="003346AD">
        <w:rPr>
          <w:rFonts w:cs="Times New Roman"/>
          <w:szCs w:val="28"/>
        </w:rPr>
        <w:t xml:space="preserve"> (98,3) </w:t>
      </w:r>
      <w:r w:rsidRPr="003346AD">
        <w:rPr>
          <w:rFonts w:cs="Times New Roman"/>
          <w:szCs w:val="28"/>
        </w:rPr>
        <w:t>за виключенням Львівської (</w:t>
      </w:r>
      <w:r w:rsidR="008E0A57" w:rsidRPr="003346AD">
        <w:rPr>
          <w:rFonts w:cs="Times New Roman"/>
          <w:szCs w:val="28"/>
        </w:rPr>
        <w:t>72,4</w:t>
      </w:r>
      <w:r w:rsidRPr="003346AD">
        <w:rPr>
          <w:rFonts w:cs="Times New Roman"/>
          <w:szCs w:val="28"/>
        </w:rPr>
        <w:t xml:space="preserve">%), та </w:t>
      </w:r>
      <w:r w:rsidR="008E0A57" w:rsidRPr="003346AD">
        <w:rPr>
          <w:rFonts w:cs="Times New Roman"/>
          <w:szCs w:val="28"/>
        </w:rPr>
        <w:t>Київської</w:t>
      </w:r>
      <w:r w:rsidRPr="003346AD">
        <w:rPr>
          <w:rFonts w:cs="Times New Roman"/>
          <w:szCs w:val="28"/>
        </w:rPr>
        <w:t xml:space="preserve"> (</w:t>
      </w:r>
      <w:r w:rsidR="008E0A57" w:rsidRPr="003346AD">
        <w:rPr>
          <w:rFonts w:cs="Times New Roman"/>
          <w:szCs w:val="28"/>
        </w:rPr>
        <w:t>87,3</w:t>
      </w:r>
      <w:r w:rsidRPr="003346AD">
        <w:rPr>
          <w:rFonts w:cs="Times New Roman"/>
          <w:szCs w:val="28"/>
        </w:rPr>
        <w:t xml:space="preserve">%) областей. </w:t>
      </w:r>
    </w:p>
    <w:p w14:paraId="5085F029" w14:textId="77777777" w:rsidR="00593721" w:rsidRPr="00E52E1F" w:rsidRDefault="00593721" w:rsidP="00593721">
      <w:pPr>
        <w:widowControl w:val="0"/>
        <w:pBdr>
          <w:top w:val="nil"/>
          <w:left w:val="nil"/>
          <w:bottom w:val="nil"/>
          <w:right w:val="nil"/>
          <w:between w:val="nil"/>
        </w:pBdr>
        <w:ind w:firstLine="0"/>
        <w:jc w:val="center"/>
        <w:rPr>
          <w:rFonts w:cs="Times New Roman"/>
          <w:szCs w:val="28"/>
          <w:highlight w:val="yellow"/>
        </w:rPr>
      </w:pPr>
      <w:r w:rsidRPr="00E52E1F">
        <w:rPr>
          <w:rFonts w:cs="Times New Roman"/>
          <w:noProof/>
          <w:szCs w:val="28"/>
          <w:highlight w:val="yellow"/>
        </w:rPr>
        <w:lastRenderedPageBreak/>
        <w:drawing>
          <wp:inline distT="0" distB="0" distL="0" distR="0" wp14:anchorId="2C739446" wp14:editId="353FF8EE">
            <wp:extent cx="5454594" cy="2957885"/>
            <wp:effectExtent l="0" t="0" r="13335" b="13970"/>
            <wp:docPr id="38" name="Діаграма 38">
              <a:extLst xmlns:a="http://schemas.openxmlformats.org/drawingml/2006/main">
                <a:ext uri="{FF2B5EF4-FFF2-40B4-BE49-F238E27FC236}">
                  <a16:creationId xmlns:a16="http://schemas.microsoft.com/office/drawing/2014/main" id="{09AA3D80-024F-4083-A30D-B87885632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D5B321B" w14:textId="79102001" w:rsidR="00593721" w:rsidRPr="00E52E1F" w:rsidRDefault="00593721" w:rsidP="00733323">
      <w:pPr>
        <w:widowControl w:val="0"/>
        <w:pBdr>
          <w:top w:val="nil"/>
          <w:left w:val="nil"/>
          <w:bottom w:val="nil"/>
          <w:right w:val="nil"/>
          <w:between w:val="nil"/>
        </w:pBdr>
        <w:spacing w:before="120" w:after="120" w:line="252" w:lineRule="auto"/>
        <w:ind w:firstLine="0"/>
        <w:jc w:val="center"/>
        <w:rPr>
          <w:rFonts w:cs="Times New Roman"/>
          <w:b/>
          <w:szCs w:val="28"/>
          <w:highlight w:val="yellow"/>
        </w:rPr>
      </w:pPr>
      <w:r w:rsidRPr="008E0A57">
        <w:rPr>
          <w:rFonts w:cs="Times New Roman"/>
          <w:b/>
          <w:szCs w:val="28"/>
        </w:rPr>
        <w:t>Рисунок </w:t>
      </w:r>
      <w:r w:rsidR="00340602">
        <w:rPr>
          <w:rFonts w:cs="Times New Roman"/>
          <w:b/>
          <w:szCs w:val="28"/>
        </w:rPr>
        <w:t>3</w:t>
      </w:r>
      <w:r w:rsidRPr="008E0A57">
        <w:rPr>
          <w:rFonts w:cs="Times New Roman"/>
          <w:b/>
          <w:szCs w:val="28"/>
        </w:rPr>
        <w:t xml:space="preserve">.3. Показники охопленнями обстеженням на ТБ </w:t>
      </w:r>
      <w:r w:rsidRPr="008E0A57">
        <w:rPr>
          <w:rFonts w:cs="Times New Roman"/>
          <w:b/>
          <w:szCs w:val="28"/>
        </w:rPr>
        <w:br/>
        <w:t xml:space="preserve">осередкових контактів, % (за даними паспортних анкет </w:t>
      </w:r>
      <w:r w:rsidRPr="008E0A57">
        <w:rPr>
          <w:rFonts w:cs="Times New Roman"/>
          <w:b/>
          <w:szCs w:val="28"/>
        </w:rPr>
        <w:br/>
        <w:t>регіонів за 202</w:t>
      </w:r>
      <w:r w:rsidR="008E0A57">
        <w:rPr>
          <w:rFonts w:cs="Times New Roman"/>
          <w:b/>
          <w:szCs w:val="28"/>
        </w:rPr>
        <w:t>1</w:t>
      </w:r>
      <w:r w:rsidRPr="008E0A57">
        <w:rPr>
          <w:rFonts w:cs="Times New Roman"/>
          <w:b/>
          <w:szCs w:val="28"/>
        </w:rPr>
        <w:t> р.)</w:t>
      </w:r>
    </w:p>
    <w:p w14:paraId="6E9E0E26" w14:textId="77777777" w:rsidR="00593721" w:rsidRPr="00FC32AF" w:rsidRDefault="00593721" w:rsidP="00733323">
      <w:pPr>
        <w:pStyle w:val="2"/>
        <w:spacing w:line="252" w:lineRule="auto"/>
      </w:pPr>
      <w:bookmarkStart w:id="79" w:name="_Toc88088858"/>
      <w:bookmarkStart w:id="80" w:name="_Toc89149137"/>
      <w:r w:rsidRPr="00FC32AF">
        <w:t>Виявлення ТБ серед інших груп ризику</w:t>
      </w:r>
      <w:bookmarkEnd w:id="79"/>
      <w:bookmarkEnd w:id="80"/>
      <w:r w:rsidRPr="00FC32AF">
        <w:t xml:space="preserve"> </w:t>
      </w:r>
    </w:p>
    <w:p w14:paraId="4091A790" w14:textId="1B08FB10" w:rsidR="00593721" w:rsidRPr="008C19F7" w:rsidRDefault="00593721" w:rsidP="00733323">
      <w:pPr>
        <w:widowControl w:val="0"/>
        <w:pBdr>
          <w:top w:val="nil"/>
          <w:left w:val="nil"/>
          <w:bottom w:val="nil"/>
          <w:right w:val="nil"/>
          <w:between w:val="nil"/>
        </w:pBdr>
        <w:spacing w:line="252" w:lineRule="auto"/>
        <w:rPr>
          <w:rFonts w:cs="Times New Roman"/>
          <w:szCs w:val="28"/>
        </w:rPr>
      </w:pPr>
      <w:r w:rsidRPr="008C19F7">
        <w:rPr>
          <w:rFonts w:cs="Times New Roman"/>
          <w:szCs w:val="28"/>
        </w:rPr>
        <w:t xml:space="preserve">Середній показник охоплення систематичним скринінгом на ТБ осіб, які працюють або працювали в минулому у виробничих умовах із впливом діоксиду </w:t>
      </w:r>
      <w:proofErr w:type="spellStart"/>
      <w:r w:rsidRPr="008C19F7">
        <w:rPr>
          <w:rFonts w:cs="Times New Roman"/>
          <w:szCs w:val="28"/>
        </w:rPr>
        <w:t>силіціуму</w:t>
      </w:r>
      <w:proofErr w:type="spellEnd"/>
      <w:r w:rsidRPr="008C19F7">
        <w:rPr>
          <w:rFonts w:cs="Times New Roman"/>
          <w:szCs w:val="28"/>
        </w:rPr>
        <w:t>, в Україні у 202</w:t>
      </w:r>
      <w:r w:rsidR="006C4377" w:rsidRPr="008C19F7">
        <w:rPr>
          <w:rFonts w:cs="Times New Roman"/>
          <w:szCs w:val="28"/>
        </w:rPr>
        <w:t>1</w:t>
      </w:r>
      <w:r w:rsidRPr="008C19F7">
        <w:rPr>
          <w:rFonts w:cs="Times New Roman"/>
          <w:szCs w:val="28"/>
        </w:rPr>
        <w:t xml:space="preserve"> р. становить </w:t>
      </w:r>
      <w:r w:rsidR="006C4377" w:rsidRPr="008C19F7">
        <w:rPr>
          <w:rFonts w:cs="Times New Roman"/>
          <w:szCs w:val="28"/>
        </w:rPr>
        <w:t>89,7</w:t>
      </w:r>
      <w:r w:rsidRPr="008C19F7">
        <w:rPr>
          <w:rFonts w:cs="Times New Roman"/>
          <w:szCs w:val="28"/>
        </w:rPr>
        <w:t>% (мета – 100%). Вплив кварцового пилу та силікоз є одними з найсильніших факторів ризику розвитку ТБ: за наявності силікозу відносний ризик становить 2,8–39 залежно від тяжкості захворювання. Дуже важливим є проведення діагностики ТБ на ранніх стадіях у цій групі ризику, оскільки існує велика ймовірність випадків не виявленого ТБ, а також наявності інших легеневих захворювань, які можуть бути виявлені за допомогою скринінгу.</w:t>
      </w:r>
    </w:p>
    <w:p w14:paraId="2ED61E66" w14:textId="206E01B0" w:rsidR="00593721" w:rsidRPr="008C19F7" w:rsidRDefault="00593721" w:rsidP="00733323">
      <w:pPr>
        <w:widowControl w:val="0"/>
        <w:pBdr>
          <w:top w:val="nil"/>
          <w:left w:val="nil"/>
          <w:bottom w:val="nil"/>
          <w:right w:val="nil"/>
          <w:between w:val="nil"/>
        </w:pBdr>
        <w:spacing w:line="252" w:lineRule="auto"/>
        <w:rPr>
          <w:rFonts w:cs="Times New Roman"/>
          <w:szCs w:val="28"/>
        </w:rPr>
      </w:pPr>
      <w:r w:rsidRPr="008C19F7">
        <w:rPr>
          <w:rFonts w:cs="Times New Roman"/>
          <w:szCs w:val="28"/>
        </w:rPr>
        <w:t xml:space="preserve">В ряді паспортних анкет регіонів, а саме – у </w:t>
      </w:r>
      <w:r w:rsidR="008C19F7" w:rsidRPr="008C19F7">
        <w:rPr>
          <w:rFonts w:cs="Times New Roman"/>
          <w:szCs w:val="28"/>
        </w:rPr>
        <w:t>Вінницькій</w:t>
      </w:r>
      <w:r w:rsidRPr="008C19F7">
        <w:rPr>
          <w:rFonts w:cs="Times New Roman"/>
          <w:szCs w:val="28"/>
        </w:rPr>
        <w:t>, Житомирській, Івано-Франківській, Львівській, Миколаївській, Рівненській, Сумській, Херсонській, Чернівецькій, Чернігівській областях показник загальної чисельності зазначеної групи ризику позначено як 0 осіб.</w:t>
      </w:r>
    </w:p>
    <w:p w14:paraId="6758F5C9" w14:textId="3B102C7D" w:rsidR="00593721" w:rsidRPr="009B7D86" w:rsidRDefault="00593721" w:rsidP="00733323">
      <w:pPr>
        <w:widowControl w:val="0"/>
        <w:pBdr>
          <w:top w:val="nil"/>
          <w:left w:val="nil"/>
          <w:bottom w:val="nil"/>
          <w:right w:val="nil"/>
          <w:between w:val="nil"/>
        </w:pBdr>
        <w:spacing w:line="252" w:lineRule="auto"/>
        <w:rPr>
          <w:rFonts w:cs="Times New Roman"/>
          <w:szCs w:val="28"/>
        </w:rPr>
      </w:pPr>
      <w:r w:rsidRPr="009B7D86">
        <w:rPr>
          <w:rFonts w:cs="Times New Roman"/>
          <w:szCs w:val="28"/>
        </w:rPr>
        <w:t>Середній показник охоплення систематичним скринінгом на ТБ медичних працівників в Україні у 202</w:t>
      </w:r>
      <w:r w:rsidR="008C19F7" w:rsidRPr="009B7D86">
        <w:rPr>
          <w:rFonts w:cs="Times New Roman"/>
          <w:szCs w:val="28"/>
        </w:rPr>
        <w:t>1</w:t>
      </w:r>
      <w:r w:rsidRPr="009B7D86">
        <w:rPr>
          <w:rFonts w:cs="Times New Roman"/>
          <w:szCs w:val="28"/>
        </w:rPr>
        <w:t> р. становить 8</w:t>
      </w:r>
      <w:r w:rsidR="008C19F7" w:rsidRPr="009B7D86">
        <w:rPr>
          <w:rFonts w:cs="Times New Roman"/>
          <w:szCs w:val="28"/>
        </w:rPr>
        <w:t>5,1</w:t>
      </w:r>
      <w:r w:rsidRPr="009B7D86">
        <w:rPr>
          <w:rFonts w:cs="Times New Roman"/>
          <w:szCs w:val="28"/>
        </w:rPr>
        <w:t>% (мета – 100%). За даними публікацій, показник захворюваності на ТБ серед працівників галузі охорони здоров’я становить 2,94 порівняно до загальної популяції.</w:t>
      </w:r>
    </w:p>
    <w:p w14:paraId="5ADA0BD7" w14:textId="12639D81" w:rsidR="00593721" w:rsidRPr="004D76F9" w:rsidRDefault="00593721" w:rsidP="00593721">
      <w:pPr>
        <w:widowControl w:val="0"/>
        <w:pBdr>
          <w:top w:val="nil"/>
          <w:left w:val="nil"/>
          <w:bottom w:val="nil"/>
          <w:right w:val="nil"/>
          <w:between w:val="nil"/>
        </w:pBdr>
        <w:rPr>
          <w:rFonts w:cs="Times New Roman"/>
          <w:szCs w:val="28"/>
        </w:rPr>
      </w:pPr>
      <w:r w:rsidRPr="004D76F9">
        <w:rPr>
          <w:rFonts w:cs="Times New Roman"/>
          <w:szCs w:val="28"/>
        </w:rPr>
        <w:t>За даними регіональних паспортних анкет, у 202</w:t>
      </w:r>
      <w:r w:rsidR="009B7D86" w:rsidRPr="004D76F9">
        <w:rPr>
          <w:rFonts w:cs="Times New Roman"/>
          <w:szCs w:val="28"/>
        </w:rPr>
        <w:t>1</w:t>
      </w:r>
      <w:r w:rsidRPr="004D76F9">
        <w:rPr>
          <w:rFonts w:cs="Times New Roman"/>
          <w:szCs w:val="28"/>
        </w:rPr>
        <w:t xml:space="preserve"> р. досягнуто цільового значення показника у Закарпатській, Запорізькій, Кіровоградській, </w:t>
      </w:r>
      <w:r w:rsidR="009B7D86" w:rsidRPr="004D76F9">
        <w:rPr>
          <w:rFonts w:cs="Times New Roman"/>
          <w:szCs w:val="28"/>
        </w:rPr>
        <w:t>Миколаївській</w:t>
      </w:r>
      <w:r w:rsidRPr="004D76F9">
        <w:rPr>
          <w:rFonts w:cs="Times New Roman"/>
          <w:szCs w:val="28"/>
        </w:rPr>
        <w:t>, Рівненській</w:t>
      </w:r>
      <w:r w:rsidR="009B7D86" w:rsidRPr="004D76F9">
        <w:rPr>
          <w:rFonts w:cs="Times New Roman"/>
          <w:szCs w:val="28"/>
        </w:rPr>
        <w:t>, Сумській, Черкаській</w:t>
      </w:r>
      <w:r w:rsidRPr="004D76F9">
        <w:rPr>
          <w:rFonts w:cs="Times New Roman"/>
          <w:szCs w:val="28"/>
        </w:rPr>
        <w:t xml:space="preserve"> </w:t>
      </w:r>
      <w:r w:rsidR="009B7D86" w:rsidRPr="004D76F9">
        <w:rPr>
          <w:rFonts w:cs="Times New Roman"/>
          <w:szCs w:val="28"/>
        </w:rPr>
        <w:t xml:space="preserve"> та Чернівецькій </w:t>
      </w:r>
      <w:r w:rsidRPr="004D76F9">
        <w:rPr>
          <w:rFonts w:cs="Times New Roman"/>
          <w:szCs w:val="28"/>
        </w:rPr>
        <w:t>областях. У паспортній анкеті Львівської області відсутні дані щодо охоплення систематичним скринінгом на ТБ медичних працівників.</w:t>
      </w:r>
    </w:p>
    <w:p w14:paraId="7A051F8D" w14:textId="353D4B13" w:rsidR="00593721" w:rsidRPr="00361D38" w:rsidRDefault="00593721" w:rsidP="00593721">
      <w:pPr>
        <w:widowControl w:val="0"/>
        <w:pBdr>
          <w:top w:val="nil"/>
          <w:left w:val="nil"/>
          <w:bottom w:val="nil"/>
          <w:right w:val="nil"/>
          <w:between w:val="nil"/>
        </w:pBdr>
        <w:rPr>
          <w:rFonts w:cs="Times New Roman"/>
          <w:szCs w:val="28"/>
        </w:rPr>
      </w:pPr>
      <w:r w:rsidRPr="00361D38">
        <w:rPr>
          <w:rFonts w:cs="Times New Roman"/>
          <w:szCs w:val="28"/>
        </w:rPr>
        <w:t xml:space="preserve">Середній показник охоплення систематичним скринінгом на ТБ серед осіб із вперше виявленими фіброзними залишковими змінами у легенях, які </w:t>
      </w:r>
      <w:r w:rsidRPr="00361D38">
        <w:rPr>
          <w:rFonts w:cs="Times New Roman"/>
          <w:szCs w:val="28"/>
        </w:rPr>
        <w:lastRenderedPageBreak/>
        <w:t>раніше не отримували лікування ТБ, в Україні у 202</w:t>
      </w:r>
      <w:r w:rsidR="004D76F9" w:rsidRPr="00361D38">
        <w:rPr>
          <w:rFonts w:cs="Times New Roman"/>
          <w:szCs w:val="28"/>
        </w:rPr>
        <w:t>1</w:t>
      </w:r>
      <w:r w:rsidRPr="00361D38">
        <w:rPr>
          <w:rFonts w:cs="Times New Roman"/>
          <w:szCs w:val="28"/>
        </w:rPr>
        <w:t xml:space="preserve"> р. становить </w:t>
      </w:r>
      <w:r w:rsidR="004D76F9" w:rsidRPr="00361D38">
        <w:rPr>
          <w:rFonts w:cs="Times New Roman"/>
          <w:szCs w:val="28"/>
        </w:rPr>
        <w:t>63,5</w:t>
      </w:r>
      <w:r w:rsidRPr="00361D38">
        <w:rPr>
          <w:rFonts w:cs="Times New Roman"/>
          <w:szCs w:val="28"/>
        </w:rPr>
        <w:t xml:space="preserve">% (мета – 100%). Досягнуто цільового значення показника у </w:t>
      </w:r>
      <w:r w:rsidR="00361D38" w:rsidRPr="00361D38">
        <w:rPr>
          <w:rFonts w:cs="Times New Roman"/>
          <w:szCs w:val="28"/>
        </w:rPr>
        <w:t xml:space="preserve">Волинській, </w:t>
      </w:r>
      <w:r w:rsidRPr="00361D38">
        <w:rPr>
          <w:rFonts w:cs="Times New Roman"/>
          <w:szCs w:val="28"/>
        </w:rPr>
        <w:t xml:space="preserve">Запорізькій, Кіровоградській, </w:t>
      </w:r>
      <w:r w:rsidR="00361D38" w:rsidRPr="00361D38">
        <w:rPr>
          <w:rFonts w:cs="Times New Roman"/>
          <w:szCs w:val="28"/>
        </w:rPr>
        <w:t xml:space="preserve">Луганській, Одеській, Сумській, </w:t>
      </w:r>
      <w:r w:rsidRPr="00361D38">
        <w:rPr>
          <w:rFonts w:cs="Times New Roman"/>
          <w:szCs w:val="28"/>
        </w:rPr>
        <w:t xml:space="preserve">Тернопільській, </w:t>
      </w:r>
      <w:r w:rsidR="00361D38" w:rsidRPr="00361D38">
        <w:rPr>
          <w:rFonts w:cs="Times New Roman"/>
          <w:szCs w:val="28"/>
        </w:rPr>
        <w:t xml:space="preserve">Харківській та </w:t>
      </w:r>
      <w:r w:rsidRPr="00361D38">
        <w:rPr>
          <w:rFonts w:cs="Times New Roman"/>
          <w:szCs w:val="28"/>
        </w:rPr>
        <w:t xml:space="preserve">Черкаській областях. У ряді паспортних анкет регіонів, а саме – у Закарпатській, Житомирській, Івано-Франківській, Львівській, </w:t>
      </w:r>
      <w:r w:rsidR="00361D38" w:rsidRPr="00361D38">
        <w:rPr>
          <w:rFonts w:cs="Times New Roman"/>
          <w:szCs w:val="28"/>
        </w:rPr>
        <w:t xml:space="preserve">Миколаївській, </w:t>
      </w:r>
      <w:r w:rsidRPr="00361D38">
        <w:rPr>
          <w:rFonts w:cs="Times New Roman"/>
          <w:szCs w:val="28"/>
        </w:rPr>
        <w:t xml:space="preserve">Рівненській, </w:t>
      </w:r>
      <w:r w:rsidR="00361D38" w:rsidRPr="00361D38">
        <w:rPr>
          <w:rFonts w:cs="Times New Roman"/>
          <w:szCs w:val="28"/>
        </w:rPr>
        <w:t xml:space="preserve">Хмельницькій та Чернівецькій </w:t>
      </w:r>
      <w:r w:rsidRPr="00361D38">
        <w:rPr>
          <w:rFonts w:cs="Times New Roman"/>
          <w:szCs w:val="28"/>
        </w:rPr>
        <w:t>областях</w:t>
      </w:r>
      <w:r w:rsidR="00361D38" w:rsidRPr="00361D38">
        <w:rPr>
          <w:rFonts w:cs="Times New Roman"/>
          <w:szCs w:val="28"/>
        </w:rPr>
        <w:t>,</w:t>
      </w:r>
      <w:r w:rsidRPr="00361D38">
        <w:rPr>
          <w:rFonts w:cs="Times New Roman"/>
          <w:szCs w:val="28"/>
        </w:rPr>
        <w:t xml:space="preserve"> показник загальної чисельності зазначеної групи ризику становить 0 осіб.</w:t>
      </w:r>
    </w:p>
    <w:p w14:paraId="31986C5E" w14:textId="2E871DD2" w:rsidR="00593721" w:rsidRPr="00BF55FF" w:rsidRDefault="00593721" w:rsidP="00593721">
      <w:pPr>
        <w:widowControl w:val="0"/>
        <w:pBdr>
          <w:top w:val="nil"/>
          <w:left w:val="nil"/>
          <w:bottom w:val="nil"/>
          <w:right w:val="nil"/>
          <w:between w:val="nil"/>
        </w:pBdr>
        <w:rPr>
          <w:rFonts w:cs="Times New Roman"/>
          <w:szCs w:val="28"/>
        </w:rPr>
      </w:pPr>
      <w:r w:rsidRPr="00141CD0">
        <w:rPr>
          <w:rFonts w:cs="Times New Roman"/>
          <w:szCs w:val="28"/>
        </w:rPr>
        <w:t>Середній показник охоплення систематичним скринінгом на ТБ серед осіб із захворюванням</w:t>
      </w:r>
      <w:r w:rsidR="00141CD0" w:rsidRPr="00141CD0">
        <w:rPr>
          <w:rFonts w:cs="Times New Roman"/>
          <w:szCs w:val="28"/>
        </w:rPr>
        <w:t xml:space="preserve">и, що призводять до ослабленого імунітету, в </w:t>
      </w:r>
      <w:proofErr w:type="spellStart"/>
      <w:r w:rsidR="00141CD0" w:rsidRPr="00141CD0">
        <w:rPr>
          <w:rFonts w:cs="Times New Roman"/>
          <w:szCs w:val="28"/>
        </w:rPr>
        <w:t>т.ч</w:t>
      </w:r>
      <w:proofErr w:type="spellEnd"/>
      <w:r w:rsidR="00141CD0" w:rsidRPr="00141CD0">
        <w:rPr>
          <w:rFonts w:cs="Times New Roman"/>
          <w:szCs w:val="28"/>
        </w:rPr>
        <w:t>.</w:t>
      </w:r>
      <w:r w:rsidRPr="00141CD0">
        <w:rPr>
          <w:rFonts w:cs="Times New Roman"/>
          <w:szCs w:val="28"/>
        </w:rPr>
        <w:t xml:space="preserve"> на цукровий діабет в Україні у 202</w:t>
      </w:r>
      <w:r w:rsidR="00141CD0" w:rsidRPr="00141CD0">
        <w:rPr>
          <w:rFonts w:cs="Times New Roman"/>
          <w:szCs w:val="28"/>
        </w:rPr>
        <w:t>1</w:t>
      </w:r>
      <w:r w:rsidRPr="00141CD0">
        <w:rPr>
          <w:rFonts w:cs="Times New Roman"/>
          <w:szCs w:val="28"/>
        </w:rPr>
        <w:t xml:space="preserve"> р. становить </w:t>
      </w:r>
      <w:r w:rsidR="00141CD0" w:rsidRPr="00141CD0">
        <w:rPr>
          <w:rFonts w:cs="Times New Roman"/>
          <w:szCs w:val="28"/>
        </w:rPr>
        <w:t>67,8</w:t>
      </w:r>
      <w:r w:rsidRPr="00141CD0">
        <w:rPr>
          <w:rFonts w:cs="Times New Roman"/>
          <w:szCs w:val="28"/>
        </w:rPr>
        <w:t xml:space="preserve">% (мета – 100%). За даними систематичних оглядів, ризик розвитку ТБ у пацієнтів із цукровим діабетом коливається від 1,5 до 2,0–3,1; менший ризик відзначено у пацієнтів з контрольованим цукровим діабетом. </w:t>
      </w:r>
      <w:r w:rsidR="00141CD0">
        <w:rPr>
          <w:rFonts w:cs="Times New Roman"/>
          <w:szCs w:val="28"/>
        </w:rPr>
        <w:t xml:space="preserve">В жодному регіоні не </w:t>
      </w:r>
      <w:r w:rsidR="00141CD0" w:rsidRPr="00BF55FF">
        <w:rPr>
          <w:rFonts w:cs="Times New Roman"/>
          <w:szCs w:val="28"/>
        </w:rPr>
        <w:t>д</w:t>
      </w:r>
      <w:r w:rsidRPr="00BF55FF">
        <w:rPr>
          <w:rFonts w:cs="Times New Roman"/>
          <w:szCs w:val="28"/>
        </w:rPr>
        <w:t>осягнуто цільового показника. Висок</w:t>
      </w:r>
      <w:r w:rsidR="00141CD0" w:rsidRPr="00BF55FF">
        <w:rPr>
          <w:rFonts w:cs="Times New Roman"/>
          <w:szCs w:val="28"/>
        </w:rPr>
        <w:t>ий</w:t>
      </w:r>
      <w:r w:rsidRPr="00BF55FF">
        <w:rPr>
          <w:rFonts w:cs="Times New Roman"/>
          <w:szCs w:val="28"/>
        </w:rPr>
        <w:t xml:space="preserve"> показник (</w:t>
      </w:r>
      <w:r w:rsidR="00141CD0" w:rsidRPr="00BF55FF">
        <w:rPr>
          <w:rFonts w:cs="Times New Roman"/>
          <w:szCs w:val="28"/>
        </w:rPr>
        <w:t>95,9%</w:t>
      </w:r>
      <w:r w:rsidRPr="00BF55FF">
        <w:rPr>
          <w:rFonts w:cs="Times New Roman"/>
          <w:szCs w:val="28"/>
        </w:rPr>
        <w:t>) виявлено у</w:t>
      </w:r>
      <w:r w:rsidR="00141CD0" w:rsidRPr="00BF55FF">
        <w:rPr>
          <w:rFonts w:cs="Times New Roman"/>
          <w:szCs w:val="28"/>
        </w:rPr>
        <w:t xml:space="preserve"> м. Києві</w:t>
      </w:r>
      <w:r w:rsidRPr="00BF55FF">
        <w:rPr>
          <w:rFonts w:cs="Times New Roman"/>
          <w:szCs w:val="28"/>
        </w:rPr>
        <w:t xml:space="preserve">. Найнижчі показники охоплення систематичним скринінгом на ТБ серед осіб із цукровим діабетом зафіксовано в </w:t>
      </w:r>
      <w:r w:rsidR="00BF55FF">
        <w:rPr>
          <w:rFonts w:cs="Times New Roman"/>
          <w:szCs w:val="28"/>
        </w:rPr>
        <w:t>Одеській</w:t>
      </w:r>
      <w:r w:rsidRPr="00BF55FF">
        <w:rPr>
          <w:rFonts w:cs="Times New Roman"/>
          <w:szCs w:val="28"/>
        </w:rPr>
        <w:t xml:space="preserve"> (</w:t>
      </w:r>
      <w:r w:rsidR="00BF55FF">
        <w:rPr>
          <w:rFonts w:cs="Times New Roman"/>
          <w:szCs w:val="28"/>
        </w:rPr>
        <w:t>39,0</w:t>
      </w:r>
      <w:r w:rsidRPr="00BF55FF">
        <w:rPr>
          <w:rFonts w:cs="Times New Roman"/>
          <w:szCs w:val="28"/>
        </w:rPr>
        <w:t xml:space="preserve">%), </w:t>
      </w:r>
      <w:r w:rsidR="00BF55FF">
        <w:rPr>
          <w:rFonts w:cs="Times New Roman"/>
          <w:szCs w:val="28"/>
        </w:rPr>
        <w:t>Чернівецькій (0%),</w:t>
      </w:r>
      <w:r w:rsidRPr="00BF55FF">
        <w:rPr>
          <w:rFonts w:cs="Times New Roman"/>
          <w:szCs w:val="28"/>
        </w:rPr>
        <w:t xml:space="preserve"> Сумській (</w:t>
      </w:r>
      <w:r w:rsidR="00BF55FF">
        <w:rPr>
          <w:rFonts w:cs="Times New Roman"/>
          <w:szCs w:val="28"/>
        </w:rPr>
        <w:t>0</w:t>
      </w:r>
      <w:r w:rsidRPr="00BF55FF">
        <w:rPr>
          <w:rFonts w:cs="Times New Roman"/>
          <w:szCs w:val="28"/>
        </w:rPr>
        <w:t>%), Тернопільській (</w:t>
      </w:r>
      <w:r w:rsidR="00BF55FF">
        <w:rPr>
          <w:rFonts w:cs="Times New Roman"/>
          <w:szCs w:val="28"/>
        </w:rPr>
        <w:t>29,1</w:t>
      </w:r>
      <w:r w:rsidRPr="00BF55FF">
        <w:rPr>
          <w:rFonts w:cs="Times New Roman"/>
          <w:szCs w:val="28"/>
        </w:rPr>
        <w:t>%) та Львівській (</w:t>
      </w:r>
      <w:r w:rsidR="00BF55FF">
        <w:rPr>
          <w:rFonts w:cs="Times New Roman"/>
          <w:szCs w:val="28"/>
        </w:rPr>
        <w:t>0</w:t>
      </w:r>
      <w:r w:rsidRPr="00BF55FF">
        <w:rPr>
          <w:rFonts w:cs="Times New Roman"/>
          <w:szCs w:val="28"/>
        </w:rPr>
        <w:t>%) областях.</w:t>
      </w:r>
    </w:p>
    <w:p w14:paraId="3F822DA3" w14:textId="43E26E31" w:rsidR="00593721" w:rsidRPr="00BF55FF" w:rsidRDefault="00593721" w:rsidP="00593721">
      <w:pPr>
        <w:widowControl w:val="0"/>
        <w:pBdr>
          <w:top w:val="nil"/>
          <w:left w:val="nil"/>
          <w:bottom w:val="nil"/>
          <w:right w:val="nil"/>
          <w:between w:val="nil"/>
        </w:pBdr>
        <w:rPr>
          <w:rFonts w:cs="Times New Roman"/>
          <w:szCs w:val="28"/>
        </w:rPr>
      </w:pPr>
      <w:r w:rsidRPr="00BF55FF">
        <w:rPr>
          <w:rFonts w:cs="Times New Roman"/>
          <w:szCs w:val="28"/>
        </w:rPr>
        <w:t>Середній показник охоплення систематичним скринінгом на ТБ серед осіб, які зловживають алкоголем чи вживають наркотичні речовини та перебувають на диспансерному обліку у лікаря-нарколога, в Україні у 202</w:t>
      </w:r>
      <w:r w:rsidR="00BF55FF" w:rsidRPr="00BF55FF">
        <w:rPr>
          <w:rFonts w:cs="Times New Roman"/>
          <w:szCs w:val="28"/>
        </w:rPr>
        <w:t>1</w:t>
      </w:r>
      <w:r w:rsidRPr="00BF55FF">
        <w:rPr>
          <w:rFonts w:cs="Times New Roman"/>
          <w:szCs w:val="28"/>
        </w:rPr>
        <w:t xml:space="preserve"> р. становить </w:t>
      </w:r>
      <w:r w:rsidR="00BF55FF" w:rsidRPr="00BF55FF">
        <w:rPr>
          <w:rFonts w:cs="Times New Roman"/>
          <w:szCs w:val="28"/>
        </w:rPr>
        <w:t>50</w:t>
      </w:r>
      <w:r w:rsidRPr="00BF55FF">
        <w:rPr>
          <w:rFonts w:cs="Times New Roman"/>
          <w:szCs w:val="28"/>
        </w:rPr>
        <w:t>,1% (мета – 100%). За результатами аналізу залежності «вплив–відповідь», із кожним добовий прийомом 10–20 г алкоголю ризик виникнення ТБ підвищується на 12%. Люди із розладами, пов’язаним із вживанням наркотичних речовин, мають підвищений ризик невдачі лікування, розвитку медикаментозної резистентності та летального наслідку від ТБ через низький рівень дотримання лікування та збіг клінічних, соціально-економічних та структурних факторів ризику.</w:t>
      </w:r>
    </w:p>
    <w:p w14:paraId="001D97BE" w14:textId="1310B4E8" w:rsidR="00593721" w:rsidRPr="0024080D" w:rsidRDefault="00593721" w:rsidP="00593721">
      <w:pPr>
        <w:widowControl w:val="0"/>
        <w:pBdr>
          <w:top w:val="nil"/>
          <w:left w:val="nil"/>
          <w:bottom w:val="nil"/>
          <w:right w:val="nil"/>
          <w:between w:val="nil"/>
        </w:pBdr>
        <w:rPr>
          <w:rFonts w:cs="Times New Roman"/>
          <w:szCs w:val="28"/>
        </w:rPr>
      </w:pPr>
      <w:r w:rsidRPr="00092E1F">
        <w:rPr>
          <w:rFonts w:cs="Times New Roman"/>
          <w:szCs w:val="28"/>
        </w:rPr>
        <w:t xml:space="preserve">Найвищі показники охоплення систематичним скринінгом на ТБ серед осіб, які зловживають алкоголем чи вживають наркотичні речовини, відзначено у </w:t>
      </w:r>
      <w:r w:rsidR="00092E1F" w:rsidRPr="00092E1F">
        <w:rPr>
          <w:rFonts w:cs="Times New Roman"/>
          <w:szCs w:val="28"/>
        </w:rPr>
        <w:t>Чернівецькій</w:t>
      </w:r>
      <w:r w:rsidRPr="00092E1F">
        <w:rPr>
          <w:rFonts w:cs="Times New Roman"/>
          <w:szCs w:val="28"/>
        </w:rPr>
        <w:t xml:space="preserve"> (</w:t>
      </w:r>
      <w:r w:rsidR="00092E1F" w:rsidRPr="00092E1F">
        <w:rPr>
          <w:rFonts w:cs="Times New Roman"/>
          <w:szCs w:val="28"/>
        </w:rPr>
        <w:t>100</w:t>
      </w:r>
      <w:r w:rsidRPr="00092E1F">
        <w:rPr>
          <w:rFonts w:cs="Times New Roman"/>
          <w:szCs w:val="28"/>
        </w:rPr>
        <w:t>%), Харківській (8</w:t>
      </w:r>
      <w:r w:rsidR="00092E1F" w:rsidRPr="00092E1F">
        <w:rPr>
          <w:rFonts w:cs="Times New Roman"/>
          <w:szCs w:val="28"/>
        </w:rPr>
        <w:t>5</w:t>
      </w:r>
      <w:r w:rsidRPr="00092E1F">
        <w:rPr>
          <w:rFonts w:cs="Times New Roman"/>
          <w:szCs w:val="28"/>
        </w:rPr>
        <w:t>%), Луганській (8</w:t>
      </w:r>
      <w:r w:rsidR="00092E1F" w:rsidRPr="00092E1F">
        <w:rPr>
          <w:rFonts w:cs="Times New Roman"/>
          <w:szCs w:val="28"/>
        </w:rPr>
        <w:t>9</w:t>
      </w:r>
      <w:r w:rsidRPr="00092E1F">
        <w:rPr>
          <w:rFonts w:cs="Times New Roman"/>
          <w:szCs w:val="28"/>
        </w:rPr>
        <w:t xml:space="preserve">%) </w:t>
      </w:r>
      <w:r w:rsidR="00092E1F" w:rsidRPr="00092E1F">
        <w:rPr>
          <w:rFonts w:cs="Times New Roman"/>
          <w:szCs w:val="28"/>
        </w:rPr>
        <w:t xml:space="preserve">областях </w:t>
      </w:r>
      <w:r w:rsidRPr="00092E1F">
        <w:rPr>
          <w:rFonts w:cs="Times New Roman"/>
          <w:szCs w:val="28"/>
        </w:rPr>
        <w:t xml:space="preserve">та </w:t>
      </w:r>
      <w:r w:rsidR="00092E1F" w:rsidRPr="00092E1F">
        <w:rPr>
          <w:rFonts w:cs="Times New Roman"/>
          <w:szCs w:val="28"/>
        </w:rPr>
        <w:t>м. Київ</w:t>
      </w:r>
      <w:r w:rsidRPr="00092E1F">
        <w:rPr>
          <w:rFonts w:cs="Times New Roman"/>
          <w:szCs w:val="28"/>
        </w:rPr>
        <w:t xml:space="preserve"> (</w:t>
      </w:r>
      <w:r w:rsidR="00092E1F" w:rsidRPr="00092E1F">
        <w:rPr>
          <w:rFonts w:cs="Times New Roman"/>
          <w:szCs w:val="28"/>
        </w:rPr>
        <w:t>84,1</w:t>
      </w:r>
      <w:r w:rsidRPr="00092E1F">
        <w:rPr>
          <w:rFonts w:cs="Times New Roman"/>
          <w:szCs w:val="28"/>
        </w:rPr>
        <w:t>%), найнижчі – у Волинській (</w:t>
      </w:r>
      <w:r w:rsidR="00092E1F" w:rsidRPr="00092E1F">
        <w:rPr>
          <w:rFonts w:cs="Times New Roman"/>
          <w:szCs w:val="28"/>
        </w:rPr>
        <w:t>17,6</w:t>
      </w:r>
      <w:r w:rsidRPr="00092E1F">
        <w:rPr>
          <w:rFonts w:cs="Times New Roman"/>
          <w:szCs w:val="28"/>
        </w:rPr>
        <w:t xml:space="preserve">%), </w:t>
      </w:r>
      <w:r w:rsidR="00092E1F" w:rsidRPr="00092E1F">
        <w:rPr>
          <w:rFonts w:cs="Times New Roman"/>
          <w:szCs w:val="28"/>
        </w:rPr>
        <w:t>Львівській</w:t>
      </w:r>
      <w:r w:rsidRPr="00092E1F">
        <w:rPr>
          <w:rFonts w:cs="Times New Roman"/>
          <w:szCs w:val="28"/>
        </w:rPr>
        <w:t xml:space="preserve"> (</w:t>
      </w:r>
      <w:r w:rsidR="00092E1F" w:rsidRPr="00092E1F">
        <w:rPr>
          <w:rFonts w:cs="Times New Roman"/>
          <w:szCs w:val="28"/>
        </w:rPr>
        <w:t>0</w:t>
      </w:r>
      <w:r w:rsidRPr="00092E1F">
        <w:rPr>
          <w:rFonts w:cs="Times New Roman"/>
          <w:szCs w:val="28"/>
        </w:rPr>
        <w:t>%) та Рівненській (</w:t>
      </w:r>
      <w:r w:rsidR="00092E1F" w:rsidRPr="00092E1F">
        <w:rPr>
          <w:rFonts w:cs="Times New Roman"/>
          <w:szCs w:val="28"/>
        </w:rPr>
        <w:t>3,1</w:t>
      </w:r>
      <w:r w:rsidRPr="00092E1F">
        <w:rPr>
          <w:rFonts w:cs="Times New Roman"/>
          <w:szCs w:val="28"/>
        </w:rPr>
        <w:t>%) областях.</w:t>
      </w:r>
    </w:p>
    <w:p w14:paraId="0A52F91E" w14:textId="77777777" w:rsidR="00593721" w:rsidRPr="0024080D" w:rsidRDefault="00593721" w:rsidP="00733323">
      <w:pPr>
        <w:pStyle w:val="2"/>
        <w:spacing w:line="247" w:lineRule="auto"/>
      </w:pPr>
      <w:bookmarkStart w:id="81" w:name="_Toc88088859"/>
      <w:bookmarkStart w:id="82" w:name="_Toc89149138"/>
      <w:r w:rsidRPr="0024080D">
        <w:t>Діагностика ТБ</w:t>
      </w:r>
      <w:bookmarkEnd w:id="81"/>
      <w:bookmarkEnd w:id="82"/>
      <w:r w:rsidRPr="0024080D">
        <w:t xml:space="preserve"> </w:t>
      </w:r>
    </w:p>
    <w:p w14:paraId="6A5D3483" w14:textId="77777777" w:rsidR="000A19CF" w:rsidRPr="000A19CF" w:rsidRDefault="000A19CF" w:rsidP="000A19CF">
      <w:bookmarkStart w:id="83" w:name="_Toc89149141"/>
      <w:bookmarkStart w:id="84" w:name="_Toc88088871"/>
      <w:bookmarkEnd w:id="73"/>
      <w:r w:rsidRPr="000A19CF">
        <w:t xml:space="preserve">Виявлення ТБ за допомогою мікробіологічних методів є першочерговим, оскільки воно дозволяє правильно поставити діагноз та розпочати застосовувати найефективнішу схему лікування якомога раніше. Більшість клінічних особливостей ТБ мають низьку специфічність, що може призвести до помилкових діагнозів захворювання на ТБ, а отже, до лікування ТБ, яке не потрібне. Пріоритетними завданнями є розширення мережі лабораторій ТБ з використанням сучасних методів діагностики ТБ, впровадження ефективних інформаційно-довідкових систем, використання електронних даних та діагностичних платформ, використання стандартних операційних процедур (СОП) та забезпечення якості на всіх етапах роботи </w:t>
      </w:r>
      <w:r w:rsidRPr="000A19CF">
        <w:lastRenderedPageBreak/>
        <w:t xml:space="preserve">лабораторій, дотримання принципів </w:t>
      </w:r>
      <w:proofErr w:type="spellStart"/>
      <w:r w:rsidRPr="000A19CF">
        <w:t>біобезпеки</w:t>
      </w:r>
      <w:proofErr w:type="spellEnd"/>
      <w:r w:rsidRPr="000A19CF">
        <w:t xml:space="preserve"> при проведенні всіх тестувань та наявність достатньої кількості персоналу. Ці пріоритети визначені  як основні для удосконалення лабораторної мережі з діагностики ТБ.</w:t>
      </w:r>
    </w:p>
    <w:p w14:paraId="14B47FBA" w14:textId="77777777" w:rsidR="000A19CF" w:rsidRPr="000A19CF" w:rsidRDefault="000A19CF" w:rsidP="000A19CF">
      <w:r w:rsidRPr="000A19CF">
        <w:t xml:space="preserve">Ефективність лабораторних послуг ТБ зростає за умови швидкої діагностики ТБ, швидкого визначення медикаментозної резистентності та швидкого початку ефективного лікування. Для цього необхідно використовувати для осіб з ознаками ТБ швидкі і точних тестів для виявлення ТБ, а також швидкі і точні тести на медикаментозну чутливість для хворих ТБ. </w:t>
      </w:r>
    </w:p>
    <w:p w14:paraId="6B94B8E4" w14:textId="77777777" w:rsidR="000A19CF" w:rsidRPr="000A19CF" w:rsidRDefault="000A19CF" w:rsidP="000A19CF">
      <w:r w:rsidRPr="000A19CF">
        <w:t>Перед призначенням лікарських засобів для лікування ТБ, з метою вибору найбільш ефективної схеми усім хворим необхідно проводити ТМЧ до всіх протитуберкульозних препаратів, що можуть бути включені у схему їх лікування.</w:t>
      </w:r>
    </w:p>
    <w:p w14:paraId="4385F71E" w14:textId="77777777" w:rsidR="000A19CF" w:rsidRPr="000A19CF" w:rsidRDefault="000A19CF" w:rsidP="000A19CF">
      <w:pPr>
        <w:widowControl w:val="0"/>
        <w:rPr>
          <w:rFonts w:cs="Times New Roman"/>
          <w:szCs w:val="28"/>
        </w:rPr>
      </w:pPr>
      <w:bookmarkStart w:id="85" w:name="_Toc88088861"/>
      <w:bookmarkStart w:id="86" w:name="_Toc89149140"/>
      <w:r w:rsidRPr="000A19CF">
        <w:rPr>
          <w:rFonts w:cs="Times New Roman"/>
          <w:szCs w:val="28"/>
        </w:rPr>
        <w:t xml:space="preserve">Упродовж 2021 року фокус роботи щодо діагностики і виявлення ТБ було зосереджено на питаннях підвищення якості лабораторної діагностики (співпраця з </w:t>
      </w:r>
      <w:proofErr w:type="spellStart"/>
      <w:r w:rsidRPr="000A19CF">
        <w:rPr>
          <w:rFonts w:cs="Times New Roman"/>
          <w:szCs w:val="28"/>
        </w:rPr>
        <w:t>Супранаціональною</w:t>
      </w:r>
      <w:proofErr w:type="spellEnd"/>
      <w:r w:rsidRPr="000A19CF">
        <w:rPr>
          <w:rFonts w:cs="Times New Roman"/>
          <w:szCs w:val="28"/>
        </w:rPr>
        <w:t xml:space="preserve"> лабораторією ВООЗ з діагностики ТБ), доступності методів з виявлення та діагностики ТБ та нарощуванні обсягів тестування на медикаментозну чутливість, зокрема шляхом використання швидких тестів.</w:t>
      </w:r>
    </w:p>
    <w:p w14:paraId="05661025" w14:textId="77777777" w:rsidR="000A19CF" w:rsidRPr="000A19CF" w:rsidRDefault="000A19CF" w:rsidP="000A19CF">
      <w:pPr>
        <w:widowControl w:val="0"/>
        <w:rPr>
          <w:b/>
          <w:i/>
          <w:szCs w:val="28"/>
        </w:rPr>
      </w:pPr>
    </w:p>
    <w:p w14:paraId="3786118A" w14:textId="77777777" w:rsidR="000A19CF" w:rsidRPr="000A19CF" w:rsidRDefault="000A19CF" w:rsidP="000A19CF">
      <w:pPr>
        <w:widowControl w:val="0"/>
        <w:rPr>
          <w:szCs w:val="28"/>
        </w:rPr>
      </w:pPr>
      <w:r w:rsidRPr="000A19CF">
        <w:rPr>
          <w:b/>
          <w:i/>
          <w:szCs w:val="28"/>
        </w:rPr>
        <w:t>Впровадження системи менеджменту якості роботи лабораторій ТБ</w:t>
      </w:r>
      <w:r w:rsidRPr="000A19CF">
        <w:rPr>
          <w:szCs w:val="28"/>
        </w:rPr>
        <w:t>.</w:t>
      </w:r>
    </w:p>
    <w:p w14:paraId="2D5BBA85" w14:textId="77777777" w:rsidR="000A19CF" w:rsidRPr="000A19CF" w:rsidRDefault="000A19CF" w:rsidP="000A19CF">
      <w:pPr>
        <w:widowControl w:val="0"/>
        <w:rPr>
          <w:rFonts w:cs="Times New Roman"/>
          <w:szCs w:val="28"/>
        </w:rPr>
      </w:pPr>
      <w:r w:rsidRPr="000A19CF">
        <w:rPr>
          <w:rFonts w:cs="Times New Roman"/>
          <w:szCs w:val="28"/>
        </w:rPr>
        <w:t xml:space="preserve">У липні та вересні 2021 року за ініціативою ЦГЗ фахівцями </w:t>
      </w:r>
      <w:proofErr w:type="spellStart"/>
      <w:r w:rsidRPr="000A19CF">
        <w:rPr>
          <w:rFonts w:cs="Times New Roman"/>
          <w:szCs w:val="28"/>
        </w:rPr>
        <w:t>Супранаціональної</w:t>
      </w:r>
      <w:proofErr w:type="spellEnd"/>
      <w:r w:rsidRPr="000A19CF">
        <w:rPr>
          <w:rFonts w:cs="Times New Roman"/>
          <w:szCs w:val="28"/>
        </w:rPr>
        <w:t xml:space="preserve"> лабораторії ВООЗ з діагностики ТБ була проведена початкова оцінка трьох лабораторій:</w:t>
      </w:r>
    </w:p>
    <w:p w14:paraId="330F3C8F" w14:textId="77777777" w:rsidR="000A19CF" w:rsidRPr="000A19CF" w:rsidRDefault="000A19CF" w:rsidP="000A19CF">
      <w:pPr>
        <w:widowControl w:val="0"/>
        <w:rPr>
          <w:rFonts w:cs="Times New Roman"/>
          <w:szCs w:val="28"/>
        </w:rPr>
      </w:pPr>
      <w:r w:rsidRPr="000A19CF">
        <w:rPr>
          <w:rFonts w:cs="Times New Roman"/>
          <w:szCs w:val="28"/>
        </w:rPr>
        <w:t xml:space="preserve">• Центральної </w:t>
      </w:r>
      <w:proofErr w:type="spellStart"/>
      <w:r w:rsidRPr="000A19CF">
        <w:rPr>
          <w:rFonts w:cs="Times New Roman"/>
          <w:szCs w:val="28"/>
        </w:rPr>
        <w:t>референс</w:t>
      </w:r>
      <w:proofErr w:type="spellEnd"/>
      <w:r w:rsidRPr="000A19CF">
        <w:rPr>
          <w:rFonts w:cs="Times New Roman"/>
          <w:szCs w:val="28"/>
        </w:rPr>
        <w:t xml:space="preserve"> лабораторії з діагностики туберкульозу МОЗ України;</w:t>
      </w:r>
    </w:p>
    <w:p w14:paraId="6A931549" w14:textId="77777777" w:rsidR="000A19CF" w:rsidRPr="000A19CF" w:rsidRDefault="000A19CF" w:rsidP="000A19CF">
      <w:pPr>
        <w:widowControl w:val="0"/>
        <w:rPr>
          <w:rFonts w:cs="Times New Roman"/>
          <w:szCs w:val="28"/>
        </w:rPr>
      </w:pPr>
      <w:r w:rsidRPr="000A19CF">
        <w:rPr>
          <w:rFonts w:cs="Times New Roman"/>
          <w:szCs w:val="28"/>
        </w:rPr>
        <w:t>• мікробіологічної лабораторії з діагностики туберкульозу КНП «Фтизіатрія» м. Київ;</w:t>
      </w:r>
    </w:p>
    <w:p w14:paraId="27A47B78" w14:textId="162BC9C2" w:rsidR="000A19CF" w:rsidRPr="000A19CF" w:rsidRDefault="000A19CF" w:rsidP="000A19CF">
      <w:pPr>
        <w:widowControl w:val="0"/>
        <w:rPr>
          <w:rFonts w:cs="Times New Roman"/>
          <w:szCs w:val="28"/>
        </w:rPr>
      </w:pPr>
      <w:r w:rsidRPr="000A19CF">
        <w:rPr>
          <w:rFonts w:cs="Times New Roman"/>
          <w:szCs w:val="28"/>
        </w:rPr>
        <w:t>• мікробіологічної лабораторії з діагностики туберкульозу КНП Обласний протитуберкульозний диспансер №1</w:t>
      </w:r>
      <w:r w:rsidR="00751951">
        <w:rPr>
          <w:rFonts w:cs="Times New Roman"/>
          <w:szCs w:val="28"/>
        </w:rPr>
        <w:t xml:space="preserve"> м. Харків</w:t>
      </w:r>
      <w:r w:rsidRPr="000A19CF">
        <w:rPr>
          <w:rFonts w:cs="Times New Roman"/>
          <w:szCs w:val="28"/>
        </w:rPr>
        <w:t>.</w:t>
      </w:r>
    </w:p>
    <w:p w14:paraId="6C217E49" w14:textId="77777777" w:rsidR="000A19CF" w:rsidRPr="000A19CF" w:rsidRDefault="000A19CF" w:rsidP="000A19CF">
      <w:pPr>
        <w:widowControl w:val="0"/>
      </w:pPr>
      <w:r w:rsidRPr="000A19CF">
        <w:rPr>
          <w:rFonts w:cs="Times New Roman"/>
          <w:szCs w:val="28"/>
        </w:rPr>
        <w:t>Оцінка проводилась за допомогою Гармонізованого контрольного списку SLIPTA/GLI (поетапний процес акредитації лабораторій ТБ). Зазначений контрольний перелік визначає вимоги до якості та компетентності, спрямованих на розвиток та покращення лабораторних послуг з туберкульозу. Елементи цього контрольного списку засновані на стандарті ISO 15189:2012, який охоплює такі 12 пунктів:</w:t>
      </w:r>
      <w:r w:rsidRPr="000A19CF">
        <w:t xml:space="preserve"> </w:t>
      </w:r>
    </w:p>
    <w:p w14:paraId="5BF6B299" w14:textId="77777777" w:rsidR="000A19CF" w:rsidRPr="000A19CF" w:rsidRDefault="000A19CF" w:rsidP="000A19CF">
      <w:pPr>
        <w:widowControl w:val="0"/>
        <w:rPr>
          <w:rFonts w:cs="Times New Roman"/>
          <w:szCs w:val="28"/>
        </w:rPr>
      </w:pPr>
      <w:r w:rsidRPr="000A19CF">
        <w:rPr>
          <w:rFonts w:cs="Times New Roman"/>
          <w:szCs w:val="28"/>
        </w:rPr>
        <w:t>• Документи та записи</w:t>
      </w:r>
    </w:p>
    <w:p w14:paraId="222E8FFE" w14:textId="77777777" w:rsidR="000A19CF" w:rsidRPr="000A19CF" w:rsidRDefault="000A19CF" w:rsidP="000A19CF">
      <w:pPr>
        <w:widowControl w:val="0"/>
        <w:rPr>
          <w:rFonts w:cs="Times New Roman"/>
          <w:szCs w:val="28"/>
        </w:rPr>
      </w:pPr>
      <w:r w:rsidRPr="000A19CF">
        <w:rPr>
          <w:rFonts w:cs="Times New Roman"/>
          <w:szCs w:val="28"/>
        </w:rPr>
        <w:t>• Огляди керівництва</w:t>
      </w:r>
    </w:p>
    <w:p w14:paraId="6F56D924" w14:textId="77777777" w:rsidR="000A19CF" w:rsidRPr="000A19CF" w:rsidRDefault="000A19CF" w:rsidP="000A19CF">
      <w:pPr>
        <w:widowControl w:val="0"/>
        <w:rPr>
          <w:rFonts w:cs="Times New Roman"/>
          <w:szCs w:val="28"/>
        </w:rPr>
      </w:pPr>
      <w:r w:rsidRPr="000A19CF">
        <w:rPr>
          <w:rFonts w:cs="Times New Roman"/>
          <w:szCs w:val="28"/>
        </w:rPr>
        <w:t>• Організація та персонал</w:t>
      </w:r>
    </w:p>
    <w:p w14:paraId="71D51A0F" w14:textId="77777777" w:rsidR="000A19CF" w:rsidRPr="000A19CF" w:rsidRDefault="000A19CF" w:rsidP="000A19CF">
      <w:pPr>
        <w:widowControl w:val="0"/>
        <w:rPr>
          <w:rFonts w:cs="Times New Roman"/>
          <w:szCs w:val="28"/>
        </w:rPr>
      </w:pPr>
      <w:r w:rsidRPr="000A19CF">
        <w:rPr>
          <w:rFonts w:cs="Times New Roman"/>
          <w:szCs w:val="28"/>
        </w:rPr>
        <w:t xml:space="preserve">• Закупівля та інвентаризація </w:t>
      </w:r>
    </w:p>
    <w:p w14:paraId="1755A584" w14:textId="77777777" w:rsidR="000A19CF" w:rsidRPr="000A19CF" w:rsidRDefault="000A19CF" w:rsidP="000A19CF">
      <w:pPr>
        <w:widowControl w:val="0"/>
        <w:rPr>
          <w:rFonts w:cs="Times New Roman"/>
          <w:szCs w:val="28"/>
        </w:rPr>
      </w:pPr>
      <w:r w:rsidRPr="000A19CF">
        <w:rPr>
          <w:rFonts w:cs="Times New Roman"/>
          <w:szCs w:val="28"/>
        </w:rPr>
        <w:t xml:space="preserve">• Обладнання </w:t>
      </w:r>
    </w:p>
    <w:p w14:paraId="4BBB7A5D" w14:textId="77777777" w:rsidR="000A19CF" w:rsidRPr="000A19CF" w:rsidRDefault="000A19CF" w:rsidP="000A19CF">
      <w:pPr>
        <w:widowControl w:val="0"/>
        <w:rPr>
          <w:rFonts w:cs="Times New Roman"/>
          <w:szCs w:val="28"/>
        </w:rPr>
      </w:pPr>
      <w:r w:rsidRPr="000A19CF">
        <w:rPr>
          <w:rFonts w:cs="Times New Roman"/>
          <w:szCs w:val="28"/>
        </w:rPr>
        <w:t>• Внутрішній аудит</w:t>
      </w:r>
    </w:p>
    <w:p w14:paraId="72523193" w14:textId="77777777" w:rsidR="000A19CF" w:rsidRPr="000A19CF" w:rsidRDefault="000A19CF" w:rsidP="000A19CF">
      <w:pPr>
        <w:widowControl w:val="0"/>
        <w:rPr>
          <w:rFonts w:cs="Times New Roman"/>
          <w:szCs w:val="28"/>
        </w:rPr>
      </w:pPr>
      <w:r w:rsidRPr="000A19CF">
        <w:rPr>
          <w:rFonts w:cs="Times New Roman"/>
          <w:szCs w:val="28"/>
        </w:rPr>
        <w:t>• Обладнання та безпека</w:t>
      </w:r>
    </w:p>
    <w:p w14:paraId="5644D4E7" w14:textId="77777777" w:rsidR="000A19CF" w:rsidRPr="000A19CF" w:rsidRDefault="000A19CF" w:rsidP="000A19CF">
      <w:pPr>
        <w:widowControl w:val="0"/>
        <w:rPr>
          <w:rFonts w:cs="Times New Roman"/>
          <w:szCs w:val="28"/>
        </w:rPr>
      </w:pPr>
      <w:r w:rsidRPr="000A19CF">
        <w:rPr>
          <w:rFonts w:cs="Times New Roman"/>
          <w:szCs w:val="28"/>
        </w:rPr>
        <w:lastRenderedPageBreak/>
        <w:t>• Керування клієнтами та обслуговування клієнтів</w:t>
      </w:r>
    </w:p>
    <w:p w14:paraId="29A88F8A" w14:textId="77777777" w:rsidR="000A19CF" w:rsidRPr="000A19CF" w:rsidRDefault="000A19CF" w:rsidP="000A19CF">
      <w:pPr>
        <w:widowControl w:val="0"/>
        <w:rPr>
          <w:rFonts w:cs="Times New Roman"/>
          <w:szCs w:val="28"/>
        </w:rPr>
      </w:pPr>
      <w:r w:rsidRPr="000A19CF">
        <w:rPr>
          <w:rFonts w:cs="Times New Roman"/>
          <w:szCs w:val="28"/>
        </w:rPr>
        <w:t>• Контроль процесу та внутрішня та зовнішня оцінка якості</w:t>
      </w:r>
    </w:p>
    <w:p w14:paraId="42977102" w14:textId="77777777" w:rsidR="000A19CF" w:rsidRPr="000A19CF" w:rsidRDefault="000A19CF" w:rsidP="000A19CF">
      <w:pPr>
        <w:widowControl w:val="0"/>
        <w:rPr>
          <w:rFonts w:cs="Times New Roman"/>
          <w:szCs w:val="28"/>
        </w:rPr>
      </w:pPr>
      <w:r w:rsidRPr="000A19CF">
        <w:rPr>
          <w:rFonts w:cs="Times New Roman"/>
          <w:szCs w:val="28"/>
        </w:rPr>
        <w:t xml:space="preserve">• Управління інформацією </w:t>
      </w:r>
    </w:p>
    <w:p w14:paraId="46D72554" w14:textId="77777777" w:rsidR="000A19CF" w:rsidRPr="000A19CF" w:rsidRDefault="000A19CF" w:rsidP="000A19CF">
      <w:pPr>
        <w:widowControl w:val="0"/>
        <w:rPr>
          <w:rFonts w:cs="Times New Roman"/>
          <w:szCs w:val="28"/>
        </w:rPr>
      </w:pPr>
      <w:r w:rsidRPr="000A19CF">
        <w:rPr>
          <w:rFonts w:cs="Times New Roman"/>
          <w:szCs w:val="28"/>
        </w:rPr>
        <w:t>• Коригувальні дії</w:t>
      </w:r>
    </w:p>
    <w:p w14:paraId="46BFEBEB" w14:textId="77777777" w:rsidR="000A19CF" w:rsidRPr="000A19CF" w:rsidRDefault="000A19CF" w:rsidP="000A19CF">
      <w:pPr>
        <w:widowControl w:val="0"/>
        <w:rPr>
          <w:rFonts w:cs="Times New Roman"/>
          <w:szCs w:val="28"/>
        </w:rPr>
      </w:pPr>
      <w:r w:rsidRPr="000A19CF">
        <w:rPr>
          <w:rFonts w:cs="Times New Roman"/>
          <w:szCs w:val="28"/>
        </w:rPr>
        <w:t>• Управління випадками/інцидентами та покращення процесу.</w:t>
      </w:r>
    </w:p>
    <w:p w14:paraId="4BCA7F7F" w14:textId="77777777" w:rsidR="000A19CF" w:rsidRPr="000A19CF" w:rsidRDefault="000A19CF" w:rsidP="000A19CF">
      <w:pPr>
        <w:widowControl w:val="0"/>
        <w:rPr>
          <w:rFonts w:cs="Times New Roman"/>
          <w:szCs w:val="28"/>
          <w:lang w:val="ru-RU"/>
        </w:rPr>
      </w:pPr>
      <w:r w:rsidRPr="000A19CF">
        <w:rPr>
          <w:rFonts w:cs="Times New Roman"/>
          <w:szCs w:val="28"/>
        </w:rPr>
        <w:t>Регіональним лабораторним фахівцям були надані рекомендації щодо підготовки лабораторій до міжнародної акредитації</w:t>
      </w:r>
      <w:r w:rsidRPr="000A19CF">
        <w:rPr>
          <w:rFonts w:cs="Times New Roman"/>
          <w:szCs w:val="28"/>
          <w:lang w:val="ru-RU"/>
        </w:rPr>
        <w:t xml:space="preserve"> </w:t>
      </w:r>
      <w:r w:rsidRPr="000A19CF">
        <w:rPr>
          <w:rFonts w:cs="Times New Roman"/>
          <w:szCs w:val="28"/>
          <w:lang w:val="en-US"/>
        </w:rPr>
        <w:t>ISO</w:t>
      </w:r>
      <w:r w:rsidRPr="000A19CF">
        <w:rPr>
          <w:rFonts w:cs="Times New Roman"/>
          <w:szCs w:val="28"/>
          <w:lang w:val="ru-RU"/>
        </w:rPr>
        <w:t xml:space="preserve"> 15189/</w:t>
      </w:r>
    </w:p>
    <w:p w14:paraId="3289FEE8" w14:textId="77777777" w:rsidR="000A19CF" w:rsidRPr="000A19CF" w:rsidRDefault="000A19CF" w:rsidP="000A19CF">
      <w:pPr>
        <w:widowControl w:val="0"/>
        <w:rPr>
          <w:rFonts w:cs="Times New Roman"/>
          <w:szCs w:val="28"/>
          <w:lang w:val="ru-RU"/>
        </w:rPr>
      </w:pPr>
      <w:r w:rsidRPr="000A19CF">
        <w:rPr>
          <w:b/>
          <w:i/>
          <w:szCs w:val="28"/>
        </w:rPr>
        <w:t xml:space="preserve">Розробка і впровадження Стандартних операційних процедур </w:t>
      </w:r>
    </w:p>
    <w:p w14:paraId="7304E6F7" w14:textId="77777777" w:rsidR="000A19CF" w:rsidRPr="000A19CF" w:rsidRDefault="000A19CF" w:rsidP="000A19CF">
      <w:pPr>
        <w:widowControl w:val="0"/>
        <w:rPr>
          <w:rFonts w:cs="Times New Roman"/>
          <w:szCs w:val="28"/>
        </w:rPr>
      </w:pPr>
      <w:r w:rsidRPr="000A19CF">
        <w:rPr>
          <w:rFonts w:cs="Times New Roman"/>
          <w:szCs w:val="28"/>
        </w:rPr>
        <w:t xml:space="preserve">З метою покращення спроможності системи управління лабораторією з туберкульозу та в рамках подальшого впровадження системи менеджменту якості для регіональних протитуберкульозних лабораторій були розроблено 180 </w:t>
      </w:r>
      <w:proofErr w:type="spellStart"/>
      <w:r w:rsidRPr="000A19CF">
        <w:rPr>
          <w:rFonts w:cs="Times New Roman"/>
          <w:szCs w:val="28"/>
        </w:rPr>
        <w:t>СОПів</w:t>
      </w:r>
      <w:proofErr w:type="spellEnd"/>
      <w:r w:rsidRPr="000A19CF">
        <w:rPr>
          <w:rFonts w:cs="Times New Roman"/>
          <w:szCs w:val="28"/>
        </w:rPr>
        <w:t>.</w:t>
      </w:r>
    </w:p>
    <w:p w14:paraId="1E1D8606" w14:textId="77777777" w:rsidR="000A19CF" w:rsidRPr="000A19CF" w:rsidRDefault="000A19CF" w:rsidP="000A19CF">
      <w:pPr>
        <w:widowControl w:val="0"/>
        <w:rPr>
          <w:rFonts w:cs="Times New Roman"/>
          <w:szCs w:val="28"/>
        </w:rPr>
      </w:pPr>
      <w:r w:rsidRPr="000A19CF">
        <w:rPr>
          <w:rFonts w:cs="Times New Roman"/>
          <w:szCs w:val="28"/>
        </w:rPr>
        <w:t xml:space="preserve">Загалом за звітний період було розроблено (або оновлено) та впроваджено 14 адміністративних СОП з 48 формами та 12 методичними процедурами та 30 по лабораторному обладнанню. Усі розроблені операційні процедури відповідають вимогам лабораторного стандарту EN ISO 15189 «Медичні лабораторії – Особливі вимоги до якості та компетентності». </w:t>
      </w:r>
    </w:p>
    <w:p w14:paraId="6DAB440E" w14:textId="77777777" w:rsidR="000A19CF" w:rsidRPr="000A19CF" w:rsidRDefault="000A19CF" w:rsidP="000A19CF">
      <w:pPr>
        <w:widowControl w:val="0"/>
        <w:rPr>
          <w:rFonts w:cs="Times New Roman"/>
          <w:szCs w:val="28"/>
        </w:rPr>
      </w:pPr>
      <w:r w:rsidRPr="000A19CF">
        <w:rPr>
          <w:rFonts w:cs="Times New Roman"/>
          <w:szCs w:val="28"/>
        </w:rPr>
        <w:t>Повний пакет розроблених документів СОП був переданий керівникам лабораторій.</w:t>
      </w:r>
    </w:p>
    <w:p w14:paraId="5E5ECFE9" w14:textId="77777777" w:rsidR="000A19CF" w:rsidRPr="000A19CF" w:rsidRDefault="000A19CF" w:rsidP="000A19CF">
      <w:pPr>
        <w:keepNext/>
        <w:keepLines/>
        <w:spacing w:before="120" w:after="120"/>
        <w:outlineLvl w:val="2"/>
        <w:rPr>
          <w:b/>
          <w:i/>
          <w:szCs w:val="28"/>
        </w:rPr>
      </w:pPr>
      <w:r w:rsidRPr="000A19CF">
        <w:rPr>
          <w:b/>
          <w:i/>
          <w:szCs w:val="28"/>
        </w:rPr>
        <w:t xml:space="preserve">Розширення доступу до швидкого та точного виявлення </w:t>
      </w:r>
      <w:bookmarkEnd w:id="85"/>
      <w:r w:rsidRPr="000A19CF">
        <w:rPr>
          <w:b/>
          <w:i/>
          <w:szCs w:val="28"/>
        </w:rPr>
        <w:t>ТБ</w:t>
      </w:r>
      <w:bookmarkEnd w:id="86"/>
    </w:p>
    <w:p w14:paraId="765AFD2D" w14:textId="77777777" w:rsidR="000A19CF" w:rsidRPr="000A19CF" w:rsidRDefault="000A19CF" w:rsidP="000A19CF">
      <w:pPr>
        <w:widowControl w:val="0"/>
        <w:rPr>
          <w:rFonts w:cs="Times New Roman"/>
          <w:szCs w:val="28"/>
        </w:rPr>
      </w:pPr>
      <w:r w:rsidRPr="000A19CF">
        <w:rPr>
          <w:rFonts w:cs="Times New Roman"/>
          <w:szCs w:val="28"/>
        </w:rPr>
        <w:t xml:space="preserve">З 2019 р. Україна розпочала впроваджувати використання тестів </w:t>
      </w:r>
      <w:proofErr w:type="spellStart"/>
      <w:r w:rsidRPr="000A19CF">
        <w:rPr>
          <w:rFonts w:cs="Times New Roman"/>
          <w:szCs w:val="28"/>
        </w:rPr>
        <w:t>Xpert</w:t>
      </w:r>
      <w:proofErr w:type="spellEnd"/>
      <w:r w:rsidRPr="000A19CF">
        <w:rPr>
          <w:rFonts w:cs="Times New Roman"/>
          <w:szCs w:val="28"/>
        </w:rPr>
        <w:t xml:space="preserve"> MBT/</w:t>
      </w:r>
      <w:proofErr w:type="spellStart"/>
      <w:r w:rsidRPr="000A19CF">
        <w:rPr>
          <w:rFonts w:cs="Times New Roman"/>
          <w:szCs w:val="28"/>
        </w:rPr>
        <w:t>Rif</w:t>
      </w:r>
      <w:proofErr w:type="spellEnd"/>
      <w:r w:rsidRPr="000A19CF">
        <w:rPr>
          <w:rFonts w:cs="Times New Roman"/>
          <w:szCs w:val="28"/>
        </w:rPr>
        <w:t>/</w:t>
      </w:r>
      <w:proofErr w:type="spellStart"/>
      <w:r w:rsidRPr="000A19CF">
        <w:rPr>
          <w:rFonts w:cs="Times New Roman"/>
          <w:szCs w:val="28"/>
        </w:rPr>
        <w:t>Ultra</w:t>
      </w:r>
      <w:proofErr w:type="spellEnd"/>
      <w:r w:rsidRPr="000A19CF">
        <w:rPr>
          <w:rFonts w:cs="Times New Roman"/>
          <w:szCs w:val="28"/>
        </w:rPr>
        <w:t xml:space="preserve"> у якості первинного діагностичного тесту для виявлення туберкульозу. У порівнянні з 2019 р.  використання картриджів </w:t>
      </w:r>
      <w:proofErr w:type="spellStart"/>
      <w:r w:rsidRPr="000A19CF">
        <w:rPr>
          <w:rFonts w:cs="Times New Roman"/>
          <w:szCs w:val="28"/>
        </w:rPr>
        <w:t>Xpert</w:t>
      </w:r>
      <w:proofErr w:type="spellEnd"/>
      <w:r w:rsidRPr="000A19CF">
        <w:rPr>
          <w:rFonts w:cs="Times New Roman"/>
          <w:szCs w:val="28"/>
        </w:rPr>
        <w:t xml:space="preserve"> MBT/</w:t>
      </w:r>
      <w:proofErr w:type="spellStart"/>
      <w:r w:rsidRPr="000A19CF">
        <w:rPr>
          <w:rFonts w:cs="Times New Roman"/>
          <w:szCs w:val="28"/>
        </w:rPr>
        <w:t>Rif</w:t>
      </w:r>
      <w:proofErr w:type="spellEnd"/>
      <w:r w:rsidRPr="000A19CF">
        <w:rPr>
          <w:rFonts w:cs="Times New Roman"/>
          <w:szCs w:val="28"/>
        </w:rPr>
        <w:t>/</w:t>
      </w:r>
      <w:proofErr w:type="spellStart"/>
      <w:r w:rsidRPr="000A19CF">
        <w:rPr>
          <w:rFonts w:cs="Times New Roman"/>
          <w:szCs w:val="28"/>
        </w:rPr>
        <w:t>Ultra</w:t>
      </w:r>
      <w:proofErr w:type="spellEnd"/>
      <w:r w:rsidRPr="000A19CF">
        <w:rPr>
          <w:rFonts w:cs="Times New Roman"/>
          <w:szCs w:val="28"/>
        </w:rPr>
        <w:t xml:space="preserve"> у 2021 р. збільшилося до 40%. В рамках гранту ГФ у 4 кварталі 2021 року було закуплено 129 систем </w:t>
      </w:r>
      <w:proofErr w:type="spellStart"/>
      <w:r w:rsidRPr="000A19CF">
        <w:rPr>
          <w:rFonts w:cs="Times New Roman"/>
          <w:szCs w:val="28"/>
        </w:rPr>
        <w:t>GeneXpert</w:t>
      </w:r>
      <w:proofErr w:type="spellEnd"/>
      <w:r w:rsidRPr="000A19CF">
        <w:rPr>
          <w:rFonts w:cs="Times New Roman"/>
          <w:szCs w:val="28"/>
        </w:rPr>
        <w:t xml:space="preserve">, що значно збільшить покриття потреб у молекулярно-генетичних </w:t>
      </w:r>
      <w:proofErr w:type="spellStart"/>
      <w:r w:rsidRPr="000A19CF">
        <w:rPr>
          <w:rFonts w:cs="Times New Roman"/>
          <w:szCs w:val="28"/>
        </w:rPr>
        <w:t>методаах</w:t>
      </w:r>
      <w:proofErr w:type="spellEnd"/>
      <w:r w:rsidRPr="000A19CF">
        <w:rPr>
          <w:rFonts w:cs="Times New Roman"/>
          <w:szCs w:val="28"/>
        </w:rPr>
        <w:t xml:space="preserve"> виявлення ТБ. Станом на 01.01.2022 року Україні інстальовано 298 систем </w:t>
      </w:r>
      <w:proofErr w:type="spellStart"/>
      <w:r w:rsidRPr="000A19CF">
        <w:rPr>
          <w:rFonts w:cs="Times New Roman"/>
          <w:szCs w:val="28"/>
        </w:rPr>
        <w:t>GeneXpert</w:t>
      </w:r>
      <w:proofErr w:type="spellEnd"/>
      <w:r w:rsidRPr="000A19CF">
        <w:rPr>
          <w:rFonts w:cs="Times New Roman"/>
          <w:szCs w:val="28"/>
        </w:rPr>
        <w:t xml:space="preserve">. Всі лабораторії ТБ, де інстальовано обладнання </w:t>
      </w:r>
      <w:proofErr w:type="spellStart"/>
      <w:r w:rsidRPr="000A19CF">
        <w:rPr>
          <w:rFonts w:cs="Times New Roman"/>
          <w:szCs w:val="28"/>
        </w:rPr>
        <w:t>GeneXpert</w:t>
      </w:r>
      <w:proofErr w:type="spellEnd"/>
      <w:r w:rsidRPr="000A19CF">
        <w:rPr>
          <w:rFonts w:cs="Times New Roman"/>
          <w:szCs w:val="28"/>
        </w:rPr>
        <w:t>, на 100% забезпечені витратними матеріалами.</w:t>
      </w:r>
    </w:p>
    <w:p w14:paraId="7BF802C1" w14:textId="77777777" w:rsidR="000A19CF" w:rsidRPr="000A19CF" w:rsidRDefault="000A19CF" w:rsidP="000A19CF">
      <w:pPr>
        <w:widowControl w:val="0"/>
        <w:spacing w:before="120" w:after="120"/>
        <w:ind w:firstLine="0"/>
        <w:jc w:val="center"/>
        <w:rPr>
          <w:rFonts w:cs="Times New Roman"/>
          <w:b/>
          <w:szCs w:val="28"/>
        </w:rPr>
      </w:pPr>
    </w:p>
    <w:p w14:paraId="748EA02B" w14:textId="77777777" w:rsidR="000A19CF" w:rsidRPr="000A19CF" w:rsidRDefault="000A19CF" w:rsidP="000A19CF">
      <w:pPr>
        <w:widowControl w:val="0"/>
        <w:spacing w:before="120" w:after="120"/>
        <w:ind w:firstLine="0"/>
        <w:jc w:val="center"/>
        <w:rPr>
          <w:rFonts w:cs="Times New Roman"/>
          <w:b/>
          <w:szCs w:val="28"/>
        </w:rPr>
      </w:pPr>
      <w:r w:rsidRPr="000A19CF">
        <w:rPr>
          <w:rFonts w:cs="Times New Roman"/>
          <w:b/>
          <w:szCs w:val="28"/>
        </w:rPr>
        <w:t xml:space="preserve">Системи </w:t>
      </w:r>
      <w:proofErr w:type="spellStart"/>
      <w:r w:rsidRPr="000A19CF">
        <w:rPr>
          <w:rFonts w:cs="Times New Roman"/>
          <w:b/>
          <w:szCs w:val="28"/>
        </w:rPr>
        <w:t>GeneXpert</w:t>
      </w:r>
      <w:proofErr w:type="spellEnd"/>
      <w:r w:rsidRPr="000A19CF">
        <w:rPr>
          <w:rFonts w:cs="Times New Roman"/>
          <w:b/>
          <w:szCs w:val="28"/>
        </w:rPr>
        <w:t xml:space="preserve">, </w:t>
      </w:r>
      <w:r w:rsidRPr="000A19CF">
        <w:rPr>
          <w:rFonts w:cs="Times New Roman"/>
          <w:b/>
          <w:szCs w:val="28"/>
        </w:rPr>
        <w:br/>
        <w:t>що інстальовані у медичних закладах</w:t>
      </w:r>
    </w:p>
    <w:tbl>
      <w:tblPr>
        <w:tblW w:w="10026" w:type="dxa"/>
        <w:tblInd w:w="-572" w:type="dxa"/>
        <w:tblLook w:val="04A0" w:firstRow="1" w:lastRow="0" w:firstColumn="1" w:lastColumn="0" w:noHBand="0" w:noVBand="1"/>
      </w:tblPr>
      <w:tblGrid>
        <w:gridCol w:w="640"/>
        <w:gridCol w:w="2860"/>
        <w:gridCol w:w="1700"/>
        <w:gridCol w:w="1444"/>
        <w:gridCol w:w="994"/>
        <w:gridCol w:w="960"/>
        <w:gridCol w:w="1428"/>
      </w:tblGrid>
      <w:tr w:rsidR="000A19CF" w:rsidRPr="000A19CF" w14:paraId="31A466E5" w14:textId="77777777" w:rsidTr="000A19CF">
        <w:trPr>
          <w:trHeight w:val="1176"/>
        </w:trPr>
        <w:tc>
          <w:tcPr>
            <w:tcW w:w="640" w:type="dxa"/>
            <w:tcBorders>
              <w:top w:val="single" w:sz="4" w:space="0" w:color="auto"/>
              <w:left w:val="single" w:sz="4" w:space="0" w:color="auto"/>
              <w:bottom w:val="single" w:sz="4" w:space="0" w:color="auto"/>
              <w:right w:val="single" w:sz="4" w:space="0" w:color="auto"/>
            </w:tcBorders>
            <w:vAlign w:val="center"/>
            <w:hideMark/>
          </w:tcPr>
          <w:p w14:paraId="1EA38DC8"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 з/п</w:t>
            </w:r>
          </w:p>
        </w:tc>
        <w:tc>
          <w:tcPr>
            <w:tcW w:w="2860" w:type="dxa"/>
            <w:tcBorders>
              <w:top w:val="single" w:sz="4" w:space="0" w:color="auto"/>
              <w:left w:val="nil"/>
              <w:bottom w:val="single" w:sz="4" w:space="0" w:color="auto"/>
              <w:right w:val="single" w:sz="4" w:space="0" w:color="auto"/>
            </w:tcBorders>
            <w:vAlign w:val="center"/>
            <w:hideMark/>
          </w:tcPr>
          <w:p w14:paraId="0382E463"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Назва адміністративно-територіальної одиниці (області/міста)</w:t>
            </w:r>
          </w:p>
        </w:tc>
        <w:tc>
          <w:tcPr>
            <w:tcW w:w="1700" w:type="dxa"/>
            <w:tcBorders>
              <w:top w:val="single" w:sz="4" w:space="0" w:color="auto"/>
              <w:left w:val="nil"/>
              <w:bottom w:val="single" w:sz="4" w:space="0" w:color="auto"/>
              <w:right w:val="single" w:sz="4" w:space="0" w:color="auto"/>
            </w:tcBorders>
            <w:vAlign w:val="center"/>
            <w:hideMark/>
          </w:tcPr>
          <w:p w14:paraId="4F805C51"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Для виявлення МБТ</w:t>
            </w:r>
          </w:p>
        </w:tc>
        <w:tc>
          <w:tcPr>
            <w:tcW w:w="1444" w:type="dxa"/>
            <w:tcBorders>
              <w:top w:val="single" w:sz="4" w:space="0" w:color="auto"/>
              <w:left w:val="nil"/>
              <w:bottom w:val="single" w:sz="4" w:space="0" w:color="auto"/>
              <w:right w:val="single" w:sz="4" w:space="0" w:color="auto"/>
            </w:tcBorders>
            <w:vAlign w:val="center"/>
            <w:hideMark/>
          </w:tcPr>
          <w:p w14:paraId="0A626BAB"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Для здійснення генетичного ТМЧ</w:t>
            </w:r>
          </w:p>
        </w:tc>
        <w:tc>
          <w:tcPr>
            <w:tcW w:w="994" w:type="dxa"/>
            <w:tcBorders>
              <w:top w:val="single" w:sz="4" w:space="0" w:color="auto"/>
              <w:left w:val="nil"/>
              <w:bottom w:val="single" w:sz="4" w:space="0" w:color="auto"/>
              <w:right w:val="single" w:sz="4" w:space="0" w:color="auto"/>
            </w:tcBorders>
            <w:vAlign w:val="center"/>
            <w:hideMark/>
          </w:tcPr>
          <w:p w14:paraId="7CC9233C"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ДКВСУ</w:t>
            </w:r>
          </w:p>
        </w:tc>
        <w:tc>
          <w:tcPr>
            <w:tcW w:w="960" w:type="dxa"/>
            <w:tcBorders>
              <w:top w:val="single" w:sz="4" w:space="0" w:color="auto"/>
              <w:left w:val="nil"/>
              <w:bottom w:val="single" w:sz="4" w:space="0" w:color="auto"/>
              <w:right w:val="single" w:sz="4" w:space="0" w:color="auto"/>
            </w:tcBorders>
            <w:vAlign w:val="center"/>
            <w:hideMark/>
          </w:tcPr>
          <w:p w14:paraId="4B59A3C4"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СНІД центри</w:t>
            </w:r>
          </w:p>
        </w:tc>
        <w:tc>
          <w:tcPr>
            <w:tcW w:w="1428" w:type="dxa"/>
            <w:tcBorders>
              <w:top w:val="single" w:sz="4" w:space="0" w:color="auto"/>
              <w:left w:val="nil"/>
              <w:bottom w:val="single" w:sz="4" w:space="0" w:color="auto"/>
              <w:right w:val="single" w:sz="4" w:space="0" w:color="auto"/>
            </w:tcBorders>
            <w:vAlign w:val="center"/>
            <w:hideMark/>
          </w:tcPr>
          <w:p w14:paraId="48EC707E"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Заклади Міноборони</w:t>
            </w:r>
          </w:p>
        </w:tc>
      </w:tr>
      <w:tr w:rsidR="000A19CF" w:rsidRPr="000A19CF" w14:paraId="74D2226B"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0B0C1FD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2860" w:type="dxa"/>
            <w:tcBorders>
              <w:top w:val="nil"/>
              <w:left w:val="nil"/>
              <w:bottom w:val="single" w:sz="4" w:space="0" w:color="auto"/>
              <w:right w:val="single" w:sz="4" w:space="0" w:color="auto"/>
            </w:tcBorders>
            <w:noWrap/>
            <w:vAlign w:val="center"/>
            <w:hideMark/>
          </w:tcPr>
          <w:p w14:paraId="6B2EE507"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Вінницька </w:t>
            </w:r>
          </w:p>
        </w:tc>
        <w:tc>
          <w:tcPr>
            <w:tcW w:w="1700" w:type="dxa"/>
            <w:tcBorders>
              <w:top w:val="nil"/>
              <w:left w:val="nil"/>
              <w:bottom w:val="single" w:sz="4" w:space="0" w:color="auto"/>
              <w:right w:val="single" w:sz="4" w:space="0" w:color="auto"/>
            </w:tcBorders>
            <w:noWrap/>
            <w:vAlign w:val="center"/>
            <w:hideMark/>
          </w:tcPr>
          <w:p w14:paraId="011540E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11</w:t>
            </w:r>
          </w:p>
        </w:tc>
        <w:tc>
          <w:tcPr>
            <w:tcW w:w="1444" w:type="dxa"/>
            <w:tcBorders>
              <w:top w:val="nil"/>
              <w:left w:val="nil"/>
              <w:bottom w:val="single" w:sz="4" w:space="0" w:color="auto"/>
              <w:right w:val="single" w:sz="4" w:space="0" w:color="auto"/>
            </w:tcBorders>
            <w:noWrap/>
            <w:vAlign w:val="center"/>
            <w:hideMark/>
          </w:tcPr>
          <w:p w14:paraId="276754B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42294A1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450D463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294C728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19833CC7"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C7F555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2860" w:type="dxa"/>
            <w:tcBorders>
              <w:top w:val="nil"/>
              <w:left w:val="nil"/>
              <w:bottom w:val="single" w:sz="4" w:space="0" w:color="auto"/>
              <w:right w:val="single" w:sz="4" w:space="0" w:color="auto"/>
            </w:tcBorders>
            <w:noWrap/>
            <w:vAlign w:val="center"/>
            <w:hideMark/>
          </w:tcPr>
          <w:p w14:paraId="7BFA993D"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Волинська  </w:t>
            </w:r>
          </w:p>
        </w:tc>
        <w:tc>
          <w:tcPr>
            <w:tcW w:w="1700" w:type="dxa"/>
            <w:tcBorders>
              <w:top w:val="nil"/>
              <w:left w:val="nil"/>
              <w:bottom w:val="single" w:sz="4" w:space="0" w:color="auto"/>
              <w:right w:val="single" w:sz="4" w:space="0" w:color="auto"/>
            </w:tcBorders>
            <w:noWrap/>
            <w:vAlign w:val="center"/>
            <w:hideMark/>
          </w:tcPr>
          <w:p w14:paraId="57D5ABC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7</w:t>
            </w:r>
          </w:p>
        </w:tc>
        <w:tc>
          <w:tcPr>
            <w:tcW w:w="1444" w:type="dxa"/>
            <w:tcBorders>
              <w:top w:val="nil"/>
              <w:left w:val="nil"/>
              <w:bottom w:val="single" w:sz="4" w:space="0" w:color="auto"/>
              <w:right w:val="single" w:sz="4" w:space="0" w:color="auto"/>
            </w:tcBorders>
            <w:noWrap/>
            <w:vAlign w:val="center"/>
            <w:hideMark/>
          </w:tcPr>
          <w:p w14:paraId="3B2CAE0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3C1CA16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3169A18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3C65693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636D65A8"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ABF5C2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3</w:t>
            </w:r>
          </w:p>
        </w:tc>
        <w:tc>
          <w:tcPr>
            <w:tcW w:w="2860" w:type="dxa"/>
            <w:tcBorders>
              <w:top w:val="nil"/>
              <w:left w:val="nil"/>
              <w:bottom w:val="single" w:sz="4" w:space="0" w:color="auto"/>
              <w:right w:val="single" w:sz="4" w:space="0" w:color="auto"/>
            </w:tcBorders>
            <w:noWrap/>
            <w:vAlign w:val="center"/>
            <w:hideMark/>
          </w:tcPr>
          <w:p w14:paraId="7A405242"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Дніпропетровська  </w:t>
            </w:r>
          </w:p>
        </w:tc>
        <w:tc>
          <w:tcPr>
            <w:tcW w:w="1700" w:type="dxa"/>
            <w:tcBorders>
              <w:top w:val="nil"/>
              <w:left w:val="nil"/>
              <w:bottom w:val="single" w:sz="4" w:space="0" w:color="auto"/>
              <w:right w:val="single" w:sz="4" w:space="0" w:color="auto"/>
            </w:tcBorders>
            <w:noWrap/>
            <w:vAlign w:val="center"/>
            <w:hideMark/>
          </w:tcPr>
          <w:p w14:paraId="10A0B05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18</w:t>
            </w:r>
          </w:p>
        </w:tc>
        <w:tc>
          <w:tcPr>
            <w:tcW w:w="1444" w:type="dxa"/>
            <w:tcBorders>
              <w:top w:val="nil"/>
              <w:left w:val="nil"/>
              <w:bottom w:val="single" w:sz="4" w:space="0" w:color="auto"/>
              <w:right w:val="single" w:sz="4" w:space="0" w:color="auto"/>
            </w:tcBorders>
            <w:noWrap/>
            <w:vAlign w:val="center"/>
            <w:hideMark/>
          </w:tcPr>
          <w:p w14:paraId="7F9A48A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994" w:type="dxa"/>
            <w:tcBorders>
              <w:top w:val="nil"/>
              <w:left w:val="nil"/>
              <w:bottom w:val="single" w:sz="4" w:space="0" w:color="auto"/>
              <w:right w:val="single" w:sz="4" w:space="0" w:color="auto"/>
            </w:tcBorders>
            <w:noWrap/>
            <w:vAlign w:val="center"/>
            <w:hideMark/>
          </w:tcPr>
          <w:p w14:paraId="5CE143D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4</w:t>
            </w:r>
          </w:p>
        </w:tc>
        <w:tc>
          <w:tcPr>
            <w:tcW w:w="960" w:type="dxa"/>
            <w:tcBorders>
              <w:top w:val="nil"/>
              <w:left w:val="nil"/>
              <w:bottom w:val="single" w:sz="4" w:space="0" w:color="auto"/>
              <w:right w:val="single" w:sz="4" w:space="0" w:color="auto"/>
            </w:tcBorders>
            <w:noWrap/>
            <w:vAlign w:val="center"/>
            <w:hideMark/>
          </w:tcPr>
          <w:p w14:paraId="48F3A88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469529B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2381774E"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76E1CF9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4</w:t>
            </w:r>
          </w:p>
        </w:tc>
        <w:tc>
          <w:tcPr>
            <w:tcW w:w="2860" w:type="dxa"/>
            <w:tcBorders>
              <w:top w:val="nil"/>
              <w:left w:val="nil"/>
              <w:bottom w:val="single" w:sz="4" w:space="0" w:color="auto"/>
              <w:right w:val="single" w:sz="4" w:space="0" w:color="auto"/>
            </w:tcBorders>
            <w:noWrap/>
            <w:vAlign w:val="center"/>
            <w:hideMark/>
          </w:tcPr>
          <w:p w14:paraId="4FE6EEB0"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Донецька </w:t>
            </w:r>
          </w:p>
        </w:tc>
        <w:tc>
          <w:tcPr>
            <w:tcW w:w="1700" w:type="dxa"/>
            <w:tcBorders>
              <w:top w:val="nil"/>
              <w:left w:val="nil"/>
              <w:bottom w:val="single" w:sz="4" w:space="0" w:color="auto"/>
              <w:right w:val="single" w:sz="4" w:space="0" w:color="auto"/>
            </w:tcBorders>
            <w:noWrap/>
            <w:vAlign w:val="center"/>
            <w:hideMark/>
          </w:tcPr>
          <w:p w14:paraId="695FAD6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13</w:t>
            </w:r>
          </w:p>
        </w:tc>
        <w:tc>
          <w:tcPr>
            <w:tcW w:w="1444" w:type="dxa"/>
            <w:tcBorders>
              <w:top w:val="nil"/>
              <w:left w:val="nil"/>
              <w:bottom w:val="single" w:sz="4" w:space="0" w:color="auto"/>
              <w:right w:val="single" w:sz="4" w:space="0" w:color="auto"/>
            </w:tcBorders>
            <w:noWrap/>
            <w:vAlign w:val="center"/>
            <w:hideMark/>
          </w:tcPr>
          <w:p w14:paraId="168B3B1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994" w:type="dxa"/>
            <w:tcBorders>
              <w:top w:val="nil"/>
              <w:left w:val="nil"/>
              <w:bottom w:val="single" w:sz="4" w:space="0" w:color="auto"/>
              <w:right w:val="single" w:sz="4" w:space="0" w:color="auto"/>
            </w:tcBorders>
            <w:noWrap/>
            <w:vAlign w:val="center"/>
            <w:hideMark/>
          </w:tcPr>
          <w:p w14:paraId="76673E9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960" w:type="dxa"/>
            <w:tcBorders>
              <w:top w:val="nil"/>
              <w:left w:val="nil"/>
              <w:bottom w:val="single" w:sz="4" w:space="0" w:color="auto"/>
              <w:right w:val="single" w:sz="4" w:space="0" w:color="auto"/>
            </w:tcBorders>
            <w:noWrap/>
            <w:vAlign w:val="center"/>
            <w:hideMark/>
          </w:tcPr>
          <w:p w14:paraId="71DA1BF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5770F55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r>
      <w:tr w:rsidR="000A19CF" w:rsidRPr="000A19CF" w14:paraId="43BC03DD"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8CABD9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5</w:t>
            </w:r>
          </w:p>
        </w:tc>
        <w:tc>
          <w:tcPr>
            <w:tcW w:w="2860" w:type="dxa"/>
            <w:tcBorders>
              <w:top w:val="nil"/>
              <w:left w:val="nil"/>
              <w:bottom w:val="single" w:sz="4" w:space="0" w:color="auto"/>
              <w:right w:val="single" w:sz="4" w:space="0" w:color="auto"/>
            </w:tcBorders>
            <w:noWrap/>
            <w:vAlign w:val="center"/>
            <w:hideMark/>
          </w:tcPr>
          <w:p w14:paraId="54D8CE15"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Житомирська  </w:t>
            </w:r>
          </w:p>
        </w:tc>
        <w:tc>
          <w:tcPr>
            <w:tcW w:w="1700" w:type="dxa"/>
            <w:tcBorders>
              <w:top w:val="nil"/>
              <w:left w:val="nil"/>
              <w:bottom w:val="single" w:sz="4" w:space="0" w:color="auto"/>
              <w:right w:val="single" w:sz="4" w:space="0" w:color="auto"/>
            </w:tcBorders>
            <w:noWrap/>
            <w:vAlign w:val="center"/>
            <w:hideMark/>
          </w:tcPr>
          <w:p w14:paraId="1C66CF4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5</w:t>
            </w:r>
          </w:p>
        </w:tc>
        <w:tc>
          <w:tcPr>
            <w:tcW w:w="1444" w:type="dxa"/>
            <w:tcBorders>
              <w:top w:val="nil"/>
              <w:left w:val="nil"/>
              <w:bottom w:val="single" w:sz="4" w:space="0" w:color="auto"/>
              <w:right w:val="single" w:sz="4" w:space="0" w:color="auto"/>
            </w:tcBorders>
            <w:noWrap/>
            <w:vAlign w:val="center"/>
            <w:hideMark/>
          </w:tcPr>
          <w:p w14:paraId="2F29990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69DF6B2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3B1F261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35060A0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3CB7409B"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1EED142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2860" w:type="dxa"/>
            <w:tcBorders>
              <w:top w:val="nil"/>
              <w:left w:val="nil"/>
              <w:bottom w:val="single" w:sz="4" w:space="0" w:color="auto"/>
              <w:right w:val="single" w:sz="4" w:space="0" w:color="auto"/>
            </w:tcBorders>
            <w:noWrap/>
            <w:vAlign w:val="center"/>
            <w:hideMark/>
          </w:tcPr>
          <w:p w14:paraId="082AA7A3"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Закарпатська </w:t>
            </w:r>
          </w:p>
        </w:tc>
        <w:tc>
          <w:tcPr>
            <w:tcW w:w="1700" w:type="dxa"/>
            <w:tcBorders>
              <w:top w:val="nil"/>
              <w:left w:val="nil"/>
              <w:bottom w:val="single" w:sz="4" w:space="0" w:color="auto"/>
              <w:right w:val="single" w:sz="4" w:space="0" w:color="auto"/>
            </w:tcBorders>
            <w:noWrap/>
            <w:vAlign w:val="center"/>
            <w:hideMark/>
          </w:tcPr>
          <w:p w14:paraId="676DC3A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8</w:t>
            </w:r>
          </w:p>
        </w:tc>
        <w:tc>
          <w:tcPr>
            <w:tcW w:w="1444" w:type="dxa"/>
            <w:tcBorders>
              <w:top w:val="nil"/>
              <w:left w:val="nil"/>
              <w:bottom w:val="single" w:sz="4" w:space="0" w:color="auto"/>
              <w:right w:val="single" w:sz="4" w:space="0" w:color="auto"/>
            </w:tcBorders>
            <w:noWrap/>
            <w:vAlign w:val="center"/>
            <w:hideMark/>
          </w:tcPr>
          <w:p w14:paraId="78F884C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710BE58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60" w:type="dxa"/>
            <w:tcBorders>
              <w:top w:val="nil"/>
              <w:left w:val="nil"/>
              <w:bottom w:val="single" w:sz="4" w:space="0" w:color="auto"/>
              <w:right w:val="single" w:sz="4" w:space="0" w:color="auto"/>
            </w:tcBorders>
            <w:noWrap/>
            <w:vAlign w:val="center"/>
            <w:hideMark/>
          </w:tcPr>
          <w:p w14:paraId="7071F88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5F578C8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5706EB51"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D36562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7</w:t>
            </w:r>
          </w:p>
        </w:tc>
        <w:tc>
          <w:tcPr>
            <w:tcW w:w="2860" w:type="dxa"/>
            <w:tcBorders>
              <w:top w:val="nil"/>
              <w:left w:val="nil"/>
              <w:bottom w:val="single" w:sz="4" w:space="0" w:color="auto"/>
              <w:right w:val="single" w:sz="4" w:space="0" w:color="auto"/>
            </w:tcBorders>
            <w:noWrap/>
            <w:vAlign w:val="center"/>
            <w:hideMark/>
          </w:tcPr>
          <w:p w14:paraId="0894A3FD"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Запорізька  </w:t>
            </w:r>
          </w:p>
        </w:tc>
        <w:tc>
          <w:tcPr>
            <w:tcW w:w="1700" w:type="dxa"/>
            <w:tcBorders>
              <w:top w:val="nil"/>
              <w:left w:val="nil"/>
              <w:bottom w:val="single" w:sz="4" w:space="0" w:color="auto"/>
              <w:right w:val="single" w:sz="4" w:space="0" w:color="auto"/>
            </w:tcBorders>
            <w:noWrap/>
            <w:vAlign w:val="center"/>
            <w:hideMark/>
          </w:tcPr>
          <w:p w14:paraId="4963D7C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165905D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704102A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0910D2A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656E643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2A4673DE"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F7E66C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8</w:t>
            </w:r>
          </w:p>
        </w:tc>
        <w:tc>
          <w:tcPr>
            <w:tcW w:w="2860" w:type="dxa"/>
            <w:tcBorders>
              <w:top w:val="nil"/>
              <w:left w:val="nil"/>
              <w:bottom w:val="single" w:sz="4" w:space="0" w:color="auto"/>
              <w:right w:val="single" w:sz="4" w:space="0" w:color="auto"/>
            </w:tcBorders>
            <w:noWrap/>
            <w:vAlign w:val="center"/>
            <w:hideMark/>
          </w:tcPr>
          <w:p w14:paraId="6F38DC44"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Івано-Франківська  </w:t>
            </w:r>
          </w:p>
        </w:tc>
        <w:tc>
          <w:tcPr>
            <w:tcW w:w="1700" w:type="dxa"/>
            <w:tcBorders>
              <w:top w:val="nil"/>
              <w:left w:val="nil"/>
              <w:bottom w:val="single" w:sz="4" w:space="0" w:color="auto"/>
              <w:right w:val="single" w:sz="4" w:space="0" w:color="auto"/>
            </w:tcBorders>
            <w:noWrap/>
            <w:vAlign w:val="center"/>
            <w:hideMark/>
          </w:tcPr>
          <w:p w14:paraId="73671AF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8</w:t>
            </w:r>
          </w:p>
        </w:tc>
        <w:tc>
          <w:tcPr>
            <w:tcW w:w="1444" w:type="dxa"/>
            <w:tcBorders>
              <w:top w:val="nil"/>
              <w:left w:val="nil"/>
              <w:bottom w:val="single" w:sz="4" w:space="0" w:color="auto"/>
              <w:right w:val="single" w:sz="4" w:space="0" w:color="auto"/>
            </w:tcBorders>
            <w:noWrap/>
            <w:vAlign w:val="center"/>
            <w:hideMark/>
          </w:tcPr>
          <w:p w14:paraId="5582056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7815A5D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7187309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6A611A9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52A66E8F"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6BD7D10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lastRenderedPageBreak/>
              <w:t>9</w:t>
            </w:r>
          </w:p>
        </w:tc>
        <w:tc>
          <w:tcPr>
            <w:tcW w:w="2860" w:type="dxa"/>
            <w:tcBorders>
              <w:top w:val="nil"/>
              <w:left w:val="nil"/>
              <w:bottom w:val="single" w:sz="4" w:space="0" w:color="auto"/>
              <w:right w:val="single" w:sz="4" w:space="0" w:color="auto"/>
            </w:tcBorders>
            <w:noWrap/>
            <w:vAlign w:val="center"/>
            <w:hideMark/>
          </w:tcPr>
          <w:p w14:paraId="517B0163"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Київська  </w:t>
            </w:r>
          </w:p>
        </w:tc>
        <w:tc>
          <w:tcPr>
            <w:tcW w:w="1700" w:type="dxa"/>
            <w:tcBorders>
              <w:top w:val="nil"/>
              <w:left w:val="nil"/>
              <w:bottom w:val="single" w:sz="4" w:space="0" w:color="auto"/>
              <w:right w:val="single" w:sz="4" w:space="0" w:color="auto"/>
            </w:tcBorders>
            <w:noWrap/>
            <w:vAlign w:val="center"/>
            <w:hideMark/>
          </w:tcPr>
          <w:p w14:paraId="76F118F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5</w:t>
            </w:r>
          </w:p>
        </w:tc>
        <w:tc>
          <w:tcPr>
            <w:tcW w:w="1444" w:type="dxa"/>
            <w:tcBorders>
              <w:top w:val="nil"/>
              <w:left w:val="nil"/>
              <w:bottom w:val="single" w:sz="4" w:space="0" w:color="auto"/>
              <w:right w:val="single" w:sz="4" w:space="0" w:color="auto"/>
            </w:tcBorders>
            <w:noWrap/>
            <w:vAlign w:val="center"/>
            <w:hideMark/>
          </w:tcPr>
          <w:p w14:paraId="1A56B78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0BCCB2E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60" w:type="dxa"/>
            <w:tcBorders>
              <w:top w:val="nil"/>
              <w:left w:val="nil"/>
              <w:bottom w:val="single" w:sz="4" w:space="0" w:color="auto"/>
              <w:right w:val="single" w:sz="4" w:space="0" w:color="auto"/>
            </w:tcBorders>
            <w:noWrap/>
            <w:vAlign w:val="center"/>
            <w:hideMark/>
          </w:tcPr>
          <w:p w14:paraId="46F82C7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39CEEEA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1F53014A"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5EC416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10</w:t>
            </w:r>
          </w:p>
        </w:tc>
        <w:tc>
          <w:tcPr>
            <w:tcW w:w="2860" w:type="dxa"/>
            <w:tcBorders>
              <w:top w:val="nil"/>
              <w:left w:val="nil"/>
              <w:bottom w:val="single" w:sz="4" w:space="0" w:color="auto"/>
              <w:right w:val="single" w:sz="4" w:space="0" w:color="auto"/>
            </w:tcBorders>
            <w:noWrap/>
            <w:vAlign w:val="center"/>
            <w:hideMark/>
          </w:tcPr>
          <w:p w14:paraId="639539D8"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Кіровоградська  </w:t>
            </w:r>
          </w:p>
        </w:tc>
        <w:tc>
          <w:tcPr>
            <w:tcW w:w="1700" w:type="dxa"/>
            <w:tcBorders>
              <w:top w:val="nil"/>
              <w:left w:val="nil"/>
              <w:bottom w:val="single" w:sz="4" w:space="0" w:color="auto"/>
              <w:right w:val="single" w:sz="4" w:space="0" w:color="auto"/>
            </w:tcBorders>
            <w:noWrap/>
            <w:vAlign w:val="center"/>
            <w:hideMark/>
          </w:tcPr>
          <w:p w14:paraId="6ED90D3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4</w:t>
            </w:r>
          </w:p>
        </w:tc>
        <w:tc>
          <w:tcPr>
            <w:tcW w:w="1444" w:type="dxa"/>
            <w:tcBorders>
              <w:top w:val="nil"/>
              <w:left w:val="nil"/>
              <w:bottom w:val="single" w:sz="4" w:space="0" w:color="auto"/>
              <w:right w:val="single" w:sz="4" w:space="0" w:color="auto"/>
            </w:tcBorders>
            <w:noWrap/>
            <w:vAlign w:val="center"/>
            <w:hideMark/>
          </w:tcPr>
          <w:p w14:paraId="17DD4A4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1F77685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42EA0C8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27EF386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10E46492"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4E6526C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11</w:t>
            </w:r>
          </w:p>
        </w:tc>
        <w:tc>
          <w:tcPr>
            <w:tcW w:w="2860" w:type="dxa"/>
            <w:tcBorders>
              <w:top w:val="nil"/>
              <w:left w:val="nil"/>
              <w:bottom w:val="single" w:sz="4" w:space="0" w:color="auto"/>
              <w:right w:val="single" w:sz="4" w:space="0" w:color="auto"/>
            </w:tcBorders>
            <w:noWrap/>
            <w:vAlign w:val="center"/>
            <w:hideMark/>
          </w:tcPr>
          <w:p w14:paraId="198CC722"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Луганська</w:t>
            </w:r>
          </w:p>
        </w:tc>
        <w:tc>
          <w:tcPr>
            <w:tcW w:w="1700" w:type="dxa"/>
            <w:tcBorders>
              <w:top w:val="nil"/>
              <w:left w:val="nil"/>
              <w:bottom w:val="single" w:sz="4" w:space="0" w:color="auto"/>
              <w:right w:val="single" w:sz="4" w:space="0" w:color="auto"/>
            </w:tcBorders>
            <w:noWrap/>
            <w:vAlign w:val="center"/>
            <w:hideMark/>
          </w:tcPr>
          <w:p w14:paraId="48C010F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7</w:t>
            </w:r>
          </w:p>
        </w:tc>
        <w:tc>
          <w:tcPr>
            <w:tcW w:w="1444" w:type="dxa"/>
            <w:tcBorders>
              <w:top w:val="nil"/>
              <w:left w:val="nil"/>
              <w:bottom w:val="single" w:sz="4" w:space="0" w:color="auto"/>
              <w:right w:val="single" w:sz="4" w:space="0" w:color="auto"/>
            </w:tcBorders>
            <w:noWrap/>
            <w:vAlign w:val="center"/>
            <w:hideMark/>
          </w:tcPr>
          <w:p w14:paraId="0B585EC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5838B9D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60" w:type="dxa"/>
            <w:tcBorders>
              <w:top w:val="nil"/>
              <w:left w:val="nil"/>
              <w:bottom w:val="single" w:sz="4" w:space="0" w:color="auto"/>
              <w:right w:val="single" w:sz="4" w:space="0" w:color="auto"/>
            </w:tcBorders>
            <w:noWrap/>
            <w:vAlign w:val="center"/>
            <w:hideMark/>
          </w:tcPr>
          <w:p w14:paraId="133EDDE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6DD49EF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095FAD79"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24F2F6E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12</w:t>
            </w:r>
          </w:p>
        </w:tc>
        <w:tc>
          <w:tcPr>
            <w:tcW w:w="2860" w:type="dxa"/>
            <w:tcBorders>
              <w:top w:val="nil"/>
              <w:left w:val="nil"/>
              <w:bottom w:val="single" w:sz="4" w:space="0" w:color="auto"/>
              <w:right w:val="single" w:sz="4" w:space="0" w:color="auto"/>
            </w:tcBorders>
            <w:noWrap/>
            <w:vAlign w:val="center"/>
            <w:hideMark/>
          </w:tcPr>
          <w:p w14:paraId="17F6C8CC"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Львівська  </w:t>
            </w:r>
          </w:p>
        </w:tc>
        <w:tc>
          <w:tcPr>
            <w:tcW w:w="1700" w:type="dxa"/>
            <w:tcBorders>
              <w:top w:val="nil"/>
              <w:left w:val="nil"/>
              <w:bottom w:val="single" w:sz="4" w:space="0" w:color="auto"/>
              <w:right w:val="single" w:sz="4" w:space="0" w:color="auto"/>
            </w:tcBorders>
            <w:noWrap/>
            <w:vAlign w:val="center"/>
            <w:hideMark/>
          </w:tcPr>
          <w:p w14:paraId="7181FB8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11</w:t>
            </w:r>
          </w:p>
        </w:tc>
        <w:tc>
          <w:tcPr>
            <w:tcW w:w="1444" w:type="dxa"/>
            <w:tcBorders>
              <w:top w:val="nil"/>
              <w:left w:val="nil"/>
              <w:bottom w:val="single" w:sz="4" w:space="0" w:color="auto"/>
              <w:right w:val="single" w:sz="4" w:space="0" w:color="auto"/>
            </w:tcBorders>
            <w:noWrap/>
            <w:vAlign w:val="center"/>
            <w:hideMark/>
          </w:tcPr>
          <w:p w14:paraId="229B0D1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3152C55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4F68553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709B1AC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3A4C9B0E"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68EB8A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13</w:t>
            </w:r>
          </w:p>
        </w:tc>
        <w:tc>
          <w:tcPr>
            <w:tcW w:w="2860" w:type="dxa"/>
            <w:tcBorders>
              <w:top w:val="nil"/>
              <w:left w:val="nil"/>
              <w:bottom w:val="single" w:sz="4" w:space="0" w:color="auto"/>
              <w:right w:val="single" w:sz="4" w:space="0" w:color="auto"/>
            </w:tcBorders>
            <w:noWrap/>
            <w:vAlign w:val="center"/>
            <w:hideMark/>
          </w:tcPr>
          <w:p w14:paraId="1C4D9869"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Миколаївська  </w:t>
            </w:r>
          </w:p>
        </w:tc>
        <w:tc>
          <w:tcPr>
            <w:tcW w:w="1700" w:type="dxa"/>
            <w:tcBorders>
              <w:top w:val="nil"/>
              <w:left w:val="nil"/>
              <w:bottom w:val="single" w:sz="4" w:space="0" w:color="auto"/>
              <w:right w:val="single" w:sz="4" w:space="0" w:color="auto"/>
            </w:tcBorders>
            <w:noWrap/>
            <w:vAlign w:val="center"/>
            <w:hideMark/>
          </w:tcPr>
          <w:p w14:paraId="67DCB62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1944F75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05D1CA8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5C52810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642D561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2FCFD662"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27E534B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14</w:t>
            </w:r>
          </w:p>
        </w:tc>
        <w:tc>
          <w:tcPr>
            <w:tcW w:w="2860" w:type="dxa"/>
            <w:tcBorders>
              <w:top w:val="nil"/>
              <w:left w:val="nil"/>
              <w:bottom w:val="single" w:sz="4" w:space="0" w:color="auto"/>
              <w:right w:val="single" w:sz="4" w:space="0" w:color="auto"/>
            </w:tcBorders>
            <w:noWrap/>
            <w:vAlign w:val="center"/>
            <w:hideMark/>
          </w:tcPr>
          <w:p w14:paraId="1F250988"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Одеська  </w:t>
            </w:r>
          </w:p>
        </w:tc>
        <w:tc>
          <w:tcPr>
            <w:tcW w:w="1700" w:type="dxa"/>
            <w:tcBorders>
              <w:top w:val="nil"/>
              <w:left w:val="nil"/>
              <w:bottom w:val="single" w:sz="4" w:space="0" w:color="auto"/>
              <w:right w:val="single" w:sz="4" w:space="0" w:color="auto"/>
            </w:tcBorders>
            <w:noWrap/>
            <w:vAlign w:val="center"/>
            <w:hideMark/>
          </w:tcPr>
          <w:p w14:paraId="6AEB7C3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17</w:t>
            </w:r>
          </w:p>
        </w:tc>
        <w:tc>
          <w:tcPr>
            <w:tcW w:w="1444" w:type="dxa"/>
            <w:tcBorders>
              <w:top w:val="nil"/>
              <w:left w:val="nil"/>
              <w:bottom w:val="single" w:sz="4" w:space="0" w:color="auto"/>
              <w:right w:val="single" w:sz="4" w:space="0" w:color="auto"/>
            </w:tcBorders>
            <w:noWrap/>
            <w:vAlign w:val="center"/>
            <w:hideMark/>
          </w:tcPr>
          <w:p w14:paraId="6708898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4D916B3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5ECC09E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54A3ED3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322D3284"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360360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15</w:t>
            </w:r>
          </w:p>
        </w:tc>
        <w:tc>
          <w:tcPr>
            <w:tcW w:w="2860" w:type="dxa"/>
            <w:tcBorders>
              <w:top w:val="nil"/>
              <w:left w:val="nil"/>
              <w:bottom w:val="single" w:sz="4" w:space="0" w:color="auto"/>
              <w:right w:val="single" w:sz="4" w:space="0" w:color="auto"/>
            </w:tcBorders>
            <w:noWrap/>
            <w:vAlign w:val="center"/>
            <w:hideMark/>
          </w:tcPr>
          <w:p w14:paraId="2D06A9BA"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Полтавська </w:t>
            </w:r>
          </w:p>
        </w:tc>
        <w:tc>
          <w:tcPr>
            <w:tcW w:w="1700" w:type="dxa"/>
            <w:tcBorders>
              <w:top w:val="nil"/>
              <w:left w:val="nil"/>
              <w:bottom w:val="single" w:sz="4" w:space="0" w:color="auto"/>
              <w:right w:val="single" w:sz="4" w:space="0" w:color="auto"/>
            </w:tcBorders>
            <w:noWrap/>
            <w:vAlign w:val="center"/>
            <w:hideMark/>
          </w:tcPr>
          <w:p w14:paraId="73AA1AF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8</w:t>
            </w:r>
          </w:p>
        </w:tc>
        <w:tc>
          <w:tcPr>
            <w:tcW w:w="1444" w:type="dxa"/>
            <w:tcBorders>
              <w:top w:val="nil"/>
              <w:left w:val="nil"/>
              <w:bottom w:val="single" w:sz="4" w:space="0" w:color="auto"/>
              <w:right w:val="single" w:sz="4" w:space="0" w:color="auto"/>
            </w:tcBorders>
            <w:noWrap/>
            <w:vAlign w:val="center"/>
            <w:hideMark/>
          </w:tcPr>
          <w:p w14:paraId="5FD939C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2B89EB5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6516725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292CAE7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3EB1EC85"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0AF7C96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16</w:t>
            </w:r>
          </w:p>
        </w:tc>
        <w:tc>
          <w:tcPr>
            <w:tcW w:w="2860" w:type="dxa"/>
            <w:tcBorders>
              <w:top w:val="nil"/>
              <w:left w:val="nil"/>
              <w:bottom w:val="single" w:sz="4" w:space="0" w:color="auto"/>
              <w:right w:val="single" w:sz="4" w:space="0" w:color="auto"/>
            </w:tcBorders>
            <w:noWrap/>
            <w:vAlign w:val="center"/>
            <w:hideMark/>
          </w:tcPr>
          <w:p w14:paraId="5EF6008E"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Рівненська  </w:t>
            </w:r>
          </w:p>
        </w:tc>
        <w:tc>
          <w:tcPr>
            <w:tcW w:w="1700" w:type="dxa"/>
            <w:tcBorders>
              <w:top w:val="nil"/>
              <w:left w:val="nil"/>
              <w:bottom w:val="single" w:sz="4" w:space="0" w:color="auto"/>
              <w:right w:val="single" w:sz="4" w:space="0" w:color="auto"/>
            </w:tcBorders>
            <w:noWrap/>
            <w:vAlign w:val="center"/>
            <w:hideMark/>
          </w:tcPr>
          <w:p w14:paraId="1E8031C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9</w:t>
            </w:r>
          </w:p>
        </w:tc>
        <w:tc>
          <w:tcPr>
            <w:tcW w:w="1444" w:type="dxa"/>
            <w:tcBorders>
              <w:top w:val="nil"/>
              <w:left w:val="nil"/>
              <w:bottom w:val="single" w:sz="4" w:space="0" w:color="auto"/>
              <w:right w:val="single" w:sz="4" w:space="0" w:color="auto"/>
            </w:tcBorders>
            <w:noWrap/>
            <w:vAlign w:val="center"/>
            <w:hideMark/>
          </w:tcPr>
          <w:p w14:paraId="3701C814"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5A65709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009E56F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5579DA2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3F33C735"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4ACB890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17</w:t>
            </w:r>
          </w:p>
        </w:tc>
        <w:tc>
          <w:tcPr>
            <w:tcW w:w="2860" w:type="dxa"/>
            <w:tcBorders>
              <w:top w:val="nil"/>
              <w:left w:val="nil"/>
              <w:bottom w:val="single" w:sz="4" w:space="0" w:color="auto"/>
              <w:right w:val="single" w:sz="4" w:space="0" w:color="auto"/>
            </w:tcBorders>
            <w:noWrap/>
            <w:vAlign w:val="center"/>
            <w:hideMark/>
          </w:tcPr>
          <w:p w14:paraId="7D549BCB"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Сумська  </w:t>
            </w:r>
          </w:p>
        </w:tc>
        <w:tc>
          <w:tcPr>
            <w:tcW w:w="1700" w:type="dxa"/>
            <w:tcBorders>
              <w:top w:val="nil"/>
              <w:left w:val="nil"/>
              <w:bottom w:val="single" w:sz="4" w:space="0" w:color="auto"/>
              <w:right w:val="single" w:sz="4" w:space="0" w:color="auto"/>
            </w:tcBorders>
            <w:noWrap/>
            <w:vAlign w:val="center"/>
            <w:hideMark/>
          </w:tcPr>
          <w:p w14:paraId="31E9BB2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5</w:t>
            </w:r>
          </w:p>
        </w:tc>
        <w:tc>
          <w:tcPr>
            <w:tcW w:w="1444" w:type="dxa"/>
            <w:tcBorders>
              <w:top w:val="nil"/>
              <w:left w:val="nil"/>
              <w:bottom w:val="single" w:sz="4" w:space="0" w:color="auto"/>
              <w:right w:val="single" w:sz="4" w:space="0" w:color="auto"/>
            </w:tcBorders>
            <w:noWrap/>
            <w:vAlign w:val="center"/>
            <w:hideMark/>
          </w:tcPr>
          <w:p w14:paraId="6EBE6DB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1A83BA1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4A867EE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24BE9A5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576BA388"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406E20A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18</w:t>
            </w:r>
          </w:p>
        </w:tc>
        <w:tc>
          <w:tcPr>
            <w:tcW w:w="2860" w:type="dxa"/>
            <w:tcBorders>
              <w:top w:val="nil"/>
              <w:left w:val="nil"/>
              <w:bottom w:val="single" w:sz="4" w:space="0" w:color="auto"/>
              <w:right w:val="single" w:sz="4" w:space="0" w:color="auto"/>
            </w:tcBorders>
            <w:noWrap/>
            <w:vAlign w:val="center"/>
            <w:hideMark/>
          </w:tcPr>
          <w:p w14:paraId="5BE7B627"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Тернопільська  </w:t>
            </w:r>
          </w:p>
        </w:tc>
        <w:tc>
          <w:tcPr>
            <w:tcW w:w="1700" w:type="dxa"/>
            <w:tcBorders>
              <w:top w:val="nil"/>
              <w:left w:val="nil"/>
              <w:bottom w:val="single" w:sz="4" w:space="0" w:color="auto"/>
              <w:right w:val="single" w:sz="4" w:space="0" w:color="auto"/>
            </w:tcBorders>
            <w:noWrap/>
            <w:vAlign w:val="center"/>
            <w:hideMark/>
          </w:tcPr>
          <w:p w14:paraId="6343F04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406696A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3AAE9F5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3</w:t>
            </w:r>
          </w:p>
        </w:tc>
        <w:tc>
          <w:tcPr>
            <w:tcW w:w="960" w:type="dxa"/>
            <w:tcBorders>
              <w:top w:val="nil"/>
              <w:left w:val="nil"/>
              <w:bottom w:val="single" w:sz="4" w:space="0" w:color="auto"/>
              <w:right w:val="single" w:sz="4" w:space="0" w:color="auto"/>
            </w:tcBorders>
            <w:noWrap/>
            <w:vAlign w:val="center"/>
            <w:hideMark/>
          </w:tcPr>
          <w:p w14:paraId="5822E30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4D6C865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50D60594"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76D7B0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19</w:t>
            </w:r>
          </w:p>
        </w:tc>
        <w:tc>
          <w:tcPr>
            <w:tcW w:w="2860" w:type="dxa"/>
            <w:tcBorders>
              <w:top w:val="nil"/>
              <w:left w:val="nil"/>
              <w:bottom w:val="single" w:sz="4" w:space="0" w:color="auto"/>
              <w:right w:val="single" w:sz="4" w:space="0" w:color="auto"/>
            </w:tcBorders>
            <w:noWrap/>
            <w:vAlign w:val="center"/>
            <w:hideMark/>
          </w:tcPr>
          <w:p w14:paraId="1E14FD6E"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Харківська </w:t>
            </w:r>
          </w:p>
        </w:tc>
        <w:tc>
          <w:tcPr>
            <w:tcW w:w="1700" w:type="dxa"/>
            <w:tcBorders>
              <w:top w:val="nil"/>
              <w:left w:val="nil"/>
              <w:bottom w:val="single" w:sz="4" w:space="0" w:color="auto"/>
              <w:right w:val="single" w:sz="4" w:space="0" w:color="auto"/>
            </w:tcBorders>
            <w:noWrap/>
            <w:vAlign w:val="center"/>
            <w:hideMark/>
          </w:tcPr>
          <w:p w14:paraId="264B288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7</w:t>
            </w:r>
          </w:p>
        </w:tc>
        <w:tc>
          <w:tcPr>
            <w:tcW w:w="1444" w:type="dxa"/>
            <w:tcBorders>
              <w:top w:val="nil"/>
              <w:left w:val="nil"/>
              <w:bottom w:val="single" w:sz="4" w:space="0" w:color="auto"/>
              <w:right w:val="single" w:sz="4" w:space="0" w:color="auto"/>
            </w:tcBorders>
            <w:noWrap/>
            <w:vAlign w:val="center"/>
            <w:hideMark/>
          </w:tcPr>
          <w:p w14:paraId="2C5F568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60885B4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960" w:type="dxa"/>
            <w:tcBorders>
              <w:top w:val="nil"/>
              <w:left w:val="nil"/>
              <w:bottom w:val="single" w:sz="4" w:space="0" w:color="auto"/>
              <w:right w:val="single" w:sz="4" w:space="0" w:color="auto"/>
            </w:tcBorders>
            <w:noWrap/>
            <w:vAlign w:val="center"/>
            <w:hideMark/>
          </w:tcPr>
          <w:p w14:paraId="6A23916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718D327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r>
      <w:tr w:rsidR="000A19CF" w:rsidRPr="000A19CF" w14:paraId="2B8E5994"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DA0CC7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20</w:t>
            </w:r>
          </w:p>
        </w:tc>
        <w:tc>
          <w:tcPr>
            <w:tcW w:w="2860" w:type="dxa"/>
            <w:tcBorders>
              <w:top w:val="nil"/>
              <w:left w:val="nil"/>
              <w:bottom w:val="single" w:sz="4" w:space="0" w:color="auto"/>
              <w:right w:val="single" w:sz="4" w:space="0" w:color="auto"/>
            </w:tcBorders>
            <w:noWrap/>
            <w:vAlign w:val="center"/>
            <w:hideMark/>
          </w:tcPr>
          <w:p w14:paraId="5CD0D8EE"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Херсонська  </w:t>
            </w:r>
          </w:p>
        </w:tc>
        <w:tc>
          <w:tcPr>
            <w:tcW w:w="1700" w:type="dxa"/>
            <w:tcBorders>
              <w:top w:val="nil"/>
              <w:left w:val="nil"/>
              <w:bottom w:val="single" w:sz="4" w:space="0" w:color="auto"/>
              <w:right w:val="single" w:sz="4" w:space="0" w:color="auto"/>
            </w:tcBorders>
            <w:noWrap/>
            <w:vAlign w:val="center"/>
            <w:hideMark/>
          </w:tcPr>
          <w:p w14:paraId="531F0B4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4</w:t>
            </w:r>
          </w:p>
        </w:tc>
        <w:tc>
          <w:tcPr>
            <w:tcW w:w="1444" w:type="dxa"/>
            <w:tcBorders>
              <w:top w:val="nil"/>
              <w:left w:val="nil"/>
              <w:bottom w:val="single" w:sz="4" w:space="0" w:color="auto"/>
              <w:right w:val="single" w:sz="4" w:space="0" w:color="auto"/>
            </w:tcBorders>
            <w:noWrap/>
            <w:vAlign w:val="center"/>
            <w:hideMark/>
          </w:tcPr>
          <w:p w14:paraId="6900CDC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5EE3387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w:t>
            </w:r>
          </w:p>
        </w:tc>
        <w:tc>
          <w:tcPr>
            <w:tcW w:w="960" w:type="dxa"/>
            <w:tcBorders>
              <w:top w:val="nil"/>
              <w:left w:val="nil"/>
              <w:bottom w:val="single" w:sz="4" w:space="0" w:color="auto"/>
              <w:right w:val="single" w:sz="4" w:space="0" w:color="auto"/>
            </w:tcBorders>
            <w:noWrap/>
            <w:vAlign w:val="center"/>
            <w:hideMark/>
          </w:tcPr>
          <w:p w14:paraId="4DF9F9A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09EB865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5B47AB86"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0F0F5AA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21</w:t>
            </w:r>
          </w:p>
        </w:tc>
        <w:tc>
          <w:tcPr>
            <w:tcW w:w="2860" w:type="dxa"/>
            <w:tcBorders>
              <w:top w:val="nil"/>
              <w:left w:val="nil"/>
              <w:bottom w:val="single" w:sz="4" w:space="0" w:color="auto"/>
              <w:right w:val="single" w:sz="4" w:space="0" w:color="auto"/>
            </w:tcBorders>
            <w:noWrap/>
            <w:vAlign w:val="center"/>
            <w:hideMark/>
          </w:tcPr>
          <w:p w14:paraId="5B15BB57"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Хмельницька  </w:t>
            </w:r>
          </w:p>
        </w:tc>
        <w:tc>
          <w:tcPr>
            <w:tcW w:w="1700" w:type="dxa"/>
            <w:tcBorders>
              <w:top w:val="nil"/>
              <w:left w:val="nil"/>
              <w:bottom w:val="single" w:sz="4" w:space="0" w:color="auto"/>
              <w:right w:val="single" w:sz="4" w:space="0" w:color="auto"/>
            </w:tcBorders>
            <w:noWrap/>
            <w:vAlign w:val="center"/>
            <w:hideMark/>
          </w:tcPr>
          <w:p w14:paraId="6BC0F06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9</w:t>
            </w:r>
          </w:p>
        </w:tc>
        <w:tc>
          <w:tcPr>
            <w:tcW w:w="1444" w:type="dxa"/>
            <w:tcBorders>
              <w:top w:val="nil"/>
              <w:left w:val="nil"/>
              <w:bottom w:val="single" w:sz="4" w:space="0" w:color="auto"/>
              <w:right w:val="single" w:sz="4" w:space="0" w:color="auto"/>
            </w:tcBorders>
            <w:noWrap/>
            <w:vAlign w:val="center"/>
            <w:hideMark/>
          </w:tcPr>
          <w:p w14:paraId="63D3FD5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56AB66C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089378A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1C89532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60C6CF37"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678C21E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22</w:t>
            </w:r>
          </w:p>
        </w:tc>
        <w:tc>
          <w:tcPr>
            <w:tcW w:w="2860" w:type="dxa"/>
            <w:tcBorders>
              <w:top w:val="nil"/>
              <w:left w:val="nil"/>
              <w:bottom w:val="single" w:sz="4" w:space="0" w:color="auto"/>
              <w:right w:val="single" w:sz="4" w:space="0" w:color="auto"/>
            </w:tcBorders>
            <w:noWrap/>
            <w:vAlign w:val="center"/>
            <w:hideMark/>
          </w:tcPr>
          <w:p w14:paraId="05FD55D1"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Черкаська  </w:t>
            </w:r>
          </w:p>
        </w:tc>
        <w:tc>
          <w:tcPr>
            <w:tcW w:w="1700" w:type="dxa"/>
            <w:tcBorders>
              <w:top w:val="nil"/>
              <w:left w:val="nil"/>
              <w:bottom w:val="single" w:sz="4" w:space="0" w:color="auto"/>
              <w:right w:val="single" w:sz="4" w:space="0" w:color="auto"/>
            </w:tcBorders>
            <w:noWrap/>
            <w:vAlign w:val="center"/>
            <w:hideMark/>
          </w:tcPr>
          <w:p w14:paraId="62D1DD8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282D9E5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7920AFA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75FF3BA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5BA1946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0BE48A55"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460859BB"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23</w:t>
            </w:r>
          </w:p>
        </w:tc>
        <w:tc>
          <w:tcPr>
            <w:tcW w:w="2860" w:type="dxa"/>
            <w:tcBorders>
              <w:top w:val="nil"/>
              <w:left w:val="nil"/>
              <w:bottom w:val="single" w:sz="4" w:space="0" w:color="auto"/>
              <w:right w:val="single" w:sz="4" w:space="0" w:color="auto"/>
            </w:tcBorders>
            <w:noWrap/>
            <w:vAlign w:val="center"/>
            <w:hideMark/>
          </w:tcPr>
          <w:p w14:paraId="4967323A"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Чернівецька  </w:t>
            </w:r>
          </w:p>
        </w:tc>
        <w:tc>
          <w:tcPr>
            <w:tcW w:w="1700" w:type="dxa"/>
            <w:tcBorders>
              <w:top w:val="nil"/>
              <w:left w:val="nil"/>
              <w:bottom w:val="single" w:sz="4" w:space="0" w:color="auto"/>
              <w:right w:val="single" w:sz="4" w:space="0" w:color="auto"/>
            </w:tcBorders>
            <w:noWrap/>
            <w:vAlign w:val="center"/>
            <w:hideMark/>
          </w:tcPr>
          <w:p w14:paraId="16FEA60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42331A0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3D7B4C9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3E3573CD"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23A8557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0D4C04B3"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599BA44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24</w:t>
            </w:r>
          </w:p>
        </w:tc>
        <w:tc>
          <w:tcPr>
            <w:tcW w:w="2860" w:type="dxa"/>
            <w:tcBorders>
              <w:top w:val="nil"/>
              <w:left w:val="nil"/>
              <w:bottom w:val="single" w:sz="4" w:space="0" w:color="auto"/>
              <w:right w:val="single" w:sz="4" w:space="0" w:color="auto"/>
            </w:tcBorders>
            <w:noWrap/>
            <w:vAlign w:val="center"/>
            <w:hideMark/>
          </w:tcPr>
          <w:p w14:paraId="42F97FD2"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 xml:space="preserve">Чернігівська </w:t>
            </w:r>
          </w:p>
        </w:tc>
        <w:tc>
          <w:tcPr>
            <w:tcW w:w="1700" w:type="dxa"/>
            <w:tcBorders>
              <w:top w:val="nil"/>
              <w:left w:val="nil"/>
              <w:bottom w:val="single" w:sz="4" w:space="0" w:color="auto"/>
              <w:right w:val="single" w:sz="4" w:space="0" w:color="auto"/>
            </w:tcBorders>
            <w:noWrap/>
            <w:vAlign w:val="center"/>
            <w:hideMark/>
          </w:tcPr>
          <w:p w14:paraId="78A9813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6</w:t>
            </w:r>
          </w:p>
        </w:tc>
        <w:tc>
          <w:tcPr>
            <w:tcW w:w="1444" w:type="dxa"/>
            <w:tcBorders>
              <w:top w:val="nil"/>
              <w:left w:val="nil"/>
              <w:bottom w:val="single" w:sz="4" w:space="0" w:color="auto"/>
              <w:right w:val="single" w:sz="4" w:space="0" w:color="auto"/>
            </w:tcBorders>
            <w:noWrap/>
            <w:vAlign w:val="center"/>
            <w:hideMark/>
          </w:tcPr>
          <w:p w14:paraId="19CE0FD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1142794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3E329DC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36DB11F0"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0AE652D6"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385CF8B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25</w:t>
            </w:r>
          </w:p>
        </w:tc>
        <w:tc>
          <w:tcPr>
            <w:tcW w:w="2860" w:type="dxa"/>
            <w:tcBorders>
              <w:top w:val="nil"/>
              <w:left w:val="nil"/>
              <w:bottom w:val="single" w:sz="4" w:space="0" w:color="auto"/>
              <w:right w:val="single" w:sz="4" w:space="0" w:color="auto"/>
            </w:tcBorders>
            <w:noWrap/>
            <w:vAlign w:val="center"/>
            <w:hideMark/>
          </w:tcPr>
          <w:p w14:paraId="61BDFBA3"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м. Київ</w:t>
            </w:r>
          </w:p>
        </w:tc>
        <w:tc>
          <w:tcPr>
            <w:tcW w:w="1700" w:type="dxa"/>
            <w:tcBorders>
              <w:top w:val="nil"/>
              <w:left w:val="nil"/>
              <w:bottom w:val="single" w:sz="4" w:space="0" w:color="auto"/>
              <w:right w:val="single" w:sz="4" w:space="0" w:color="auto"/>
            </w:tcBorders>
            <w:noWrap/>
            <w:vAlign w:val="center"/>
            <w:hideMark/>
          </w:tcPr>
          <w:p w14:paraId="506B8BC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7</w:t>
            </w:r>
          </w:p>
        </w:tc>
        <w:tc>
          <w:tcPr>
            <w:tcW w:w="1444" w:type="dxa"/>
            <w:tcBorders>
              <w:top w:val="nil"/>
              <w:left w:val="nil"/>
              <w:bottom w:val="single" w:sz="4" w:space="0" w:color="auto"/>
              <w:right w:val="single" w:sz="4" w:space="0" w:color="auto"/>
            </w:tcBorders>
            <w:noWrap/>
            <w:vAlign w:val="center"/>
            <w:hideMark/>
          </w:tcPr>
          <w:p w14:paraId="48DE6341"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1692882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60" w:type="dxa"/>
            <w:tcBorders>
              <w:top w:val="nil"/>
              <w:left w:val="nil"/>
              <w:bottom w:val="single" w:sz="4" w:space="0" w:color="auto"/>
              <w:right w:val="single" w:sz="4" w:space="0" w:color="auto"/>
            </w:tcBorders>
            <w:noWrap/>
            <w:vAlign w:val="center"/>
            <w:hideMark/>
          </w:tcPr>
          <w:p w14:paraId="0E7E54AE"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28" w:type="dxa"/>
            <w:tcBorders>
              <w:top w:val="nil"/>
              <w:left w:val="nil"/>
              <w:bottom w:val="single" w:sz="4" w:space="0" w:color="auto"/>
              <w:right w:val="single" w:sz="4" w:space="0" w:color="auto"/>
            </w:tcBorders>
            <w:noWrap/>
            <w:vAlign w:val="center"/>
            <w:hideMark/>
          </w:tcPr>
          <w:p w14:paraId="1F834B23"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r>
      <w:tr w:rsidR="000A19CF" w:rsidRPr="000A19CF" w14:paraId="46491777"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41049C68"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26</w:t>
            </w:r>
          </w:p>
        </w:tc>
        <w:tc>
          <w:tcPr>
            <w:tcW w:w="2860" w:type="dxa"/>
            <w:tcBorders>
              <w:top w:val="nil"/>
              <w:left w:val="nil"/>
              <w:bottom w:val="single" w:sz="4" w:space="0" w:color="auto"/>
              <w:right w:val="single" w:sz="4" w:space="0" w:color="auto"/>
            </w:tcBorders>
            <w:noWrap/>
            <w:vAlign w:val="center"/>
            <w:hideMark/>
          </w:tcPr>
          <w:p w14:paraId="68F11241"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Академія медичних наук</w:t>
            </w:r>
          </w:p>
        </w:tc>
        <w:tc>
          <w:tcPr>
            <w:tcW w:w="1700" w:type="dxa"/>
            <w:tcBorders>
              <w:top w:val="nil"/>
              <w:left w:val="nil"/>
              <w:bottom w:val="single" w:sz="4" w:space="0" w:color="auto"/>
              <w:right w:val="single" w:sz="4" w:space="0" w:color="auto"/>
            </w:tcBorders>
            <w:noWrap/>
            <w:vAlign w:val="center"/>
            <w:hideMark/>
          </w:tcPr>
          <w:p w14:paraId="0356249A"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3</w:t>
            </w:r>
          </w:p>
        </w:tc>
        <w:tc>
          <w:tcPr>
            <w:tcW w:w="1444" w:type="dxa"/>
            <w:tcBorders>
              <w:top w:val="nil"/>
              <w:left w:val="nil"/>
              <w:bottom w:val="single" w:sz="4" w:space="0" w:color="auto"/>
              <w:right w:val="single" w:sz="4" w:space="0" w:color="auto"/>
            </w:tcBorders>
            <w:noWrap/>
            <w:vAlign w:val="center"/>
            <w:hideMark/>
          </w:tcPr>
          <w:p w14:paraId="1AC6EB6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994" w:type="dxa"/>
            <w:tcBorders>
              <w:top w:val="nil"/>
              <w:left w:val="nil"/>
              <w:bottom w:val="single" w:sz="4" w:space="0" w:color="auto"/>
              <w:right w:val="single" w:sz="4" w:space="0" w:color="auto"/>
            </w:tcBorders>
            <w:noWrap/>
            <w:vAlign w:val="center"/>
            <w:hideMark/>
          </w:tcPr>
          <w:p w14:paraId="5C40D45C"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60" w:type="dxa"/>
            <w:tcBorders>
              <w:top w:val="nil"/>
              <w:left w:val="nil"/>
              <w:bottom w:val="single" w:sz="4" w:space="0" w:color="auto"/>
              <w:right w:val="single" w:sz="4" w:space="0" w:color="auto"/>
            </w:tcBorders>
            <w:noWrap/>
            <w:vAlign w:val="center"/>
            <w:hideMark/>
          </w:tcPr>
          <w:p w14:paraId="3E1FAB62"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5FFE9FE6"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15002378" w14:textId="77777777" w:rsidTr="000A19CF">
        <w:trPr>
          <w:trHeight w:val="288"/>
        </w:trPr>
        <w:tc>
          <w:tcPr>
            <w:tcW w:w="640" w:type="dxa"/>
            <w:tcBorders>
              <w:top w:val="nil"/>
              <w:left w:val="single" w:sz="4" w:space="0" w:color="auto"/>
              <w:bottom w:val="single" w:sz="4" w:space="0" w:color="auto"/>
              <w:right w:val="single" w:sz="4" w:space="0" w:color="auto"/>
            </w:tcBorders>
            <w:noWrap/>
            <w:vAlign w:val="center"/>
            <w:hideMark/>
          </w:tcPr>
          <w:p w14:paraId="7D16130F"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27</w:t>
            </w:r>
          </w:p>
        </w:tc>
        <w:tc>
          <w:tcPr>
            <w:tcW w:w="2860" w:type="dxa"/>
            <w:tcBorders>
              <w:top w:val="nil"/>
              <w:left w:val="nil"/>
              <w:bottom w:val="single" w:sz="4" w:space="0" w:color="auto"/>
              <w:right w:val="single" w:sz="4" w:space="0" w:color="auto"/>
            </w:tcBorders>
            <w:noWrap/>
            <w:vAlign w:val="center"/>
            <w:hideMark/>
          </w:tcPr>
          <w:p w14:paraId="52E616B1" w14:textId="77777777" w:rsidR="000A19CF" w:rsidRPr="000A19CF" w:rsidRDefault="000A19CF" w:rsidP="000A19CF">
            <w:pPr>
              <w:spacing w:line="276" w:lineRule="auto"/>
              <w:ind w:firstLine="0"/>
              <w:jc w:val="left"/>
              <w:rPr>
                <w:rFonts w:eastAsia="Times New Roman" w:cs="Times New Roman"/>
                <w:color w:val="000000"/>
                <w:sz w:val="22"/>
              </w:rPr>
            </w:pPr>
            <w:r w:rsidRPr="000A19CF">
              <w:rPr>
                <w:rFonts w:eastAsia="Times New Roman" w:cs="Times New Roman"/>
                <w:color w:val="000000"/>
                <w:sz w:val="22"/>
              </w:rPr>
              <w:t>ЦГЗ</w:t>
            </w:r>
          </w:p>
        </w:tc>
        <w:tc>
          <w:tcPr>
            <w:tcW w:w="1700" w:type="dxa"/>
            <w:tcBorders>
              <w:top w:val="nil"/>
              <w:left w:val="nil"/>
              <w:bottom w:val="single" w:sz="4" w:space="0" w:color="auto"/>
              <w:right w:val="single" w:sz="4" w:space="0" w:color="auto"/>
            </w:tcBorders>
            <w:noWrap/>
            <w:vAlign w:val="center"/>
            <w:hideMark/>
          </w:tcPr>
          <w:p w14:paraId="6001620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1</w:t>
            </w:r>
          </w:p>
        </w:tc>
        <w:tc>
          <w:tcPr>
            <w:tcW w:w="1444" w:type="dxa"/>
            <w:tcBorders>
              <w:top w:val="nil"/>
              <w:left w:val="nil"/>
              <w:bottom w:val="single" w:sz="4" w:space="0" w:color="auto"/>
              <w:right w:val="single" w:sz="4" w:space="0" w:color="auto"/>
            </w:tcBorders>
            <w:noWrap/>
            <w:vAlign w:val="center"/>
            <w:hideMark/>
          </w:tcPr>
          <w:p w14:paraId="301AD60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94" w:type="dxa"/>
            <w:tcBorders>
              <w:top w:val="nil"/>
              <w:left w:val="nil"/>
              <w:bottom w:val="single" w:sz="4" w:space="0" w:color="auto"/>
              <w:right w:val="single" w:sz="4" w:space="0" w:color="auto"/>
            </w:tcBorders>
            <w:noWrap/>
            <w:vAlign w:val="center"/>
            <w:hideMark/>
          </w:tcPr>
          <w:p w14:paraId="10918D75"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960" w:type="dxa"/>
            <w:tcBorders>
              <w:top w:val="nil"/>
              <w:left w:val="nil"/>
              <w:bottom w:val="single" w:sz="4" w:space="0" w:color="auto"/>
              <w:right w:val="single" w:sz="4" w:space="0" w:color="auto"/>
            </w:tcBorders>
            <w:noWrap/>
            <w:vAlign w:val="center"/>
            <w:hideMark/>
          </w:tcPr>
          <w:p w14:paraId="3AEC7CD9"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c>
          <w:tcPr>
            <w:tcW w:w="1428" w:type="dxa"/>
            <w:tcBorders>
              <w:top w:val="nil"/>
              <w:left w:val="nil"/>
              <w:bottom w:val="single" w:sz="4" w:space="0" w:color="auto"/>
              <w:right w:val="single" w:sz="4" w:space="0" w:color="auto"/>
            </w:tcBorders>
            <w:noWrap/>
            <w:vAlign w:val="center"/>
            <w:hideMark/>
          </w:tcPr>
          <w:p w14:paraId="1D7E6547" w14:textId="77777777" w:rsidR="000A19CF" w:rsidRPr="000A19CF" w:rsidRDefault="000A19CF" w:rsidP="000A19CF">
            <w:pPr>
              <w:spacing w:line="276" w:lineRule="auto"/>
              <w:ind w:firstLine="0"/>
              <w:jc w:val="center"/>
              <w:rPr>
                <w:rFonts w:eastAsia="Times New Roman" w:cs="Times New Roman"/>
                <w:color w:val="000000"/>
                <w:sz w:val="22"/>
              </w:rPr>
            </w:pPr>
            <w:r w:rsidRPr="000A19CF">
              <w:rPr>
                <w:rFonts w:eastAsia="Times New Roman" w:cs="Times New Roman"/>
                <w:color w:val="000000"/>
                <w:sz w:val="22"/>
              </w:rPr>
              <w:t> </w:t>
            </w:r>
          </w:p>
        </w:tc>
      </w:tr>
      <w:tr w:rsidR="000A19CF" w:rsidRPr="000A19CF" w14:paraId="7759A8D5" w14:textId="77777777" w:rsidTr="000A19CF">
        <w:trPr>
          <w:trHeight w:val="288"/>
        </w:trPr>
        <w:tc>
          <w:tcPr>
            <w:tcW w:w="640" w:type="dxa"/>
            <w:tcBorders>
              <w:top w:val="nil"/>
              <w:left w:val="single" w:sz="4" w:space="0" w:color="auto"/>
              <w:bottom w:val="single" w:sz="4" w:space="0" w:color="auto"/>
              <w:right w:val="single" w:sz="4" w:space="0" w:color="auto"/>
            </w:tcBorders>
            <w:noWrap/>
            <w:vAlign w:val="bottom"/>
            <w:hideMark/>
          </w:tcPr>
          <w:p w14:paraId="415D81CB" w14:textId="77777777" w:rsidR="000A19CF" w:rsidRPr="000A19CF" w:rsidRDefault="000A19CF" w:rsidP="000A19CF">
            <w:pPr>
              <w:spacing w:line="276" w:lineRule="auto"/>
              <w:ind w:firstLine="0"/>
              <w:jc w:val="center"/>
              <w:rPr>
                <w:rFonts w:ascii="Trebuchet MS" w:eastAsia="Times New Roman" w:hAnsi="Trebuchet MS" w:cs="Calibri"/>
                <w:color w:val="000000"/>
                <w:sz w:val="22"/>
              </w:rPr>
            </w:pPr>
            <w:r w:rsidRPr="000A19CF">
              <w:rPr>
                <w:rFonts w:ascii="Trebuchet MS" w:eastAsia="Times New Roman" w:hAnsi="Trebuchet MS" w:cs="Calibri"/>
                <w:color w:val="000000"/>
                <w:sz w:val="22"/>
              </w:rPr>
              <w:t> </w:t>
            </w:r>
          </w:p>
        </w:tc>
        <w:tc>
          <w:tcPr>
            <w:tcW w:w="2860" w:type="dxa"/>
            <w:tcBorders>
              <w:top w:val="nil"/>
              <w:left w:val="nil"/>
              <w:bottom w:val="single" w:sz="4" w:space="0" w:color="auto"/>
              <w:right w:val="single" w:sz="4" w:space="0" w:color="auto"/>
            </w:tcBorders>
            <w:noWrap/>
            <w:vAlign w:val="bottom"/>
            <w:hideMark/>
          </w:tcPr>
          <w:p w14:paraId="3B49225C" w14:textId="77777777" w:rsidR="000A19CF" w:rsidRPr="000A19CF" w:rsidRDefault="000A19CF" w:rsidP="000A19CF">
            <w:pPr>
              <w:spacing w:line="276" w:lineRule="auto"/>
              <w:ind w:firstLine="0"/>
              <w:jc w:val="left"/>
              <w:rPr>
                <w:rFonts w:eastAsia="Times New Roman" w:cs="Times New Roman"/>
                <w:b/>
                <w:bCs/>
                <w:color w:val="000000"/>
                <w:sz w:val="22"/>
              </w:rPr>
            </w:pPr>
            <w:r w:rsidRPr="000A19CF">
              <w:rPr>
                <w:rFonts w:eastAsia="Times New Roman" w:cs="Times New Roman"/>
                <w:b/>
                <w:bCs/>
                <w:color w:val="000000"/>
                <w:sz w:val="22"/>
              </w:rPr>
              <w:t>ВСЬОГО</w:t>
            </w:r>
          </w:p>
        </w:tc>
        <w:tc>
          <w:tcPr>
            <w:tcW w:w="1700" w:type="dxa"/>
            <w:tcBorders>
              <w:top w:val="nil"/>
              <w:left w:val="nil"/>
              <w:bottom w:val="single" w:sz="4" w:space="0" w:color="auto"/>
              <w:right w:val="single" w:sz="4" w:space="0" w:color="auto"/>
            </w:tcBorders>
            <w:noWrap/>
            <w:vAlign w:val="center"/>
            <w:hideMark/>
          </w:tcPr>
          <w:p w14:paraId="7FB8068C"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203</w:t>
            </w:r>
          </w:p>
        </w:tc>
        <w:tc>
          <w:tcPr>
            <w:tcW w:w="1444" w:type="dxa"/>
            <w:tcBorders>
              <w:top w:val="nil"/>
              <w:left w:val="nil"/>
              <w:bottom w:val="single" w:sz="4" w:space="0" w:color="auto"/>
              <w:right w:val="single" w:sz="4" w:space="0" w:color="auto"/>
            </w:tcBorders>
            <w:noWrap/>
            <w:vAlign w:val="center"/>
            <w:hideMark/>
          </w:tcPr>
          <w:p w14:paraId="51E034F9"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28</w:t>
            </w:r>
          </w:p>
        </w:tc>
        <w:tc>
          <w:tcPr>
            <w:tcW w:w="994" w:type="dxa"/>
            <w:tcBorders>
              <w:top w:val="nil"/>
              <w:left w:val="nil"/>
              <w:bottom w:val="single" w:sz="4" w:space="0" w:color="auto"/>
              <w:right w:val="single" w:sz="4" w:space="0" w:color="auto"/>
            </w:tcBorders>
            <w:noWrap/>
            <w:vAlign w:val="center"/>
            <w:hideMark/>
          </w:tcPr>
          <w:p w14:paraId="215D2813"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30</w:t>
            </w:r>
          </w:p>
        </w:tc>
        <w:tc>
          <w:tcPr>
            <w:tcW w:w="960" w:type="dxa"/>
            <w:tcBorders>
              <w:top w:val="nil"/>
              <w:left w:val="nil"/>
              <w:bottom w:val="single" w:sz="4" w:space="0" w:color="auto"/>
              <w:right w:val="single" w:sz="4" w:space="0" w:color="auto"/>
            </w:tcBorders>
            <w:noWrap/>
            <w:vAlign w:val="center"/>
            <w:hideMark/>
          </w:tcPr>
          <w:p w14:paraId="0DD71ECC"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8</w:t>
            </w:r>
          </w:p>
        </w:tc>
        <w:tc>
          <w:tcPr>
            <w:tcW w:w="1428" w:type="dxa"/>
            <w:tcBorders>
              <w:top w:val="nil"/>
              <w:left w:val="nil"/>
              <w:bottom w:val="single" w:sz="4" w:space="0" w:color="auto"/>
              <w:right w:val="single" w:sz="4" w:space="0" w:color="auto"/>
            </w:tcBorders>
            <w:noWrap/>
            <w:vAlign w:val="center"/>
            <w:hideMark/>
          </w:tcPr>
          <w:p w14:paraId="10C52CF0" w14:textId="77777777" w:rsidR="000A19CF" w:rsidRPr="000A19CF" w:rsidRDefault="000A19CF" w:rsidP="000A19CF">
            <w:pPr>
              <w:spacing w:line="276" w:lineRule="auto"/>
              <w:ind w:firstLine="0"/>
              <w:jc w:val="center"/>
              <w:rPr>
                <w:rFonts w:eastAsia="Times New Roman" w:cs="Times New Roman"/>
                <w:b/>
                <w:bCs/>
                <w:color w:val="000000"/>
                <w:sz w:val="22"/>
              </w:rPr>
            </w:pPr>
            <w:r w:rsidRPr="000A19CF">
              <w:rPr>
                <w:rFonts w:eastAsia="Times New Roman" w:cs="Times New Roman"/>
                <w:b/>
                <w:bCs/>
                <w:color w:val="000000"/>
                <w:sz w:val="22"/>
              </w:rPr>
              <w:t>4</w:t>
            </w:r>
          </w:p>
        </w:tc>
      </w:tr>
    </w:tbl>
    <w:p w14:paraId="45AEF5AE" w14:textId="77777777" w:rsidR="000A19CF" w:rsidRPr="000A19CF" w:rsidRDefault="000A19CF" w:rsidP="000A19CF">
      <w:pPr>
        <w:widowControl w:val="0"/>
        <w:spacing w:before="120" w:after="120"/>
        <w:ind w:firstLine="0"/>
        <w:jc w:val="center"/>
        <w:rPr>
          <w:rFonts w:cs="Times New Roman"/>
          <w:b/>
          <w:szCs w:val="28"/>
        </w:rPr>
      </w:pPr>
    </w:p>
    <w:p w14:paraId="6413E941" w14:textId="77777777" w:rsidR="000A19CF" w:rsidRPr="000A19CF" w:rsidRDefault="000A19CF" w:rsidP="000A19CF">
      <w:pPr>
        <w:widowControl w:val="0"/>
        <w:ind w:firstLine="0"/>
        <w:rPr>
          <w:rFonts w:cs="Times New Roman"/>
          <w:sz w:val="24"/>
          <w:szCs w:val="24"/>
        </w:rPr>
      </w:pPr>
      <w:r w:rsidRPr="000A19CF">
        <w:rPr>
          <w:rFonts w:cs="Times New Roman"/>
          <w:b/>
          <w:sz w:val="24"/>
          <w:szCs w:val="24"/>
        </w:rPr>
        <w:t>Примітка.</w:t>
      </w:r>
      <w:r w:rsidRPr="000A19CF">
        <w:rPr>
          <w:rFonts w:cs="Times New Roman"/>
          <w:sz w:val="24"/>
          <w:szCs w:val="24"/>
        </w:rPr>
        <w:t xml:space="preserve"> ДКВС України – заклади охорони здоров’я Державної кримінально-виконавчої служби України.</w:t>
      </w:r>
    </w:p>
    <w:p w14:paraId="6AE842AB" w14:textId="77777777" w:rsidR="000A19CF" w:rsidRPr="000A19CF" w:rsidRDefault="000A19CF" w:rsidP="000A19CF">
      <w:pPr>
        <w:widowControl w:val="0"/>
        <w:spacing w:before="120"/>
        <w:rPr>
          <w:rFonts w:cs="Times New Roman"/>
          <w:szCs w:val="28"/>
        </w:rPr>
      </w:pPr>
      <w:r w:rsidRPr="000A19CF">
        <w:rPr>
          <w:rFonts w:cs="Times New Roman"/>
          <w:szCs w:val="28"/>
        </w:rPr>
        <w:t xml:space="preserve">У 2021 році впроваджено новий алгоритм діагностики ТБ, у якому передбачено у якості первинного діагностичного тесту використовувати молекулярно-генетичний метод, що представлений в Україні тестами </w:t>
      </w:r>
      <w:proofErr w:type="spellStart"/>
      <w:r w:rsidRPr="000A19CF">
        <w:rPr>
          <w:rFonts w:cs="Times New Roman"/>
          <w:szCs w:val="28"/>
        </w:rPr>
        <w:t>Xpert</w:t>
      </w:r>
      <w:proofErr w:type="spellEnd"/>
      <w:r w:rsidRPr="000A19CF">
        <w:rPr>
          <w:rFonts w:cs="Times New Roman"/>
          <w:szCs w:val="28"/>
        </w:rPr>
        <w:t>/MTB/RIF/ULTRA.</w:t>
      </w:r>
    </w:p>
    <w:p w14:paraId="6B529513" w14:textId="77777777" w:rsidR="000A19CF" w:rsidRPr="000A19CF" w:rsidRDefault="000A19CF" w:rsidP="000A19CF">
      <w:pPr>
        <w:widowControl w:val="0"/>
        <w:spacing w:before="120"/>
        <w:rPr>
          <w:rFonts w:cs="Times New Roman"/>
          <w:szCs w:val="28"/>
        </w:rPr>
      </w:pPr>
      <w:r w:rsidRPr="000A19CF">
        <w:rPr>
          <w:rFonts w:cs="Times New Roman"/>
          <w:szCs w:val="28"/>
        </w:rPr>
        <w:t xml:space="preserve">збільшення відсотка випадків ТБ, підтверджених </w:t>
      </w:r>
      <w:proofErr w:type="spellStart"/>
      <w:r w:rsidRPr="000A19CF">
        <w:rPr>
          <w:rFonts w:cs="Times New Roman"/>
          <w:szCs w:val="28"/>
        </w:rPr>
        <w:t>бактеріологічно</w:t>
      </w:r>
      <w:proofErr w:type="spellEnd"/>
      <w:r w:rsidRPr="000A19CF">
        <w:rPr>
          <w:rFonts w:cs="Times New Roman"/>
          <w:szCs w:val="28"/>
        </w:rPr>
        <w:t>, на основі поширення використання рекомендованої діагностики, яка є більш чутливою, ніж мікроскопія мазка.</w:t>
      </w:r>
    </w:p>
    <w:p w14:paraId="5A2DFCF3" w14:textId="77777777" w:rsidR="000A19CF" w:rsidRPr="000A19CF" w:rsidRDefault="000A19CF" w:rsidP="000A19CF">
      <w:pPr>
        <w:widowControl w:val="0"/>
        <w:rPr>
          <w:rFonts w:cs="Times New Roman"/>
          <w:szCs w:val="28"/>
        </w:rPr>
      </w:pPr>
      <w:r w:rsidRPr="000A19CF">
        <w:rPr>
          <w:rFonts w:cs="Times New Roman"/>
          <w:szCs w:val="28"/>
        </w:rPr>
        <w:t xml:space="preserve">Для забезпечення призначення ефективної схеми лікування необхідно збільшення кількість випадків ТБ, підтверджених </w:t>
      </w:r>
      <w:proofErr w:type="spellStart"/>
      <w:r w:rsidRPr="000A19CF">
        <w:rPr>
          <w:rFonts w:cs="Times New Roman"/>
          <w:szCs w:val="28"/>
        </w:rPr>
        <w:t>бактеріологічно</w:t>
      </w:r>
      <w:proofErr w:type="spellEnd"/>
      <w:r w:rsidRPr="000A19CF">
        <w:rPr>
          <w:rFonts w:cs="Times New Roman"/>
          <w:szCs w:val="28"/>
        </w:rPr>
        <w:t>.</w:t>
      </w:r>
    </w:p>
    <w:p w14:paraId="314DEAA4" w14:textId="77777777" w:rsidR="000A19CF" w:rsidRPr="000A19CF" w:rsidRDefault="000A19CF" w:rsidP="000A19CF">
      <w:pPr>
        <w:widowControl w:val="0"/>
        <w:rPr>
          <w:rFonts w:cs="Times New Roman"/>
          <w:szCs w:val="28"/>
        </w:rPr>
      </w:pPr>
      <w:r w:rsidRPr="000A19CF">
        <w:rPr>
          <w:rFonts w:cs="Times New Roman"/>
          <w:szCs w:val="28"/>
        </w:rPr>
        <w:t xml:space="preserve">Щорічно частка </w:t>
      </w:r>
      <w:proofErr w:type="spellStart"/>
      <w:r w:rsidRPr="000A19CF">
        <w:rPr>
          <w:rFonts w:cs="Times New Roman"/>
          <w:szCs w:val="28"/>
        </w:rPr>
        <w:t>бактеріологічно</w:t>
      </w:r>
      <w:proofErr w:type="spellEnd"/>
      <w:r w:rsidRPr="000A19CF">
        <w:rPr>
          <w:rFonts w:cs="Times New Roman"/>
          <w:szCs w:val="28"/>
        </w:rPr>
        <w:t xml:space="preserve"> підтверджених випадків зростає, проте не досягає показника ВООЗ – 80%, до 2025 р. – 90%.</w:t>
      </w:r>
    </w:p>
    <w:p w14:paraId="152F72CB" w14:textId="77777777" w:rsidR="000A19CF" w:rsidRPr="000A19CF" w:rsidRDefault="000A19CF" w:rsidP="000A19CF">
      <w:pPr>
        <w:widowControl w:val="0"/>
        <w:ind w:firstLine="0"/>
        <w:jc w:val="center"/>
        <w:rPr>
          <w:rFonts w:cs="Times New Roman"/>
          <w:szCs w:val="28"/>
          <w:highlight w:val="yellow"/>
        </w:rPr>
      </w:pPr>
    </w:p>
    <w:p w14:paraId="585387B9" w14:textId="77777777" w:rsidR="000A19CF" w:rsidRPr="000A19CF" w:rsidRDefault="000A19CF" w:rsidP="000A19CF">
      <w:pPr>
        <w:widowControl w:val="0"/>
        <w:spacing w:before="120" w:after="120"/>
        <w:ind w:firstLine="0"/>
        <w:rPr>
          <w:rFonts w:cs="Times New Roman"/>
          <w:b/>
          <w:szCs w:val="28"/>
          <w:highlight w:val="yellow"/>
        </w:rPr>
      </w:pPr>
    </w:p>
    <w:p w14:paraId="178AA3F8" w14:textId="2B19C712" w:rsidR="000A19CF" w:rsidRPr="000A19CF" w:rsidRDefault="00BC2F31" w:rsidP="000A19CF">
      <w:pPr>
        <w:widowControl w:val="0"/>
        <w:spacing w:before="120" w:after="120"/>
        <w:ind w:firstLine="0"/>
        <w:jc w:val="center"/>
        <w:rPr>
          <w:rFonts w:cs="Times New Roman"/>
          <w:b/>
          <w:szCs w:val="28"/>
          <w:highlight w:val="yellow"/>
        </w:rPr>
      </w:pPr>
      <w:r>
        <w:rPr>
          <w:noProof/>
        </w:rPr>
        <w:lastRenderedPageBreak/>
        <w:drawing>
          <wp:inline distT="0" distB="0" distL="0" distR="0" wp14:anchorId="16F6D3EF" wp14:editId="12A1C9E3">
            <wp:extent cx="6088380" cy="2773680"/>
            <wp:effectExtent l="0" t="0" r="7620" b="7620"/>
            <wp:docPr id="17" name="Диаграмма 17">
              <a:extLst xmlns:a="http://schemas.openxmlformats.org/drawingml/2006/main">
                <a:ext uri="{FF2B5EF4-FFF2-40B4-BE49-F238E27FC236}">
                  <a16:creationId xmlns:a16="http://schemas.microsoft.com/office/drawing/2014/main" id="{23D87760-E20E-AE7F-F099-2FFD9D4D3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CC119D1" w14:textId="77777777" w:rsidR="000A19CF" w:rsidRPr="000A19CF" w:rsidRDefault="000A19CF" w:rsidP="000A19CF">
      <w:pPr>
        <w:widowControl w:val="0"/>
        <w:spacing w:before="120" w:after="120"/>
        <w:ind w:firstLine="0"/>
        <w:rPr>
          <w:rFonts w:cs="Times New Roman"/>
          <w:b/>
          <w:szCs w:val="28"/>
          <w:highlight w:val="yellow"/>
        </w:rPr>
      </w:pPr>
    </w:p>
    <w:p w14:paraId="57082DA8" w14:textId="359A7416" w:rsidR="000A19CF" w:rsidRPr="000A19CF" w:rsidRDefault="000A19CF" w:rsidP="000A19CF">
      <w:pPr>
        <w:widowControl w:val="0"/>
        <w:spacing w:before="120" w:after="120"/>
        <w:ind w:firstLine="0"/>
        <w:jc w:val="center"/>
        <w:rPr>
          <w:rFonts w:cs="Times New Roman"/>
          <w:b/>
          <w:szCs w:val="28"/>
        </w:rPr>
      </w:pPr>
      <w:r w:rsidRPr="000A19CF">
        <w:rPr>
          <w:rFonts w:cs="Times New Roman"/>
          <w:b/>
          <w:szCs w:val="28"/>
        </w:rPr>
        <w:t>Рисунок </w:t>
      </w:r>
      <w:r w:rsidR="00340602">
        <w:rPr>
          <w:rFonts w:cs="Times New Roman"/>
          <w:b/>
          <w:szCs w:val="28"/>
        </w:rPr>
        <w:t>3</w:t>
      </w:r>
      <w:r w:rsidRPr="000A19CF">
        <w:rPr>
          <w:rFonts w:cs="Times New Roman"/>
          <w:b/>
          <w:szCs w:val="28"/>
        </w:rPr>
        <w:t xml:space="preserve">.4. Питома вага </w:t>
      </w:r>
      <w:proofErr w:type="spellStart"/>
      <w:r w:rsidRPr="000A19CF">
        <w:rPr>
          <w:rFonts w:cs="Times New Roman"/>
          <w:b/>
          <w:szCs w:val="28"/>
        </w:rPr>
        <w:t>бактеріологічно</w:t>
      </w:r>
      <w:proofErr w:type="spellEnd"/>
      <w:r w:rsidRPr="000A19CF">
        <w:rPr>
          <w:rFonts w:cs="Times New Roman"/>
          <w:b/>
          <w:szCs w:val="28"/>
        </w:rPr>
        <w:t xml:space="preserve"> підтверджених випадків ТБ</w:t>
      </w:r>
      <w:r w:rsidRPr="000A19CF">
        <w:rPr>
          <w:rFonts w:cs="Times New Roman"/>
          <w:b/>
          <w:szCs w:val="28"/>
        </w:rPr>
        <w:br/>
        <w:t>(нові і рецидиви захворювання), 2016–2021 рр. (%)</w:t>
      </w:r>
    </w:p>
    <w:p w14:paraId="6FCC71DA" w14:textId="77777777" w:rsidR="000A19CF" w:rsidRPr="000A19CF" w:rsidRDefault="000A19CF" w:rsidP="000A19CF">
      <w:pPr>
        <w:widowControl w:val="0"/>
        <w:spacing w:line="228" w:lineRule="auto"/>
        <w:rPr>
          <w:rFonts w:cs="Times New Roman"/>
          <w:szCs w:val="28"/>
        </w:rPr>
      </w:pPr>
      <w:r w:rsidRPr="000A19CF">
        <w:rPr>
          <w:rFonts w:cs="Times New Roman"/>
          <w:szCs w:val="28"/>
        </w:rPr>
        <w:t>За даними обліково-звітних форм, частка бактеріологічного підтвердження ТБ в Україні сягає 70% серед нових випадків, 80% – серед повторних.</w:t>
      </w:r>
    </w:p>
    <w:p w14:paraId="1138A0A6" w14:textId="77777777" w:rsidR="000A19CF" w:rsidRPr="000A19CF" w:rsidRDefault="000A19CF" w:rsidP="000A19CF">
      <w:pPr>
        <w:widowControl w:val="0"/>
        <w:spacing w:line="228" w:lineRule="auto"/>
        <w:rPr>
          <w:rFonts w:cs="Times New Roman"/>
          <w:szCs w:val="28"/>
        </w:rPr>
      </w:pPr>
      <w:r w:rsidRPr="000A19CF">
        <w:rPr>
          <w:rFonts w:cs="Times New Roman"/>
          <w:szCs w:val="28"/>
        </w:rPr>
        <w:t xml:space="preserve">Порівняно до двох попередніх років, показник бактеріологічного підтвердження випадків ТБ підвищився і становить: </w:t>
      </w:r>
    </w:p>
    <w:p w14:paraId="4477BBDF" w14:textId="77777777" w:rsidR="000A19CF" w:rsidRPr="000A19CF" w:rsidRDefault="000A19CF" w:rsidP="000A19CF">
      <w:pPr>
        <w:widowControl w:val="0"/>
        <w:numPr>
          <w:ilvl w:val="0"/>
          <w:numId w:val="19"/>
        </w:numPr>
        <w:tabs>
          <w:tab w:val="left" w:pos="993"/>
        </w:tabs>
        <w:spacing w:line="228" w:lineRule="auto"/>
        <w:ind w:left="0" w:firstLine="709"/>
        <w:contextualSpacing/>
        <w:rPr>
          <w:rFonts w:cs="Times New Roman"/>
          <w:szCs w:val="28"/>
        </w:rPr>
      </w:pPr>
      <w:r w:rsidRPr="000A19CF">
        <w:rPr>
          <w:rFonts w:cs="Times New Roman"/>
          <w:szCs w:val="28"/>
        </w:rPr>
        <w:t xml:space="preserve">нові випадки: у 2021 р. – 71,4%; у 2019 р. – 69,1%; </w:t>
      </w:r>
    </w:p>
    <w:p w14:paraId="406F435C" w14:textId="77777777" w:rsidR="000A19CF" w:rsidRPr="000A19CF" w:rsidRDefault="000A19CF" w:rsidP="000A19CF">
      <w:pPr>
        <w:widowControl w:val="0"/>
        <w:numPr>
          <w:ilvl w:val="0"/>
          <w:numId w:val="19"/>
        </w:numPr>
        <w:tabs>
          <w:tab w:val="left" w:pos="993"/>
        </w:tabs>
        <w:spacing w:line="228" w:lineRule="auto"/>
        <w:ind w:left="0" w:firstLine="709"/>
        <w:contextualSpacing/>
        <w:rPr>
          <w:rFonts w:cs="Times New Roman"/>
          <w:szCs w:val="28"/>
        </w:rPr>
      </w:pPr>
      <w:r w:rsidRPr="000A19CF">
        <w:rPr>
          <w:rFonts w:cs="Times New Roman"/>
          <w:szCs w:val="28"/>
        </w:rPr>
        <w:t xml:space="preserve">рецидиви захворювання: у 2021 - 80%; у 2019 р. – 76,4%; </w:t>
      </w:r>
    </w:p>
    <w:p w14:paraId="0778091A" w14:textId="77777777" w:rsidR="000A19CF" w:rsidRPr="000A19CF" w:rsidRDefault="000A19CF" w:rsidP="000A19CF">
      <w:pPr>
        <w:widowControl w:val="0"/>
        <w:numPr>
          <w:ilvl w:val="0"/>
          <w:numId w:val="19"/>
        </w:numPr>
        <w:tabs>
          <w:tab w:val="left" w:pos="993"/>
        </w:tabs>
        <w:spacing w:line="228" w:lineRule="auto"/>
        <w:ind w:left="0" w:firstLine="709"/>
        <w:contextualSpacing/>
        <w:rPr>
          <w:rFonts w:cs="Times New Roman"/>
          <w:szCs w:val="28"/>
        </w:rPr>
      </w:pPr>
      <w:r w:rsidRPr="000A19CF">
        <w:rPr>
          <w:rFonts w:cs="Times New Roman"/>
          <w:szCs w:val="28"/>
        </w:rPr>
        <w:t xml:space="preserve">інші: у 2021 р. – 85%; у 2019 р. – 81,6%; </w:t>
      </w:r>
    </w:p>
    <w:p w14:paraId="2301D468" w14:textId="77777777" w:rsidR="000A19CF" w:rsidRPr="000A19CF" w:rsidRDefault="000A19CF" w:rsidP="000A19CF">
      <w:pPr>
        <w:widowControl w:val="0"/>
        <w:spacing w:after="120" w:line="228" w:lineRule="auto"/>
        <w:rPr>
          <w:rFonts w:cs="Times New Roman"/>
          <w:szCs w:val="28"/>
          <w:highlight w:val="yellow"/>
        </w:rPr>
      </w:pPr>
      <w:r w:rsidRPr="000A19CF">
        <w:rPr>
          <w:rFonts w:cs="Times New Roman"/>
          <w:szCs w:val="28"/>
        </w:rPr>
        <w:t xml:space="preserve">Цільового показника ВООЗ у 2020 р. було досягнуто у Волинській, Чернівецькій та Житомирській, Закарпатських областях. Підвищення показників було відзначено у Вінницькій, Київській, Кіровоградській, Херсонській областях. Низький рівень бактеріологічного підтвердження випадків легеневого ТБ зазначено у закладах Одеської, Дніпропетровській та Донецької областях (рисунок 4.5). </w:t>
      </w:r>
    </w:p>
    <w:p w14:paraId="183E68D5" w14:textId="77777777" w:rsidR="000A19CF" w:rsidRPr="000A19CF" w:rsidRDefault="000A19CF" w:rsidP="000A19CF">
      <w:pPr>
        <w:widowControl w:val="0"/>
        <w:spacing w:after="120" w:line="228" w:lineRule="auto"/>
        <w:rPr>
          <w:rFonts w:cs="Times New Roman"/>
          <w:szCs w:val="28"/>
          <w:highlight w:val="yellow"/>
        </w:rPr>
      </w:pPr>
    </w:p>
    <w:p w14:paraId="2D487F0F" w14:textId="77777777" w:rsidR="000A19CF" w:rsidRPr="000A19CF" w:rsidRDefault="000A19CF" w:rsidP="000A19CF">
      <w:pPr>
        <w:widowControl w:val="0"/>
        <w:spacing w:after="120" w:line="228" w:lineRule="auto"/>
        <w:ind w:hanging="1134"/>
        <w:rPr>
          <w:rFonts w:cs="Times New Roman"/>
          <w:szCs w:val="28"/>
          <w:highlight w:val="yellow"/>
        </w:rPr>
      </w:pPr>
      <w:r w:rsidRPr="000A19CF">
        <w:rPr>
          <w:rFonts w:cs="Times New Roman"/>
          <w:noProof/>
          <w:szCs w:val="28"/>
        </w:rPr>
        <w:lastRenderedPageBreak/>
        <w:drawing>
          <wp:inline distT="0" distB="0" distL="0" distR="0" wp14:anchorId="7B0D32EB" wp14:editId="44675031">
            <wp:extent cx="6705600" cy="2695575"/>
            <wp:effectExtent l="0" t="0" r="0" b="0"/>
            <wp:docPr id="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05600" cy="2695575"/>
                    </a:xfrm>
                    <a:prstGeom prst="rect">
                      <a:avLst/>
                    </a:prstGeom>
                    <a:noFill/>
                    <a:ln>
                      <a:noFill/>
                    </a:ln>
                  </pic:spPr>
                </pic:pic>
              </a:graphicData>
            </a:graphic>
          </wp:inline>
        </w:drawing>
      </w:r>
    </w:p>
    <w:p w14:paraId="513F2775" w14:textId="77777777" w:rsidR="000A19CF" w:rsidRPr="000A19CF" w:rsidRDefault="000A19CF" w:rsidP="000A19CF">
      <w:pPr>
        <w:widowControl w:val="0"/>
        <w:spacing w:line="228" w:lineRule="auto"/>
        <w:ind w:firstLine="0"/>
        <w:jc w:val="center"/>
        <w:rPr>
          <w:rFonts w:cs="Times New Roman"/>
          <w:b/>
          <w:szCs w:val="28"/>
          <w:highlight w:val="yellow"/>
        </w:rPr>
      </w:pPr>
    </w:p>
    <w:p w14:paraId="7ED99881" w14:textId="7BCDEBF3" w:rsidR="000A19CF" w:rsidRPr="000A19CF" w:rsidRDefault="000A19CF" w:rsidP="000A19CF">
      <w:pPr>
        <w:widowControl w:val="0"/>
        <w:spacing w:after="120" w:line="228" w:lineRule="auto"/>
        <w:jc w:val="center"/>
        <w:rPr>
          <w:rFonts w:cs="Times New Roman"/>
          <w:b/>
          <w:szCs w:val="28"/>
        </w:rPr>
      </w:pPr>
      <w:r w:rsidRPr="000A19CF">
        <w:rPr>
          <w:rFonts w:cs="Times New Roman"/>
          <w:b/>
          <w:szCs w:val="28"/>
        </w:rPr>
        <w:t>Рисунок </w:t>
      </w:r>
      <w:r w:rsidR="00340602">
        <w:rPr>
          <w:rFonts w:cs="Times New Roman"/>
          <w:b/>
          <w:szCs w:val="28"/>
        </w:rPr>
        <w:t>3</w:t>
      </w:r>
      <w:r w:rsidRPr="000A19CF">
        <w:rPr>
          <w:rFonts w:cs="Times New Roman"/>
          <w:b/>
          <w:szCs w:val="28"/>
        </w:rPr>
        <w:t xml:space="preserve">.5. Відсоток </w:t>
      </w:r>
      <w:proofErr w:type="spellStart"/>
      <w:r w:rsidRPr="000A19CF">
        <w:rPr>
          <w:rFonts w:cs="Times New Roman"/>
          <w:b/>
          <w:szCs w:val="28"/>
        </w:rPr>
        <w:t>бактеріологічно</w:t>
      </w:r>
      <w:proofErr w:type="spellEnd"/>
      <w:r w:rsidRPr="000A19CF">
        <w:rPr>
          <w:rFonts w:cs="Times New Roman"/>
          <w:b/>
          <w:szCs w:val="28"/>
        </w:rPr>
        <w:t xml:space="preserve"> підтверджених випадків ТБ легень (нові випадки ТБ), 2021 р.</w:t>
      </w:r>
    </w:p>
    <w:p w14:paraId="7CBC875E" w14:textId="77777777" w:rsidR="000A19CF" w:rsidRPr="000A19CF" w:rsidRDefault="000A19CF" w:rsidP="000A19CF">
      <w:pPr>
        <w:widowControl w:val="0"/>
        <w:spacing w:after="120" w:line="228" w:lineRule="auto"/>
        <w:rPr>
          <w:rFonts w:cs="Times New Roman"/>
          <w:szCs w:val="28"/>
        </w:rPr>
      </w:pPr>
      <w:r w:rsidRPr="000A19CF">
        <w:rPr>
          <w:rFonts w:eastAsia="Calibri" w:cs="Cambria"/>
          <w:color w:val="244061" w:themeColor="accent1" w:themeShade="80"/>
        </w:rPr>
        <w:t xml:space="preserve">В </w:t>
      </w:r>
      <w:r w:rsidRPr="000A19CF">
        <w:rPr>
          <w:rFonts w:cs="Times New Roman"/>
          <w:szCs w:val="28"/>
        </w:rPr>
        <w:t xml:space="preserve">рамках співпраці між ЦГЗ та компанією </w:t>
      </w:r>
      <w:proofErr w:type="spellStart"/>
      <w:r w:rsidRPr="000A19CF">
        <w:rPr>
          <w:rFonts w:cs="Times New Roman"/>
          <w:szCs w:val="28"/>
        </w:rPr>
        <w:t>Cepheid</w:t>
      </w:r>
      <w:proofErr w:type="spellEnd"/>
      <w:r w:rsidRPr="000A19CF">
        <w:rPr>
          <w:rFonts w:cs="Times New Roman"/>
          <w:szCs w:val="28"/>
        </w:rPr>
        <w:t xml:space="preserve"> у березні 2021 р. на базі Центральної </w:t>
      </w:r>
      <w:proofErr w:type="spellStart"/>
      <w:r w:rsidRPr="000A19CF">
        <w:rPr>
          <w:rFonts w:cs="Times New Roman"/>
          <w:szCs w:val="28"/>
        </w:rPr>
        <w:t>референс</w:t>
      </w:r>
      <w:proofErr w:type="spellEnd"/>
      <w:r w:rsidRPr="000A19CF">
        <w:rPr>
          <w:rFonts w:cs="Times New Roman"/>
          <w:szCs w:val="28"/>
        </w:rPr>
        <w:t xml:space="preserve">-лабораторії МОЗ України проведено апробацію нового молекулярного-генетичного методу щодо визначення профілю резистентності мікобактерії туберкульозу з використанням картриджів </w:t>
      </w:r>
      <w:proofErr w:type="spellStart"/>
      <w:r w:rsidRPr="000A19CF">
        <w:rPr>
          <w:rFonts w:cs="Times New Roman"/>
          <w:szCs w:val="28"/>
        </w:rPr>
        <w:t>Xpert</w:t>
      </w:r>
      <w:proofErr w:type="spellEnd"/>
      <w:r w:rsidRPr="000A19CF">
        <w:rPr>
          <w:rFonts w:cs="Times New Roman"/>
          <w:szCs w:val="28"/>
        </w:rPr>
        <w:t xml:space="preserve"> MTB/XDR. З травня 2021 р. зазначений метод впроваджено у Донецькій, Запорізькій та Одеській областях. З грудня 2021 р. – в усіх регіональних протитуберкульозних закладах.</w:t>
      </w:r>
    </w:p>
    <w:p w14:paraId="67A220C0"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Для широкомасштабного використання в Україні картриджів </w:t>
      </w:r>
      <w:proofErr w:type="spellStart"/>
      <w:r w:rsidRPr="000A19CF">
        <w:rPr>
          <w:rFonts w:cs="Times New Roman"/>
          <w:szCs w:val="28"/>
        </w:rPr>
        <w:t>Xpert</w:t>
      </w:r>
      <w:proofErr w:type="spellEnd"/>
      <w:r w:rsidRPr="000A19CF">
        <w:rPr>
          <w:rFonts w:cs="Times New Roman"/>
          <w:szCs w:val="28"/>
        </w:rPr>
        <w:t xml:space="preserve"> MTB/XDR ЦГЗ було здійснено ряд заходів:</w:t>
      </w:r>
    </w:p>
    <w:p w14:paraId="51CF4C7A"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проведено апробацію нового методу діагностики туберкульозу завдяки безкоштовній передачі 500 картриджів </w:t>
      </w:r>
      <w:proofErr w:type="spellStart"/>
      <w:r w:rsidRPr="000A19CF">
        <w:rPr>
          <w:rFonts w:cs="Times New Roman"/>
          <w:szCs w:val="28"/>
        </w:rPr>
        <w:t>Xpert</w:t>
      </w:r>
      <w:proofErr w:type="spellEnd"/>
      <w:r w:rsidRPr="000A19CF">
        <w:rPr>
          <w:rFonts w:cs="Times New Roman"/>
          <w:szCs w:val="28"/>
        </w:rPr>
        <w:t xml:space="preserve"> MTB/XDR виробником;</w:t>
      </w:r>
    </w:p>
    <w:p w14:paraId="18B5BF49"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проведено розрахунок річної потреби у картриджах </w:t>
      </w:r>
      <w:proofErr w:type="spellStart"/>
      <w:r w:rsidRPr="000A19CF">
        <w:rPr>
          <w:rFonts w:cs="Times New Roman"/>
          <w:szCs w:val="28"/>
        </w:rPr>
        <w:t>Xpert</w:t>
      </w:r>
      <w:proofErr w:type="spellEnd"/>
      <w:r w:rsidRPr="000A19CF">
        <w:rPr>
          <w:rFonts w:cs="Times New Roman"/>
          <w:szCs w:val="28"/>
        </w:rPr>
        <w:t xml:space="preserve"> MTB/XDR та 10-канальних системах </w:t>
      </w:r>
      <w:proofErr w:type="spellStart"/>
      <w:r w:rsidRPr="000A19CF">
        <w:rPr>
          <w:rFonts w:cs="Times New Roman"/>
          <w:szCs w:val="28"/>
        </w:rPr>
        <w:t>GeneXpert</w:t>
      </w:r>
      <w:proofErr w:type="spellEnd"/>
      <w:r w:rsidRPr="000A19CF">
        <w:rPr>
          <w:rFonts w:cs="Times New Roman"/>
          <w:szCs w:val="28"/>
        </w:rPr>
        <w:t xml:space="preserve">. Картриджі </w:t>
      </w:r>
      <w:proofErr w:type="spellStart"/>
      <w:r w:rsidRPr="000A19CF">
        <w:rPr>
          <w:rFonts w:cs="Times New Roman"/>
          <w:szCs w:val="28"/>
        </w:rPr>
        <w:t>Xpert</w:t>
      </w:r>
      <w:proofErr w:type="spellEnd"/>
      <w:r w:rsidRPr="000A19CF">
        <w:rPr>
          <w:rFonts w:cs="Times New Roman"/>
          <w:szCs w:val="28"/>
        </w:rPr>
        <w:t xml:space="preserve"> MTB/XDR внесені в номенклатуру для закупівлі за кошти державного бюджету України; </w:t>
      </w:r>
    </w:p>
    <w:p w14:paraId="0F781AA1"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проведена апробація методики на базі Центральної </w:t>
      </w:r>
      <w:proofErr w:type="spellStart"/>
      <w:r w:rsidRPr="000A19CF">
        <w:rPr>
          <w:rFonts w:cs="Times New Roman"/>
          <w:szCs w:val="28"/>
        </w:rPr>
        <w:t>референс</w:t>
      </w:r>
      <w:proofErr w:type="spellEnd"/>
      <w:r w:rsidRPr="000A19CF">
        <w:rPr>
          <w:rFonts w:cs="Times New Roman"/>
          <w:szCs w:val="28"/>
        </w:rPr>
        <w:t xml:space="preserve">-лабораторії з діагностики туберкульозу; </w:t>
      </w:r>
    </w:p>
    <w:p w14:paraId="0DA2546E"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оновлено алгоритм діагностики туберкульозу, де передбачено використання </w:t>
      </w:r>
      <w:proofErr w:type="spellStart"/>
      <w:r w:rsidRPr="000A19CF">
        <w:rPr>
          <w:rFonts w:cs="Times New Roman"/>
          <w:szCs w:val="28"/>
        </w:rPr>
        <w:t>генотипового</w:t>
      </w:r>
      <w:proofErr w:type="spellEnd"/>
      <w:r w:rsidRPr="000A19CF">
        <w:rPr>
          <w:rFonts w:cs="Times New Roman"/>
          <w:szCs w:val="28"/>
        </w:rPr>
        <w:t xml:space="preserve"> тестування медикаментозної чутливості з використанням картриджів XDR (Наказ МОЗ України від 06.10.2021 № 2161 «‎Про внесення змін до стандартів охорони здоров’я при туберкульозі».</w:t>
      </w:r>
    </w:p>
    <w:p w14:paraId="278DAD72"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‎З урахуванням актуальних рекомендацій ВООЗ щодо ТМЧ в регіональних лабораторіях ТБ впроваджено оновлений перелік ПТП. Повна лінійка препаратів до яких здійснюється тестування складається з H, R, E, Z, </w:t>
      </w:r>
      <w:proofErr w:type="spellStart"/>
      <w:r w:rsidRPr="000A19CF">
        <w:rPr>
          <w:rFonts w:cs="Times New Roman"/>
          <w:szCs w:val="28"/>
        </w:rPr>
        <w:t>Km</w:t>
      </w:r>
      <w:proofErr w:type="spellEnd"/>
      <w:r w:rsidRPr="000A19CF">
        <w:rPr>
          <w:rFonts w:cs="Times New Roman"/>
          <w:szCs w:val="28"/>
        </w:rPr>
        <w:t xml:space="preserve">, </w:t>
      </w:r>
      <w:proofErr w:type="spellStart"/>
      <w:r w:rsidRPr="000A19CF">
        <w:rPr>
          <w:rFonts w:cs="Times New Roman"/>
          <w:szCs w:val="28"/>
        </w:rPr>
        <w:t>Am</w:t>
      </w:r>
      <w:proofErr w:type="spellEnd"/>
      <w:r w:rsidRPr="000A19CF">
        <w:rPr>
          <w:rFonts w:cs="Times New Roman"/>
          <w:szCs w:val="28"/>
        </w:rPr>
        <w:t xml:space="preserve">, </w:t>
      </w:r>
      <w:proofErr w:type="spellStart"/>
      <w:r w:rsidRPr="000A19CF">
        <w:rPr>
          <w:rFonts w:cs="Times New Roman"/>
          <w:szCs w:val="28"/>
        </w:rPr>
        <w:t>Lfx</w:t>
      </w:r>
      <w:proofErr w:type="spellEnd"/>
      <w:r w:rsidRPr="000A19CF">
        <w:rPr>
          <w:rFonts w:cs="Times New Roman"/>
          <w:szCs w:val="28"/>
        </w:rPr>
        <w:t xml:space="preserve">, </w:t>
      </w:r>
      <w:proofErr w:type="spellStart"/>
      <w:r w:rsidRPr="000A19CF">
        <w:rPr>
          <w:rFonts w:cs="Times New Roman"/>
          <w:szCs w:val="28"/>
        </w:rPr>
        <w:t>Cm</w:t>
      </w:r>
      <w:proofErr w:type="spellEnd"/>
      <w:r w:rsidRPr="000A19CF">
        <w:rPr>
          <w:rFonts w:cs="Times New Roman"/>
          <w:szCs w:val="28"/>
        </w:rPr>
        <w:t xml:space="preserve">, </w:t>
      </w:r>
      <w:proofErr w:type="spellStart"/>
      <w:r w:rsidRPr="000A19CF">
        <w:rPr>
          <w:rFonts w:cs="Times New Roman"/>
          <w:szCs w:val="28"/>
        </w:rPr>
        <w:t>Mfx</w:t>
      </w:r>
      <w:proofErr w:type="spellEnd"/>
      <w:r w:rsidRPr="000A19CF">
        <w:rPr>
          <w:rFonts w:cs="Times New Roman"/>
          <w:szCs w:val="28"/>
        </w:rPr>
        <w:t xml:space="preserve"> 0,25,1,0, </w:t>
      </w:r>
      <w:proofErr w:type="spellStart"/>
      <w:r w:rsidRPr="000A19CF">
        <w:rPr>
          <w:rFonts w:cs="Times New Roman"/>
          <w:szCs w:val="28"/>
        </w:rPr>
        <w:t>Lzd</w:t>
      </w:r>
      <w:proofErr w:type="spellEnd"/>
      <w:r w:rsidRPr="000A19CF">
        <w:rPr>
          <w:rFonts w:cs="Times New Roman"/>
          <w:szCs w:val="28"/>
        </w:rPr>
        <w:t xml:space="preserve">, </w:t>
      </w:r>
      <w:proofErr w:type="spellStart"/>
      <w:r w:rsidRPr="000A19CF">
        <w:rPr>
          <w:rFonts w:cs="Times New Roman"/>
          <w:szCs w:val="28"/>
        </w:rPr>
        <w:t>Dlm</w:t>
      </w:r>
      <w:proofErr w:type="spellEnd"/>
      <w:r w:rsidRPr="000A19CF">
        <w:rPr>
          <w:rFonts w:cs="Times New Roman"/>
          <w:szCs w:val="28"/>
        </w:rPr>
        <w:t xml:space="preserve">, </w:t>
      </w:r>
      <w:proofErr w:type="spellStart"/>
      <w:r w:rsidRPr="000A19CF">
        <w:rPr>
          <w:rFonts w:cs="Times New Roman"/>
          <w:szCs w:val="28"/>
        </w:rPr>
        <w:t>Bdq</w:t>
      </w:r>
      <w:proofErr w:type="spellEnd"/>
      <w:r w:rsidRPr="000A19CF">
        <w:rPr>
          <w:rFonts w:cs="Times New Roman"/>
          <w:szCs w:val="28"/>
        </w:rPr>
        <w:t xml:space="preserve">, </w:t>
      </w:r>
      <w:proofErr w:type="spellStart"/>
      <w:r w:rsidRPr="000A19CF">
        <w:rPr>
          <w:rFonts w:cs="Times New Roman"/>
          <w:szCs w:val="28"/>
        </w:rPr>
        <w:t>Cfz</w:t>
      </w:r>
      <w:proofErr w:type="spellEnd"/>
      <w:r w:rsidRPr="000A19CF">
        <w:rPr>
          <w:rFonts w:cs="Times New Roman"/>
          <w:szCs w:val="28"/>
        </w:rPr>
        <w:t xml:space="preserve">, </w:t>
      </w:r>
      <w:proofErr w:type="spellStart"/>
      <w:r w:rsidRPr="000A19CF">
        <w:rPr>
          <w:rFonts w:cs="Times New Roman"/>
          <w:szCs w:val="28"/>
        </w:rPr>
        <w:t>Pt</w:t>
      </w:r>
      <w:proofErr w:type="spellEnd"/>
      <w:r w:rsidRPr="000A19CF">
        <w:rPr>
          <w:rFonts w:cs="Times New Roman"/>
          <w:szCs w:val="28"/>
        </w:rPr>
        <w:t>.</w:t>
      </w:r>
    </w:p>
    <w:p w14:paraId="0143ABB6"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У 2021 році з метою виявлення </w:t>
      </w:r>
      <w:proofErr w:type="spellStart"/>
      <w:r w:rsidRPr="000A19CF">
        <w:rPr>
          <w:rFonts w:cs="Times New Roman"/>
          <w:szCs w:val="28"/>
        </w:rPr>
        <w:t>коронавірусної</w:t>
      </w:r>
      <w:proofErr w:type="spellEnd"/>
      <w:r w:rsidRPr="000A19CF">
        <w:rPr>
          <w:rFonts w:cs="Times New Roman"/>
          <w:szCs w:val="28"/>
        </w:rPr>
        <w:t xml:space="preserve"> інфекції у пацієнтів з туберкульозом регіональні протитуберкульозні лабораторії забезпечені картриджами </w:t>
      </w:r>
      <w:proofErr w:type="spellStart"/>
      <w:r w:rsidRPr="000A19CF">
        <w:rPr>
          <w:rFonts w:cs="Times New Roman"/>
          <w:szCs w:val="28"/>
        </w:rPr>
        <w:t>Xpert</w:t>
      </w:r>
      <w:proofErr w:type="spellEnd"/>
      <w:r w:rsidRPr="000A19CF">
        <w:rPr>
          <w:rFonts w:cs="Times New Roman"/>
          <w:szCs w:val="28"/>
        </w:rPr>
        <w:t xml:space="preserve"> </w:t>
      </w:r>
      <w:proofErr w:type="spellStart"/>
      <w:r w:rsidRPr="000A19CF">
        <w:rPr>
          <w:rFonts w:cs="Times New Roman"/>
          <w:szCs w:val="28"/>
        </w:rPr>
        <w:t>Xpress</w:t>
      </w:r>
      <w:proofErr w:type="spellEnd"/>
      <w:r w:rsidRPr="000A19CF">
        <w:rPr>
          <w:rFonts w:cs="Times New Roman"/>
          <w:szCs w:val="28"/>
        </w:rPr>
        <w:t xml:space="preserve"> SARS-CoV-2, які є тестом на основі ПЛР у </w:t>
      </w:r>
      <w:r w:rsidRPr="000A19CF">
        <w:rPr>
          <w:rFonts w:cs="Times New Roman"/>
          <w:szCs w:val="28"/>
        </w:rPr>
        <w:lastRenderedPageBreak/>
        <w:t xml:space="preserve">реальному часі для якісного виявлення SARS-CoV-2. </w:t>
      </w:r>
    </w:p>
    <w:p w14:paraId="1C1F0890"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Ефективне лікування ТБ залежить від забезпечення доступу до швидкої діагностики захворювання, виявлення резистентності до лікарських засобів і швидкого започаткування ефективного режиму лікування. Доступні та надійні лабораторні послуги мають вирішальне значення для ефективного лікування і повинні відповідати потребам пацієнтів та клініцистів. З огляду на це основними завданнями на 2022 рік визначено такі: </w:t>
      </w:r>
    </w:p>
    <w:p w14:paraId="6D982C91"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 забезпечення доступності до послуг з лабораторної діагностики ТБ (нині система транспортування зразків переважно підтримується за рахунок коштів міжнародної технічної допомоги – гранту Глобального фонду та </w:t>
      </w:r>
      <w:proofErr w:type="spellStart"/>
      <w:r w:rsidRPr="000A19CF">
        <w:rPr>
          <w:rFonts w:cs="Times New Roman"/>
          <w:szCs w:val="28"/>
        </w:rPr>
        <w:t>проєктів</w:t>
      </w:r>
      <w:proofErr w:type="spellEnd"/>
      <w:r w:rsidRPr="000A19CF">
        <w:rPr>
          <w:rFonts w:cs="Times New Roman"/>
          <w:szCs w:val="28"/>
        </w:rPr>
        <w:t xml:space="preserve"> USAID);</w:t>
      </w:r>
    </w:p>
    <w:p w14:paraId="01F29B1F"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 підготовка регіональних лабораторій з діагностики ТБ (Харківської та Дніпропетровської областей, м. Києва) та Центральної </w:t>
      </w:r>
      <w:proofErr w:type="spellStart"/>
      <w:r w:rsidRPr="000A19CF">
        <w:rPr>
          <w:rFonts w:cs="Times New Roman"/>
          <w:szCs w:val="28"/>
        </w:rPr>
        <w:t>референс</w:t>
      </w:r>
      <w:proofErr w:type="spellEnd"/>
      <w:r w:rsidRPr="000A19CF">
        <w:rPr>
          <w:rFonts w:cs="Times New Roman"/>
          <w:szCs w:val="28"/>
        </w:rPr>
        <w:t xml:space="preserve"> лабораторії МОЗ України до міжнародної акредитації та забезпечення проведення для зазначених лабораторій міжнародної оцінки якості лабораторних досліджень;</w:t>
      </w:r>
    </w:p>
    <w:p w14:paraId="5335A770"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впровадження в регіональних лабораторіях інформаційної платформи LIMS для управління лабораторною діяльністю та документообігом;</w:t>
      </w:r>
    </w:p>
    <w:p w14:paraId="4C654FDA"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 включення тестування </w:t>
      </w:r>
      <w:proofErr w:type="spellStart"/>
      <w:r w:rsidRPr="000A19CF">
        <w:rPr>
          <w:rFonts w:cs="Times New Roman"/>
          <w:szCs w:val="28"/>
        </w:rPr>
        <w:t>Xpert</w:t>
      </w:r>
      <w:proofErr w:type="spellEnd"/>
      <w:r w:rsidRPr="000A19CF">
        <w:rPr>
          <w:rFonts w:cs="Times New Roman"/>
          <w:szCs w:val="28"/>
        </w:rPr>
        <w:t xml:space="preserve"> MTB/RIF (</w:t>
      </w:r>
      <w:proofErr w:type="spellStart"/>
      <w:r w:rsidRPr="000A19CF">
        <w:rPr>
          <w:rFonts w:cs="Times New Roman"/>
          <w:szCs w:val="28"/>
        </w:rPr>
        <w:t>Ultra</w:t>
      </w:r>
      <w:proofErr w:type="spellEnd"/>
      <w:r w:rsidRPr="000A19CF">
        <w:rPr>
          <w:rFonts w:cs="Times New Roman"/>
          <w:szCs w:val="28"/>
        </w:rPr>
        <w:t xml:space="preserve">) та </w:t>
      </w:r>
      <w:proofErr w:type="spellStart"/>
      <w:r w:rsidRPr="000A19CF">
        <w:rPr>
          <w:rFonts w:cs="Times New Roman"/>
          <w:szCs w:val="28"/>
        </w:rPr>
        <w:t>Xpert</w:t>
      </w:r>
      <w:proofErr w:type="spellEnd"/>
      <w:r w:rsidRPr="000A19CF">
        <w:rPr>
          <w:rFonts w:cs="Times New Roman"/>
          <w:szCs w:val="28"/>
        </w:rPr>
        <w:t xml:space="preserve"> XDR до системи забезпечення якості країни у лабораторіях усіх рівнів, які здійснюють швидку молекулярну діагностику туберкульозу; усі лабораторії мають брати участь у програмі зовнішньої оцінки якості (перевірка кваліфікації, оцінка на місці тощо);</w:t>
      </w:r>
    </w:p>
    <w:p w14:paraId="65B538B5"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узгодження та затвердження оновлених норм навантаження для регулювання чисельності персоналу у туберкульозних лабораторіях різного рівня.</w:t>
      </w:r>
    </w:p>
    <w:p w14:paraId="744D61C6" w14:textId="77777777" w:rsidR="000A19CF" w:rsidRPr="000A19CF" w:rsidRDefault="000A19CF" w:rsidP="000A19CF">
      <w:pPr>
        <w:widowControl w:val="0"/>
        <w:spacing w:after="120" w:line="228" w:lineRule="auto"/>
        <w:rPr>
          <w:rFonts w:cs="Times New Roman"/>
          <w:b/>
          <w:bCs/>
          <w:i/>
          <w:iCs/>
          <w:szCs w:val="28"/>
        </w:rPr>
      </w:pPr>
      <w:r w:rsidRPr="000A19CF">
        <w:rPr>
          <w:rFonts w:cs="Times New Roman"/>
          <w:b/>
          <w:bCs/>
          <w:i/>
          <w:iCs/>
          <w:szCs w:val="28"/>
        </w:rPr>
        <w:t>Вплив війни на організацію діагностики туберкульозу в Україні</w:t>
      </w:r>
    </w:p>
    <w:p w14:paraId="57ACE9F5" w14:textId="77777777" w:rsidR="000A19CF" w:rsidRPr="000A19CF" w:rsidRDefault="000A19CF" w:rsidP="000A19CF">
      <w:pPr>
        <w:widowControl w:val="0"/>
        <w:spacing w:after="120" w:line="228" w:lineRule="auto"/>
        <w:rPr>
          <w:rFonts w:cs="Times New Roman"/>
          <w:szCs w:val="28"/>
        </w:rPr>
      </w:pPr>
      <w:r w:rsidRPr="000A19CF">
        <w:rPr>
          <w:rFonts w:cs="Times New Roman"/>
          <w:szCs w:val="28"/>
        </w:rPr>
        <w:t xml:space="preserve">Через військову агресію в Луганській, Донецькій областях припинили роботу мікробіологічні лабораторії з діагностики туберкульозу. Через відсутність кадрів тимчасово не функціонувала лабораторія Київської області. Регіональний протитуберкульозний диспансер Чернігівської області було зруйновано. Дослідження для мешканців Чернігівської та Київської областей здійснюється лабораторними фахівцями КНП «ФТИЗІАТРІЯ» </w:t>
      </w:r>
    </w:p>
    <w:p w14:paraId="1F982DC1" w14:textId="00C1E721" w:rsidR="000A19CF" w:rsidRDefault="000A19CF" w:rsidP="000A19CF">
      <w:pPr>
        <w:widowControl w:val="0"/>
        <w:spacing w:after="120" w:line="228" w:lineRule="auto"/>
        <w:rPr>
          <w:rFonts w:cs="Times New Roman"/>
          <w:b/>
          <w:bCs/>
          <w:i/>
          <w:iCs/>
          <w:szCs w:val="28"/>
        </w:rPr>
      </w:pPr>
      <w:r w:rsidRPr="000A19CF">
        <w:rPr>
          <w:rFonts w:cs="Times New Roman"/>
          <w:szCs w:val="28"/>
        </w:rPr>
        <w:t xml:space="preserve">м. Київ. Транспортування </w:t>
      </w:r>
      <w:proofErr w:type="spellStart"/>
      <w:r w:rsidRPr="000A19CF">
        <w:rPr>
          <w:rFonts w:cs="Times New Roman"/>
          <w:szCs w:val="28"/>
        </w:rPr>
        <w:t>біоматеріалу</w:t>
      </w:r>
      <w:proofErr w:type="spellEnd"/>
      <w:r w:rsidRPr="000A19CF">
        <w:rPr>
          <w:rFonts w:cs="Times New Roman"/>
          <w:szCs w:val="28"/>
        </w:rPr>
        <w:t xml:space="preserve"> здійснюється за технічною допомогою</w:t>
      </w:r>
      <w:r w:rsidRPr="000A19CF">
        <w:t xml:space="preserve"> </w:t>
      </w:r>
      <w:r w:rsidRPr="000A19CF">
        <w:rPr>
          <w:rFonts w:cs="Times New Roman"/>
          <w:szCs w:val="28"/>
        </w:rPr>
        <w:t>Глобального фонду для боротьби зі СНІДом, туберкульозом і малярією6. Регіональна лабораторія Херсонської області знаходиться на тимчасово окупованій території, проте здійснює дослідження ТБ для пацієнтів з ТБ</w:t>
      </w:r>
      <w:r w:rsidRPr="000A19CF">
        <w:rPr>
          <w:rFonts w:cs="Times New Roman"/>
          <w:b/>
          <w:bCs/>
          <w:i/>
          <w:iCs/>
          <w:szCs w:val="28"/>
        </w:rPr>
        <w:t xml:space="preserve">. </w:t>
      </w:r>
    </w:p>
    <w:p w14:paraId="29CC8FDE" w14:textId="27B7F7F1" w:rsidR="00AB63D2" w:rsidRDefault="00AB63D2" w:rsidP="000A19CF">
      <w:pPr>
        <w:widowControl w:val="0"/>
        <w:spacing w:after="120" w:line="228" w:lineRule="auto"/>
        <w:rPr>
          <w:rFonts w:cs="Times New Roman"/>
          <w:b/>
          <w:bCs/>
          <w:i/>
          <w:iCs/>
          <w:szCs w:val="28"/>
        </w:rPr>
      </w:pPr>
    </w:p>
    <w:p w14:paraId="57AF91AF" w14:textId="77777777" w:rsidR="00AB63D2" w:rsidRPr="000A19CF" w:rsidRDefault="00AB63D2" w:rsidP="000A19CF">
      <w:pPr>
        <w:widowControl w:val="0"/>
        <w:spacing w:after="120" w:line="228" w:lineRule="auto"/>
        <w:rPr>
          <w:rFonts w:cs="Times New Roman"/>
          <w:b/>
          <w:bCs/>
          <w:i/>
          <w:iCs/>
          <w:szCs w:val="28"/>
        </w:rPr>
      </w:pPr>
    </w:p>
    <w:p w14:paraId="0E2A683B" w14:textId="60CA9EAD" w:rsidR="0046665C" w:rsidRPr="0024080D" w:rsidRDefault="0046665C" w:rsidP="00D226B0">
      <w:pPr>
        <w:pStyle w:val="1"/>
        <w:spacing w:line="252" w:lineRule="auto"/>
      </w:pPr>
      <w:r w:rsidRPr="0024080D">
        <w:lastRenderedPageBreak/>
        <w:t>РОЗДІЛ </w:t>
      </w:r>
      <w:r w:rsidR="00340602">
        <w:t>4</w:t>
      </w:r>
      <w:r w:rsidRPr="0024080D">
        <w:t>. ОРГАНІЗАЦІЯ ЛІКУВАННЯ ХВОРИХ НА ТБ</w:t>
      </w:r>
      <w:bookmarkEnd w:id="83"/>
    </w:p>
    <w:p w14:paraId="0BED5190" w14:textId="77777777" w:rsidR="0046665C" w:rsidRPr="0024080D" w:rsidRDefault="0046665C" w:rsidP="00D226B0">
      <w:pPr>
        <w:pStyle w:val="2"/>
        <w:spacing w:line="252" w:lineRule="auto"/>
      </w:pPr>
      <w:bookmarkStart w:id="87" w:name="_Toc88088863"/>
      <w:bookmarkStart w:id="88" w:name="_Toc89149142"/>
      <w:r w:rsidRPr="0024080D">
        <w:t>Структура протитуберкульозної служби в Україні</w:t>
      </w:r>
      <w:bookmarkEnd w:id="87"/>
      <w:bookmarkEnd w:id="88"/>
    </w:p>
    <w:p w14:paraId="2814054B" w14:textId="77777777" w:rsidR="008748A5" w:rsidRPr="008748A5" w:rsidRDefault="008748A5" w:rsidP="008748A5">
      <w:pPr>
        <w:widowControl w:val="0"/>
        <w:rPr>
          <w:rFonts w:cs="Times New Roman"/>
          <w:szCs w:val="28"/>
        </w:rPr>
      </w:pPr>
      <w:bookmarkStart w:id="89" w:name="_Toc88088869"/>
      <w:bookmarkStart w:id="90" w:name="_Toc89149148"/>
      <w:r w:rsidRPr="008748A5">
        <w:rPr>
          <w:rFonts w:cs="Times New Roman"/>
          <w:szCs w:val="28"/>
        </w:rPr>
        <w:t xml:space="preserve">Незважаючи на активне запровадження нових підходів до організації надання протитуберкульозної медичної допомоги населенню, передбачених Державною стратегією розвитку протитуберкульозної медичної допомоги населенню, схваленої розпорядженням Кабінету Міністрів України від 27.11.2019 № 1414-р, мережа ПТЗ все ще повністю не оптимізована та складається з  протитуберкульозних диспансерів (ПТД), туберкульозних лікарень для дорослих та дітей, фтизіатричних кабінетів у закладах, що надають амбулаторно-поліклінічну допомогу населенню, та санаторіїв для хворих на ТБ. </w:t>
      </w:r>
    </w:p>
    <w:p w14:paraId="231BD0DC" w14:textId="77777777" w:rsidR="008748A5" w:rsidRPr="008748A5" w:rsidRDefault="008748A5" w:rsidP="008748A5">
      <w:pPr>
        <w:widowControl w:val="0"/>
        <w:rPr>
          <w:rFonts w:cs="Times New Roman"/>
          <w:szCs w:val="28"/>
        </w:rPr>
      </w:pPr>
      <w:r w:rsidRPr="008748A5">
        <w:rPr>
          <w:rFonts w:cs="Times New Roman"/>
          <w:szCs w:val="28"/>
        </w:rPr>
        <w:t>За даними звіту про мережу медичних закладів, що подається медичними установами щорічно до Центру медичної статистики МОЗ України відповідно до форми №47-здоров «Звіт про мережу та діяльність медичних закладів» (</w:t>
      </w:r>
      <w:r w:rsidRPr="008748A5">
        <w:rPr>
          <w:rFonts w:cs="Times New Roman"/>
          <w:i/>
          <w:szCs w:val="28"/>
        </w:rPr>
        <w:t>далі</w:t>
      </w:r>
      <w:r w:rsidRPr="008748A5">
        <w:rPr>
          <w:rFonts w:cs="Times New Roman"/>
          <w:szCs w:val="28"/>
        </w:rPr>
        <w:t xml:space="preserve"> – форма), затвердженої наказом МОЗ України від 27.07.2006 №524, кількість ПТД відповідно до форми у 2021 р.  становила 31 заклад, тоді як у 2020 р. – 55, а 24 з них мали стаціонарні відділення (у 2020 р. – 35). У 2021 р. кількість туберкульозних лікарень для дорослих становила 6 (у 2020 р. – 10), для дітей – 1 (у 2020 році - 2). Кількість ЗОЗ, що мали у своєму складі протитуберкульозні кабінети, у 2021 р. становила 389, а у 2020 р. – 478. Кількість санаторіїв для хворих на ТБ становила 32  (у 2020 р. – 35).</w:t>
      </w:r>
    </w:p>
    <w:p w14:paraId="7D284DC0" w14:textId="77777777" w:rsidR="008748A5" w:rsidRPr="008748A5" w:rsidRDefault="008748A5" w:rsidP="008748A5">
      <w:pPr>
        <w:widowControl w:val="0"/>
        <w:rPr>
          <w:rFonts w:cs="Times New Roman"/>
          <w:szCs w:val="28"/>
        </w:rPr>
      </w:pPr>
      <w:r w:rsidRPr="008748A5">
        <w:rPr>
          <w:rFonts w:cs="Times New Roman"/>
          <w:szCs w:val="28"/>
        </w:rPr>
        <w:t>Таким чином, порівняно до показників 2020 р., у 2021 р. кількість ПТЗ скоротилася на 24 заклади (– 43,6%), туберкульозних лікарень для дорослих – на 4 (– 40,9%), протитуберкульозних кабінетів – на 89 (–18,7%), санаторіїв для хворих на ТБ – на 3 (–8,6%), кількість туберкульозних лікарень для дітей зменшилася з 2-х до 1(залишилася у м. Києві).</w:t>
      </w:r>
    </w:p>
    <w:p w14:paraId="0E3BCA0C" w14:textId="77777777" w:rsidR="008748A5" w:rsidRPr="008748A5" w:rsidRDefault="008748A5" w:rsidP="008748A5">
      <w:pPr>
        <w:keepNext/>
        <w:keepLines/>
        <w:spacing w:before="120" w:after="120" w:line="252" w:lineRule="auto"/>
        <w:outlineLvl w:val="1"/>
        <w:rPr>
          <w:b/>
          <w:szCs w:val="36"/>
        </w:rPr>
      </w:pPr>
      <w:bookmarkStart w:id="91" w:name="_Toc88088864"/>
      <w:bookmarkStart w:id="92" w:name="_Toc89149143"/>
      <w:r w:rsidRPr="008748A5">
        <w:rPr>
          <w:b/>
          <w:szCs w:val="36"/>
        </w:rPr>
        <w:t>Стан реформування протитуберкульозної служби</w:t>
      </w:r>
      <w:bookmarkEnd w:id="91"/>
      <w:bookmarkEnd w:id="92"/>
      <w:r w:rsidRPr="008748A5">
        <w:rPr>
          <w:b/>
          <w:szCs w:val="36"/>
        </w:rPr>
        <w:t xml:space="preserve"> </w:t>
      </w:r>
    </w:p>
    <w:p w14:paraId="26C2D540" w14:textId="77777777" w:rsidR="008748A5" w:rsidRPr="008748A5" w:rsidRDefault="008748A5" w:rsidP="008748A5">
      <w:pPr>
        <w:widowControl w:val="0"/>
        <w:spacing w:line="252" w:lineRule="auto"/>
        <w:rPr>
          <w:rFonts w:cs="Times New Roman"/>
          <w:szCs w:val="28"/>
        </w:rPr>
      </w:pPr>
      <w:r w:rsidRPr="008748A5">
        <w:rPr>
          <w:rFonts w:cs="Times New Roman"/>
          <w:szCs w:val="28"/>
        </w:rPr>
        <w:t xml:space="preserve">Відповідно до пункту 3 Плану заходів щодо Державної стратегії розвитку протитуберкульозної медичної допомоги населенню, схваленого розпорядженням </w:t>
      </w:r>
      <w:bookmarkStart w:id="93" w:name="_Hlk104462131"/>
      <w:r w:rsidRPr="008748A5">
        <w:rPr>
          <w:rFonts w:cs="Times New Roman"/>
          <w:szCs w:val="28"/>
        </w:rPr>
        <w:t xml:space="preserve">Кабінету Міністрів України </w:t>
      </w:r>
      <w:bookmarkEnd w:id="93"/>
      <w:r w:rsidRPr="008748A5">
        <w:rPr>
          <w:rFonts w:cs="Times New Roman"/>
          <w:szCs w:val="28"/>
        </w:rPr>
        <w:t xml:space="preserve">за №1463-р від 18.11.2020 р., до кінця 2020 р. передбачалося завершити реорганізацію регіональних ПТЗ шляхом злиття всіх ПТЗ відповідного регіону в єдиний в області протитуберкульозний заклад, що має статус регіонального </w:t>
      </w:r>
      <w:proofErr w:type="spellStart"/>
      <w:r w:rsidRPr="008748A5">
        <w:rPr>
          <w:rFonts w:cs="Times New Roman"/>
          <w:szCs w:val="28"/>
        </w:rPr>
        <w:t>фтизіопульмонологічного</w:t>
      </w:r>
      <w:proofErr w:type="spellEnd"/>
      <w:r w:rsidRPr="008748A5">
        <w:rPr>
          <w:rFonts w:cs="Times New Roman"/>
          <w:szCs w:val="28"/>
        </w:rPr>
        <w:t xml:space="preserve"> медичного центру (далі - регіональний центр), утвореного як комунальне некомерційне підприємство, що надає і координує протитуберкульозну медичну допомогу населенню у регіоні. Однак, ще й на кінець 2021 року залишаються області, де не завершено створення регіональних </w:t>
      </w:r>
      <w:proofErr w:type="spellStart"/>
      <w:r w:rsidRPr="008748A5">
        <w:rPr>
          <w:rFonts w:cs="Times New Roman"/>
          <w:szCs w:val="28"/>
        </w:rPr>
        <w:t>фтизіопульмонологічних</w:t>
      </w:r>
      <w:proofErr w:type="spellEnd"/>
      <w:r w:rsidRPr="008748A5">
        <w:rPr>
          <w:rFonts w:cs="Times New Roman"/>
          <w:szCs w:val="28"/>
        </w:rPr>
        <w:t xml:space="preserve"> центрів, а саме у Донецькій, Івано-Франківській, Харківській областях та м. Київ. </w:t>
      </w:r>
    </w:p>
    <w:p w14:paraId="1B7BB625" w14:textId="77777777" w:rsidR="008748A5" w:rsidRPr="008748A5" w:rsidRDefault="008748A5" w:rsidP="008748A5">
      <w:pPr>
        <w:widowControl w:val="0"/>
        <w:spacing w:line="252" w:lineRule="auto"/>
        <w:rPr>
          <w:rFonts w:cs="Times New Roman"/>
          <w:szCs w:val="28"/>
        </w:rPr>
      </w:pPr>
      <w:r w:rsidRPr="008748A5">
        <w:rPr>
          <w:rFonts w:cs="Times New Roman"/>
          <w:szCs w:val="28"/>
        </w:rPr>
        <w:t>Таким чином, на кінець 2021 року план із реорганізації ПТЗ було виконано на 84% (у 21 з 25 областей).</w:t>
      </w:r>
    </w:p>
    <w:p w14:paraId="74075E43" w14:textId="77777777" w:rsidR="008748A5" w:rsidRPr="008748A5" w:rsidRDefault="008748A5" w:rsidP="008748A5">
      <w:pPr>
        <w:widowControl w:val="0"/>
        <w:ind w:firstLine="0"/>
        <w:jc w:val="center"/>
        <w:rPr>
          <w:rFonts w:cs="Times New Roman"/>
          <w:szCs w:val="28"/>
          <w:highlight w:val="yellow"/>
        </w:rPr>
      </w:pPr>
    </w:p>
    <w:p w14:paraId="59B832B7" w14:textId="77777777" w:rsidR="008748A5" w:rsidRPr="008748A5" w:rsidRDefault="008748A5" w:rsidP="008748A5">
      <w:pPr>
        <w:widowControl w:val="0"/>
        <w:rPr>
          <w:rFonts w:cs="Times New Roman"/>
          <w:szCs w:val="28"/>
        </w:rPr>
      </w:pPr>
      <w:r w:rsidRPr="008748A5">
        <w:rPr>
          <w:rFonts w:cs="Times New Roman"/>
          <w:szCs w:val="28"/>
        </w:rPr>
        <w:t xml:space="preserve">Середній термін госпіталізації пацієнтів з ТБ у 2021 р. становив 62,5 днів, що є на 17,2% менше, ніж у 2020 р (75,5 днів). Однак, необхідно зазначити, що середнє перебування хворого на ліжку для дорослих складає 61,9 днів, а для дітей – 83,9, що є достатньо тривалим та не відповідає сімейно-орієнтованим моделям медичної допомоги, що охоплюють втручання, обрані на підставі потреб, цінностей і переваг дитини або </w:t>
      </w:r>
      <w:proofErr w:type="spellStart"/>
      <w:r w:rsidRPr="008748A5">
        <w:rPr>
          <w:rFonts w:cs="Times New Roman"/>
          <w:szCs w:val="28"/>
        </w:rPr>
        <w:t>підлітка</w:t>
      </w:r>
      <w:proofErr w:type="spellEnd"/>
      <w:r w:rsidRPr="008748A5">
        <w:rPr>
          <w:rFonts w:cs="Times New Roman"/>
          <w:szCs w:val="28"/>
        </w:rPr>
        <w:t xml:space="preserve"> та його сім'ї чи опікуна. </w:t>
      </w:r>
    </w:p>
    <w:p w14:paraId="0A7E726C" w14:textId="77777777" w:rsidR="008748A5" w:rsidRPr="008748A5" w:rsidRDefault="008748A5" w:rsidP="008748A5">
      <w:pPr>
        <w:widowControl w:val="0"/>
        <w:rPr>
          <w:rFonts w:cs="Times New Roman"/>
          <w:szCs w:val="28"/>
        </w:rPr>
      </w:pPr>
      <w:r w:rsidRPr="008748A5">
        <w:rPr>
          <w:rFonts w:cs="Times New Roman"/>
          <w:szCs w:val="28"/>
        </w:rPr>
        <w:t>Факторами, які сприяли подальшому скороченню терміну госпіталізації у 2021 р., було визначення чітких критеріїв госпіталізації відповідно до оновлених Стандартів охорони здоров’я при ТБ, затверджених наказом МОЗ України від 06.10.2021 № 2161, та подальше удосконалення механізмів фінансування медичних послуг для ПТЗ за програмою медичних гарантій, що не пов’язано з кількістю місць для госпіталізації у закладі та його оборотом.</w:t>
      </w:r>
    </w:p>
    <w:p w14:paraId="2FF847D7" w14:textId="77777777" w:rsidR="008748A5" w:rsidRPr="008748A5" w:rsidRDefault="008748A5" w:rsidP="008748A5">
      <w:pPr>
        <w:widowControl w:val="0"/>
        <w:ind w:firstLine="0"/>
        <w:jc w:val="center"/>
        <w:rPr>
          <w:rFonts w:cs="Times New Roman"/>
          <w:szCs w:val="28"/>
        </w:rPr>
      </w:pPr>
      <w:r w:rsidRPr="008748A5">
        <w:rPr>
          <w:rFonts w:cs="Times New Roman"/>
          <w:noProof/>
          <w:szCs w:val="28"/>
        </w:rPr>
        <w:drawing>
          <wp:inline distT="0" distB="0" distL="0" distR="0" wp14:anchorId="283B023E" wp14:editId="7AD1CC74">
            <wp:extent cx="6120765" cy="2532380"/>
            <wp:effectExtent l="0" t="0" r="13335" b="1270"/>
            <wp:docPr id="110" name="Діаграма 110">
              <a:extLst xmlns:a="http://schemas.openxmlformats.org/drawingml/2006/main">
                <a:ext uri="{FF2B5EF4-FFF2-40B4-BE49-F238E27FC236}">
                  <a16:creationId xmlns:a16="http://schemas.microsoft.com/office/drawing/2014/main" id="{4BF5E929-27BB-5820-0CC9-7C81262CC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E8DC32" w14:textId="62CD9762" w:rsidR="008748A5" w:rsidRPr="008748A5" w:rsidRDefault="008748A5" w:rsidP="008748A5">
      <w:pPr>
        <w:widowControl w:val="0"/>
        <w:spacing w:after="120"/>
        <w:ind w:firstLine="0"/>
        <w:jc w:val="center"/>
        <w:rPr>
          <w:rFonts w:cs="Times New Roman"/>
          <w:b/>
          <w:szCs w:val="28"/>
        </w:rPr>
      </w:pPr>
      <w:r w:rsidRPr="008748A5">
        <w:rPr>
          <w:rFonts w:cs="Times New Roman"/>
          <w:b/>
          <w:szCs w:val="28"/>
        </w:rPr>
        <w:t>Рисунок </w:t>
      </w:r>
      <w:r w:rsidR="00340602">
        <w:rPr>
          <w:rFonts w:cs="Times New Roman"/>
          <w:b/>
          <w:szCs w:val="28"/>
        </w:rPr>
        <w:t>4.1.</w:t>
      </w:r>
      <w:r w:rsidRPr="008748A5">
        <w:rPr>
          <w:rFonts w:cs="Times New Roman"/>
          <w:b/>
          <w:szCs w:val="28"/>
        </w:rPr>
        <w:t xml:space="preserve"> Середній термін госпіталізації пацієнтів з ТБ </w:t>
      </w:r>
      <w:r w:rsidRPr="008748A5">
        <w:rPr>
          <w:rFonts w:cs="Times New Roman"/>
          <w:b/>
          <w:szCs w:val="28"/>
        </w:rPr>
        <w:br/>
        <w:t xml:space="preserve">у 2015–2021 рр. (дані форми №47-здоров «Звіт про мережу </w:t>
      </w:r>
      <w:r w:rsidRPr="008748A5">
        <w:rPr>
          <w:rFonts w:cs="Times New Roman"/>
          <w:b/>
          <w:szCs w:val="28"/>
        </w:rPr>
        <w:br/>
        <w:t>та діяльність медичних закладів»)</w:t>
      </w:r>
    </w:p>
    <w:p w14:paraId="1A5442E2" w14:textId="77777777" w:rsidR="008748A5" w:rsidRPr="008748A5" w:rsidRDefault="008748A5" w:rsidP="008748A5">
      <w:pPr>
        <w:widowControl w:val="0"/>
        <w:rPr>
          <w:rFonts w:cs="Times New Roman"/>
          <w:szCs w:val="28"/>
        </w:rPr>
      </w:pPr>
    </w:p>
    <w:p w14:paraId="2D968DFA" w14:textId="77777777" w:rsidR="008748A5" w:rsidRPr="008748A5" w:rsidRDefault="008748A5" w:rsidP="008748A5">
      <w:pPr>
        <w:widowControl w:val="0"/>
        <w:rPr>
          <w:rFonts w:cs="Times New Roman"/>
          <w:szCs w:val="28"/>
        </w:rPr>
      </w:pPr>
      <w:r w:rsidRPr="008748A5">
        <w:rPr>
          <w:rFonts w:cs="Times New Roman"/>
          <w:szCs w:val="28"/>
        </w:rPr>
        <w:t>Зазначені зміни механізмів фінансування сприяли подальшому скороченню кількості місць для госпіталізації хворих на туберкульоз, починаючи з 2020 року, чого не спостерігали за минулі періоди.  Загалом у системі ПТЗ МОЗ України в 2021 р. залишилося 4694 місць для госпіталізації хворих на туберкульоз, що на 27,7% менше, ніж у 2020 р. (6 494) та на 57,8% менше у порівнянні з 2019 роком (11111).</w:t>
      </w:r>
    </w:p>
    <w:p w14:paraId="03D17A4E"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Процес реорганізації мережі ПТЗ позначився і на кількості персоналу. Зокрема, кількість лікарів-фтизіатрів у 2021 р. скоротилася до 1235 осіб або на 20% порівняно до 2020 р. (1541). А в порівнянні з 2019 роком (2031) на 39,2% Показник забезпеченості лікарями-фтизіатрами у системі закладів МОЗ України у 2021 році склав 0,30 на 10 000 нас., 2020 р. становив 0,37 на 10 000 населення, тоді як у 2019 р. – 0,49 (тобто  у 2021 знизився на 38,8% порівняно до показників 2019 р.). При цьому лише у шести областях України цей показник був нижчим за середній у країні (у Черкаській – 0,21 на 10 000 </w:t>
      </w:r>
      <w:r w:rsidRPr="008748A5">
        <w:rPr>
          <w:rFonts w:cs="Times New Roman"/>
          <w:szCs w:val="28"/>
        </w:rPr>
        <w:lastRenderedPageBreak/>
        <w:t>населення, у Київській – 0,22, Миколаївській – 0,23, у м. Києві – 0,24, у Чернігівській – 0,24, у Волинській – 0,29).</w:t>
      </w:r>
    </w:p>
    <w:p w14:paraId="164DA495" w14:textId="77777777" w:rsidR="008748A5" w:rsidRPr="008748A5" w:rsidRDefault="008748A5" w:rsidP="008748A5">
      <w:pPr>
        <w:widowControl w:val="0"/>
        <w:spacing w:line="228" w:lineRule="auto"/>
        <w:ind w:firstLine="0"/>
        <w:jc w:val="center"/>
        <w:rPr>
          <w:rFonts w:cs="Times New Roman"/>
          <w:szCs w:val="28"/>
        </w:rPr>
      </w:pPr>
      <w:r w:rsidRPr="008748A5">
        <w:rPr>
          <w:rFonts w:cs="Times New Roman"/>
          <w:noProof/>
          <w:szCs w:val="28"/>
        </w:rPr>
        <w:drawing>
          <wp:inline distT="0" distB="0" distL="0" distR="0" wp14:anchorId="5D9D7D5E" wp14:editId="7DDF6978">
            <wp:extent cx="6120765" cy="2667000"/>
            <wp:effectExtent l="0" t="0" r="13335" b="0"/>
            <wp:docPr id="2" name="Діаграма 2">
              <a:extLst xmlns:a="http://schemas.openxmlformats.org/drawingml/2006/main">
                <a:ext uri="{FF2B5EF4-FFF2-40B4-BE49-F238E27FC236}">
                  <a16:creationId xmlns:a16="http://schemas.microsoft.com/office/drawing/2014/main" id="{C10E7F26-201E-52CA-F659-901A28662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BAF9BFB" w14:textId="47F142BB" w:rsidR="008748A5" w:rsidRPr="008748A5" w:rsidRDefault="008748A5" w:rsidP="008748A5">
      <w:pPr>
        <w:widowControl w:val="0"/>
        <w:spacing w:after="120" w:line="228" w:lineRule="auto"/>
        <w:ind w:firstLine="0"/>
        <w:jc w:val="center"/>
        <w:rPr>
          <w:rFonts w:cs="Times New Roman"/>
          <w:b/>
          <w:szCs w:val="28"/>
        </w:rPr>
      </w:pPr>
      <w:r w:rsidRPr="008748A5">
        <w:rPr>
          <w:rFonts w:cs="Times New Roman"/>
          <w:b/>
          <w:szCs w:val="28"/>
        </w:rPr>
        <w:t>Рисунок </w:t>
      </w:r>
      <w:r w:rsidR="00340602">
        <w:rPr>
          <w:rFonts w:cs="Times New Roman"/>
          <w:b/>
          <w:szCs w:val="28"/>
        </w:rPr>
        <w:t>4.2</w:t>
      </w:r>
      <w:r w:rsidRPr="008748A5">
        <w:rPr>
          <w:rFonts w:cs="Times New Roman"/>
          <w:b/>
          <w:szCs w:val="28"/>
        </w:rPr>
        <w:t xml:space="preserve">. Динаміка ліжкового фонду та кадрового ресурсу </w:t>
      </w:r>
      <w:r w:rsidRPr="008748A5">
        <w:rPr>
          <w:rFonts w:cs="Times New Roman"/>
          <w:b/>
          <w:szCs w:val="28"/>
        </w:rPr>
        <w:br/>
        <w:t>(лікарі-фтизіатри) системи ПТЗ МОЗ України за 2015–2021 рр.</w:t>
      </w:r>
    </w:p>
    <w:p w14:paraId="5AFFBA55" w14:textId="77777777" w:rsidR="008748A5" w:rsidRPr="008748A5" w:rsidRDefault="008748A5" w:rsidP="008748A5">
      <w:pPr>
        <w:widowControl w:val="0"/>
        <w:spacing w:line="228" w:lineRule="auto"/>
        <w:rPr>
          <w:rFonts w:cs="Times New Roman"/>
          <w:szCs w:val="28"/>
        </w:rPr>
      </w:pPr>
    </w:p>
    <w:p w14:paraId="1F9C3A07" w14:textId="77777777" w:rsidR="008748A5" w:rsidRPr="008748A5" w:rsidRDefault="008748A5" w:rsidP="008748A5">
      <w:pPr>
        <w:widowControl w:val="0"/>
        <w:spacing w:line="228" w:lineRule="auto"/>
        <w:rPr>
          <w:rFonts w:cs="Times New Roman"/>
          <w:szCs w:val="28"/>
        </w:rPr>
      </w:pPr>
      <w:r w:rsidRPr="008748A5">
        <w:rPr>
          <w:rFonts w:cs="Times New Roman"/>
          <w:szCs w:val="28"/>
        </w:rPr>
        <w:t>За даними паспортних анкет регіонів, у Донецькій, Закарпатській, Івано-Франківській, Львівській, Харківській, Черкаській областях та м. Києві продовжують функціонувати санаторно-курортні заклади туберкульозного профілю. Загалом на кінець 2021 р. у зазначених областях функціонували 13 санаторно-курортних закладів. Найбільше таких закладів у Харківській області (6), у решті названих областей по одному санаторно-курортному закладу, у Донецькій – 2. При цьому протягом 2021 року прийнято рішення місцевими органами влади про реорганізацію, припинення чи ліквідацію 6 санаторіїв у 3-х областях (Вінницька, Київська, Сумська)</w:t>
      </w:r>
    </w:p>
    <w:p w14:paraId="476AEEA4" w14:textId="77777777" w:rsidR="008748A5" w:rsidRPr="008748A5" w:rsidRDefault="008748A5" w:rsidP="008748A5">
      <w:pPr>
        <w:widowControl w:val="0"/>
        <w:spacing w:line="228" w:lineRule="auto"/>
        <w:ind w:firstLine="0"/>
        <w:jc w:val="center"/>
        <w:rPr>
          <w:rFonts w:cs="Times New Roman"/>
          <w:szCs w:val="28"/>
        </w:rPr>
      </w:pPr>
    </w:p>
    <w:p w14:paraId="6C51EA15" w14:textId="77777777" w:rsidR="008748A5" w:rsidRPr="008748A5" w:rsidRDefault="008748A5" w:rsidP="008748A5">
      <w:pPr>
        <w:keepNext/>
        <w:keepLines/>
        <w:spacing w:before="120" w:after="120" w:line="228" w:lineRule="auto"/>
        <w:outlineLvl w:val="1"/>
        <w:rPr>
          <w:b/>
          <w:szCs w:val="36"/>
        </w:rPr>
      </w:pPr>
      <w:bookmarkStart w:id="94" w:name="_Toc88088865"/>
      <w:bookmarkStart w:id="95" w:name="_Toc89149144"/>
      <w:r w:rsidRPr="008748A5">
        <w:rPr>
          <w:b/>
          <w:szCs w:val="36"/>
        </w:rPr>
        <w:t>Організація лікування хворих на ТБ</w:t>
      </w:r>
      <w:bookmarkEnd w:id="94"/>
      <w:bookmarkEnd w:id="95"/>
      <w:r w:rsidRPr="008748A5">
        <w:rPr>
          <w:b/>
          <w:szCs w:val="36"/>
        </w:rPr>
        <w:t xml:space="preserve"> </w:t>
      </w:r>
    </w:p>
    <w:p w14:paraId="1D8E2609"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Ефективне лікування туберкульозу – основна складова у досягненні цілей сталого розвитку України на період до 2030 року, а саме цілі № 3 «Забезпечення здорового способу життя та сприяння благополуччю для всіх у будь-якому віці» щодо подолання туберкульозу до 2030 року. Не менш амбітні цілі ставить і Стратегія Всесвітньої організації охорони здоров'я «Покласти край туберкульозу» (далі – Стратегія ВООЗ), що має на меті припинення глобальної епідемії туберкульозу до 2035 року,  розробка якої була ініційована Всесвітньою організацією охорони здоров'я (далі – ВООЗ) у 2014 році та активно впроваджується в країнах Європейського регіону ВООЗ, в тому числі в Україні. Згідно класичним законам епідеміології подолання інфекції можливе при умові ефективного впливу на одну із ланок епідемічного процесу: джерело інфекції, шляхи передачі та сприйнятливий організм. Стосовно туберкульозу – то це джерело інфекції: максимально виявити і ефективно пролікувати. </w:t>
      </w:r>
    </w:p>
    <w:p w14:paraId="7155EB3A"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За даними щорічного звіту з епіднагляду щодо ТБ Європейського регіону ВООЗ </w:t>
      </w:r>
      <w:r w:rsidRPr="008748A5">
        <w:rPr>
          <w:rFonts w:cs="Times New Roman"/>
          <w:szCs w:val="28"/>
        </w:rPr>
        <w:lastRenderedPageBreak/>
        <w:t xml:space="preserve">(https://www.ecdc.europa.eu/sites/default/files/documents/tuberculosis- surveillance-monitoring-Europe-2021.pdf), для Європейського регіону ВООЗ загалом характерними є повільні темпи зростання показників ефективності лікування всіх випадків ТБ. </w:t>
      </w:r>
    </w:p>
    <w:p w14:paraId="082E069C"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Попри загальне охоплення послугами лікування хворих на ТБ та МЛС/Риф-ТБ, показник ефективності лікування в Європейському регіоні залишається нижче відповідних світових та регіональних цільових орієнтирів (85 та 75%): ефективність лікування випадків чутливого до лікарських засобів ТБ становить 76,5%, випадків МЛС/Риф-ТБ – 58,6%. </w:t>
      </w:r>
    </w:p>
    <w:p w14:paraId="68C04FEF" w14:textId="77777777" w:rsidR="008748A5" w:rsidRPr="008748A5" w:rsidRDefault="008748A5" w:rsidP="008748A5">
      <w:pPr>
        <w:widowControl w:val="0"/>
        <w:spacing w:line="228" w:lineRule="auto"/>
        <w:rPr>
          <w:rFonts w:cs="Times New Roman"/>
          <w:szCs w:val="28"/>
        </w:rPr>
      </w:pPr>
      <w:r w:rsidRPr="008748A5">
        <w:rPr>
          <w:rFonts w:cs="Times New Roman"/>
          <w:szCs w:val="28"/>
        </w:rPr>
        <w:t>Враховуючи зазначене та зважаючи на наявність доказових даних щодо повільного покращення ситуації, в усіх країнах Європейського регіону ВООЗ існує нагальна необхідність впровадження більш новаторських та ефективних підходів до лікування ТБ, зокрема ЛС-ТБ. З метою підвищення ефективності лікування та запобігання розвитку та поширенню резистентності необхідне  впровадження заходів щодо формування прихильності пацієнтів до лікування, а також навчання пацієнтів, членів їх сімей заходам інфекційного контролю</w:t>
      </w:r>
    </w:p>
    <w:p w14:paraId="34C765AE" w14:textId="77777777" w:rsidR="008748A5" w:rsidRPr="008748A5" w:rsidRDefault="008748A5" w:rsidP="008748A5">
      <w:pPr>
        <w:widowControl w:val="0"/>
        <w:spacing w:line="228" w:lineRule="auto"/>
        <w:rPr>
          <w:rFonts w:cs="Times New Roman"/>
          <w:szCs w:val="28"/>
        </w:rPr>
      </w:pPr>
    </w:p>
    <w:p w14:paraId="6094A697" w14:textId="77777777" w:rsidR="008748A5" w:rsidRPr="008748A5" w:rsidRDefault="008748A5" w:rsidP="008748A5">
      <w:pPr>
        <w:widowControl w:val="0"/>
        <w:spacing w:line="228" w:lineRule="auto"/>
        <w:rPr>
          <w:rFonts w:cs="Times New Roman"/>
          <w:b/>
          <w:i/>
          <w:szCs w:val="28"/>
        </w:rPr>
      </w:pPr>
      <w:bookmarkStart w:id="96" w:name="_Toc88088868"/>
      <w:bookmarkStart w:id="97" w:name="_Toc89149147"/>
      <w:r w:rsidRPr="008748A5">
        <w:rPr>
          <w:b/>
          <w:i/>
          <w:szCs w:val="28"/>
        </w:rPr>
        <w:t xml:space="preserve">Впровадження </w:t>
      </w:r>
      <w:r w:rsidRPr="008748A5">
        <w:rPr>
          <w:rFonts w:cs="Times New Roman"/>
          <w:b/>
          <w:i/>
          <w:szCs w:val="28"/>
        </w:rPr>
        <w:t>орієнтованого на людину підходу до лікуванн</w:t>
      </w:r>
      <w:bookmarkEnd w:id="96"/>
      <w:bookmarkEnd w:id="97"/>
      <w:r w:rsidRPr="008748A5">
        <w:rPr>
          <w:rFonts w:cs="Times New Roman"/>
          <w:b/>
          <w:i/>
          <w:szCs w:val="28"/>
        </w:rPr>
        <w:t>я</w:t>
      </w:r>
    </w:p>
    <w:p w14:paraId="41C7DBA7" w14:textId="77777777" w:rsidR="008748A5" w:rsidRPr="008748A5" w:rsidRDefault="008748A5" w:rsidP="008748A5">
      <w:pPr>
        <w:widowControl w:val="0"/>
        <w:spacing w:line="228" w:lineRule="auto"/>
        <w:rPr>
          <w:i/>
          <w:szCs w:val="28"/>
        </w:rPr>
      </w:pPr>
    </w:p>
    <w:p w14:paraId="2B42659E"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Інтегрована пацієнт-орієнтована допомога та профілактика є ключовим елементом стратегії ВООЗ з ліквідації ТБ та спрямовані на забезпечення всім хворим на ТБ доступу до недорогих високоякісних медичних послуг відповідно до їхніх потреб і переваг. Це додатково підкріплюється дорожньою картою ВООЗ щодо ліквідації туберкульозу, яка закликає до розробки та впровадження інтегрованих сімейно- та громадо-орієнтованих стратегій. </w:t>
      </w:r>
    </w:p>
    <w:p w14:paraId="2D4130F9" w14:textId="77777777" w:rsidR="008748A5" w:rsidRPr="008748A5" w:rsidRDefault="008748A5" w:rsidP="008748A5">
      <w:pPr>
        <w:widowControl w:val="0"/>
        <w:spacing w:line="228" w:lineRule="auto"/>
        <w:rPr>
          <w:rFonts w:cs="Times New Roman"/>
          <w:szCs w:val="28"/>
        </w:rPr>
      </w:pPr>
      <w:r w:rsidRPr="008748A5">
        <w:rPr>
          <w:rFonts w:cs="Times New Roman"/>
          <w:szCs w:val="28"/>
        </w:rPr>
        <w:t>Відповідно до Державної стратегії розвитку системи протитуберкульозної медичної допомоги населенню, затвердженої розпорядженням Кабінету Міністрів України від 27.11.2019 №1414-р передбачено запровадження нових підходів до організації надання протитуберкульозної медичної допомоги населенню з акцентом на впровадженні пацієнт-орієнтованих моделей лікування хворих на ТБ та ефективних моделей амбулаторного лікування.</w:t>
      </w:r>
    </w:p>
    <w:p w14:paraId="39007A61" w14:textId="77777777" w:rsidR="008748A5" w:rsidRPr="008748A5" w:rsidRDefault="008748A5" w:rsidP="008748A5">
      <w:pPr>
        <w:widowControl w:val="0"/>
        <w:spacing w:line="228" w:lineRule="auto"/>
        <w:rPr>
          <w:rFonts w:cs="Times New Roman"/>
          <w:szCs w:val="28"/>
        </w:rPr>
      </w:pPr>
      <w:r w:rsidRPr="008748A5">
        <w:rPr>
          <w:rFonts w:cs="Times New Roman"/>
          <w:szCs w:val="28"/>
        </w:rPr>
        <w:t xml:space="preserve">Надання послуг хворим на туберкульоз має базуватися на підході, орієнтованому на людину, як основоположному принципі якісної системи охорони здоров’я, що ґрунтується на наступних принципах: </w:t>
      </w:r>
    </w:p>
    <w:p w14:paraId="62639E5F"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 xml:space="preserve">повага до цінностей і переконань пацієнта (залучення пацієнтів до прийняття клінічних рішень, визнання їхнього права на власні переконання, потреби, </w:t>
      </w:r>
      <w:proofErr w:type="spellStart"/>
      <w:r w:rsidRPr="008748A5">
        <w:rPr>
          <w:rFonts w:cs="Times New Roman"/>
          <w:szCs w:val="28"/>
        </w:rPr>
        <w:t>приватність</w:t>
      </w:r>
      <w:proofErr w:type="spellEnd"/>
      <w:r w:rsidRPr="008748A5">
        <w:rPr>
          <w:rFonts w:cs="Times New Roman"/>
          <w:szCs w:val="28"/>
        </w:rPr>
        <w:t xml:space="preserve"> життя, гідність, відсутність дискримінації); </w:t>
      </w:r>
    </w:p>
    <w:p w14:paraId="22BF9920"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координація та інтеграція догляду (ефективне використання ресурсів через координацію допомоги та співробітництво з вузькими спеціалістами, захист інтересів  пацієнта);</w:t>
      </w:r>
    </w:p>
    <w:p w14:paraId="2B6228B5"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 xml:space="preserve">інформація, комунікація, навчання (інформація про клінічний стан, прогрес і прогноз; інформація про процеси лікування/допомоги; інформація, яка потрібна для збільшення самостійності пацієнта, </w:t>
      </w:r>
      <w:r w:rsidRPr="008748A5">
        <w:rPr>
          <w:rFonts w:cs="Times New Roman"/>
          <w:szCs w:val="28"/>
        </w:rPr>
        <w:lastRenderedPageBreak/>
        <w:t>самодопомоги та зміцнення здоров'я);</w:t>
      </w:r>
    </w:p>
    <w:p w14:paraId="6FC0778D"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фізичний комфорт, зменшення болю (рівень фізичного комфорту для пацієнтів має велике значення. Найважливішими для пацієнтів визначено три аспекти: управління болем; допомога в повсякденній діяльності та забезпеченні щоденних життєвих потреб; медичний заклад і його атмосфера);</w:t>
      </w:r>
    </w:p>
    <w:p w14:paraId="45B74738"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емоційна підтримка, зменшення страху (страх і тривожність, пов'язані з хворобою, можуть бути так само виснажливими, як і фізичні наслідки. Тому медичним працівникам слід звертати особливу увагу на тривогу пацієнта щодо власного фізичного стану, лікування та прогнозу, щодо впливу хвороби на родину, на занепокоєння пацієнта фінансовими наслідками хвороби. Потрібно намагатися підтримати пацієнта та зменшити рівень його тривоги);</w:t>
      </w:r>
    </w:p>
    <w:p w14:paraId="233417DF"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залучення сім'ї та друзів (лікар має враховувати потребу пацієнта залучити рідних до прийняття рішення стосовно лікування. Без залучення сім’ї неможливо також організувати надання якісної медичної допомоги пацієнтам із хронічними захворюваннями, які часто пов’язані із способом життя)</w:t>
      </w:r>
    </w:p>
    <w:p w14:paraId="20848867"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безперервність та наступність догляду (пацієнти непокоються, коли мають переходити між різними ланками або закладами надання медичної допомоги. Тому саме сімейний лікар може найкраще виконувати функцію кейс-менеджера пацієнта - зібрати і систематизувати всю релевантну медичну інформацію і передати колегам зрозумілу, повну інформацію щодо існуючих захворювань, ліків, алергій, фізичних обмежень, дієтичних потреб пацієнта тощо. Необхідно скоординувати поточне лікування та надання додаткових послуг пацієнтові після виписки. На постійній основі надавати пацієнту інформацію щодо доступу до клінічної, соціальної, фізичної та фінансової підтримки);</w:t>
      </w:r>
    </w:p>
    <w:p w14:paraId="17718859" w14:textId="77777777" w:rsidR="008748A5" w:rsidRPr="008748A5" w:rsidRDefault="008748A5" w:rsidP="008748A5">
      <w:pPr>
        <w:widowControl w:val="0"/>
        <w:spacing w:line="228" w:lineRule="auto"/>
        <w:rPr>
          <w:rFonts w:cs="Times New Roman"/>
          <w:szCs w:val="28"/>
        </w:rPr>
      </w:pPr>
      <w:r w:rsidRPr="008748A5">
        <w:rPr>
          <w:rFonts w:cs="Times New Roman"/>
          <w:szCs w:val="28"/>
        </w:rPr>
        <w:t>-</w:t>
      </w:r>
      <w:r w:rsidRPr="008748A5">
        <w:rPr>
          <w:rFonts w:cs="Times New Roman"/>
          <w:szCs w:val="28"/>
        </w:rPr>
        <w:tab/>
        <w:t xml:space="preserve">своєчасний та </w:t>
      </w:r>
      <w:proofErr w:type="spellStart"/>
      <w:r w:rsidRPr="008748A5">
        <w:rPr>
          <w:rFonts w:cs="Times New Roman"/>
          <w:szCs w:val="28"/>
        </w:rPr>
        <w:t>безбар’єрний</w:t>
      </w:r>
      <w:proofErr w:type="spellEnd"/>
      <w:r w:rsidRPr="008748A5">
        <w:rPr>
          <w:rFonts w:cs="Times New Roman"/>
          <w:szCs w:val="28"/>
        </w:rPr>
        <w:t xml:space="preserve"> доступ (пацієнтам важливо знати, що вони зможуть отримати доступ до допомоги, коли це необхідно. Тому варто подбати, аби забезпечити пацієнта інформацією стосовно безперешкодного доступу до місця розташування амбулаторій і лікарень, наявності міського транспорту, простоти планування візитів, запису на прийом, доступності направлень до спеціалістів або спеціалізованих служб.</w:t>
      </w:r>
    </w:p>
    <w:p w14:paraId="79888942" w14:textId="77777777" w:rsidR="008748A5" w:rsidRPr="008748A5" w:rsidRDefault="008748A5" w:rsidP="008748A5">
      <w:pPr>
        <w:widowControl w:val="0"/>
        <w:spacing w:line="228" w:lineRule="auto"/>
        <w:rPr>
          <w:rFonts w:cs="Times New Roman"/>
          <w:szCs w:val="28"/>
        </w:rPr>
      </w:pPr>
      <w:r w:rsidRPr="008748A5">
        <w:rPr>
          <w:rFonts w:cs="Times New Roman"/>
          <w:szCs w:val="28"/>
        </w:rPr>
        <w:t>Ключова філософія пацієнт орієнтованого підходу — «нічого про мене без мене».</w:t>
      </w:r>
    </w:p>
    <w:p w14:paraId="06069B65" w14:textId="77777777" w:rsidR="008748A5" w:rsidRPr="008748A5" w:rsidRDefault="008748A5" w:rsidP="008748A5">
      <w:pPr>
        <w:widowControl w:val="0"/>
        <w:spacing w:line="228" w:lineRule="auto"/>
        <w:rPr>
          <w:rFonts w:cs="Times New Roman"/>
          <w:szCs w:val="28"/>
        </w:rPr>
      </w:pPr>
      <w:r w:rsidRPr="008748A5">
        <w:rPr>
          <w:rFonts w:cs="Times New Roman"/>
          <w:szCs w:val="28"/>
        </w:rPr>
        <w:t>Лікувати не хворобу, а пацієнта - до цього спрямовує лікарів пацієнт-орієнтована модель у медицині.</w:t>
      </w:r>
    </w:p>
    <w:p w14:paraId="46843341" w14:textId="77777777" w:rsidR="008748A5" w:rsidRPr="008748A5" w:rsidRDefault="008748A5" w:rsidP="008748A5">
      <w:pPr>
        <w:widowControl w:val="0"/>
        <w:spacing w:line="228" w:lineRule="auto"/>
        <w:rPr>
          <w:rFonts w:cs="Times New Roman"/>
          <w:szCs w:val="28"/>
        </w:rPr>
      </w:pPr>
      <w:bookmarkStart w:id="98" w:name="_Hlk104499590"/>
      <w:r w:rsidRPr="008748A5">
        <w:rPr>
          <w:rFonts w:cs="Times New Roman"/>
          <w:szCs w:val="28"/>
        </w:rPr>
        <w:t>Оновлені Стандарти охорони здоров’я при ТБ, затверджені наказом МОЗ України від 06.10.2021 № 2161</w:t>
      </w:r>
      <w:bookmarkEnd w:id="98"/>
      <w:r w:rsidRPr="008748A5">
        <w:rPr>
          <w:rFonts w:cs="Times New Roman"/>
          <w:szCs w:val="28"/>
        </w:rPr>
        <w:t xml:space="preserve">, регламентують переважно децентралізовану модель лікування ТБ в амбулаторних умовах. </w:t>
      </w:r>
    </w:p>
    <w:p w14:paraId="58AF1BFA" w14:textId="77777777" w:rsidR="008748A5" w:rsidRPr="008748A5" w:rsidRDefault="008748A5" w:rsidP="008748A5">
      <w:pPr>
        <w:widowControl w:val="0"/>
        <w:spacing w:after="120"/>
        <w:rPr>
          <w:rFonts w:cs="Times New Roman"/>
          <w:szCs w:val="28"/>
        </w:rPr>
      </w:pPr>
      <w:r w:rsidRPr="008748A5">
        <w:rPr>
          <w:rFonts w:cs="Times New Roman"/>
          <w:szCs w:val="28"/>
        </w:rPr>
        <w:t xml:space="preserve">Постановою Кабінету Міністрів України від 29.12.2021 № 1440  «Деякі питання реалізації програми державних гарантій медичного обслуговування населення у 2022 році» впроваджено пакет  медичних послуг, що підлягають оплаті в рамках програми медичних гарантій, «Супровід та лікування дорослих та дітей, хворих на туберкульоз, на первинному рівні медичної допомоги». Сприяла розширенню амбулаторної допомоги пацієнтам з ТБ і ситуація з пандемією COVID-19, яка з одного боку погіршила ситуацію щодо </w:t>
      </w:r>
      <w:r w:rsidRPr="008748A5">
        <w:rPr>
          <w:rFonts w:cs="Times New Roman"/>
          <w:szCs w:val="28"/>
        </w:rPr>
        <w:lastRenderedPageBreak/>
        <w:t xml:space="preserve">організації протитуберкульозних заходів, а з іншого – зрушила з місця процеси, які максимально наближували медичну допомогу до пацієнта. Так, за даними паспортних анкет регіонів, у 2021 р. в середньому по Україні частка пацієнтів з МЛС-ТБ, які розпочали лікування амбулаторно з першого дня, становить 23,7% (для порівняння – у 2020 р. цей показник становив 16,7%; у 2019 р - 4,1%). Інформацію щодо організації амбулаторного лікування випадків ТБ та МЛС-ТБ у 2021 р. в розрізі регіонів наведено на рисунку 5.5. </w:t>
      </w:r>
    </w:p>
    <w:p w14:paraId="50D13E14" w14:textId="77777777" w:rsidR="008748A5" w:rsidRPr="008748A5" w:rsidRDefault="008748A5" w:rsidP="008748A5">
      <w:pPr>
        <w:widowControl w:val="0"/>
        <w:ind w:firstLine="0"/>
        <w:jc w:val="center"/>
        <w:rPr>
          <w:rFonts w:cs="Times New Roman"/>
          <w:szCs w:val="28"/>
        </w:rPr>
      </w:pPr>
      <w:r w:rsidRPr="008748A5">
        <w:rPr>
          <w:rFonts w:cs="Times New Roman"/>
          <w:noProof/>
          <w:szCs w:val="28"/>
        </w:rPr>
        <w:drawing>
          <wp:inline distT="0" distB="0" distL="0" distR="0" wp14:anchorId="7EDE1720" wp14:editId="292A349E">
            <wp:extent cx="5204460" cy="3352800"/>
            <wp:effectExtent l="0" t="0" r="15240" b="0"/>
            <wp:docPr id="13" name="Діаграма 45">
              <a:extLst xmlns:a="http://schemas.openxmlformats.org/drawingml/2006/main">
                <a:ext uri="{FF2B5EF4-FFF2-40B4-BE49-F238E27FC236}">
                  <a16:creationId xmlns:a16="http://schemas.microsoft.com/office/drawing/2014/main" id="{125B4E0C-D322-4C83-8D60-6F9BDB528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477390" w14:textId="6482024A" w:rsidR="008748A5" w:rsidRPr="008748A5" w:rsidRDefault="008748A5" w:rsidP="008748A5">
      <w:pPr>
        <w:widowControl w:val="0"/>
        <w:spacing w:before="120" w:after="120" w:line="228" w:lineRule="auto"/>
        <w:ind w:firstLine="0"/>
        <w:jc w:val="center"/>
        <w:rPr>
          <w:rFonts w:cs="Times New Roman"/>
          <w:b/>
          <w:szCs w:val="28"/>
        </w:rPr>
      </w:pPr>
      <w:r w:rsidRPr="008748A5">
        <w:rPr>
          <w:rFonts w:cs="Times New Roman"/>
          <w:b/>
          <w:szCs w:val="28"/>
        </w:rPr>
        <w:t>Рисунок </w:t>
      </w:r>
      <w:r w:rsidR="00340602">
        <w:rPr>
          <w:rFonts w:cs="Times New Roman"/>
          <w:b/>
          <w:szCs w:val="28"/>
        </w:rPr>
        <w:t>4.3</w:t>
      </w:r>
      <w:r w:rsidRPr="008748A5">
        <w:rPr>
          <w:rFonts w:cs="Times New Roman"/>
          <w:b/>
          <w:szCs w:val="28"/>
        </w:rPr>
        <w:t xml:space="preserve">. Впровадження пацієнт-орієнтованих моделей лікування </w:t>
      </w:r>
      <w:r w:rsidRPr="008748A5">
        <w:rPr>
          <w:rFonts w:cs="Times New Roman"/>
          <w:b/>
          <w:szCs w:val="28"/>
        </w:rPr>
        <w:br/>
        <w:t>в Україні (дані паспортних анкет регіонів за 2021 р.)</w:t>
      </w:r>
    </w:p>
    <w:p w14:paraId="7E291D2C" w14:textId="77777777" w:rsidR="008748A5" w:rsidRPr="008748A5" w:rsidRDefault="008748A5" w:rsidP="008748A5">
      <w:pPr>
        <w:widowControl w:val="0"/>
        <w:spacing w:after="120" w:line="228" w:lineRule="auto"/>
        <w:rPr>
          <w:rFonts w:cs="Times New Roman"/>
          <w:szCs w:val="28"/>
        </w:rPr>
      </w:pPr>
    </w:p>
    <w:p w14:paraId="0A51143A" w14:textId="77777777" w:rsidR="008748A5" w:rsidRPr="008748A5" w:rsidRDefault="008748A5" w:rsidP="008748A5">
      <w:pPr>
        <w:widowControl w:val="0"/>
        <w:spacing w:after="120" w:line="228" w:lineRule="auto"/>
        <w:rPr>
          <w:rFonts w:cs="Times New Roman"/>
          <w:szCs w:val="28"/>
        </w:rPr>
      </w:pPr>
      <w:r w:rsidRPr="008748A5">
        <w:rPr>
          <w:rFonts w:cs="Times New Roman"/>
          <w:szCs w:val="28"/>
        </w:rPr>
        <w:t xml:space="preserve">Частка пацієнтів, які отримували лікування під безпосереднім наглядом за допомогою </w:t>
      </w:r>
      <w:proofErr w:type="spellStart"/>
      <w:r w:rsidRPr="008748A5">
        <w:rPr>
          <w:rFonts w:cs="Times New Roman"/>
          <w:szCs w:val="28"/>
        </w:rPr>
        <w:t>відеозв’язку</w:t>
      </w:r>
      <w:proofErr w:type="spellEnd"/>
      <w:r w:rsidRPr="008748A5">
        <w:rPr>
          <w:rFonts w:cs="Times New Roman"/>
          <w:szCs w:val="28"/>
        </w:rPr>
        <w:t xml:space="preserve"> (VOT), у 2021 році збільшилась практично вдвічі та у середньому становить 42,1% проти 23,2% у 2020 році. </w:t>
      </w:r>
    </w:p>
    <w:p w14:paraId="6381B6A1" w14:textId="77777777" w:rsidR="008748A5" w:rsidRPr="008748A5" w:rsidRDefault="008748A5" w:rsidP="008748A5">
      <w:pPr>
        <w:widowControl w:val="0"/>
        <w:ind w:firstLine="0"/>
        <w:jc w:val="center"/>
        <w:rPr>
          <w:rFonts w:cs="Times New Roman"/>
          <w:szCs w:val="28"/>
        </w:rPr>
      </w:pPr>
      <w:r w:rsidRPr="008748A5">
        <w:rPr>
          <w:rFonts w:cs="Times New Roman"/>
          <w:noProof/>
          <w:szCs w:val="28"/>
        </w:rPr>
        <w:lastRenderedPageBreak/>
        <w:drawing>
          <wp:inline distT="0" distB="0" distL="0" distR="0" wp14:anchorId="53314CF7" wp14:editId="25628915">
            <wp:extent cx="5318760" cy="3177540"/>
            <wp:effectExtent l="0" t="0" r="15240" b="7620"/>
            <wp:docPr id="14" name="Діаграма 50">
              <a:extLst xmlns:a="http://schemas.openxmlformats.org/drawingml/2006/main">
                <a:ext uri="{FF2B5EF4-FFF2-40B4-BE49-F238E27FC236}">
                  <a16:creationId xmlns:a16="http://schemas.microsoft.com/office/drawing/2014/main" id="{125B4E0C-D322-4C83-8D60-6F9BDB528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2483C39" w14:textId="0E06A4A5" w:rsidR="008748A5" w:rsidRDefault="008748A5" w:rsidP="008748A5">
      <w:pPr>
        <w:widowControl w:val="0"/>
        <w:spacing w:before="120" w:after="120" w:line="228" w:lineRule="auto"/>
        <w:ind w:firstLine="0"/>
        <w:jc w:val="center"/>
        <w:rPr>
          <w:rFonts w:cs="Times New Roman"/>
          <w:b/>
          <w:szCs w:val="28"/>
        </w:rPr>
      </w:pPr>
      <w:r w:rsidRPr="008748A5">
        <w:rPr>
          <w:rFonts w:cs="Times New Roman"/>
          <w:b/>
          <w:szCs w:val="28"/>
        </w:rPr>
        <w:t>Рисунок </w:t>
      </w:r>
      <w:r w:rsidR="00340602">
        <w:rPr>
          <w:rFonts w:cs="Times New Roman"/>
          <w:b/>
          <w:szCs w:val="28"/>
        </w:rPr>
        <w:t>4.4</w:t>
      </w:r>
      <w:r w:rsidRPr="008748A5">
        <w:rPr>
          <w:rFonts w:cs="Times New Roman"/>
          <w:b/>
          <w:szCs w:val="28"/>
        </w:rPr>
        <w:t xml:space="preserve">. Впровадження VOT в Україні </w:t>
      </w:r>
      <w:r w:rsidRPr="008748A5">
        <w:rPr>
          <w:rFonts w:cs="Times New Roman"/>
          <w:b/>
          <w:szCs w:val="28"/>
        </w:rPr>
        <w:br/>
        <w:t>(дані паспортних анкет регіонів за 2021 р.)</w:t>
      </w:r>
    </w:p>
    <w:p w14:paraId="7474C3AF" w14:textId="77777777" w:rsidR="008748A5" w:rsidRPr="008748A5" w:rsidRDefault="008748A5" w:rsidP="008748A5">
      <w:pPr>
        <w:widowControl w:val="0"/>
        <w:spacing w:before="120" w:after="120" w:line="228" w:lineRule="auto"/>
        <w:ind w:firstLine="0"/>
        <w:jc w:val="center"/>
        <w:rPr>
          <w:rFonts w:cs="Times New Roman"/>
          <w:b/>
          <w:szCs w:val="28"/>
        </w:rPr>
      </w:pPr>
    </w:p>
    <w:p w14:paraId="489854CA" w14:textId="77777777" w:rsidR="0046665C" w:rsidRPr="0024080D" w:rsidRDefault="0046665C" w:rsidP="00966E0E">
      <w:pPr>
        <w:pStyle w:val="3"/>
        <w:spacing w:line="228" w:lineRule="auto"/>
        <w:rPr>
          <w:b w:val="0"/>
        </w:rPr>
      </w:pPr>
      <w:r w:rsidRPr="0024080D">
        <w:t xml:space="preserve">Медико-соціальний супровід пацієнтів з </w:t>
      </w:r>
      <w:bookmarkEnd w:id="89"/>
      <w:r w:rsidRPr="0024080D">
        <w:t>ТБ</w:t>
      </w:r>
      <w:bookmarkEnd w:id="90"/>
    </w:p>
    <w:p w14:paraId="4975C8EF"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Протягом 2021 року на всій підконтрольній території України реалізовувалися програмні активності з медико-психосоціального супроводу пацієнтів з туберкульозом з метою формування та збереження прихильності їх до лікування, забезпечення потреби в контрольованому лікуванні та зменшення випадків втрачених для подальшого спостереження. Всього за рік на супроводі у цивільному секторі перебували 10965 пацієнтів з чутливим туберкульозом та 7934 пацієнта з лікарсько-стійким туберкульозом.</w:t>
      </w:r>
    </w:p>
    <w:p w14:paraId="46AA635F"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Впровадження програмних </w:t>
      </w:r>
      <w:proofErr w:type="spellStart"/>
      <w:r w:rsidRPr="00840372">
        <w:rPr>
          <w:rFonts w:cs="Times New Roman"/>
          <w:szCs w:val="28"/>
        </w:rPr>
        <w:t>активностей</w:t>
      </w:r>
      <w:proofErr w:type="spellEnd"/>
      <w:r w:rsidRPr="00840372">
        <w:rPr>
          <w:rFonts w:cs="Times New Roman"/>
          <w:szCs w:val="28"/>
        </w:rPr>
        <w:t xml:space="preserve"> відбувалося в рамках реалізації проекту Глобального фонду для боротьби з туберкульозом та малярією «Прискорення прогресу у зменшенні тягаря туберкульозу та ВІЛ-інфекції в Україні» на 2021-2023рр., Міжнародної організації PATH, а також за фінансування місцевих бюджетів.</w:t>
      </w:r>
    </w:p>
    <w:p w14:paraId="11B31898"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Основними послугами, які надавалися пацієнтам під час супроводу у 2021 році були: оцінка потреб пацієнта та складання плану індивідуального супроводу, DОТ (доставка та контроль прийому протитуберкульозних препаратів) для 30% клієнтів з числа осіб, що перебувають на медико-психосоціальному супроводі, контроль проходження клієнтом проміжної та фінальної діагностики, видача мотивації за безперервний прийом протитуберкульозних препаратів у вигляді продуктових наборів або сертифікатів мереж супермаркетів, компенсація транспортних витрат, компенсація мобільного та інтернет </w:t>
      </w:r>
      <w:proofErr w:type="spellStart"/>
      <w:r w:rsidRPr="00840372">
        <w:rPr>
          <w:rFonts w:cs="Times New Roman"/>
          <w:szCs w:val="28"/>
        </w:rPr>
        <w:t>зв’язу</w:t>
      </w:r>
      <w:proofErr w:type="spellEnd"/>
      <w:r w:rsidRPr="00840372">
        <w:rPr>
          <w:rFonts w:cs="Times New Roman"/>
          <w:szCs w:val="28"/>
        </w:rPr>
        <w:t xml:space="preserve">, оцінка </w:t>
      </w:r>
      <w:proofErr w:type="spellStart"/>
      <w:r w:rsidRPr="00840372">
        <w:rPr>
          <w:rFonts w:cs="Times New Roman"/>
          <w:szCs w:val="28"/>
        </w:rPr>
        <w:t>психо</w:t>
      </w:r>
      <w:proofErr w:type="spellEnd"/>
      <w:r w:rsidRPr="00840372">
        <w:rPr>
          <w:rFonts w:cs="Times New Roman"/>
          <w:szCs w:val="28"/>
        </w:rPr>
        <w:t xml:space="preserve">-емоційного стану, компенсація </w:t>
      </w:r>
      <w:proofErr w:type="spellStart"/>
      <w:r w:rsidRPr="00840372">
        <w:rPr>
          <w:rFonts w:cs="Times New Roman"/>
          <w:szCs w:val="28"/>
        </w:rPr>
        <w:t>дороговартісних</w:t>
      </w:r>
      <w:proofErr w:type="spellEnd"/>
      <w:r w:rsidRPr="00840372">
        <w:rPr>
          <w:rFonts w:cs="Times New Roman"/>
          <w:szCs w:val="28"/>
        </w:rPr>
        <w:t xml:space="preserve"> обстежень, виробів медичного призначення, консультації психолога на всіх етапах лікування, консультації юриста на всіх етапах лікування, індивідуальні соціальні послуги за потребою клієнта </w:t>
      </w:r>
      <w:r w:rsidRPr="00840372">
        <w:rPr>
          <w:rFonts w:cs="Times New Roman"/>
          <w:szCs w:val="28"/>
        </w:rPr>
        <w:lastRenderedPageBreak/>
        <w:t>(пошук житла, відновлення документів, надання одягу, оформлення інвалідності тощо), розшук пацієнтів, які були втрачені для подальшого спостереження.</w:t>
      </w:r>
    </w:p>
    <w:p w14:paraId="1EC333F8"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Ефективність медико-психосоціального супроводу хворих на туберкульоз як технології впливу на рівень відривів від лікування доводять результати лікування пацієнтів з туберкульозом.</w:t>
      </w:r>
    </w:p>
    <w:p w14:paraId="41AD8623" w14:textId="7A584D34"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Так, загальна кількість випадків чутливого туберкульозу, когорти 2020 року склал</w:t>
      </w:r>
      <w:r>
        <w:rPr>
          <w:rFonts w:cs="Times New Roman"/>
          <w:szCs w:val="28"/>
        </w:rPr>
        <w:t>а</w:t>
      </w:r>
      <w:r w:rsidRPr="00840372">
        <w:rPr>
          <w:rFonts w:cs="Times New Roman"/>
          <w:szCs w:val="28"/>
        </w:rPr>
        <w:t xml:space="preserve"> 14247. Із них отримували послуги медико-психосоціального супроводу – 5116 (36,0%) пацієнтів, не отримували - 9131 (64,0%). Ефективне лікування чутливого туберкульозу в групі охопленій послугами медико-психосоціального супроводу склало 91,3%, що в 1,3 рази вище, ніж у групі порівняння - 68,1%. Відсоток втрачених для подальшого спостереження був у 3,7 разів вище там, де послуги не надавалися. Кількість померлих у 7,5 разів була вищою в групі хворих, які не були охоплені послугами медико-психосоціального супроводу. Випадки невдалого лікування в 2 рази частіше траплялися в групі </w:t>
      </w:r>
      <w:proofErr w:type="spellStart"/>
      <w:r w:rsidRPr="00840372">
        <w:rPr>
          <w:rFonts w:cs="Times New Roman"/>
          <w:szCs w:val="28"/>
        </w:rPr>
        <w:t>неохоплення</w:t>
      </w:r>
      <w:proofErr w:type="spellEnd"/>
      <w:r w:rsidRPr="00840372">
        <w:rPr>
          <w:rFonts w:cs="Times New Roman"/>
          <w:szCs w:val="28"/>
        </w:rPr>
        <w:t xml:space="preserve"> даними послугами. </w:t>
      </w:r>
    </w:p>
    <w:p w14:paraId="38FFCCC6"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Загальна кількість випадків лікарсько-стійкого туберкульозу, когорти 2018 року склала 7711. Із них отримували послуги медико-психосоціального супроводу – 4026 (52,2%) пацієнтів, не отримували - 3685 (47,8%). Ефективне лікування пацієнтів з лікарсько-стійким туберкульозом когорти 2018 р. в групі, що отримували послуги медико-психосоціального супроводу було 71,3 проти 25,6 групи, яка супровід не отримувала, тобто в 2,8 рази вище. Відсоток втрачених для подальшого спостереження був у 3,2 рази вище там, де послуги медико-психосоціального супроводу не надавалися. У 3,7 рази частіше помирали хворі не охоплені послугами медико-психосоціального супроводу. В 1,8 рази частіше траплялися випадки невдалого лікування серед контингенту, який не було охоплено послугами медико-психосоціального супроводу. </w:t>
      </w:r>
    </w:p>
    <w:p w14:paraId="485F9C86" w14:textId="479E9982"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Загальна кількість випадків лікарсько-стійкого туберкульозу, когорти 2019 року склала 7386. Із них отримували послуги медико-психосоціального супроводу– 4441 (60,1%) пацієнтів, не отримували - 2945 (39,9%). Ефективне лікування лікарсько-стійкого туберкульозу в групі з охопленням послугами медико-психосоціального супроводу склало 84,0%, що в 2,5 рази вище, ніж у групі порівняння - 33,4%. Втрачено з-під спостереження в 4,6 разів більше хворих, які не отримували послуги медико-психосоціального супроводу. </w:t>
      </w:r>
    </w:p>
    <w:p w14:paraId="17049D4B"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Медико-психосоціальний супровід хворих на туберкульоз є важливою складовою ведення пацієнтів з туберкульозом та потребує більш високої уваги та подальшого удосконалення задля підвищення результатів ефективності лікування хворих як на лікарсько-чутливого так і лікарсько-стійкого туберкульозу.</w:t>
      </w:r>
    </w:p>
    <w:p w14:paraId="27130D34"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Одним із важливих завдань щодо забезпечення медико-психосоціального супроводу пацієнтів з туберкульозом у 2022 році є реалізація першого етапу плану переходу від донорського до державного фінансування. З метою координації даної діяльності у 2021 році було розроблено Дорожню карту, яка включає в себе покроковий алгоритм </w:t>
      </w:r>
      <w:r w:rsidRPr="00840372">
        <w:rPr>
          <w:rFonts w:cs="Times New Roman"/>
          <w:szCs w:val="28"/>
        </w:rPr>
        <w:lastRenderedPageBreak/>
        <w:t>реалізації плану переходу з визначенням очікуваних результатів, строків виконання та відповідальних. Зокрема, здійснення координаційної діяльності партнерів щодо впровадження плану переходу на державне фінансування послуг медико-психосоціального супроводу з метою формування спільного бачення, розробка та затвердження нормативно-правової бази з впровадження даних послуг в рамках реалізації плану переходу на державне фінансування, впровадження медико-психосоціального супроводу в рамках реалізації плану переходу на державне фінансування.</w:t>
      </w:r>
    </w:p>
    <w:p w14:paraId="20EE5E42" w14:textId="77777777" w:rsidR="00840372" w:rsidRPr="00840372"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На основі розрахунків вартості медико-психосоціального супроводу, проведених в рамках гранту Глобального фонду в 2022 році, МОЗ України ініціював виділення 13 000 000 грн в рамках програми КПКВК 2301040 «Громадське здоров’я та заходи боротьби з епідеміями» для організації супроводу 939 пацієнтів з чутливим та 538 пацієнтів з </w:t>
      </w:r>
      <w:proofErr w:type="spellStart"/>
      <w:r w:rsidRPr="00840372">
        <w:rPr>
          <w:rFonts w:cs="Times New Roman"/>
          <w:szCs w:val="28"/>
        </w:rPr>
        <w:t>мультирезистентним</w:t>
      </w:r>
      <w:proofErr w:type="spellEnd"/>
      <w:r w:rsidRPr="00840372">
        <w:rPr>
          <w:rFonts w:cs="Times New Roman"/>
          <w:szCs w:val="28"/>
        </w:rPr>
        <w:t xml:space="preserve"> туберкульозом. Відповідно, виникла нагальна потреба у затвердженні ряду нормативно-правових актів.</w:t>
      </w:r>
    </w:p>
    <w:p w14:paraId="34204F6C" w14:textId="45A118EF" w:rsidR="0046665C" w:rsidRDefault="00840372" w:rsidP="00840372">
      <w:pPr>
        <w:widowControl w:val="0"/>
        <w:pBdr>
          <w:top w:val="nil"/>
          <w:left w:val="nil"/>
          <w:bottom w:val="nil"/>
          <w:right w:val="nil"/>
          <w:between w:val="nil"/>
        </w:pBdr>
        <w:rPr>
          <w:rFonts w:cs="Times New Roman"/>
          <w:szCs w:val="28"/>
        </w:rPr>
      </w:pPr>
      <w:r w:rsidRPr="00840372">
        <w:rPr>
          <w:rFonts w:cs="Times New Roman"/>
          <w:szCs w:val="28"/>
        </w:rPr>
        <w:t xml:space="preserve">Зокрема, у 2022 році заплановане внесення змін до «Порядку використання коштів, передбачених у державному бюджеті для виконання програми «Громадське здоров’я та заходи боротьби з епідеміями»» якими буде доповнено напрямки використання бюджетних коштів - закупівля послуг медико-психосоціального супроводу пацієнтів з чутливим та </w:t>
      </w:r>
      <w:proofErr w:type="spellStart"/>
      <w:r w:rsidRPr="00840372">
        <w:rPr>
          <w:rFonts w:cs="Times New Roman"/>
          <w:szCs w:val="28"/>
        </w:rPr>
        <w:t>мультирезистентним</w:t>
      </w:r>
      <w:proofErr w:type="spellEnd"/>
      <w:r w:rsidRPr="00840372">
        <w:rPr>
          <w:rFonts w:cs="Times New Roman"/>
          <w:szCs w:val="28"/>
        </w:rPr>
        <w:t xml:space="preserve"> туберкульозом, до яких належать послуги із формування та підтримки прихильності до лікування, утримання під медичним наглядом та мінімізації ризиків втрати для подальшого спостереження, розробка та затвердження Порядку надання послуг медико-психосоціального супроводу пацієнтів з чутливим та </w:t>
      </w:r>
      <w:proofErr w:type="spellStart"/>
      <w:r w:rsidRPr="00840372">
        <w:rPr>
          <w:rFonts w:cs="Times New Roman"/>
          <w:szCs w:val="28"/>
        </w:rPr>
        <w:t>мультирезистентним</w:t>
      </w:r>
      <w:proofErr w:type="spellEnd"/>
      <w:r w:rsidRPr="00840372">
        <w:rPr>
          <w:rFonts w:cs="Times New Roman"/>
          <w:szCs w:val="28"/>
        </w:rPr>
        <w:t xml:space="preserve"> туберкульозом, де буде </w:t>
      </w:r>
      <w:proofErr w:type="spellStart"/>
      <w:r w:rsidRPr="00840372">
        <w:rPr>
          <w:rFonts w:cs="Times New Roman"/>
          <w:szCs w:val="28"/>
        </w:rPr>
        <w:t>визначано</w:t>
      </w:r>
      <w:proofErr w:type="spellEnd"/>
      <w:r w:rsidRPr="00840372">
        <w:rPr>
          <w:rFonts w:cs="Times New Roman"/>
          <w:szCs w:val="28"/>
        </w:rPr>
        <w:t xml:space="preserve"> завдання, конкретизовано зміст та встановлено вимоги щодо організації та забезпечення послуг медико-психосоціального супроводу пацієнтів з чутливим та </w:t>
      </w:r>
      <w:proofErr w:type="spellStart"/>
      <w:r w:rsidRPr="00840372">
        <w:rPr>
          <w:rFonts w:cs="Times New Roman"/>
          <w:szCs w:val="28"/>
        </w:rPr>
        <w:t>мультирезистентним</w:t>
      </w:r>
      <w:proofErr w:type="spellEnd"/>
      <w:r w:rsidRPr="00840372">
        <w:rPr>
          <w:rFonts w:cs="Times New Roman"/>
          <w:szCs w:val="28"/>
        </w:rPr>
        <w:t xml:space="preserve"> туберкульозом, а також здійснено розрахунок граничних тарифів.</w:t>
      </w:r>
    </w:p>
    <w:p w14:paraId="504659AC" w14:textId="77777777" w:rsidR="00840372" w:rsidRPr="0024080D" w:rsidRDefault="00840372" w:rsidP="00840372">
      <w:pPr>
        <w:widowControl w:val="0"/>
        <w:pBdr>
          <w:top w:val="nil"/>
          <w:left w:val="nil"/>
          <w:bottom w:val="nil"/>
          <w:right w:val="nil"/>
          <w:between w:val="nil"/>
        </w:pBdr>
        <w:rPr>
          <w:rFonts w:cs="Times New Roman"/>
          <w:szCs w:val="28"/>
        </w:rPr>
      </w:pPr>
    </w:p>
    <w:p w14:paraId="5693B5A1" w14:textId="77777777" w:rsidR="0046665C" w:rsidRPr="0024080D" w:rsidRDefault="0046665C" w:rsidP="0046665C">
      <w:pPr>
        <w:pStyle w:val="2"/>
      </w:pPr>
      <w:bookmarkStart w:id="99" w:name="_Toc88088870"/>
      <w:bookmarkStart w:id="100" w:name="_Toc89149149"/>
      <w:r w:rsidRPr="0024080D">
        <w:t>Результати лікування хворих на ТБ</w:t>
      </w:r>
      <w:bookmarkEnd w:id="99"/>
      <w:bookmarkEnd w:id="100"/>
      <w:r w:rsidRPr="0024080D">
        <w:t xml:space="preserve"> </w:t>
      </w:r>
    </w:p>
    <w:p w14:paraId="7BABC1B1" w14:textId="185C1A8F"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У 202</w:t>
      </w:r>
      <w:r w:rsidR="00E14AF9">
        <w:rPr>
          <w:rFonts w:cs="Times New Roman"/>
          <w:szCs w:val="28"/>
        </w:rPr>
        <w:t>1</w:t>
      </w:r>
      <w:r w:rsidRPr="0024080D">
        <w:rPr>
          <w:rFonts w:cs="Times New Roman"/>
          <w:szCs w:val="28"/>
        </w:rPr>
        <w:t> р. кількість випадків</w:t>
      </w:r>
      <w:r w:rsidR="00D571D7">
        <w:rPr>
          <w:rFonts w:cs="Times New Roman"/>
          <w:szCs w:val="28"/>
        </w:rPr>
        <w:t xml:space="preserve">, які розпочали </w:t>
      </w:r>
      <w:r w:rsidRPr="0024080D">
        <w:rPr>
          <w:rFonts w:cs="Times New Roman"/>
          <w:szCs w:val="28"/>
        </w:rPr>
        <w:t xml:space="preserve">лікування </w:t>
      </w:r>
      <w:r w:rsidR="00D571D7">
        <w:rPr>
          <w:rFonts w:cs="Times New Roman"/>
          <w:szCs w:val="28"/>
        </w:rPr>
        <w:t>МЛС-</w:t>
      </w:r>
      <w:r w:rsidRPr="0024080D">
        <w:rPr>
          <w:rFonts w:cs="Times New Roman"/>
          <w:szCs w:val="28"/>
        </w:rPr>
        <w:t xml:space="preserve">ТБ препаратами другого ряду </w:t>
      </w:r>
      <w:r w:rsidR="00E14AF9">
        <w:rPr>
          <w:rFonts w:cs="Times New Roman"/>
          <w:szCs w:val="28"/>
        </w:rPr>
        <w:t xml:space="preserve">на рівні показника </w:t>
      </w:r>
      <w:r w:rsidRPr="0024080D">
        <w:rPr>
          <w:rFonts w:cs="Times New Roman"/>
          <w:szCs w:val="28"/>
        </w:rPr>
        <w:t>20</w:t>
      </w:r>
      <w:r w:rsidR="00E14AF9">
        <w:rPr>
          <w:rFonts w:cs="Times New Roman"/>
          <w:szCs w:val="28"/>
        </w:rPr>
        <w:t>20</w:t>
      </w:r>
      <w:r w:rsidRPr="0024080D">
        <w:rPr>
          <w:rFonts w:cs="Times New Roman"/>
          <w:szCs w:val="28"/>
        </w:rPr>
        <w:t xml:space="preserve"> р. </w:t>
      </w:r>
    </w:p>
    <w:p w14:paraId="0732AC33" w14:textId="263FE323"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У 202</w:t>
      </w:r>
      <w:r w:rsidR="00CD49CD">
        <w:rPr>
          <w:rFonts w:cs="Times New Roman"/>
          <w:szCs w:val="28"/>
        </w:rPr>
        <w:t>1</w:t>
      </w:r>
      <w:r w:rsidRPr="0024080D">
        <w:rPr>
          <w:rFonts w:cs="Times New Roman"/>
          <w:szCs w:val="28"/>
        </w:rPr>
        <w:t xml:space="preserve"> р. </w:t>
      </w:r>
      <w:r w:rsidR="00CD49CD">
        <w:rPr>
          <w:rFonts w:cs="Times New Roman"/>
          <w:szCs w:val="28"/>
        </w:rPr>
        <w:t>зменшилась частка</w:t>
      </w:r>
      <w:r w:rsidRPr="0024080D">
        <w:rPr>
          <w:rFonts w:cs="Times New Roman"/>
          <w:szCs w:val="28"/>
        </w:rPr>
        <w:t xml:space="preserve"> випадків лікування МЛС-ТБ препаратами другого ряду з числа підтверджених раніше </w:t>
      </w:r>
      <w:r w:rsidR="00CD49CD">
        <w:rPr>
          <w:rFonts w:cs="Times New Roman"/>
          <w:szCs w:val="28"/>
        </w:rPr>
        <w:t>та збільшилась частка випадків з числа вперше зареєстрованих</w:t>
      </w:r>
      <w:r w:rsidRPr="0024080D">
        <w:rPr>
          <w:rFonts w:cs="Times New Roman"/>
          <w:szCs w:val="28"/>
        </w:rPr>
        <w:t xml:space="preserve"> порівняно до показників 20</w:t>
      </w:r>
      <w:r w:rsidR="00CD49CD">
        <w:rPr>
          <w:rFonts w:cs="Times New Roman"/>
          <w:szCs w:val="28"/>
        </w:rPr>
        <w:t>20</w:t>
      </w:r>
      <w:r w:rsidRPr="0024080D">
        <w:rPr>
          <w:rFonts w:cs="Times New Roman"/>
          <w:szCs w:val="28"/>
        </w:rPr>
        <w:t xml:space="preserve"> р., що, ймовірно, обумовлено повномасштабним впровадженням нових АМБП з відповідним переглядом когорти паліативних пацієнтів щодо можливості призначення повторного курсу лікування. </w:t>
      </w:r>
    </w:p>
    <w:p w14:paraId="3E04CE9C" w14:textId="1BD8083D" w:rsidR="0046665C" w:rsidRPr="0024080D" w:rsidRDefault="00E14AF9" w:rsidP="0046665C">
      <w:pPr>
        <w:widowControl w:val="0"/>
        <w:pBdr>
          <w:top w:val="nil"/>
          <w:left w:val="nil"/>
          <w:bottom w:val="nil"/>
          <w:right w:val="nil"/>
          <w:between w:val="nil"/>
        </w:pBdr>
        <w:ind w:firstLine="0"/>
        <w:jc w:val="center"/>
        <w:rPr>
          <w:rFonts w:cs="Times New Roman"/>
          <w:szCs w:val="28"/>
        </w:rPr>
      </w:pPr>
      <w:r w:rsidRPr="00E14AF9">
        <w:rPr>
          <w:rFonts w:cs="Times New Roman"/>
          <w:noProof/>
          <w:szCs w:val="28"/>
        </w:rPr>
        <w:lastRenderedPageBreak/>
        <w:drawing>
          <wp:inline distT="0" distB="0" distL="0" distR="0" wp14:anchorId="49C0D836" wp14:editId="2F3362D8">
            <wp:extent cx="5940425" cy="2790825"/>
            <wp:effectExtent l="0" t="0" r="0" b="0"/>
            <wp:docPr id="92" name="Діаграма 92">
              <a:extLst xmlns:a="http://schemas.openxmlformats.org/drawingml/2006/main">
                <a:ext uri="{FF2B5EF4-FFF2-40B4-BE49-F238E27FC236}">
                  <a16:creationId xmlns:a16="http://schemas.microsoft.com/office/drawing/2014/main" id="{9BA1B70B-2A3C-41D3-842B-58BC734BA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9770558" w14:textId="1FEA8CFA" w:rsidR="0046665C" w:rsidRPr="0024080D" w:rsidRDefault="0046665C" w:rsidP="0046665C">
      <w:pPr>
        <w:widowControl w:val="0"/>
        <w:pBdr>
          <w:top w:val="nil"/>
          <w:left w:val="nil"/>
          <w:bottom w:val="nil"/>
          <w:right w:val="nil"/>
          <w:between w:val="nil"/>
        </w:pBdr>
        <w:spacing w:before="120" w:after="120"/>
        <w:ind w:firstLine="0"/>
        <w:jc w:val="center"/>
        <w:rPr>
          <w:rFonts w:cs="Times New Roman"/>
          <w:b/>
          <w:szCs w:val="28"/>
        </w:rPr>
      </w:pPr>
      <w:r w:rsidRPr="0024080D">
        <w:rPr>
          <w:rFonts w:cs="Times New Roman"/>
          <w:b/>
          <w:szCs w:val="28"/>
        </w:rPr>
        <w:t>Рисунок </w:t>
      </w:r>
      <w:r w:rsidR="00340602">
        <w:rPr>
          <w:rFonts w:cs="Times New Roman"/>
          <w:b/>
          <w:szCs w:val="28"/>
        </w:rPr>
        <w:t>4.5</w:t>
      </w:r>
      <w:r w:rsidRPr="0024080D">
        <w:rPr>
          <w:rFonts w:cs="Times New Roman"/>
          <w:b/>
          <w:szCs w:val="28"/>
        </w:rPr>
        <w:t>. Кількість випадків лікування МЛС-ТБ препаратами другого ряду у період з 201</w:t>
      </w:r>
      <w:r w:rsidR="00CD49CD">
        <w:rPr>
          <w:rFonts w:cs="Times New Roman"/>
          <w:b/>
          <w:szCs w:val="28"/>
        </w:rPr>
        <w:t>6</w:t>
      </w:r>
      <w:r w:rsidRPr="0024080D">
        <w:rPr>
          <w:rFonts w:cs="Times New Roman"/>
          <w:b/>
          <w:szCs w:val="28"/>
        </w:rPr>
        <w:t xml:space="preserve"> по 202</w:t>
      </w:r>
      <w:r w:rsidR="00CD49CD">
        <w:rPr>
          <w:rFonts w:cs="Times New Roman"/>
          <w:b/>
          <w:szCs w:val="28"/>
        </w:rPr>
        <w:t>1</w:t>
      </w:r>
      <w:r w:rsidRPr="0024080D">
        <w:rPr>
          <w:rFonts w:cs="Times New Roman"/>
          <w:b/>
          <w:szCs w:val="28"/>
        </w:rPr>
        <w:t> рр.</w:t>
      </w:r>
    </w:p>
    <w:p w14:paraId="4614F688" w14:textId="202E3566"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 xml:space="preserve">Було проаналізовано причини нерозпочатого лікування випадків ТБ препаратами другого ряду за останні п’ять років та відзначено, що поширеною причиною є </w:t>
      </w:r>
      <w:r w:rsidR="007212B2">
        <w:rPr>
          <w:rFonts w:cs="Times New Roman"/>
          <w:szCs w:val="28"/>
        </w:rPr>
        <w:t>смертність до початку</w:t>
      </w:r>
      <w:r w:rsidRPr="0024080D">
        <w:rPr>
          <w:rFonts w:cs="Times New Roman"/>
          <w:szCs w:val="28"/>
        </w:rPr>
        <w:t xml:space="preserve"> лікування (</w:t>
      </w:r>
      <w:r w:rsidR="007212B2">
        <w:rPr>
          <w:rFonts w:cs="Times New Roman"/>
          <w:szCs w:val="28"/>
        </w:rPr>
        <w:t>28,1</w:t>
      </w:r>
      <w:r w:rsidRPr="0024080D">
        <w:rPr>
          <w:rFonts w:cs="Times New Roman"/>
          <w:szCs w:val="28"/>
        </w:rPr>
        <w:t xml:space="preserve">%) та </w:t>
      </w:r>
      <w:r w:rsidR="007212B2">
        <w:rPr>
          <w:rFonts w:cs="Times New Roman"/>
          <w:szCs w:val="28"/>
        </w:rPr>
        <w:t>відмова від препаратів другого ряду</w:t>
      </w:r>
      <w:r w:rsidRPr="0024080D">
        <w:rPr>
          <w:rFonts w:cs="Times New Roman"/>
          <w:szCs w:val="28"/>
        </w:rPr>
        <w:t xml:space="preserve"> (</w:t>
      </w:r>
      <w:r w:rsidR="007212B2">
        <w:rPr>
          <w:rFonts w:cs="Times New Roman"/>
          <w:szCs w:val="28"/>
        </w:rPr>
        <w:t>19,5</w:t>
      </w:r>
      <w:r w:rsidRPr="0024080D">
        <w:rPr>
          <w:rFonts w:cs="Times New Roman"/>
          <w:szCs w:val="28"/>
        </w:rPr>
        <w:t>%)</w:t>
      </w:r>
      <w:r w:rsidR="007212B2">
        <w:rPr>
          <w:rFonts w:cs="Times New Roman"/>
          <w:szCs w:val="28"/>
        </w:rPr>
        <w:t xml:space="preserve">  та інші причини</w:t>
      </w:r>
      <w:r w:rsidRPr="0024080D">
        <w:rPr>
          <w:rFonts w:cs="Times New Roman"/>
          <w:szCs w:val="28"/>
        </w:rPr>
        <w:t xml:space="preserve">. </w:t>
      </w:r>
    </w:p>
    <w:p w14:paraId="2D429906" w14:textId="404C2ADE" w:rsidR="0046665C" w:rsidRPr="0024080D" w:rsidRDefault="007212B2" w:rsidP="00966E0E">
      <w:pPr>
        <w:widowControl w:val="0"/>
        <w:pBdr>
          <w:top w:val="nil"/>
          <w:left w:val="nil"/>
          <w:bottom w:val="nil"/>
          <w:right w:val="nil"/>
          <w:between w:val="nil"/>
        </w:pBdr>
        <w:spacing w:before="120" w:after="120" w:line="252" w:lineRule="auto"/>
        <w:ind w:firstLine="0"/>
        <w:jc w:val="center"/>
        <w:rPr>
          <w:rFonts w:cs="Times New Roman"/>
          <w:b/>
          <w:szCs w:val="28"/>
        </w:rPr>
      </w:pPr>
      <w:r w:rsidRPr="007212B2">
        <w:rPr>
          <w:rFonts w:cs="Times New Roman"/>
          <w:b/>
          <w:noProof/>
          <w:szCs w:val="28"/>
        </w:rPr>
        <w:drawing>
          <wp:inline distT="0" distB="0" distL="0" distR="0" wp14:anchorId="6A667352" wp14:editId="443030F2">
            <wp:extent cx="5940425" cy="3296285"/>
            <wp:effectExtent l="0" t="0" r="3175" b="0"/>
            <wp:docPr id="93" name="Діаграма 93">
              <a:extLst xmlns:a="http://schemas.openxmlformats.org/drawingml/2006/main">
                <a:ext uri="{FF2B5EF4-FFF2-40B4-BE49-F238E27FC236}">
                  <a16:creationId xmlns:a16="http://schemas.microsoft.com/office/drawing/2014/main" id="{6A0B8EC9-AC8F-41DA-B214-F5385870C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46665C" w:rsidRPr="0024080D">
        <w:rPr>
          <w:rFonts w:cs="Times New Roman"/>
          <w:b/>
          <w:szCs w:val="28"/>
        </w:rPr>
        <w:t>Рисунок </w:t>
      </w:r>
      <w:r w:rsidR="00B66A87">
        <w:rPr>
          <w:rFonts w:cs="Times New Roman"/>
          <w:b/>
          <w:szCs w:val="28"/>
        </w:rPr>
        <w:t>4.6</w:t>
      </w:r>
      <w:r w:rsidR="0046665C" w:rsidRPr="0024080D">
        <w:rPr>
          <w:rFonts w:cs="Times New Roman"/>
          <w:b/>
          <w:szCs w:val="28"/>
        </w:rPr>
        <w:t xml:space="preserve">. Причини, з яких не було розпочато лікування </w:t>
      </w:r>
      <w:r w:rsidR="0046665C" w:rsidRPr="0024080D">
        <w:rPr>
          <w:rFonts w:cs="Times New Roman"/>
          <w:b/>
          <w:szCs w:val="28"/>
        </w:rPr>
        <w:br/>
        <w:t>препаратами другого ряду у період з 201</w:t>
      </w:r>
      <w:r>
        <w:rPr>
          <w:rFonts w:cs="Times New Roman"/>
          <w:b/>
          <w:szCs w:val="28"/>
        </w:rPr>
        <w:t>6</w:t>
      </w:r>
      <w:r w:rsidR="0046665C" w:rsidRPr="0024080D">
        <w:rPr>
          <w:rFonts w:cs="Times New Roman"/>
          <w:b/>
          <w:szCs w:val="28"/>
        </w:rPr>
        <w:t xml:space="preserve"> по 202</w:t>
      </w:r>
      <w:r>
        <w:rPr>
          <w:rFonts w:cs="Times New Roman"/>
          <w:b/>
          <w:szCs w:val="28"/>
        </w:rPr>
        <w:t>1</w:t>
      </w:r>
      <w:r w:rsidR="0046665C" w:rsidRPr="0024080D">
        <w:rPr>
          <w:rFonts w:cs="Times New Roman"/>
          <w:b/>
          <w:szCs w:val="28"/>
        </w:rPr>
        <w:t> рр.</w:t>
      </w:r>
    </w:p>
    <w:p w14:paraId="6EF537F2" w14:textId="1D253B41" w:rsidR="0046665C" w:rsidRPr="0024080D" w:rsidRDefault="0046665C" w:rsidP="00966E0E">
      <w:pPr>
        <w:widowControl w:val="0"/>
        <w:pBdr>
          <w:top w:val="nil"/>
          <w:left w:val="nil"/>
          <w:bottom w:val="nil"/>
          <w:right w:val="nil"/>
          <w:between w:val="nil"/>
        </w:pBdr>
        <w:spacing w:line="252" w:lineRule="auto"/>
        <w:rPr>
          <w:rFonts w:cs="Times New Roman"/>
          <w:szCs w:val="28"/>
        </w:rPr>
      </w:pPr>
      <w:r w:rsidRPr="0024080D">
        <w:rPr>
          <w:rFonts w:cs="Times New Roman"/>
          <w:szCs w:val="28"/>
        </w:rPr>
        <w:t>Найвищі показники ефективності лікування серед всіх випадків ТБ, в яких розпочали лікування у 2019 р., зафіксовано у Львівській (</w:t>
      </w:r>
      <w:r w:rsidR="00ED38D4">
        <w:rPr>
          <w:rFonts w:cs="Times New Roman"/>
          <w:szCs w:val="28"/>
        </w:rPr>
        <w:t>81,7</w:t>
      </w:r>
      <w:r w:rsidRPr="0024080D">
        <w:rPr>
          <w:rFonts w:cs="Times New Roman"/>
          <w:szCs w:val="28"/>
        </w:rPr>
        <w:t>%), Сумській (82,</w:t>
      </w:r>
      <w:r w:rsidR="00ED38D4">
        <w:rPr>
          <w:rFonts w:cs="Times New Roman"/>
          <w:szCs w:val="28"/>
        </w:rPr>
        <w:t>4</w:t>
      </w:r>
      <w:r w:rsidRPr="0024080D">
        <w:rPr>
          <w:rFonts w:cs="Times New Roman"/>
          <w:szCs w:val="28"/>
        </w:rPr>
        <w:t>%)</w:t>
      </w:r>
      <w:r w:rsidR="00ED38D4">
        <w:rPr>
          <w:rFonts w:cs="Times New Roman"/>
          <w:szCs w:val="28"/>
        </w:rPr>
        <w:t>, Запорізькій та Тернопільській</w:t>
      </w:r>
      <w:r w:rsidRPr="0024080D">
        <w:rPr>
          <w:rFonts w:cs="Times New Roman"/>
          <w:szCs w:val="28"/>
        </w:rPr>
        <w:t xml:space="preserve"> областях</w:t>
      </w:r>
      <w:r w:rsidR="00ED38D4">
        <w:rPr>
          <w:rFonts w:cs="Times New Roman"/>
          <w:szCs w:val="28"/>
        </w:rPr>
        <w:t xml:space="preserve"> (81,1%)</w:t>
      </w:r>
      <w:r w:rsidRPr="0024080D">
        <w:rPr>
          <w:rFonts w:cs="Times New Roman"/>
          <w:szCs w:val="28"/>
        </w:rPr>
        <w:t xml:space="preserve">. </w:t>
      </w:r>
    </w:p>
    <w:p w14:paraId="719F235E" w14:textId="77777777" w:rsidR="00ED38D4" w:rsidRDefault="0046665C" w:rsidP="00966E0E">
      <w:pPr>
        <w:widowControl w:val="0"/>
        <w:pBdr>
          <w:top w:val="nil"/>
          <w:left w:val="nil"/>
          <w:bottom w:val="nil"/>
          <w:right w:val="nil"/>
          <w:between w:val="nil"/>
        </w:pBdr>
        <w:spacing w:line="252" w:lineRule="auto"/>
        <w:rPr>
          <w:rFonts w:cs="Times New Roman"/>
          <w:szCs w:val="28"/>
        </w:rPr>
      </w:pPr>
      <w:r w:rsidRPr="0024080D">
        <w:rPr>
          <w:rFonts w:cs="Times New Roman"/>
          <w:szCs w:val="28"/>
        </w:rPr>
        <w:t>Погіршення показників ефективності лікування серед всіх випадків ТБ порівняно до результатів когорти 201</w:t>
      </w:r>
      <w:r w:rsidR="00ED38D4">
        <w:rPr>
          <w:rFonts w:cs="Times New Roman"/>
          <w:szCs w:val="28"/>
        </w:rPr>
        <w:t>9</w:t>
      </w:r>
      <w:r w:rsidRPr="0024080D">
        <w:rPr>
          <w:rFonts w:cs="Times New Roman"/>
          <w:szCs w:val="28"/>
        </w:rPr>
        <w:t xml:space="preserve"> р. зафіксовано у </w:t>
      </w:r>
      <w:r w:rsidR="00ED38D4">
        <w:rPr>
          <w:rFonts w:cs="Times New Roman"/>
          <w:szCs w:val="28"/>
        </w:rPr>
        <w:t>13 регіонах.</w:t>
      </w:r>
    </w:p>
    <w:p w14:paraId="793B8138" w14:textId="2FFE9EEC" w:rsidR="0046665C" w:rsidRPr="0024080D" w:rsidRDefault="0046665C" w:rsidP="00966E0E">
      <w:pPr>
        <w:widowControl w:val="0"/>
        <w:pBdr>
          <w:top w:val="nil"/>
          <w:left w:val="nil"/>
          <w:bottom w:val="nil"/>
          <w:right w:val="nil"/>
          <w:between w:val="nil"/>
        </w:pBdr>
        <w:spacing w:line="252" w:lineRule="auto"/>
        <w:rPr>
          <w:rFonts w:cs="Times New Roman"/>
          <w:szCs w:val="28"/>
        </w:rPr>
      </w:pPr>
      <w:r w:rsidRPr="0024080D">
        <w:rPr>
          <w:rFonts w:cs="Times New Roman"/>
          <w:szCs w:val="28"/>
        </w:rPr>
        <w:lastRenderedPageBreak/>
        <w:t>Серед всіх випадків ТБ, в яких розпочали лікування у 20</w:t>
      </w:r>
      <w:r w:rsidR="00916494">
        <w:rPr>
          <w:rFonts w:cs="Times New Roman"/>
          <w:szCs w:val="28"/>
        </w:rPr>
        <w:t>20</w:t>
      </w:r>
      <w:r w:rsidRPr="0024080D">
        <w:rPr>
          <w:rFonts w:cs="Times New Roman"/>
          <w:szCs w:val="28"/>
        </w:rPr>
        <w:t xml:space="preserve"> р., найнижчих показників невдачі лікування на рівні рекомендованих ВООЗ </w:t>
      </w:r>
      <w:r w:rsidRPr="0024080D">
        <w:rPr>
          <w:rFonts w:cs="Times New Roman"/>
          <w:szCs w:val="28"/>
        </w:rPr>
        <w:br/>
        <w:t xml:space="preserve">у 3–5% досягнуто у </w:t>
      </w:r>
      <w:r w:rsidR="00916494">
        <w:rPr>
          <w:rFonts w:cs="Times New Roman"/>
          <w:szCs w:val="28"/>
        </w:rPr>
        <w:t>Львівській</w:t>
      </w:r>
      <w:r w:rsidRPr="0024080D">
        <w:rPr>
          <w:rFonts w:cs="Times New Roman"/>
          <w:szCs w:val="28"/>
        </w:rPr>
        <w:t xml:space="preserve"> (</w:t>
      </w:r>
      <w:r w:rsidR="00916494">
        <w:rPr>
          <w:rFonts w:cs="Times New Roman"/>
          <w:szCs w:val="28"/>
        </w:rPr>
        <w:t>2,5</w:t>
      </w:r>
      <w:r w:rsidRPr="0024080D">
        <w:rPr>
          <w:rFonts w:cs="Times New Roman"/>
          <w:szCs w:val="28"/>
        </w:rPr>
        <w:t xml:space="preserve">%), </w:t>
      </w:r>
      <w:r w:rsidR="00916494">
        <w:rPr>
          <w:rFonts w:cs="Times New Roman"/>
          <w:szCs w:val="28"/>
        </w:rPr>
        <w:t>Кіровоградській</w:t>
      </w:r>
      <w:r w:rsidRPr="0024080D">
        <w:rPr>
          <w:rFonts w:cs="Times New Roman"/>
          <w:szCs w:val="28"/>
        </w:rPr>
        <w:t xml:space="preserve"> (</w:t>
      </w:r>
      <w:r w:rsidR="00916494">
        <w:rPr>
          <w:rFonts w:cs="Times New Roman"/>
          <w:szCs w:val="28"/>
        </w:rPr>
        <w:t>4,2</w:t>
      </w:r>
      <w:r w:rsidRPr="0024080D">
        <w:rPr>
          <w:rFonts w:cs="Times New Roman"/>
          <w:szCs w:val="28"/>
        </w:rPr>
        <w:t xml:space="preserve">%), Сумській </w:t>
      </w:r>
      <w:r w:rsidR="00916494">
        <w:rPr>
          <w:rFonts w:cs="Times New Roman"/>
          <w:szCs w:val="28"/>
        </w:rPr>
        <w:t xml:space="preserve">і Запорізькій </w:t>
      </w:r>
      <w:r w:rsidRPr="0024080D">
        <w:rPr>
          <w:rFonts w:cs="Times New Roman"/>
          <w:szCs w:val="28"/>
        </w:rPr>
        <w:t>(</w:t>
      </w:r>
      <w:r w:rsidR="00916494">
        <w:rPr>
          <w:rFonts w:cs="Times New Roman"/>
          <w:szCs w:val="28"/>
        </w:rPr>
        <w:t xml:space="preserve">по </w:t>
      </w:r>
      <w:r w:rsidRPr="0024080D">
        <w:rPr>
          <w:rFonts w:cs="Times New Roman"/>
          <w:szCs w:val="28"/>
        </w:rPr>
        <w:t>4,</w:t>
      </w:r>
      <w:r w:rsidR="00916494">
        <w:rPr>
          <w:rFonts w:cs="Times New Roman"/>
          <w:szCs w:val="28"/>
        </w:rPr>
        <w:t>4</w:t>
      </w:r>
      <w:r w:rsidRPr="0024080D">
        <w:rPr>
          <w:rFonts w:cs="Times New Roman"/>
          <w:szCs w:val="28"/>
        </w:rPr>
        <w:t>%)</w:t>
      </w:r>
      <w:r w:rsidR="00916494">
        <w:rPr>
          <w:rFonts w:cs="Times New Roman"/>
          <w:szCs w:val="28"/>
        </w:rPr>
        <w:t>, Миколаївській (4,5%) та Тернопільській (4,6%)</w:t>
      </w:r>
      <w:r w:rsidRPr="0024080D">
        <w:rPr>
          <w:rFonts w:cs="Times New Roman"/>
          <w:szCs w:val="28"/>
        </w:rPr>
        <w:t xml:space="preserve"> областях, тоді як у Хмельницькій, </w:t>
      </w:r>
      <w:r w:rsidR="00455CC2">
        <w:rPr>
          <w:rFonts w:cs="Times New Roman"/>
          <w:szCs w:val="28"/>
        </w:rPr>
        <w:t>Івано-Франківській</w:t>
      </w:r>
      <w:r w:rsidRPr="0024080D">
        <w:rPr>
          <w:rFonts w:cs="Times New Roman"/>
          <w:szCs w:val="28"/>
        </w:rPr>
        <w:t xml:space="preserve"> та </w:t>
      </w:r>
      <w:r w:rsidR="00455CC2">
        <w:rPr>
          <w:rFonts w:cs="Times New Roman"/>
          <w:szCs w:val="28"/>
        </w:rPr>
        <w:t>Чернівецькій</w:t>
      </w:r>
      <w:r w:rsidRPr="0024080D">
        <w:rPr>
          <w:rFonts w:cs="Times New Roman"/>
          <w:szCs w:val="28"/>
        </w:rPr>
        <w:t xml:space="preserve"> областях показник невдачі лікування фактично вдвічі перевищує рекомендований ВООЗ та становить </w:t>
      </w:r>
      <w:r w:rsidR="00455CC2">
        <w:rPr>
          <w:rFonts w:cs="Times New Roman"/>
          <w:szCs w:val="28"/>
        </w:rPr>
        <w:t>13,4</w:t>
      </w:r>
      <w:r w:rsidRPr="0024080D">
        <w:rPr>
          <w:rFonts w:cs="Times New Roman"/>
          <w:szCs w:val="28"/>
        </w:rPr>
        <w:t xml:space="preserve">, </w:t>
      </w:r>
      <w:r w:rsidR="00455CC2">
        <w:rPr>
          <w:rFonts w:cs="Times New Roman"/>
          <w:szCs w:val="28"/>
        </w:rPr>
        <w:t>13,1</w:t>
      </w:r>
      <w:r w:rsidRPr="0024080D">
        <w:rPr>
          <w:rFonts w:cs="Times New Roman"/>
          <w:szCs w:val="28"/>
        </w:rPr>
        <w:t xml:space="preserve"> та 1</w:t>
      </w:r>
      <w:r w:rsidR="00455CC2">
        <w:rPr>
          <w:rFonts w:cs="Times New Roman"/>
          <w:szCs w:val="28"/>
        </w:rPr>
        <w:t>1</w:t>
      </w:r>
      <w:r w:rsidRPr="0024080D">
        <w:rPr>
          <w:rFonts w:cs="Times New Roman"/>
          <w:szCs w:val="28"/>
        </w:rPr>
        <w:t>,</w:t>
      </w:r>
      <w:r w:rsidR="00455CC2">
        <w:rPr>
          <w:rFonts w:cs="Times New Roman"/>
          <w:szCs w:val="28"/>
        </w:rPr>
        <w:t>2</w:t>
      </w:r>
      <w:r w:rsidRPr="0024080D">
        <w:rPr>
          <w:rFonts w:cs="Times New Roman"/>
          <w:szCs w:val="28"/>
        </w:rPr>
        <w:t xml:space="preserve">% відповідно. </w:t>
      </w:r>
    </w:p>
    <w:p w14:paraId="7AD93E05" w14:textId="55055626" w:rsidR="0046665C" w:rsidRPr="0024080D" w:rsidRDefault="0046665C" w:rsidP="00966E0E">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Значення показника смертності серед всіх випадків ТБ на рівні менше 5% </w:t>
      </w:r>
      <w:r w:rsidR="00455CC2">
        <w:rPr>
          <w:rFonts w:cs="Times New Roman"/>
          <w:szCs w:val="28"/>
        </w:rPr>
        <w:t xml:space="preserve">не </w:t>
      </w:r>
      <w:r w:rsidRPr="0024080D">
        <w:rPr>
          <w:rFonts w:cs="Times New Roman"/>
          <w:szCs w:val="28"/>
        </w:rPr>
        <w:t>досягнуто, тоді як найвищі показники зафіксовано у Кіровоградській (</w:t>
      </w:r>
      <w:r w:rsidR="00455CC2">
        <w:rPr>
          <w:rFonts w:cs="Times New Roman"/>
          <w:szCs w:val="28"/>
        </w:rPr>
        <w:t>14,4</w:t>
      </w:r>
      <w:r w:rsidRPr="0024080D">
        <w:rPr>
          <w:rFonts w:cs="Times New Roman"/>
          <w:szCs w:val="28"/>
        </w:rPr>
        <w:t xml:space="preserve">%), </w:t>
      </w:r>
      <w:r w:rsidR="00DF6CD5">
        <w:rPr>
          <w:rFonts w:cs="Times New Roman"/>
          <w:szCs w:val="28"/>
        </w:rPr>
        <w:t>Херсонській</w:t>
      </w:r>
      <w:r w:rsidRPr="0024080D">
        <w:rPr>
          <w:rFonts w:cs="Times New Roman"/>
          <w:szCs w:val="28"/>
        </w:rPr>
        <w:t xml:space="preserve"> (</w:t>
      </w:r>
      <w:r w:rsidR="00DF6CD5">
        <w:rPr>
          <w:rFonts w:cs="Times New Roman"/>
          <w:szCs w:val="28"/>
        </w:rPr>
        <w:t>13,9</w:t>
      </w:r>
      <w:r w:rsidRPr="0024080D">
        <w:rPr>
          <w:rFonts w:cs="Times New Roman"/>
          <w:szCs w:val="28"/>
        </w:rPr>
        <w:t xml:space="preserve">%), </w:t>
      </w:r>
      <w:r w:rsidR="00DF6CD5">
        <w:rPr>
          <w:rFonts w:cs="Times New Roman"/>
          <w:szCs w:val="28"/>
        </w:rPr>
        <w:t>Львівській</w:t>
      </w:r>
      <w:r w:rsidRPr="0024080D">
        <w:rPr>
          <w:rFonts w:cs="Times New Roman"/>
          <w:szCs w:val="28"/>
        </w:rPr>
        <w:t xml:space="preserve"> (</w:t>
      </w:r>
      <w:r w:rsidR="00DF6CD5">
        <w:rPr>
          <w:rFonts w:cs="Times New Roman"/>
          <w:szCs w:val="28"/>
        </w:rPr>
        <w:t>13,7</w:t>
      </w:r>
      <w:r w:rsidRPr="0024080D">
        <w:rPr>
          <w:rFonts w:cs="Times New Roman"/>
          <w:szCs w:val="28"/>
        </w:rPr>
        <w:t xml:space="preserve">%) </w:t>
      </w:r>
      <w:r w:rsidR="00DF6CD5">
        <w:rPr>
          <w:rFonts w:cs="Times New Roman"/>
          <w:szCs w:val="28"/>
        </w:rPr>
        <w:t xml:space="preserve">та Луганській (13,6) </w:t>
      </w:r>
      <w:r w:rsidRPr="0024080D">
        <w:rPr>
          <w:rFonts w:cs="Times New Roman"/>
          <w:szCs w:val="28"/>
        </w:rPr>
        <w:t xml:space="preserve">областях. </w:t>
      </w:r>
    </w:p>
    <w:p w14:paraId="7B2D4F9B" w14:textId="351C717F" w:rsidR="0046665C" w:rsidRPr="0024080D" w:rsidRDefault="0046665C" w:rsidP="00966E0E">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Додатковим критерієм якості ведення випадків ТБ є показник </w:t>
      </w:r>
      <w:r w:rsidR="00751951">
        <w:rPr>
          <w:rFonts w:cs="Times New Roman"/>
          <w:szCs w:val="28"/>
        </w:rPr>
        <w:t>втрачених для подальшого спостереження (ВПС)</w:t>
      </w:r>
      <w:r w:rsidRPr="0024080D">
        <w:rPr>
          <w:rFonts w:cs="Times New Roman"/>
          <w:szCs w:val="28"/>
        </w:rPr>
        <w:t>. Основною метою є досягнення показника перерваного лікування на рівні 3%. У когорті 20</w:t>
      </w:r>
      <w:r w:rsidR="005C0476">
        <w:rPr>
          <w:rFonts w:cs="Times New Roman"/>
          <w:szCs w:val="28"/>
        </w:rPr>
        <w:t>20</w:t>
      </w:r>
      <w:r w:rsidRPr="0024080D">
        <w:rPr>
          <w:rFonts w:cs="Times New Roman"/>
          <w:szCs w:val="28"/>
        </w:rPr>
        <w:t xml:space="preserve"> р. серед всіх випадків ТБ досягнуто цільового значення зазначеного показника у </w:t>
      </w:r>
      <w:r w:rsidR="005C0476">
        <w:rPr>
          <w:rFonts w:cs="Times New Roman"/>
          <w:szCs w:val="28"/>
        </w:rPr>
        <w:t xml:space="preserve">Сумській (1,8%), </w:t>
      </w:r>
      <w:r w:rsidRPr="0024080D">
        <w:rPr>
          <w:rFonts w:cs="Times New Roman"/>
          <w:szCs w:val="28"/>
        </w:rPr>
        <w:t>Львівській (2,</w:t>
      </w:r>
      <w:r w:rsidR="005C0476">
        <w:rPr>
          <w:rFonts w:cs="Times New Roman"/>
          <w:szCs w:val="28"/>
        </w:rPr>
        <w:t>2</w:t>
      </w:r>
      <w:r w:rsidRPr="0024080D">
        <w:rPr>
          <w:rFonts w:cs="Times New Roman"/>
          <w:szCs w:val="28"/>
        </w:rPr>
        <w:t>%) та Рівненській (</w:t>
      </w:r>
      <w:r w:rsidR="005C0476">
        <w:rPr>
          <w:rFonts w:cs="Times New Roman"/>
          <w:szCs w:val="28"/>
        </w:rPr>
        <w:t>3,0</w:t>
      </w:r>
      <w:r w:rsidRPr="0024080D">
        <w:rPr>
          <w:rFonts w:cs="Times New Roman"/>
          <w:szCs w:val="28"/>
        </w:rPr>
        <w:t>%) областях. Зберігаються критично високими показники ВПС у Луганській (</w:t>
      </w:r>
      <w:r w:rsidR="003C5C26">
        <w:rPr>
          <w:rFonts w:cs="Times New Roman"/>
          <w:szCs w:val="28"/>
        </w:rPr>
        <w:t>9,6</w:t>
      </w:r>
      <w:r w:rsidRPr="0024080D">
        <w:rPr>
          <w:rFonts w:cs="Times New Roman"/>
          <w:szCs w:val="28"/>
        </w:rPr>
        <w:t xml:space="preserve">%), </w:t>
      </w:r>
      <w:r w:rsidR="003C5C26">
        <w:rPr>
          <w:rFonts w:cs="Times New Roman"/>
          <w:szCs w:val="28"/>
        </w:rPr>
        <w:t>Одеській (13,5</w:t>
      </w:r>
      <w:r w:rsidRPr="0024080D">
        <w:rPr>
          <w:rFonts w:cs="Times New Roman"/>
          <w:szCs w:val="28"/>
        </w:rPr>
        <w:t>%) та Закарпатській (</w:t>
      </w:r>
      <w:r w:rsidR="003C5C26">
        <w:rPr>
          <w:rFonts w:cs="Times New Roman"/>
          <w:szCs w:val="28"/>
        </w:rPr>
        <w:t>12,7</w:t>
      </w:r>
      <w:r w:rsidRPr="0024080D">
        <w:rPr>
          <w:rFonts w:cs="Times New Roman"/>
          <w:szCs w:val="28"/>
        </w:rPr>
        <w:t>%) областях.</w:t>
      </w:r>
    </w:p>
    <w:p w14:paraId="62717B00" w14:textId="5195378A" w:rsidR="00923862" w:rsidRPr="0024080D" w:rsidRDefault="00EF4FFC" w:rsidP="00CF2A35">
      <w:pPr>
        <w:widowControl w:val="0"/>
        <w:pBdr>
          <w:between w:val="nil"/>
        </w:pBdr>
        <w:ind w:firstLine="0"/>
        <w:jc w:val="center"/>
        <w:rPr>
          <w:rFonts w:cs="Times New Roman"/>
          <w:noProof/>
          <w:szCs w:val="28"/>
        </w:rPr>
      </w:pPr>
      <w:r w:rsidRPr="00EF4FFC">
        <w:rPr>
          <w:rFonts w:cs="Times New Roman"/>
          <w:noProof/>
          <w:szCs w:val="28"/>
        </w:rPr>
        <w:drawing>
          <wp:inline distT="0" distB="0" distL="0" distR="0" wp14:anchorId="64809448" wp14:editId="2C017DB6">
            <wp:extent cx="5940425" cy="3790950"/>
            <wp:effectExtent l="0" t="0" r="3175" b="0"/>
            <wp:docPr id="95" name="Діаграма 95">
              <a:extLst xmlns:a="http://schemas.openxmlformats.org/drawingml/2006/main">
                <a:ext uri="{FF2B5EF4-FFF2-40B4-BE49-F238E27FC236}">
                  <a16:creationId xmlns:a16="http://schemas.microsoft.com/office/drawing/2014/main" id="{04A537C4-13FB-4C50-BA76-FD22324DF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30509BF" w14:textId="28F22C20" w:rsidR="0046665C" w:rsidRPr="0024080D" w:rsidRDefault="0046665C" w:rsidP="00923862">
      <w:pPr>
        <w:widowControl w:val="0"/>
        <w:pBdr>
          <w:between w:val="nil"/>
        </w:pBdr>
        <w:spacing w:before="120" w:after="120"/>
        <w:ind w:firstLine="0"/>
        <w:jc w:val="center"/>
        <w:rPr>
          <w:rFonts w:cs="Times New Roman"/>
          <w:b/>
          <w:szCs w:val="28"/>
        </w:rPr>
      </w:pPr>
      <w:r w:rsidRPr="0024080D">
        <w:rPr>
          <w:rFonts w:cs="Times New Roman"/>
          <w:b/>
          <w:szCs w:val="28"/>
        </w:rPr>
        <w:t>Рисунок </w:t>
      </w:r>
      <w:r w:rsidR="00B66A87">
        <w:rPr>
          <w:rFonts w:cs="Times New Roman"/>
          <w:b/>
          <w:szCs w:val="28"/>
        </w:rPr>
        <w:t>4.7</w:t>
      </w:r>
      <w:r w:rsidRPr="0024080D">
        <w:rPr>
          <w:rFonts w:cs="Times New Roman"/>
          <w:b/>
          <w:szCs w:val="28"/>
        </w:rPr>
        <w:t xml:space="preserve">. Результати лікування випадків ТБ, </w:t>
      </w:r>
      <w:r w:rsidR="00A44384" w:rsidRPr="0024080D">
        <w:rPr>
          <w:rFonts w:cs="Times New Roman"/>
          <w:b/>
          <w:szCs w:val="28"/>
        </w:rPr>
        <w:br/>
      </w:r>
      <w:r w:rsidRPr="0024080D">
        <w:rPr>
          <w:rFonts w:cs="Times New Roman"/>
          <w:b/>
          <w:szCs w:val="28"/>
        </w:rPr>
        <w:t>які були зареєстровані у 20</w:t>
      </w:r>
      <w:r w:rsidR="00EF4FFC">
        <w:rPr>
          <w:rFonts w:cs="Times New Roman"/>
          <w:b/>
          <w:szCs w:val="28"/>
        </w:rPr>
        <w:t>20</w:t>
      </w:r>
      <w:r w:rsidRPr="0024080D">
        <w:rPr>
          <w:rFonts w:cs="Times New Roman"/>
          <w:b/>
          <w:szCs w:val="28"/>
        </w:rPr>
        <w:t xml:space="preserve"> р. за регіонами </w:t>
      </w:r>
      <w:r w:rsidR="00A44384" w:rsidRPr="0024080D">
        <w:rPr>
          <w:rFonts w:cs="Times New Roman"/>
          <w:b/>
          <w:szCs w:val="28"/>
        </w:rPr>
        <w:br/>
      </w:r>
      <w:r w:rsidRPr="0024080D">
        <w:rPr>
          <w:rFonts w:cs="Times New Roman"/>
          <w:b/>
          <w:szCs w:val="28"/>
        </w:rPr>
        <w:t xml:space="preserve">(дані взяті з </w:t>
      </w:r>
      <w:r w:rsidR="00A44384" w:rsidRPr="0024080D">
        <w:rPr>
          <w:rFonts w:cs="Times New Roman"/>
          <w:b/>
          <w:szCs w:val="28"/>
        </w:rPr>
        <w:t>Реєстру хворих на ТБ</w:t>
      </w:r>
      <w:r w:rsidRPr="0024080D">
        <w:rPr>
          <w:rFonts w:cs="Times New Roman"/>
          <w:b/>
          <w:szCs w:val="28"/>
        </w:rPr>
        <w:t>)</w:t>
      </w:r>
    </w:p>
    <w:p w14:paraId="2353E56A" w14:textId="5756DDCF"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Найвищі показники ефективності лікування серед випадків ТБ (нові та рецидиви) когорти 20</w:t>
      </w:r>
      <w:r w:rsidR="00C21D1C">
        <w:rPr>
          <w:rFonts w:cs="Times New Roman"/>
          <w:szCs w:val="28"/>
        </w:rPr>
        <w:t>20</w:t>
      </w:r>
      <w:r w:rsidRPr="0024080D">
        <w:rPr>
          <w:rFonts w:cs="Times New Roman"/>
          <w:szCs w:val="28"/>
        </w:rPr>
        <w:t> р., що фактично наближаються до цільового показника ВООЗ у 85% для Європейського регіону, зафіксовано у Миколаївській (</w:t>
      </w:r>
      <w:r w:rsidR="00C21D1C">
        <w:rPr>
          <w:rFonts w:cs="Times New Roman"/>
          <w:szCs w:val="28"/>
        </w:rPr>
        <w:t>82,9</w:t>
      </w:r>
      <w:r w:rsidRPr="0024080D">
        <w:rPr>
          <w:rFonts w:cs="Times New Roman"/>
          <w:szCs w:val="28"/>
        </w:rPr>
        <w:t>%) та Сумській (83,</w:t>
      </w:r>
      <w:r w:rsidR="00C21D1C">
        <w:rPr>
          <w:rFonts w:cs="Times New Roman"/>
          <w:szCs w:val="28"/>
        </w:rPr>
        <w:t>2</w:t>
      </w:r>
      <w:r w:rsidRPr="0024080D">
        <w:rPr>
          <w:rFonts w:cs="Times New Roman"/>
          <w:szCs w:val="28"/>
        </w:rPr>
        <w:t>%) областях.</w:t>
      </w:r>
    </w:p>
    <w:p w14:paraId="6494E51A" w14:textId="633D3834"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lastRenderedPageBreak/>
        <w:t>Зниження рівня ефективності лікування серед нових випадків ТБ та рецидивів захворювання порівняно до показників аналогічного періоду 201</w:t>
      </w:r>
      <w:r w:rsidR="00C21D1C">
        <w:rPr>
          <w:rFonts w:cs="Times New Roman"/>
          <w:szCs w:val="28"/>
        </w:rPr>
        <w:t>9</w:t>
      </w:r>
      <w:r w:rsidRPr="0024080D">
        <w:rPr>
          <w:rFonts w:cs="Times New Roman"/>
          <w:szCs w:val="28"/>
        </w:rPr>
        <w:t xml:space="preserve"> р. виявлено у </w:t>
      </w:r>
      <w:r w:rsidR="00D64625">
        <w:rPr>
          <w:rFonts w:cs="Times New Roman"/>
          <w:szCs w:val="28"/>
        </w:rPr>
        <w:t>сімнадцяти</w:t>
      </w:r>
      <w:r w:rsidRPr="0024080D">
        <w:rPr>
          <w:rFonts w:cs="Times New Roman"/>
          <w:szCs w:val="28"/>
        </w:rPr>
        <w:t xml:space="preserve"> областях.</w:t>
      </w:r>
      <w:r w:rsidR="00D64625">
        <w:rPr>
          <w:rFonts w:cs="Times New Roman"/>
          <w:szCs w:val="28"/>
        </w:rPr>
        <w:t xml:space="preserve"> Лише у восьми регіонах ефективність лікування таких випадків покращилась.</w:t>
      </w:r>
    </w:p>
    <w:p w14:paraId="3F260F3B" w14:textId="65C8053B"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 xml:space="preserve">Найнижчого показника невдачі лікування серед нових випадків ТБ і рецидивів захворювання (мета – 3–5%) досягнуто в </w:t>
      </w:r>
      <w:r w:rsidR="00035F5B">
        <w:rPr>
          <w:rFonts w:cs="Times New Roman"/>
          <w:szCs w:val="28"/>
        </w:rPr>
        <w:t>Запорізькій</w:t>
      </w:r>
      <w:r w:rsidRPr="0024080D">
        <w:rPr>
          <w:rFonts w:cs="Times New Roman"/>
          <w:szCs w:val="28"/>
        </w:rPr>
        <w:t xml:space="preserve"> (</w:t>
      </w:r>
      <w:r w:rsidR="00035F5B">
        <w:rPr>
          <w:rFonts w:cs="Times New Roman"/>
          <w:szCs w:val="28"/>
        </w:rPr>
        <w:t>4,1</w:t>
      </w:r>
      <w:r w:rsidRPr="0024080D">
        <w:rPr>
          <w:rFonts w:cs="Times New Roman"/>
          <w:szCs w:val="28"/>
        </w:rPr>
        <w:t>%), Миколаївській (</w:t>
      </w:r>
      <w:r w:rsidR="00035F5B">
        <w:rPr>
          <w:rFonts w:cs="Times New Roman"/>
          <w:szCs w:val="28"/>
        </w:rPr>
        <w:t>4,3</w:t>
      </w:r>
      <w:r w:rsidRPr="0024080D">
        <w:rPr>
          <w:rFonts w:cs="Times New Roman"/>
          <w:szCs w:val="28"/>
        </w:rPr>
        <w:t xml:space="preserve">%), </w:t>
      </w:r>
      <w:r w:rsidR="00035F5B">
        <w:rPr>
          <w:rFonts w:cs="Times New Roman"/>
          <w:szCs w:val="28"/>
        </w:rPr>
        <w:t>Кіровоградській</w:t>
      </w:r>
      <w:r w:rsidRPr="0024080D">
        <w:rPr>
          <w:rFonts w:cs="Times New Roman"/>
          <w:szCs w:val="28"/>
        </w:rPr>
        <w:t xml:space="preserve"> (</w:t>
      </w:r>
      <w:r w:rsidR="00035F5B">
        <w:rPr>
          <w:rFonts w:cs="Times New Roman"/>
          <w:szCs w:val="28"/>
        </w:rPr>
        <w:t>4,0</w:t>
      </w:r>
      <w:r w:rsidRPr="0024080D">
        <w:rPr>
          <w:rFonts w:cs="Times New Roman"/>
          <w:szCs w:val="28"/>
        </w:rPr>
        <w:t xml:space="preserve">%), </w:t>
      </w:r>
      <w:r w:rsidR="00035F5B">
        <w:rPr>
          <w:rFonts w:cs="Times New Roman"/>
          <w:szCs w:val="28"/>
        </w:rPr>
        <w:t>Львівській</w:t>
      </w:r>
      <w:r w:rsidRPr="0024080D">
        <w:rPr>
          <w:rFonts w:cs="Times New Roman"/>
          <w:szCs w:val="28"/>
        </w:rPr>
        <w:t xml:space="preserve"> (</w:t>
      </w:r>
      <w:r w:rsidR="00035F5B">
        <w:rPr>
          <w:rFonts w:cs="Times New Roman"/>
          <w:szCs w:val="28"/>
        </w:rPr>
        <w:t>2,4</w:t>
      </w:r>
      <w:r w:rsidRPr="0024080D">
        <w:rPr>
          <w:rFonts w:cs="Times New Roman"/>
          <w:szCs w:val="28"/>
        </w:rPr>
        <w:t xml:space="preserve">%), </w:t>
      </w:r>
      <w:r w:rsidR="00035F5B">
        <w:rPr>
          <w:rFonts w:cs="Times New Roman"/>
          <w:szCs w:val="28"/>
        </w:rPr>
        <w:t>Сумській</w:t>
      </w:r>
      <w:r w:rsidRPr="0024080D">
        <w:rPr>
          <w:rFonts w:cs="Times New Roman"/>
          <w:szCs w:val="28"/>
        </w:rPr>
        <w:t xml:space="preserve"> (4,4%)</w:t>
      </w:r>
      <w:r w:rsidR="00035F5B">
        <w:rPr>
          <w:rFonts w:cs="Times New Roman"/>
          <w:szCs w:val="28"/>
        </w:rPr>
        <w:t xml:space="preserve">, Тернопільській </w:t>
      </w:r>
      <w:r w:rsidR="008D6B97">
        <w:rPr>
          <w:rFonts w:cs="Times New Roman"/>
          <w:szCs w:val="28"/>
        </w:rPr>
        <w:t>та Чернігівській (по 4,9%)</w:t>
      </w:r>
      <w:r w:rsidRPr="0024080D">
        <w:rPr>
          <w:rFonts w:cs="Times New Roman"/>
          <w:szCs w:val="28"/>
        </w:rPr>
        <w:t xml:space="preserve"> областях. Найвищого показника невдачі лікування серед нових випадків ТБ та рецидивів захворювання у когорті 20</w:t>
      </w:r>
      <w:r w:rsidR="008D6B97">
        <w:rPr>
          <w:rFonts w:cs="Times New Roman"/>
          <w:szCs w:val="28"/>
        </w:rPr>
        <w:t>20</w:t>
      </w:r>
      <w:r w:rsidRPr="0024080D">
        <w:rPr>
          <w:rFonts w:cs="Times New Roman"/>
          <w:szCs w:val="28"/>
        </w:rPr>
        <w:t> р. зафіксовано у Хмельницькій (</w:t>
      </w:r>
      <w:r w:rsidR="008D6B97">
        <w:rPr>
          <w:rFonts w:cs="Times New Roman"/>
          <w:szCs w:val="28"/>
        </w:rPr>
        <w:t>12,0</w:t>
      </w:r>
      <w:r w:rsidRPr="0024080D">
        <w:rPr>
          <w:rFonts w:cs="Times New Roman"/>
          <w:szCs w:val="28"/>
        </w:rPr>
        <w:t>%), Івано-Франківській (</w:t>
      </w:r>
      <w:r w:rsidR="008D6B97">
        <w:rPr>
          <w:rFonts w:cs="Times New Roman"/>
          <w:szCs w:val="28"/>
        </w:rPr>
        <w:t>11,8</w:t>
      </w:r>
      <w:r w:rsidRPr="0024080D">
        <w:rPr>
          <w:rFonts w:cs="Times New Roman"/>
          <w:szCs w:val="28"/>
        </w:rPr>
        <w:t>%)</w:t>
      </w:r>
      <w:r w:rsidR="008D6B97">
        <w:rPr>
          <w:rFonts w:cs="Times New Roman"/>
          <w:szCs w:val="28"/>
        </w:rPr>
        <w:t xml:space="preserve"> та</w:t>
      </w:r>
      <w:r w:rsidRPr="0024080D">
        <w:rPr>
          <w:rFonts w:cs="Times New Roman"/>
          <w:szCs w:val="28"/>
        </w:rPr>
        <w:t xml:space="preserve"> Черкаській (</w:t>
      </w:r>
      <w:r w:rsidR="008D6B97">
        <w:rPr>
          <w:rFonts w:cs="Times New Roman"/>
          <w:szCs w:val="28"/>
        </w:rPr>
        <w:t>11,3</w:t>
      </w:r>
      <w:r w:rsidRPr="0024080D">
        <w:rPr>
          <w:rFonts w:cs="Times New Roman"/>
          <w:szCs w:val="28"/>
        </w:rPr>
        <w:t xml:space="preserve">%) областях. </w:t>
      </w:r>
    </w:p>
    <w:p w14:paraId="32231CC8" w14:textId="4B266967"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 xml:space="preserve">Показника смертності серед нових випадків ТБ та рецидивів захворювання на рівні менше 5% </w:t>
      </w:r>
      <w:r w:rsidR="008D6B97">
        <w:rPr>
          <w:rFonts w:cs="Times New Roman"/>
          <w:szCs w:val="28"/>
        </w:rPr>
        <w:t xml:space="preserve">не </w:t>
      </w:r>
      <w:r w:rsidRPr="0024080D">
        <w:rPr>
          <w:rFonts w:cs="Times New Roman"/>
          <w:szCs w:val="28"/>
        </w:rPr>
        <w:t>досягнуто</w:t>
      </w:r>
      <w:r w:rsidR="008D6B97">
        <w:rPr>
          <w:rFonts w:cs="Times New Roman"/>
          <w:szCs w:val="28"/>
        </w:rPr>
        <w:t>,</w:t>
      </w:r>
      <w:r w:rsidRPr="0024080D">
        <w:rPr>
          <w:rFonts w:cs="Times New Roman"/>
          <w:szCs w:val="28"/>
        </w:rPr>
        <w:t xml:space="preserve"> найвищі показники смертності зафіксовано у </w:t>
      </w:r>
      <w:r w:rsidR="008D6B97">
        <w:rPr>
          <w:rFonts w:cs="Times New Roman"/>
          <w:szCs w:val="28"/>
        </w:rPr>
        <w:t>Луганські, Херсонській</w:t>
      </w:r>
      <w:r w:rsidRPr="0024080D">
        <w:rPr>
          <w:rFonts w:cs="Times New Roman"/>
          <w:szCs w:val="28"/>
        </w:rPr>
        <w:t xml:space="preserve"> (</w:t>
      </w:r>
      <w:r w:rsidR="008D6B97">
        <w:rPr>
          <w:rFonts w:cs="Times New Roman"/>
          <w:szCs w:val="28"/>
        </w:rPr>
        <w:t>по 14,0</w:t>
      </w:r>
      <w:r w:rsidRPr="0024080D">
        <w:rPr>
          <w:rFonts w:cs="Times New Roman"/>
          <w:szCs w:val="28"/>
        </w:rPr>
        <w:t>%), Кіровоградській (</w:t>
      </w:r>
      <w:r w:rsidR="008D6B97">
        <w:rPr>
          <w:rFonts w:cs="Times New Roman"/>
          <w:szCs w:val="28"/>
        </w:rPr>
        <w:t>13,6</w:t>
      </w:r>
      <w:r w:rsidRPr="0024080D">
        <w:rPr>
          <w:rFonts w:cs="Times New Roman"/>
          <w:szCs w:val="28"/>
        </w:rPr>
        <w:t xml:space="preserve">%), </w:t>
      </w:r>
      <w:r w:rsidR="008D6B97">
        <w:rPr>
          <w:rFonts w:cs="Times New Roman"/>
          <w:szCs w:val="28"/>
        </w:rPr>
        <w:t>Львівській</w:t>
      </w:r>
      <w:r w:rsidRPr="0024080D">
        <w:rPr>
          <w:rFonts w:cs="Times New Roman"/>
          <w:szCs w:val="28"/>
        </w:rPr>
        <w:t xml:space="preserve"> (</w:t>
      </w:r>
      <w:r w:rsidR="008D6B97">
        <w:rPr>
          <w:rFonts w:cs="Times New Roman"/>
          <w:szCs w:val="28"/>
        </w:rPr>
        <w:t>13,7</w:t>
      </w:r>
      <w:r w:rsidRPr="0024080D">
        <w:rPr>
          <w:rFonts w:cs="Times New Roman"/>
          <w:szCs w:val="28"/>
        </w:rPr>
        <w:t xml:space="preserve">%) та </w:t>
      </w:r>
      <w:r w:rsidR="008D6B97">
        <w:rPr>
          <w:rFonts w:cs="Times New Roman"/>
          <w:szCs w:val="28"/>
        </w:rPr>
        <w:t>Чернівецькій</w:t>
      </w:r>
      <w:r w:rsidRPr="0024080D">
        <w:rPr>
          <w:rFonts w:cs="Times New Roman"/>
          <w:szCs w:val="28"/>
        </w:rPr>
        <w:t xml:space="preserve"> (</w:t>
      </w:r>
      <w:r w:rsidR="00C34CA2">
        <w:rPr>
          <w:rFonts w:cs="Times New Roman"/>
          <w:szCs w:val="28"/>
        </w:rPr>
        <w:t>14,5</w:t>
      </w:r>
      <w:r w:rsidRPr="0024080D">
        <w:rPr>
          <w:rFonts w:cs="Times New Roman"/>
          <w:szCs w:val="28"/>
        </w:rPr>
        <w:t>%) областях.</w:t>
      </w:r>
    </w:p>
    <w:p w14:paraId="0813F00A" w14:textId="6C7291A1"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За індикатором показника ВПС серед нових випадків ТБ та рецидивів захворювання досягнуто цільового значення у Львівській (2,</w:t>
      </w:r>
      <w:r w:rsidR="000C38D3">
        <w:rPr>
          <w:rFonts w:cs="Times New Roman"/>
          <w:szCs w:val="28"/>
        </w:rPr>
        <w:t>0</w:t>
      </w:r>
      <w:r w:rsidRPr="0024080D">
        <w:rPr>
          <w:rFonts w:cs="Times New Roman"/>
          <w:szCs w:val="28"/>
        </w:rPr>
        <w:t>%)</w:t>
      </w:r>
      <w:r w:rsidR="000C38D3">
        <w:rPr>
          <w:rFonts w:cs="Times New Roman"/>
          <w:szCs w:val="28"/>
        </w:rPr>
        <w:t>, Сумській (1,6%), Донецькій (2,6%)</w:t>
      </w:r>
      <w:r w:rsidRPr="0024080D">
        <w:rPr>
          <w:rFonts w:cs="Times New Roman"/>
          <w:szCs w:val="28"/>
        </w:rPr>
        <w:t xml:space="preserve"> та Рівненській (2,</w:t>
      </w:r>
      <w:r w:rsidR="000C38D3">
        <w:rPr>
          <w:rFonts w:cs="Times New Roman"/>
          <w:szCs w:val="28"/>
        </w:rPr>
        <w:t>5</w:t>
      </w:r>
      <w:r w:rsidRPr="0024080D">
        <w:rPr>
          <w:rFonts w:cs="Times New Roman"/>
          <w:szCs w:val="28"/>
        </w:rPr>
        <w:t>%) областях, а наближення до цільових значень – у </w:t>
      </w:r>
      <w:r w:rsidR="000C38D3">
        <w:rPr>
          <w:rFonts w:cs="Times New Roman"/>
          <w:szCs w:val="28"/>
        </w:rPr>
        <w:t>Дніпропетровській</w:t>
      </w:r>
      <w:r w:rsidRPr="0024080D">
        <w:rPr>
          <w:rFonts w:cs="Times New Roman"/>
          <w:szCs w:val="28"/>
        </w:rPr>
        <w:t xml:space="preserve"> (3,</w:t>
      </w:r>
      <w:r w:rsidR="000C38D3">
        <w:rPr>
          <w:rFonts w:cs="Times New Roman"/>
          <w:szCs w:val="28"/>
        </w:rPr>
        <w:t>3</w:t>
      </w:r>
      <w:r w:rsidRPr="0024080D">
        <w:rPr>
          <w:rFonts w:cs="Times New Roman"/>
          <w:szCs w:val="28"/>
        </w:rPr>
        <w:t>%)</w:t>
      </w:r>
      <w:r w:rsidR="000C38D3">
        <w:rPr>
          <w:rFonts w:cs="Times New Roman"/>
          <w:szCs w:val="28"/>
        </w:rPr>
        <w:t>, Кіровоградській (3,7%)</w:t>
      </w:r>
      <w:r w:rsidRPr="0024080D">
        <w:rPr>
          <w:rFonts w:cs="Times New Roman"/>
          <w:szCs w:val="28"/>
        </w:rPr>
        <w:t xml:space="preserve"> та </w:t>
      </w:r>
      <w:r w:rsidR="000C38D3">
        <w:rPr>
          <w:rFonts w:cs="Times New Roman"/>
          <w:szCs w:val="28"/>
        </w:rPr>
        <w:t>Чернівецькій</w:t>
      </w:r>
      <w:r w:rsidRPr="0024080D">
        <w:rPr>
          <w:rFonts w:cs="Times New Roman"/>
          <w:szCs w:val="28"/>
        </w:rPr>
        <w:t xml:space="preserve"> (3,</w:t>
      </w:r>
      <w:r w:rsidR="000C38D3">
        <w:rPr>
          <w:rFonts w:cs="Times New Roman"/>
          <w:szCs w:val="28"/>
        </w:rPr>
        <w:t>4</w:t>
      </w:r>
      <w:r w:rsidRPr="0024080D">
        <w:rPr>
          <w:rFonts w:cs="Times New Roman"/>
          <w:szCs w:val="28"/>
        </w:rPr>
        <w:t xml:space="preserve">%) областях. Найвищі показники ВПС серед нових випадків ТБ та рецидивів захворювання зафіксовано </w:t>
      </w:r>
      <w:r w:rsidR="00074815">
        <w:rPr>
          <w:rFonts w:cs="Times New Roman"/>
          <w:szCs w:val="28"/>
        </w:rPr>
        <w:t>в</w:t>
      </w:r>
      <w:r w:rsidRPr="0024080D">
        <w:rPr>
          <w:rFonts w:cs="Times New Roman"/>
          <w:szCs w:val="28"/>
        </w:rPr>
        <w:t> </w:t>
      </w:r>
      <w:r w:rsidR="00074815">
        <w:rPr>
          <w:rFonts w:cs="Times New Roman"/>
          <w:szCs w:val="28"/>
        </w:rPr>
        <w:t>Одеській</w:t>
      </w:r>
      <w:r w:rsidRPr="0024080D">
        <w:rPr>
          <w:rFonts w:cs="Times New Roman"/>
          <w:szCs w:val="28"/>
        </w:rPr>
        <w:t xml:space="preserve"> (</w:t>
      </w:r>
      <w:r w:rsidR="00074815">
        <w:rPr>
          <w:rFonts w:cs="Times New Roman"/>
          <w:szCs w:val="28"/>
        </w:rPr>
        <w:t>12,3</w:t>
      </w:r>
      <w:r w:rsidRPr="0024080D">
        <w:rPr>
          <w:rFonts w:cs="Times New Roman"/>
          <w:szCs w:val="28"/>
        </w:rPr>
        <w:t>%), та Закарпатській (11,</w:t>
      </w:r>
      <w:r w:rsidR="00074815">
        <w:rPr>
          <w:rFonts w:cs="Times New Roman"/>
          <w:szCs w:val="28"/>
        </w:rPr>
        <w:t>3</w:t>
      </w:r>
      <w:r w:rsidRPr="0024080D">
        <w:rPr>
          <w:rFonts w:cs="Times New Roman"/>
          <w:szCs w:val="28"/>
        </w:rPr>
        <w:t>%) областях.</w:t>
      </w:r>
    </w:p>
    <w:p w14:paraId="7FEC58C4" w14:textId="41250B48" w:rsidR="0046665C" w:rsidRPr="0024080D" w:rsidRDefault="00875991" w:rsidP="0046665C">
      <w:pPr>
        <w:ind w:firstLine="0"/>
        <w:jc w:val="center"/>
        <w:rPr>
          <w:rFonts w:cs="Times New Roman"/>
          <w:szCs w:val="28"/>
        </w:rPr>
      </w:pPr>
      <w:r w:rsidRPr="00875991">
        <w:rPr>
          <w:rFonts w:cs="Times New Roman"/>
          <w:noProof/>
          <w:szCs w:val="28"/>
        </w:rPr>
        <w:drawing>
          <wp:inline distT="0" distB="0" distL="0" distR="0" wp14:anchorId="452EA16C" wp14:editId="505BB876">
            <wp:extent cx="5940425" cy="4191000"/>
            <wp:effectExtent l="0" t="0" r="3175" b="0"/>
            <wp:docPr id="98" name="Діаграма 98">
              <a:extLst xmlns:a="http://schemas.openxmlformats.org/drawingml/2006/main">
                <a:ext uri="{FF2B5EF4-FFF2-40B4-BE49-F238E27FC236}">
                  <a16:creationId xmlns:a16="http://schemas.microsoft.com/office/drawing/2014/main" id="{8D1FCDBD-E16A-4FA8-BEF4-3208DB435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9164CB1" w14:textId="2CCDEE5B" w:rsidR="0046665C" w:rsidRPr="0024080D" w:rsidRDefault="0046665C" w:rsidP="0046665C">
      <w:pPr>
        <w:spacing w:after="120"/>
        <w:ind w:firstLine="0"/>
        <w:jc w:val="center"/>
        <w:rPr>
          <w:rFonts w:cs="Times New Roman"/>
          <w:b/>
          <w:szCs w:val="28"/>
        </w:rPr>
      </w:pPr>
      <w:r w:rsidRPr="0024080D">
        <w:rPr>
          <w:rFonts w:cs="Times New Roman"/>
          <w:b/>
          <w:szCs w:val="28"/>
        </w:rPr>
        <w:t>Рисунок </w:t>
      </w:r>
      <w:r w:rsidR="00B66A87">
        <w:rPr>
          <w:rFonts w:cs="Times New Roman"/>
          <w:b/>
          <w:szCs w:val="28"/>
        </w:rPr>
        <w:t>4.8</w:t>
      </w:r>
      <w:r w:rsidRPr="0024080D">
        <w:rPr>
          <w:rFonts w:cs="Times New Roman"/>
          <w:b/>
          <w:szCs w:val="28"/>
        </w:rPr>
        <w:t xml:space="preserve">. Результати лікування випадків ТБ </w:t>
      </w:r>
      <w:r w:rsidRPr="0024080D">
        <w:rPr>
          <w:rFonts w:cs="Times New Roman"/>
          <w:b/>
          <w:szCs w:val="28"/>
        </w:rPr>
        <w:br/>
        <w:t>(нові та рецидиви) за регіонами, когорта 20</w:t>
      </w:r>
      <w:r w:rsidR="00875991">
        <w:rPr>
          <w:rFonts w:cs="Times New Roman"/>
          <w:b/>
          <w:szCs w:val="28"/>
        </w:rPr>
        <w:t>20</w:t>
      </w:r>
      <w:r w:rsidRPr="0024080D">
        <w:rPr>
          <w:rFonts w:cs="Times New Roman"/>
          <w:b/>
          <w:szCs w:val="28"/>
        </w:rPr>
        <w:t> р.</w:t>
      </w:r>
    </w:p>
    <w:p w14:paraId="5788F4F2" w14:textId="2AAEC8F0" w:rsidR="0046665C" w:rsidRPr="0024080D" w:rsidRDefault="0046665C" w:rsidP="0046665C">
      <w:pPr>
        <w:widowControl w:val="0"/>
        <w:pBdr>
          <w:top w:val="nil"/>
          <w:left w:val="nil"/>
          <w:bottom w:val="nil"/>
          <w:right w:val="nil"/>
          <w:between w:val="nil"/>
        </w:pBdr>
        <w:rPr>
          <w:rFonts w:cs="Times New Roman"/>
          <w:szCs w:val="28"/>
        </w:rPr>
      </w:pPr>
      <w:r w:rsidRPr="000D6EA9">
        <w:rPr>
          <w:rFonts w:cs="Times New Roman"/>
          <w:szCs w:val="28"/>
        </w:rPr>
        <w:lastRenderedPageBreak/>
        <w:t>Серед випадків</w:t>
      </w:r>
      <w:r w:rsidRPr="0024080D">
        <w:rPr>
          <w:rFonts w:cs="Times New Roman"/>
          <w:szCs w:val="28"/>
        </w:rPr>
        <w:t xml:space="preserve"> повторного лікування ТБ (за виключенням рецидивів) у когорті 20</w:t>
      </w:r>
      <w:r w:rsidR="00832040">
        <w:rPr>
          <w:rFonts w:cs="Times New Roman"/>
          <w:szCs w:val="28"/>
        </w:rPr>
        <w:t>20</w:t>
      </w:r>
      <w:r w:rsidRPr="0024080D">
        <w:rPr>
          <w:rFonts w:cs="Times New Roman"/>
          <w:szCs w:val="28"/>
        </w:rPr>
        <w:t> р. найвищого показника ефективності лікування досягнуто у Вінницькій (</w:t>
      </w:r>
      <w:r w:rsidR="00832040">
        <w:rPr>
          <w:rFonts w:cs="Times New Roman"/>
          <w:szCs w:val="28"/>
        </w:rPr>
        <w:t>96,7</w:t>
      </w:r>
      <w:r w:rsidRPr="0024080D">
        <w:rPr>
          <w:rFonts w:cs="Times New Roman"/>
          <w:szCs w:val="28"/>
        </w:rPr>
        <w:t xml:space="preserve">%) та </w:t>
      </w:r>
      <w:r w:rsidR="003E7E60">
        <w:rPr>
          <w:rFonts w:cs="Times New Roman"/>
          <w:szCs w:val="28"/>
        </w:rPr>
        <w:t>Тернопільс</w:t>
      </w:r>
      <w:r w:rsidR="003E7E60" w:rsidRPr="0024080D">
        <w:rPr>
          <w:rFonts w:cs="Times New Roman"/>
          <w:szCs w:val="28"/>
        </w:rPr>
        <w:t>ькій</w:t>
      </w:r>
      <w:r w:rsidRPr="0024080D">
        <w:rPr>
          <w:rFonts w:cs="Times New Roman"/>
          <w:szCs w:val="28"/>
        </w:rPr>
        <w:t xml:space="preserve"> (</w:t>
      </w:r>
      <w:r w:rsidR="00832040">
        <w:rPr>
          <w:rFonts w:cs="Times New Roman"/>
          <w:szCs w:val="28"/>
        </w:rPr>
        <w:t>91,7</w:t>
      </w:r>
      <w:r w:rsidRPr="0024080D">
        <w:rPr>
          <w:rFonts w:cs="Times New Roman"/>
          <w:szCs w:val="28"/>
        </w:rPr>
        <w:t xml:space="preserve">%) областях, найнижчого показника – у </w:t>
      </w:r>
      <w:r w:rsidR="003E7E60">
        <w:rPr>
          <w:rFonts w:cs="Times New Roman"/>
          <w:szCs w:val="28"/>
        </w:rPr>
        <w:t>Луганській</w:t>
      </w:r>
      <w:r w:rsidRPr="0024080D">
        <w:rPr>
          <w:rFonts w:cs="Times New Roman"/>
          <w:szCs w:val="28"/>
        </w:rPr>
        <w:t xml:space="preserve"> (</w:t>
      </w:r>
      <w:r w:rsidR="003E7E60">
        <w:rPr>
          <w:rFonts w:cs="Times New Roman"/>
          <w:szCs w:val="28"/>
        </w:rPr>
        <w:t>53,6</w:t>
      </w:r>
      <w:r w:rsidRPr="0024080D">
        <w:rPr>
          <w:rFonts w:cs="Times New Roman"/>
          <w:szCs w:val="28"/>
        </w:rPr>
        <w:t xml:space="preserve">%), </w:t>
      </w:r>
      <w:r w:rsidR="003E7E60">
        <w:rPr>
          <w:rFonts w:cs="Times New Roman"/>
          <w:szCs w:val="28"/>
        </w:rPr>
        <w:t>Одеській</w:t>
      </w:r>
      <w:r w:rsidRPr="0024080D">
        <w:rPr>
          <w:rFonts w:cs="Times New Roman"/>
          <w:szCs w:val="28"/>
        </w:rPr>
        <w:t xml:space="preserve"> (56</w:t>
      </w:r>
      <w:r w:rsidR="003E7E60">
        <w:rPr>
          <w:rFonts w:cs="Times New Roman"/>
          <w:szCs w:val="28"/>
        </w:rPr>
        <w:t>,5</w:t>
      </w:r>
      <w:r w:rsidRPr="0024080D">
        <w:rPr>
          <w:rFonts w:cs="Times New Roman"/>
          <w:szCs w:val="28"/>
        </w:rPr>
        <w:t>%) та Хмельницькій (</w:t>
      </w:r>
      <w:r w:rsidR="003E7E60">
        <w:rPr>
          <w:rFonts w:cs="Times New Roman"/>
          <w:szCs w:val="28"/>
        </w:rPr>
        <w:t>58,0</w:t>
      </w:r>
      <w:r w:rsidRPr="0024080D">
        <w:rPr>
          <w:rFonts w:cs="Times New Roman"/>
          <w:szCs w:val="28"/>
        </w:rPr>
        <w:t>%) областях.</w:t>
      </w:r>
    </w:p>
    <w:p w14:paraId="3C29CF2A" w14:textId="4DB3EDA4"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 xml:space="preserve">Цільового показника невдачі лікування серед випадків повторного лікування ТБ на рівні рекомендованих 3–5% досягнуто в </w:t>
      </w:r>
      <w:r w:rsidR="003E7E60">
        <w:rPr>
          <w:rFonts w:cs="Times New Roman"/>
          <w:szCs w:val="28"/>
        </w:rPr>
        <w:t>Тернопільській</w:t>
      </w:r>
      <w:r w:rsidRPr="0024080D">
        <w:rPr>
          <w:rFonts w:cs="Times New Roman"/>
          <w:szCs w:val="28"/>
        </w:rPr>
        <w:t xml:space="preserve"> </w:t>
      </w:r>
      <w:r w:rsidR="003E7E60">
        <w:rPr>
          <w:rFonts w:cs="Times New Roman"/>
          <w:szCs w:val="28"/>
        </w:rPr>
        <w:t xml:space="preserve">та Вінницькій </w:t>
      </w:r>
      <w:r w:rsidRPr="0024080D">
        <w:rPr>
          <w:rFonts w:cs="Times New Roman"/>
          <w:szCs w:val="28"/>
        </w:rPr>
        <w:t>(</w:t>
      </w:r>
      <w:r w:rsidR="003E7E60">
        <w:rPr>
          <w:rFonts w:cs="Times New Roman"/>
          <w:szCs w:val="28"/>
        </w:rPr>
        <w:t>по 0</w:t>
      </w:r>
      <w:r w:rsidRPr="0024080D">
        <w:rPr>
          <w:rFonts w:cs="Times New Roman"/>
          <w:szCs w:val="28"/>
        </w:rPr>
        <w:t xml:space="preserve">%), </w:t>
      </w:r>
      <w:r w:rsidR="003E7E60">
        <w:rPr>
          <w:rFonts w:cs="Times New Roman"/>
          <w:szCs w:val="28"/>
        </w:rPr>
        <w:t>Донецькій</w:t>
      </w:r>
      <w:r w:rsidRPr="0024080D">
        <w:rPr>
          <w:rFonts w:cs="Times New Roman"/>
          <w:szCs w:val="28"/>
        </w:rPr>
        <w:t xml:space="preserve"> (</w:t>
      </w:r>
      <w:r w:rsidR="003E7E60">
        <w:rPr>
          <w:rFonts w:cs="Times New Roman"/>
          <w:szCs w:val="28"/>
        </w:rPr>
        <w:t>4,9</w:t>
      </w:r>
      <w:r w:rsidRPr="0024080D">
        <w:rPr>
          <w:rFonts w:cs="Times New Roman"/>
          <w:szCs w:val="28"/>
        </w:rPr>
        <w:t>%)</w:t>
      </w:r>
      <w:r w:rsidR="003E7E60">
        <w:rPr>
          <w:rFonts w:cs="Times New Roman"/>
          <w:szCs w:val="28"/>
        </w:rPr>
        <w:t>, Львівській (4,7%)</w:t>
      </w:r>
      <w:r w:rsidRPr="0024080D">
        <w:rPr>
          <w:rFonts w:cs="Times New Roman"/>
          <w:szCs w:val="28"/>
        </w:rPr>
        <w:t xml:space="preserve"> та </w:t>
      </w:r>
      <w:r w:rsidR="003E7E60">
        <w:rPr>
          <w:rFonts w:cs="Times New Roman"/>
          <w:szCs w:val="28"/>
        </w:rPr>
        <w:t>Сумській</w:t>
      </w:r>
      <w:r w:rsidRPr="0024080D">
        <w:rPr>
          <w:rFonts w:cs="Times New Roman"/>
          <w:szCs w:val="28"/>
        </w:rPr>
        <w:t xml:space="preserve"> (</w:t>
      </w:r>
      <w:r w:rsidR="003E7E60">
        <w:rPr>
          <w:rFonts w:cs="Times New Roman"/>
          <w:szCs w:val="28"/>
        </w:rPr>
        <w:t>5</w:t>
      </w:r>
      <w:r w:rsidRPr="0024080D">
        <w:rPr>
          <w:rFonts w:cs="Times New Roman"/>
          <w:szCs w:val="28"/>
        </w:rPr>
        <w:t>%) областях, тоді як у переважної більшості регіонів цей показник є значно гіршим та має найвищі значення – у </w:t>
      </w:r>
      <w:r w:rsidR="0069010E">
        <w:rPr>
          <w:rFonts w:cs="Times New Roman"/>
          <w:szCs w:val="28"/>
        </w:rPr>
        <w:t>Житомирській</w:t>
      </w:r>
      <w:r w:rsidRPr="0024080D">
        <w:rPr>
          <w:rFonts w:cs="Times New Roman"/>
          <w:szCs w:val="28"/>
        </w:rPr>
        <w:t xml:space="preserve"> (</w:t>
      </w:r>
      <w:r w:rsidR="0069010E">
        <w:rPr>
          <w:rFonts w:cs="Times New Roman"/>
          <w:szCs w:val="28"/>
        </w:rPr>
        <w:t>19,2</w:t>
      </w:r>
      <w:r w:rsidRPr="0024080D">
        <w:rPr>
          <w:rFonts w:cs="Times New Roman"/>
          <w:szCs w:val="28"/>
        </w:rPr>
        <w:t xml:space="preserve">%), </w:t>
      </w:r>
      <w:r w:rsidR="0069010E">
        <w:rPr>
          <w:rFonts w:cs="Times New Roman"/>
          <w:szCs w:val="28"/>
        </w:rPr>
        <w:t>Івано-Франківській</w:t>
      </w:r>
      <w:r w:rsidRPr="0024080D">
        <w:rPr>
          <w:rFonts w:cs="Times New Roman"/>
          <w:szCs w:val="28"/>
        </w:rPr>
        <w:t xml:space="preserve"> (</w:t>
      </w:r>
      <w:r w:rsidR="0069010E">
        <w:rPr>
          <w:rFonts w:cs="Times New Roman"/>
          <w:szCs w:val="28"/>
        </w:rPr>
        <w:t>21,1</w:t>
      </w:r>
      <w:r w:rsidRPr="0024080D">
        <w:rPr>
          <w:rFonts w:cs="Times New Roman"/>
          <w:szCs w:val="28"/>
        </w:rPr>
        <w:t>%) та Хмельницькій (</w:t>
      </w:r>
      <w:r w:rsidR="0069010E">
        <w:rPr>
          <w:rFonts w:cs="Times New Roman"/>
          <w:szCs w:val="28"/>
        </w:rPr>
        <w:t>19,8</w:t>
      </w:r>
      <w:r w:rsidRPr="0024080D">
        <w:rPr>
          <w:rFonts w:cs="Times New Roman"/>
          <w:szCs w:val="28"/>
        </w:rPr>
        <w:t xml:space="preserve">%) областях. </w:t>
      </w:r>
    </w:p>
    <w:p w14:paraId="2AFD63A3" w14:textId="724987A3" w:rsidR="0046665C" w:rsidRPr="0024080D" w:rsidRDefault="0046665C" w:rsidP="0046665C">
      <w:pPr>
        <w:widowControl w:val="0"/>
        <w:pBdr>
          <w:top w:val="nil"/>
          <w:left w:val="nil"/>
          <w:bottom w:val="nil"/>
          <w:right w:val="nil"/>
          <w:between w:val="nil"/>
        </w:pBdr>
        <w:rPr>
          <w:rFonts w:cs="Times New Roman"/>
          <w:szCs w:val="28"/>
        </w:rPr>
      </w:pPr>
      <w:r w:rsidRPr="0024080D">
        <w:rPr>
          <w:rFonts w:cs="Times New Roman"/>
          <w:szCs w:val="28"/>
        </w:rPr>
        <w:t>Найнижчих показників смертності серед випадків повторного лікування ТБ, що відповідає цільовим значенням до 5%, в когорті 20</w:t>
      </w:r>
      <w:r w:rsidR="00FF58AB">
        <w:rPr>
          <w:rFonts w:cs="Times New Roman"/>
          <w:szCs w:val="28"/>
        </w:rPr>
        <w:t>20</w:t>
      </w:r>
      <w:r w:rsidRPr="0024080D">
        <w:rPr>
          <w:rFonts w:cs="Times New Roman"/>
          <w:szCs w:val="28"/>
        </w:rPr>
        <w:t xml:space="preserve"> р. досягнуто у </w:t>
      </w:r>
      <w:r w:rsidR="00FF58AB">
        <w:rPr>
          <w:rFonts w:cs="Times New Roman"/>
          <w:szCs w:val="28"/>
        </w:rPr>
        <w:t>Вінницькій і Донецькій</w:t>
      </w:r>
      <w:r w:rsidRPr="0024080D">
        <w:rPr>
          <w:rFonts w:cs="Times New Roman"/>
          <w:szCs w:val="28"/>
        </w:rPr>
        <w:t xml:space="preserve"> (</w:t>
      </w:r>
      <w:r w:rsidR="00FF58AB">
        <w:rPr>
          <w:rFonts w:cs="Times New Roman"/>
          <w:szCs w:val="28"/>
        </w:rPr>
        <w:t>по 0</w:t>
      </w:r>
      <w:r w:rsidRPr="0024080D">
        <w:rPr>
          <w:rFonts w:cs="Times New Roman"/>
          <w:szCs w:val="28"/>
        </w:rPr>
        <w:t>%), Волинській (</w:t>
      </w:r>
      <w:r w:rsidR="00FF58AB">
        <w:rPr>
          <w:rFonts w:cs="Times New Roman"/>
          <w:szCs w:val="28"/>
        </w:rPr>
        <w:t>4,4</w:t>
      </w:r>
      <w:r w:rsidRPr="0024080D">
        <w:rPr>
          <w:rFonts w:cs="Times New Roman"/>
          <w:szCs w:val="28"/>
        </w:rPr>
        <w:t xml:space="preserve">%) та </w:t>
      </w:r>
      <w:r w:rsidR="00FF58AB">
        <w:rPr>
          <w:rFonts w:cs="Times New Roman"/>
          <w:szCs w:val="28"/>
        </w:rPr>
        <w:t>Житомирській</w:t>
      </w:r>
      <w:r w:rsidRPr="0024080D">
        <w:rPr>
          <w:rFonts w:cs="Times New Roman"/>
          <w:szCs w:val="28"/>
        </w:rPr>
        <w:t xml:space="preserve"> (</w:t>
      </w:r>
      <w:r w:rsidR="00FF58AB">
        <w:rPr>
          <w:rFonts w:cs="Times New Roman"/>
          <w:szCs w:val="28"/>
        </w:rPr>
        <w:t>3,8</w:t>
      </w:r>
      <w:r w:rsidRPr="0024080D">
        <w:rPr>
          <w:rFonts w:cs="Times New Roman"/>
          <w:szCs w:val="28"/>
        </w:rPr>
        <w:t xml:space="preserve">%) областях. </w:t>
      </w:r>
    </w:p>
    <w:p w14:paraId="55E434D6" w14:textId="05A69754" w:rsidR="0046665C" w:rsidRPr="0024080D" w:rsidRDefault="00E72CE9" w:rsidP="0046665C">
      <w:pPr>
        <w:widowControl w:val="0"/>
        <w:pBdr>
          <w:top w:val="nil"/>
          <w:left w:val="nil"/>
          <w:bottom w:val="nil"/>
          <w:right w:val="nil"/>
          <w:between w:val="nil"/>
        </w:pBdr>
        <w:rPr>
          <w:rFonts w:cs="Times New Roman"/>
          <w:szCs w:val="28"/>
        </w:rPr>
      </w:pPr>
      <w:r w:rsidRPr="00E72CE9">
        <w:rPr>
          <w:rFonts w:cs="Times New Roman"/>
          <w:szCs w:val="28"/>
        </w:rPr>
        <w:t xml:space="preserve">За індикатором показника ВПС серед </w:t>
      </w:r>
      <w:r>
        <w:rPr>
          <w:rFonts w:cs="Times New Roman"/>
          <w:szCs w:val="28"/>
        </w:rPr>
        <w:t>повторних випадків</w:t>
      </w:r>
      <w:r w:rsidRPr="00E72CE9">
        <w:rPr>
          <w:rFonts w:cs="Times New Roman"/>
          <w:szCs w:val="28"/>
        </w:rPr>
        <w:t xml:space="preserve"> захворювання досягнуто цільового значення у </w:t>
      </w:r>
      <w:r w:rsidR="0046665C" w:rsidRPr="0024080D">
        <w:rPr>
          <w:rFonts w:cs="Times New Roman"/>
          <w:szCs w:val="28"/>
        </w:rPr>
        <w:t>когорті 20</w:t>
      </w:r>
      <w:r>
        <w:rPr>
          <w:rFonts w:cs="Times New Roman"/>
          <w:szCs w:val="28"/>
        </w:rPr>
        <w:t>20</w:t>
      </w:r>
      <w:r w:rsidR="0046665C" w:rsidRPr="0024080D">
        <w:rPr>
          <w:rFonts w:cs="Times New Roman"/>
          <w:szCs w:val="28"/>
        </w:rPr>
        <w:t> р. (мета – 3%)</w:t>
      </w:r>
      <w:r>
        <w:rPr>
          <w:rFonts w:cs="Times New Roman"/>
          <w:szCs w:val="28"/>
        </w:rPr>
        <w:t xml:space="preserve"> у Тернопільській (0%) та Черкаській (1,9%)</w:t>
      </w:r>
      <w:r w:rsidR="0046665C" w:rsidRPr="0024080D">
        <w:rPr>
          <w:rFonts w:cs="Times New Roman"/>
          <w:szCs w:val="28"/>
        </w:rPr>
        <w:t>. Най</w:t>
      </w:r>
      <w:r>
        <w:rPr>
          <w:rFonts w:cs="Times New Roman"/>
          <w:szCs w:val="28"/>
        </w:rPr>
        <w:t>гірші</w:t>
      </w:r>
      <w:r w:rsidR="0046665C" w:rsidRPr="0024080D">
        <w:rPr>
          <w:rFonts w:cs="Times New Roman"/>
          <w:szCs w:val="28"/>
        </w:rPr>
        <w:t xml:space="preserve"> показники за даним індикатором виявлено у Миколаївській (</w:t>
      </w:r>
      <w:r w:rsidR="006D4863">
        <w:rPr>
          <w:rFonts w:cs="Times New Roman"/>
          <w:szCs w:val="28"/>
        </w:rPr>
        <w:t>20,6</w:t>
      </w:r>
      <w:r w:rsidR="0046665C" w:rsidRPr="0024080D">
        <w:rPr>
          <w:rFonts w:cs="Times New Roman"/>
          <w:szCs w:val="28"/>
        </w:rPr>
        <w:t xml:space="preserve">%), </w:t>
      </w:r>
      <w:r w:rsidR="006D4863">
        <w:rPr>
          <w:rFonts w:cs="Times New Roman"/>
          <w:szCs w:val="28"/>
        </w:rPr>
        <w:t>Одеській</w:t>
      </w:r>
      <w:r w:rsidR="0046665C" w:rsidRPr="0024080D">
        <w:rPr>
          <w:rFonts w:cs="Times New Roman"/>
          <w:szCs w:val="28"/>
        </w:rPr>
        <w:t xml:space="preserve"> (</w:t>
      </w:r>
      <w:r w:rsidR="006D4863">
        <w:rPr>
          <w:rFonts w:cs="Times New Roman"/>
          <w:szCs w:val="28"/>
        </w:rPr>
        <w:t>25,0</w:t>
      </w:r>
      <w:r w:rsidR="0046665C" w:rsidRPr="0024080D">
        <w:rPr>
          <w:rFonts w:cs="Times New Roman"/>
          <w:szCs w:val="28"/>
        </w:rPr>
        <w:t>%) та Закарпатській (</w:t>
      </w:r>
      <w:r w:rsidR="006D4863">
        <w:rPr>
          <w:rFonts w:cs="Times New Roman"/>
          <w:szCs w:val="28"/>
        </w:rPr>
        <w:t>18,5</w:t>
      </w:r>
      <w:r w:rsidR="0046665C" w:rsidRPr="0024080D">
        <w:rPr>
          <w:rFonts w:cs="Times New Roman"/>
          <w:szCs w:val="28"/>
        </w:rPr>
        <w:t>%) областях.</w:t>
      </w:r>
    </w:p>
    <w:p w14:paraId="2ECBE0AB" w14:textId="7E7F6C0A" w:rsidR="0046665C" w:rsidRPr="0024080D" w:rsidRDefault="00832040" w:rsidP="0046665C">
      <w:pPr>
        <w:widowControl w:val="0"/>
        <w:pBdr>
          <w:top w:val="nil"/>
          <w:left w:val="nil"/>
          <w:bottom w:val="nil"/>
          <w:right w:val="nil"/>
          <w:between w:val="nil"/>
        </w:pBdr>
        <w:ind w:firstLine="0"/>
        <w:jc w:val="center"/>
        <w:rPr>
          <w:rFonts w:cs="Times New Roman"/>
          <w:szCs w:val="28"/>
        </w:rPr>
      </w:pPr>
      <w:r w:rsidRPr="00832040">
        <w:rPr>
          <w:rFonts w:cs="Times New Roman"/>
          <w:noProof/>
          <w:szCs w:val="28"/>
        </w:rPr>
        <w:drawing>
          <wp:inline distT="0" distB="0" distL="0" distR="0" wp14:anchorId="7960B28A" wp14:editId="6B4CC338">
            <wp:extent cx="5940425" cy="3762375"/>
            <wp:effectExtent l="0" t="0" r="3175" b="0"/>
            <wp:docPr id="99" name="Діаграма 99">
              <a:extLst xmlns:a="http://schemas.openxmlformats.org/drawingml/2006/main">
                <a:ext uri="{FF2B5EF4-FFF2-40B4-BE49-F238E27FC236}">
                  <a16:creationId xmlns:a16="http://schemas.microsoft.com/office/drawing/2014/main" id="{D7BED010-845F-4E86-A051-62FFF0E11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E76BB50" w14:textId="0932A416" w:rsidR="0046665C" w:rsidRPr="0024080D" w:rsidRDefault="0046665C" w:rsidP="00923862">
      <w:pPr>
        <w:widowControl w:val="0"/>
        <w:pBdr>
          <w:top w:val="nil"/>
          <w:left w:val="nil"/>
          <w:bottom w:val="nil"/>
          <w:right w:val="nil"/>
          <w:between w:val="nil"/>
        </w:pBdr>
        <w:spacing w:after="120" w:line="252" w:lineRule="auto"/>
        <w:ind w:firstLine="0"/>
        <w:jc w:val="center"/>
        <w:rPr>
          <w:rFonts w:cs="Times New Roman"/>
          <w:b/>
          <w:noProof/>
          <w:szCs w:val="28"/>
        </w:rPr>
      </w:pPr>
      <w:r w:rsidRPr="0024080D">
        <w:rPr>
          <w:rFonts w:cs="Times New Roman"/>
          <w:b/>
          <w:szCs w:val="28"/>
        </w:rPr>
        <w:t>Рисунок </w:t>
      </w:r>
      <w:r w:rsidR="00B66A87">
        <w:rPr>
          <w:rFonts w:cs="Times New Roman"/>
          <w:b/>
          <w:szCs w:val="28"/>
        </w:rPr>
        <w:t>4.9</w:t>
      </w:r>
      <w:r w:rsidRPr="0024080D">
        <w:rPr>
          <w:rFonts w:cs="Times New Roman"/>
          <w:b/>
          <w:szCs w:val="28"/>
        </w:rPr>
        <w:t xml:space="preserve">. Результати </w:t>
      </w:r>
      <w:r w:rsidR="008B425D" w:rsidRPr="0024080D">
        <w:rPr>
          <w:rFonts w:cs="Times New Roman"/>
          <w:b/>
          <w:szCs w:val="28"/>
        </w:rPr>
        <w:t xml:space="preserve">лікування </w:t>
      </w:r>
      <w:r w:rsidRPr="0024080D">
        <w:rPr>
          <w:rFonts w:cs="Times New Roman"/>
          <w:b/>
          <w:szCs w:val="28"/>
        </w:rPr>
        <w:t>повторн</w:t>
      </w:r>
      <w:r w:rsidR="003436C2" w:rsidRPr="0024080D">
        <w:rPr>
          <w:rFonts w:cs="Times New Roman"/>
          <w:b/>
          <w:szCs w:val="28"/>
        </w:rPr>
        <w:t xml:space="preserve">их випадків </w:t>
      </w:r>
      <w:r w:rsidRPr="0024080D">
        <w:rPr>
          <w:rFonts w:cs="Times New Roman"/>
          <w:b/>
          <w:szCs w:val="28"/>
        </w:rPr>
        <w:t xml:space="preserve">ТБ </w:t>
      </w:r>
      <w:r w:rsidRPr="0024080D">
        <w:rPr>
          <w:rFonts w:cs="Times New Roman"/>
          <w:b/>
          <w:szCs w:val="28"/>
        </w:rPr>
        <w:br/>
        <w:t>(крім рецидивів) за регіонами, когорта 20</w:t>
      </w:r>
      <w:r w:rsidR="006D4863">
        <w:rPr>
          <w:rFonts w:cs="Times New Roman"/>
          <w:b/>
          <w:szCs w:val="28"/>
        </w:rPr>
        <w:t>20</w:t>
      </w:r>
      <w:r w:rsidRPr="0024080D">
        <w:rPr>
          <w:rFonts w:cs="Times New Roman"/>
          <w:b/>
          <w:szCs w:val="28"/>
        </w:rPr>
        <w:t> р.</w:t>
      </w:r>
    </w:p>
    <w:p w14:paraId="0BFCD8F0" w14:textId="1C988DF0" w:rsidR="0046665C" w:rsidRPr="0024080D" w:rsidRDefault="0046665C" w:rsidP="00923862">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Серед випадків </w:t>
      </w:r>
      <w:proofErr w:type="spellStart"/>
      <w:r w:rsidRPr="0024080D">
        <w:rPr>
          <w:rFonts w:cs="Times New Roman"/>
          <w:szCs w:val="28"/>
        </w:rPr>
        <w:t>коінфекції</w:t>
      </w:r>
      <w:proofErr w:type="spellEnd"/>
      <w:r w:rsidRPr="0024080D">
        <w:rPr>
          <w:rFonts w:cs="Times New Roman"/>
          <w:szCs w:val="28"/>
        </w:rPr>
        <w:t xml:space="preserve"> ТБ/ВІЛ (нові та рецидиви) когорти 20</w:t>
      </w:r>
      <w:r w:rsidR="00220545">
        <w:rPr>
          <w:rFonts w:cs="Times New Roman"/>
          <w:szCs w:val="28"/>
        </w:rPr>
        <w:t>20</w:t>
      </w:r>
      <w:r w:rsidRPr="0024080D">
        <w:rPr>
          <w:rFonts w:cs="Times New Roman"/>
          <w:szCs w:val="28"/>
        </w:rPr>
        <w:t xml:space="preserve"> р. </w:t>
      </w:r>
      <w:r w:rsidR="007444E9">
        <w:rPr>
          <w:rFonts w:cs="Times New Roman"/>
          <w:szCs w:val="28"/>
        </w:rPr>
        <w:t xml:space="preserve">в жодному регіоні не </w:t>
      </w:r>
      <w:r w:rsidRPr="0024080D">
        <w:rPr>
          <w:rFonts w:cs="Times New Roman"/>
          <w:szCs w:val="28"/>
        </w:rPr>
        <w:t>досягнуто цільового показника ефективності лікування</w:t>
      </w:r>
      <w:r w:rsidR="007444E9">
        <w:rPr>
          <w:rFonts w:cs="Times New Roman"/>
          <w:szCs w:val="28"/>
        </w:rPr>
        <w:t xml:space="preserve">. </w:t>
      </w:r>
      <w:r w:rsidRPr="0024080D">
        <w:rPr>
          <w:rFonts w:cs="Times New Roman"/>
          <w:szCs w:val="28"/>
        </w:rPr>
        <w:t xml:space="preserve">У </w:t>
      </w:r>
      <w:r w:rsidR="007444E9">
        <w:rPr>
          <w:rFonts w:cs="Times New Roman"/>
          <w:szCs w:val="28"/>
        </w:rPr>
        <w:t xml:space="preserve">двох </w:t>
      </w:r>
      <w:r w:rsidRPr="0024080D">
        <w:rPr>
          <w:rFonts w:cs="Times New Roman"/>
          <w:szCs w:val="28"/>
        </w:rPr>
        <w:t>регіон</w:t>
      </w:r>
      <w:r w:rsidR="007444E9">
        <w:rPr>
          <w:rFonts w:cs="Times New Roman"/>
          <w:szCs w:val="28"/>
        </w:rPr>
        <w:t>ах</w:t>
      </w:r>
      <w:r w:rsidRPr="0024080D">
        <w:rPr>
          <w:rFonts w:cs="Times New Roman"/>
          <w:szCs w:val="28"/>
        </w:rPr>
        <w:t xml:space="preserve"> ефективність лікування серед випадків </w:t>
      </w:r>
      <w:proofErr w:type="spellStart"/>
      <w:r w:rsidRPr="0024080D">
        <w:rPr>
          <w:rFonts w:cs="Times New Roman"/>
          <w:szCs w:val="28"/>
        </w:rPr>
        <w:t>коінфекції</w:t>
      </w:r>
      <w:proofErr w:type="spellEnd"/>
      <w:r w:rsidRPr="0024080D">
        <w:rPr>
          <w:rFonts w:cs="Times New Roman"/>
          <w:szCs w:val="28"/>
        </w:rPr>
        <w:t xml:space="preserve"> ТБ/ВІЛ </w:t>
      </w:r>
      <w:r w:rsidR="000A36FF">
        <w:rPr>
          <w:rFonts w:cs="Times New Roman"/>
          <w:szCs w:val="28"/>
        </w:rPr>
        <w:t>була</w:t>
      </w:r>
      <w:r w:rsidRPr="0024080D">
        <w:rPr>
          <w:rFonts w:cs="Times New Roman"/>
          <w:szCs w:val="28"/>
        </w:rPr>
        <w:t xml:space="preserve"> </w:t>
      </w:r>
      <w:r w:rsidR="007444E9">
        <w:rPr>
          <w:rFonts w:cs="Times New Roman"/>
          <w:szCs w:val="28"/>
        </w:rPr>
        <w:t>більше 80</w:t>
      </w:r>
      <w:r w:rsidRPr="0024080D">
        <w:rPr>
          <w:rFonts w:cs="Times New Roman"/>
          <w:szCs w:val="28"/>
        </w:rPr>
        <w:t>% (</w:t>
      </w:r>
      <w:r w:rsidR="007575FF">
        <w:rPr>
          <w:rFonts w:cs="Times New Roman"/>
          <w:szCs w:val="28"/>
        </w:rPr>
        <w:t>Миколаївська та Івано</w:t>
      </w:r>
      <w:r w:rsidR="000A36FF">
        <w:rPr>
          <w:rFonts w:cs="Times New Roman"/>
          <w:szCs w:val="28"/>
        </w:rPr>
        <w:t>-Ф</w:t>
      </w:r>
      <w:r w:rsidR="007575FF">
        <w:rPr>
          <w:rFonts w:cs="Times New Roman"/>
          <w:szCs w:val="28"/>
        </w:rPr>
        <w:t>ранківська</w:t>
      </w:r>
      <w:r w:rsidRPr="0024080D">
        <w:rPr>
          <w:rFonts w:cs="Times New Roman"/>
          <w:szCs w:val="28"/>
        </w:rPr>
        <w:t xml:space="preserve"> області)</w:t>
      </w:r>
      <w:r w:rsidR="000A36FF">
        <w:rPr>
          <w:rFonts w:cs="Times New Roman"/>
          <w:szCs w:val="28"/>
        </w:rPr>
        <w:t xml:space="preserve">, найнижчі </w:t>
      </w:r>
      <w:r w:rsidR="000A36FF">
        <w:rPr>
          <w:rFonts w:cs="Times New Roman"/>
          <w:szCs w:val="28"/>
        </w:rPr>
        <w:lastRenderedPageBreak/>
        <w:t>показники</w:t>
      </w:r>
      <w:r w:rsidRPr="0024080D">
        <w:rPr>
          <w:rFonts w:cs="Times New Roman"/>
          <w:szCs w:val="28"/>
        </w:rPr>
        <w:t xml:space="preserve"> до </w:t>
      </w:r>
      <w:r w:rsidR="000A36FF">
        <w:rPr>
          <w:rFonts w:cs="Times New Roman"/>
          <w:szCs w:val="28"/>
        </w:rPr>
        <w:t>55,5</w:t>
      </w:r>
      <w:r w:rsidRPr="0024080D">
        <w:rPr>
          <w:rFonts w:cs="Times New Roman"/>
          <w:szCs w:val="28"/>
        </w:rPr>
        <w:t xml:space="preserve">% </w:t>
      </w:r>
      <w:r w:rsidR="000A36FF">
        <w:rPr>
          <w:rFonts w:cs="Times New Roman"/>
          <w:szCs w:val="28"/>
        </w:rPr>
        <w:t>у Київській та Херсонській областях</w:t>
      </w:r>
      <w:r w:rsidRPr="0024080D">
        <w:rPr>
          <w:rFonts w:cs="Times New Roman"/>
          <w:szCs w:val="28"/>
        </w:rPr>
        <w:t xml:space="preserve">. </w:t>
      </w:r>
    </w:p>
    <w:p w14:paraId="7E1B1FBD" w14:textId="5A5D0FF5" w:rsidR="0046665C" w:rsidRPr="0024080D" w:rsidRDefault="0046665C" w:rsidP="00923862">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В </w:t>
      </w:r>
      <w:r w:rsidR="007A038B">
        <w:rPr>
          <w:rFonts w:cs="Times New Roman"/>
          <w:szCs w:val="28"/>
        </w:rPr>
        <w:t xml:space="preserve">одинадцяти </w:t>
      </w:r>
      <w:r w:rsidRPr="0024080D">
        <w:rPr>
          <w:rFonts w:cs="Times New Roman"/>
          <w:szCs w:val="28"/>
        </w:rPr>
        <w:t>регіон</w:t>
      </w:r>
      <w:r w:rsidR="007A038B">
        <w:rPr>
          <w:rFonts w:cs="Times New Roman"/>
          <w:szCs w:val="28"/>
        </w:rPr>
        <w:t>ах</w:t>
      </w:r>
      <w:r w:rsidRPr="0024080D">
        <w:rPr>
          <w:rFonts w:cs="Times New Roman"/>
          <w:szCs w:val="28"/>
        </w:rPr>
        <w:t xml:space="preserve"> досягнуто цільових показників невдачі лікування на рівні рекомендованих 3–5%</w:t>
      </w:r>
      <w:r w:rsidR="007A038B">
        <w:rPr>
          <w:rFonts w:cs="Times New Roman"/>
          <w:szCs w:val="28"/>
        </w:rPr>
        <w:t>, але у Київській,</w:t>
      </w:r>
      <w:r w:rsidR="006C0AD5">
        <w:rPr>
          <w:rFonts w:cs="Times New Roman"/>
          <w:szCs w:val="28"/>
        </w:rPr>
        <w:t xml:space="preserve"> </w:t>
      </w:r>
      <w:r w:rsidR="007A038B">
        <w:rPr>
          <w:rFonts w:cs="Times New Roman"/>
          <w:szCs w:val="28"/>
        </w:rPr>
        <w:t xml:space="preserve">Луганській, </w:t>
      </w:r>
      <w:r w:rsidRPr="0024080D">
        <w:rPr>
          <w:rFonts w:cs="Times New Roman"/>
          <w:szCs w:val="28"/>
        </w:rPr>
        <w:t xml:space="preserve"> </w:t>
      </w:r>
      <w:r w:rsidR="006C0AD5">
        <w:rPr>
          <w:rFonts w:cs="Times New Roman"/>
          <w:szCs w:val="28"/>
        </w:rPr>
        <w:t xml:space="preserve">Рівненській та Хмельницькій </w:t>
      </w:r>
      <w:r w:rsidRPr="0024080D">
        <w:rPr>
          <w:rFonts w:cs="Times New Roman"/>
          <w:szCs w:val="28"/>
        </w:rPr>
        <w:t>област</w:t>
      </w:r>
      <w:r w:rsidR="006C0AD5">
        <w:rPr>
          <w:rFonts w:cs="Times New Roman"/>
          <w:szCs w:val="28"/>
        </w:rPr>
        <w:t>ях цей показник вищий за 10,9%</w:t>
      </w:r>
      <w:r w:rsidRPr="0024080D">
        <w:rPr>
          <w:rFonts w:cs="Times New Roman"/>
          <w:szCs w:val="28"/>
        </w:rPr>
        <w:t xml:space="preserve">. </w:t>
      </w:r>
    </w:p>
    <w:p w14:paraId="719D8A78" w14:textId="0F03F7CE" w:rsidR="0046665C" w:rsidRPr="0024080D" w:rsidRDefault="00A61F1E" w:rsidP="00923862">
      <w:pPr>
        <w:widowControl w:val="0"/>
        <w:pBdr>
          <w:top w:val="nil"/>
          <w:left w:val="nil"/>
          <w:bottom w:val="nil"/>
          <w:right w:val="nil"/>
          <w:between w:val="nil"/>
        </w:pBdr>
        <w:spacing w:line="252" w:lineRule="auto"/>
        <w:rPr>
          <w:rFonts w:cs="Times New Roman"/>
          <w:szCs w:val="28"/>
        </w:rPr>
      </w:pPr>
      <w:r>
        <w:rPr>
          <w:rFonts w:cs="Times New Roman"/>
          <w:szCs w:val="28"/>
        </w:rPr>
        <w:t>Л</w:t>
      </w:r>
      <w:r w:rsidR="0046665C" w:rsidRPr="0024080D">
        <w:rPr>
          <w:rFonts w:cs="Times New Roman"/>
          <w:szCs w:val="28"/>
        </w:rPr>
        <w:t>етальн</w:t>
      </w:r>
      <w:r>
        <w:rPr>
          <w:rFonts w:cs="Times New Roman"/>
          <w:szCs w:val="28"/>
        </w:rPr>
        <w:t>і</w:t>
      </w:r>
      <w:r w:rsidR="0046665C" w:rsidRPr="0024080D">
        <w:rPr>
          <w:rFonts w:cs="Times New Roman"/>
          <w:szCs w:val="28"/>
        </w:rPr>
        <w:t xml:space="preserve"> </w:t>
      </w:r>
      <w:r w:rsidRPr="0024080D">
        <w:rPr>
          <w:rFonts w:cs="Times New Roman"/>
          <w:szCs w:val="28"/>
        </w:rPr>
        <w:t>наслідки</w:t>
      </w:r>
      <w:r w:rsidR="0046665C" w:rsidRPr="0024080D">
        <w:rPr>
          <w:rFonts w:cs="Times New Roman"/>
          <w:szCs w:val="28"/>
        </w:rPr>
        <w:t xml:space="preserve"> серед випадків </w:t>
      </w:r>
      <w:proofErr w:type="spellStart"/>
      <w:r w:rsidR="0046665C" w:rsidRPr="0024080D">
        <w:rPr>
          <w:rFonts w:cs="Times New Roman"/>
          <w:szCs w:val="28"/>
        </w:rPr>
        <w:t>коінфекції</w:t>
      </w:r>
      <w:proofErr w:type="spellEnd"/>
      <w:r w:rsidR="0046665C" w:rsidRPr="0024080D">
        <w:rPr>
          <w:rFonts w:cs="Times New Roman"/>
          <w:szCs w:val="28"/>
        </w:rPr>
        <w:t xml:space="preserve"> ТБ/ВІЛ (нові та рецидиви) в когорті 20</w:t>
      </w:r>
      <w:r>
        <w:rPr>
          <w:rFonts w:cs="Times New Roman"/>
          <w:szCs w:val="28"/>
        </w:rPr>
        <w:t>20</w:t>
      </w:r>
      <w:r w:rsidR="0046665C" w:rsidRPr="0024080D">
        <w:rPr>
          <w:rFonts w:cs="Times New Roman"/>
          <w:szCs w:val="28"/>
        </w:rPr>
        <w:t xml:space="preserve"> р. </w:t>
      </w:r>
      <w:r>
        <w:rPr>
          <w:rFonts w:cs="Times New Roman"/>
          <w:szCs w:val="28"/>
        </w:rPr>
        <w:t xml:space="preserve">відповідно до цільового показника (5%) не зареєстровано в жодному регіоні. Найнижче значення цього </w:t>
      </w:r>
      <w:r w:rsidR="0046665C" w:rsidRPr="0024080D">
        <w:rPr>
          <w:rFonts w:cs="Times New Roman"/>
          <w:szCs w:val="28"/>
        </w:rPr>
        <w:t>показник</w:t>
      </w:r>
      <w:r>
        <w:rPr>
          <w:rFonts w:cs="Times New Roman"/>
          <w:szCs w:val="28"/>
        </w:rPr>
        <w:t>а</w:t>
      </w:r>
      <w:r w:rsidR="0046665C" w:rsidRPr="0024080D">
        <w:rPr>
          <w:rFonts w:cs="Times New Roman"/>
          <w:szCs w:val="28"/>
        </w:rPr>
        <w:t xml:space="preserve"> у </w:t>
      </w:r>
      <w:r>
        <w:rPr>
          <w:rFonts w:cs="Times New Roman"/>
          <w:szCs w:val="28"/>
        </w:rPr>
        <w:t xml:space="preserve">Закарпатській області </w:t>
      </w:r>
      <w:r w:rsidR="0046665C" w:rsidRPr="0024080D">
        <w:rPr>
          <w:rFonts w:cs="Times New Roman"/>
          <w:szCs w:val="28"/>
        </w:rPr>
        <w:t>(</w:t>
      </w:r>
      <w:r>
        <w:rPr>
          <w:rFonts w:cs="Times New Roman"/>
          <w:szCs w:val="28"/>
        </w:rPr>
        <w:t>7,1</w:t>
      </w:r>
      <w:r w:rsidR="0046665C" w:rsidRPr="0024080D">
        <w:rPr>
          <w:rFonts w:cs="Times New Roman"/>
          <w:szCs w:val="28"/>
        </w:rPr>
        <w:t xml:space="preserve">%); в решті регіонів значення цього показника коливалось від </w:t>
      </w:r>
      <w:r>
        <w:rPr>
          <w:rFonts w:cs="Times New Roman"/>
          <w:szCs w:val="28"/>
        </w:rPr>
        <w:t>11,8</w:t>
      </w:r>
      <w:r w:rsidR="0046665C" w:rsidRPr="0024080D">
        <w:rPr>
          <w:rFonts w:cs="Times New Roman"/>
          <w:szCs w:val="28"/>
        </w:rPr>
        <w:t>% (</w:t>
      </w:r>
      <w:r>
        <w:rPr>
          <w:rFonts w:cs="Times New Roman"/>
          <w:szCs w:val="28"/>
        </w:rPr>
        <w:t>Тернопільська область</w:t>
      </w:r>
      <w:r w:rsidR="0046665C" w:rsidRPr="0024080D">
        <w:rPr>
          <w:rFonts w:cs="Times New Roman"/>
          <w:szCs w:val="28"/>
        </w:rPr>
        <w:t xml:space="preserve">) до </w:t>
      </w:r>
      <w:r w:rsidR="00285A70">
        <w:rPr>
          <w:rFonts w:cs="Times New Roman"/>
          <w:szCs w:val="28"/>
        </w:rPr>
        <w:t>37,5</w:t>
      </w:r>
      <w:r w:rsidR="0046665C" w:rsidRPr="0024080D">
        <w:rPr>
          <w:rFonts w:cs="Times New Roman"/>
          <w:szCs w:val="28"/>
        </w:rPr>
        <w:t>% (</w:t>
      </w:r>
      <w:r w:rsidR="00285A70">
        <w:rPr>
          <w:rFonts w:cs="Times New Roman"/>
          <w:szCs w:val="28"/>
        </w:rPr>
        <w:t xml:space="preserve">Чернівецька </w:t>
      </w:r>
      <w:r w:rsidR="0046665C" w:rsidRPr="0024080D">
        <w:rPr>
          <w:rFonts w:cs="Times New Roman"/>
          <w:szCs w:val="28"/>
        </w:rPr>
        <w:t>область).</w:t>
      </w:r>
    </w:p>
    <w:p w14:paraId="43D624B1" w14:textId="20E7A900" w:rsidR="0046665C" w:rsidRPr="0024080D" w:rsidRDefault="0046665C" w:rsidP="00923862">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Не зареєстровано випадків ВПС серед осіб з </w:t>
      </w:r>
      <w:proofErr w:type="spellStart"/>
      <w:r w:rsidRPr="0024080D">
        <w:rPr>
          <w:rFonts w:cs="Times New Roman"/>
          <w:szCs w:val="28"/>
        </w:rPr>
        <w:t>коінфекцією</w:t>
      </w:r>
      <w:proofErr w:type="spellEnd"/>
      <w:r w:rsidRPr="0024080D">
        <w:rPr>
          <w:rFonts w:cs="Times New Roman"/>
          <w:szCs w:val="28"/>
        </w:rPr>
        <w:t xml:space="preserve"> ТБ/ВІЛ (нові та рецидиви) в </w:t>
      </w:r>
      <w:r w:rsidR="006E7ED2">
        <w:rPr>
          <w:rFonts w:cs="Times New Roman"/>
          <w:szCs w:val="28"/>
        </w:rPr>
        <w:t>Рівненській</w:t>
      </w:r>
      <w:r w:rsidRPr="0024080D">
        <w:rPr>
          <w:rFonts w:cs="Times New Roman"/>
          <w:szCs w:val="28"/>
        </w:rPr>
        <w:t xml:space="preserve"> та Чернівецькій (0%) областях, в решті регіонів значення цього показника коливалося від </w:t>
      </w:r>
      <w:r w:rsidR="006E7ED2">
        <w:rPr>
          <w:rFonts w:cs="Times New Roman"/>
          <w:szCs w:val="28"/>
        </w:rPr>
        <w:t>1,7</w:t>
      </w:r>
      <w:r w:rsidRPr="0024080D">
        <w:rPr>
          <w:rFonts w:cs="Times New Roman"/>
          <w:szCs w:val="28"/>
        </w:rPr>
        <w:t>% (Львівська област</w:t>
      </w:r>
      <w:r w:rsidR="006E7ED2">
        <w:rPr>
          <w:rFonts w:cs="Times New Roman"/>
          <w:szCs w:val="28"/>
        </w:rPr>
        <w:t>ь</w:t>
      </w:r>
      <w:r w:rsidRPr="0024080D">
        <w:rPr>
          <w:rFonts w:cs="Times New Roman"/>
          <w:szCs w:val="28"/>
        </w:rPr>
        <w:t xml:space="preserve">) до </w:t>
      </w:r>
      <w:r w:rsidR="006E7ED2">
        <w:rPr>
          <w:rFonts w:cs="Times New Roman"/>
          <w:szCs w:val="28"/>
        </w:rPr>
        <w:t>21</w:t>
      </w:r>
      <w:r w:rsidRPr="0024080D">
        <w:rPr>
          <w:rFonts w:cs="Times New Roman"/>
          <w:szCs w:val="28"/>
        </w:rPr>
        <w:t xml:space="preserve">,4% (Закарпатська область). </w:t>
      </w:r>
    </w:p>
    <w:p w14:paraId="094A60F6" w14:textId="591DBA21" w:rsidR="0046665C" w:rsidRPr="0024080D" w:rsidRDefault="007444E9" w:rsidP="0046665C">
      <w:pPr>
        <w:widowControl w:val="0"/>
        <w:pBdr>
          <w:top w:val="nil"/>
          <w:left w:val="nil"/>
          <w:bottom w:val="nil"/>
          <w:right w:val="nil"/>
          <w:between w:val="nil"/>
        </w:pBdr>
        <w:ind w:firstLine="0"/>
        <w:jc w:val="center"/>
        <w:rPr>
          <w:rFonts w:cs="Times New Roman"/>
          <w:szCs w:val="28"/>
        </w:rPr>
      </w:pPr>
      <w:r w:rsidRPr="007444E9">
        <w:rPr>
          <w:rFonts w:cs="Times New Roman"/>
          <w:noProof/>
          <w:szCs w:val="28"/>
        </w:rPr>
        <w:drawing>
          <wp:inline distT="0" distB="0" distL="0" distR="0" wp14:anchorId="647A6D7C" wp14:editId="74078E4A">
            <wp:extent cx="5940425" cy="3267075"/>
            <wp:effectExtent l="0" t="0" r="3175" b="0"/>
            <wp:docPr id="100" name="Діаграма 100">
              <a:extLst xmlns:a="http://schemas.openxmlformats.org/drawingml/2006/main">
                <a:ext uri="{FF2B5EF4-FFF2-40B4-BE49-F238E27FC236}">
                  <a16:creationId xmlns:a16="http://schemas.microsoft.com/office/drawing/2014/main" id="{D7BED010-845F-4E86-A051-62FFF0E11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5767BDC" w14:textId="323D4CEE" w:rsidR="0046665C" w:rsidRPr="0024080D" w:rsidRDefault="0046665C" w:rsidP="00923862">
      <w:pPr>
        <w:widowControl w:val="0"/>
        <w:pBdr>
          <w:top w:val="nil"/>
          <w:left w:val="nil"/>
          <w:bottom w:val="nil"/>
          <w:right w:val="nil"/>
          <w:between w:val="nil"/>
        </w:pBdr>
        <w:spacing w:before="120" w:after="120" w:line="228" w:lineRule="auto"/>
        <w:ind w:firstLine="0"/>
        <w:jc w:val="center"/>
        <w:rPr>
          <w:rFonts w:cs="Times New Roman"/>
          <w:b/>
          <w:szCs w:val="28"/>
        </w:rPr>
      </w:pPr>
      <w:r w:rsidRPr="0024080D">
        <w:rPr>
          <w:rFonts w:cs="Times New Roman"/>
          <w:b/>
          <w:szCs w:val="28"/>
        </w:rPr>
        <w:t>Рисунок </w:t>
      </w:r>
      <w:r w:rsidR="00B66A87">
        <w:rPr>
          <w:rFonts w:cs="Times New Roman"/>
          <w:b/>
          <w:szCs w:val="28"/>
        </w:rPr>
        <w:t>4.10</w:t>
      </w:r>
      <w:r w:rsidRPr="0024080D">
        <w:rPr>
          <w:rFonts w:cs="Times New Roman"/>
          <w:b/>
          <w:szCs w:val="28"/>
        </w:rPr>
        <w:t xml:space="preserve">. Результати лікування випадків </w:t>
      </w:r>
      <w:proofErr w:type="spellStart"/>
      <w:r w:rsidRPr="0024080D">
        <w:rPr>
          <w:rFonts w:cs="Times New Roman"/>
          <w:b/>
          <w:szCs w:val="28"/>
        </w:rPr>
        <w:t>коінфекції</w:t>
      </w:r>
      <w:proofErr w:type="spellEnd"/>
      <w:r w:rsidRPr="0024080D">
        <w:rPr>
          <w:rFonts w:cs="Times New Roman"/>
          <w:b/>
          <w:szCs w:val="28"/>
        </w:rPr>
        <w:t xml:space="preserve"> ТБ/ВІЛ </w:t>
      </w:r>
      <w:r w:rsidRPr="0024080D">
        <w:rPr>
          <w:rFonts w:cs="Times New Roman"/>
          <w:b/>
          <w:szCs w:val="28"/>
        </w:rPr>
        <w:br/>
        <w:t>(нові та рецидиви) за регіонами, когорта 20</w:t>
      </w:r>
      <w:r w:rsidR="007444E9">
        <w:rPr>
          <w:rFonts w:cs="Times New Roman"/>
          <w:b/>
          <w:szCs w:val="28"/>
        </w:rPr>
        <w:t>20</w:t>
      </w:r>
      <w:r w:rsidRPr="0024080D">
        <w:rPr>
          <w:rFonts w:cs="Times New Roman"/>
          <w:b/>
          <w:szCs w:val="28"/>
        </w:rPr>
        <w:t> р.</w:t>
      </w:r>
    </w:p>
    <w:p w14:paraId="2D7A6D22" w14:textId="4BA31E5D" w:rsidR="0046665C" w:rsidRPr="0024080D" w:rsidRDefault="0046665C" w:rsidP="00923862">
      <w:pPr>
        <w:widowControl w:val="0"/>
        <w:pBdr>
          <w:top w:val="nil"/>
          <w:left w:val="nil"/>
          <w:bottom w:val="nil"/>
          <w:right w:val="nil"/>
          <w:between w:val="nil"/>
        </w:pBdr>
        <w:spacing w:line="228" w:lineRule="auto"/>
        <w:rPr>
          <w:rFonts w:cs="Times New Roman"/>
          <w:szCs w:val="28"/>
        </w:rPr>
      </w:pPr>
      <w:r w:rsidRPr="0024080D">
        <w:rPr>
          <w:rFonts w:cs="Times New Roman"/>
          <w:szCs w:val="28"/>
        </w:rPr>
        <w:t xml:space="preserve">З кожним роком показники ефективності лікування дітей покращуються. </w:t>
      </w:r>
      <w:r w:rsidR="00DE1C38">
        <w:rPr>
          <w:rFonts w:cs="Times New Roman"/>
          <w:szCs w:val="28"/>
        </w:rPr>
        <w:t xml:space="preserve">Але у </w:t>
      </w:r>
      <w:r w:rsidRPr="0024080D">
        <w:rPr>
          <w:rFonts w:cs="Times New Roman"/>
          <w:szCs w:val="28"/>
        </w:rPr>
        <w:t xml:space="preserve"> 2020 р. загальний показник по Україні становить </w:t>
      </w:r>
      <w:r w:rsidR="00DE1C38">
        <w:rPr>
          <w:rFonts w:cs="Times New Roman"/>
          <w:szCs w:val="28"/>
        </w:rPr>
        <w:t xml:space="preserve">95,8% проти </w:t>
      </w:r>
      <w:r w:rsidRPr="0024080D">
        <w:rPr>
          <w:rFonts w:cs="Times New Roman"/>
          <w:szCs w:val="28"/>
        </w:rPr>
        <w:t>96,7%</w:t>
      </w:r>
      <w:r w:rsidR="00DE1C38">
        <w:rPr>
          <w:rFonts w:cs="Times New Roman"/>
          <w:szCs w:val="28"/>
        </w:rPr>
        <w:t xml:space="preserve"> у 2019 році</w:t>
      </w:r>
      <w:r w:rsidRPr="0024080D">
        <w:rPr>
          <w:rFonts w:cs="Times New Roman"/>
          <w:szCs w:val="28"/>
        </w:rPr>
        <w:t xml:space="preserve">. За </w:t>
      </w:r>
      <w:r w:rsidR="00DE1C38">
        <w:rPr>
          <w:rFonts w:cs="Times New Roman"/>
          <w:szCs w:val="28"/>
        </w:rPr>
        <w:t>2020 рік</w:t>
      </w:r>
      <w:r w:rsidRPr="0024080D">
        <w:rPr>
          <w:rFonts w:cs="Times New Roman"/>
          <w:szCs w:val="28"/>
        </w:rPr>
        <w:t xml:space="preserve"> </w:t>
      </w:r>
      <w:r w:rsidR="00DE1C38">
        <w:rPr>
          <w:rFonts w:cs="Times New Roman"/>
          <w:szCs w:val="28"/>
        </w:rPr>
        <w:t>було</w:t>
      </w:r>
      <w:r w:rsidRPr="0024080D">
        <w:rPr>
          <w:rFonts w:cs="Times New Roman"/>
          <w:szCs w:val="28"/>
        </w:rPr>
        <w:t xml:space="preserve"> </w:t>
      </w:r>
      <w:r w:rsidR="00DE1C38">
        <w:rPr>
          <w:rFonts w:cs="Times New Roman"/>
          <w:szCs w:val="28"/>
        </w:rPr>
        <w:t>5</w:t>
      </w:r>
      <w:r w:rsidRPr="0024080D">
        <w:rPr>
          <w:rFonts w:cs="Times New Roman"/>
          <w:szCs w:val="28"/>
        </w:rPr>
        <w:t xml:space="preserve"> летальних наслідків серед дітей у п’яти регіонах України – </w:t>
      </w:r>
      <w:r w:rsidR="00DE1C38">
        <w:rPr>
          <w:rFonts w:cs="Times New Roman"/>
          <w:szCs w:val="28"/>
        </w:rPr>
        <w:t>Вінницькому, Волинському</w:t>
      </w:r>
      <w:r w:rsidRPr="0024080D">
        <w:rPr>
          <w:rFonts w:cs="Times New Roman"/>
          <w:szCs w:val="28"/>
        </w:rPr>
        <w:t xml:space="preserve">, </w:t>
      </w:r>
      <w:r w:rsidR="00DE1C38">
        <w:rPr>
          <w:rFonts w:cs="Times New Roman"/>
          <w:szCs w:val="28"/>
        </w:rPr>
        <w:t xml:space="preserve">Донецькому, </w:t>
      </w:r>
      <w:r w:rsidRPr="0024080D">
        <w:rPr>
          <w:rFonts w:cs="Times New Roman"/>
          <w:szCs w:val="28"/>
        </w:rPr>
        <w:t xml:space="preserve">Одеському та </w:t>
      </w:r>
      <w:r w:rsidR="00DE1C38">
        <w:rPr>
          <w:rFonts w:cs="Times New Roman"/>
          <w:szCs w:val="28"/>
        </w:rPr>
        <w:t>Рівненськ</w:t>
      </w:r>
      <w:r w:rsidRPr="0024080D">
        <w:rPr>
          <w:rFonts w:cs="Times New Roman"/>
          <w:szCs w:val="28"/>
        </w:rPr>
        <w:t xml:space="preserve">ому. </w:t>
      </w:r>
    </w:p>
    <w:p w14:paraId="4CB96C65" w14:textId="46CFCAB7" w:rsidR="0046665C" w:rsidRPr="0024080D" w:rsidRDefault="00DE1C38" w:rsidP="0046665C">
      <w:pPr>
        <w:widowControl w:val="0"/>
        <w:pBdr>
          <w:top w:val="nil"/>
          <w:left w:val="nil"/>
          <w:bottom w:val="nil"/>
          <w:right w:val="nil"/>
          <w:between w:val="nil"/>
        </w:pBdr>
        <w:ind w:firstLine="0"/>
        <w:jc w:val="center"/>
        <w:rPr>
          <w:rFonts w:cs="Times New Roman"/>
          <w:szCs w:val="28"/>
        </w:rPr>
      </w:pPr>
      <w:r w:rsidRPr="00DE1C38">
        <w:rPr>
          <w:rFonts w:cs="Times New Roman"/>
          <w:noProof/>
          <w:szCs w:val="28"/>
        </w:rPr>
        <w:lastRenderedPageBreak/>
        <w:drawing>
          <wp:inline distT="0" distB="0" distL="0" distR="0" wp14:anchorId="2CA0B608" wp14:editId="407EF815">
            <wp:extent cx="5940425" cy="3200400"/>
            <wp:effectExtent l="0" t="0" r="3175" b="0"/>
            <wp:docPr id="101" name="Діаграма 101">
              <a:extLst xmlns:a="http://schemas.openxmlformats.org/drawingml/2006/main">
                <a:ext uri="{FF2B5EF4-FFF2-40B4-BE49-F238E27FC236}">
                  <a16:creationId xmlns:a16="http://schemas.microsoft.com/office/drawing/2014/main" id="{D7BED010-845F-4E86-A051-62FFF0E11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803DA1" w14:textId="0EC56736" w:rsidR="0046665C" w:rsidRPr="0024080D" w:rsidRDefault="0046665C" w:rsidP="0046665C">
      <w:pPr>
        <w:widowControl w:val="0"/>
        <w:pBdr>
          <w:top w:val="nil"/>
          <w:left w:val="nil"/>
          <w:bottom w:val="nil"/>
          <w:right w:val="nil"/>
          <w:between w:val="nil"/>
        </w:pBdr>
        <w:spacing w:after="120"/>
        <w:ind w:firstLine="0"/>
        <w:jc w:val="center"/>
        <w:rPr>
          <w:rFonts w:cs="Times New Roman"/>
          <w:b/>
          <w:szCs w:val="28"/>
        </w:rPr>
      </w:pPr>
      <w:r w:rsidRPr="0024080D">
        <w:rPr>
          <w:rFonts w:cs="Times New Roman"/>
          <w:b/>
          <w:szCs w:val="28"/>
        </w:rPr>
        <w:t>Рисунок </w:t>
      </w:r>
      <w:r w:rsidR="00B66A87">
        <w:rPr>
          <w:rFonts w:cs="Times New Roman"/>
          <w:b/>
          <w:szCs w:val="28"/>
        </w:rPr>
        <w:t>4.11</w:t>
      </w:r>
      <w:r w:rsidRPr="0024080D">
        <w:rPr>
          <w:rFonts w:cs="Times New Roman"/>
          <w:b/>
          <w:szCs w:val="28"/>
        </w:rPr>
        <w:t xml:space="preserve">. Результати лікування ТБ (нові та рецидиви) </w:t>
      </w:r>
      <w:r w:rsidRPr="0024080D">
        <w:rPr>
          <w:rFonts w:cs="Times New Roman"/>
          <w:b/>
          <w:szCs w:val="28"/>
        </w:rPr>
        <w:br/>
        <w:t>у дітей віком 0–14 років за регіонами, когорта 20</w:t>
      </w:r>
      <w:r w:rsidR="00DE1C38">
        <w:rPr>
          <w:rFonts w:cs="Times New Roman"/>
          <w:b/>
          <w:szCs w:val="28"/>
        </w:rPr>
        <w:t>20</w:t>
      </w:r>
      <w:r w:rsidRPr="0024080D">
        <w:rPr>
          <w:rFonts w:cs="Times New Roman"/>
          <w:b/>
          <w:szCs w:val="28"/>
        </w:rPr>
        <w:t> р.</w:t>
      </w:r>
    </w:p>
    <w:p w14:paraId="52C90248" w14:textId="77777777" w:rsidR="0046665C" w:rsidRPr="0024080D" w:rsidRDefault="0046665C" w:rsidP="00867039">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Наступним важливим показником ефективності протитуберкульозних заходів на рівні країни є ефективність лікування хворих на МЛС-ТБ. </w:t>
      </w:r>
    </w:p>
    <w:p w14:paraId="0469783A" w14:textId="77777777" w:rsidR="0046665C" w:rsidRPr="0024080D" w:rsidRDefault="0046665C" w:rsidP="00867039">
      <w:pPr>
        <w:widowControl w:val="0"/>
        <w:pBdr>
          <w:top w:val="nil"/>
          <w:left w:val="nil"/>
          <w:bottom w:val="nil"/>
          <w:right w:val="nil"/>
          <w:between w:val="nil"/>
        </w:pBdr>
        <w:spacing w:line="252" w:lineRule="auto"/>
        <w:rPr>
          <w:rFonts w:cs="Times New Roman"/>
          <w:szCs w:val="28"/>
        </w:rPr>
      </w:pPr>
      <w:r w:rsidRPr="0024080D">
        <w:rPr>
          <w:rFonts w:cs="Times New Roman"/>
          <w:szCs w:val="28"/>
        </w:rPr>
        <w:t xml:space="preserve">Відповідно до рекомендацій ВООЗ, ефективність лікування таких хворих має становити не менше 75%. У загальносвітовій когорті лікування хворих на МЛС-ТБ Україна посідає одне з останніх місць протягом останніх років. </w:t>
      </w:r>
    </w:p>
    <w:p w14:paraId="5D35EF82" w14:textId="1E56A3C5" w:rsidR="0046665C" w:rsidRPr="0024080D" w:rsidRDefault="0046665C" w:rsidP="00867039">
      <w:pPr>
        <w:widowControl w:val="0"/>
        <w:pBdr>
          <w:top w:val="nil"/>
          <w:left w:val="nil"/>
          <w:bottom w:val="nil"/>
          <w:right w:val="nil"/>
          <w:between w:val="nil"/>
        </w:pBdr>
        <w:spacing w:line="252" w:lineRule="auto"/>
        <w:rPr>
          <w:rFonts w:cs="Times New Roman"/>
          <w:szCs w:val="28"/>
        </w:rPr>
      </w:pPr>
      <w:r w:rsidRPr="0024080D">
        <w:rPr>
          <w:rFonts w:cs="Times New Roman"/>
          <w:szCs w:val="28"/>
        </w:rPr>
        <w:t>У когорті 201</w:t>
      </w:r>
      <w:r w:rsidR="006D72BD">
        <w:rPr>
          <w:rFonts w:cs="Times New Roman"/>
          <w:szCs w:val="28"/>
        </w:rPr>
        <w:t>9</w:t>
      </w:r>
      <w:r w:rsidRPr="0024080D">
        <w:rPr>
          <w:rFonts w:cs="Times New Roman"/>
          <w:szCs w:val="28"/>
        </w:rPr>
        <w:t xml:space="preserve"> р. ефективність лікування всіх випадків МЛС-ТБ становить </w:t>
      </w:r>
      <w:r w:rsidR="006D72BD">
        <w:rPr>
          <w:rFonts w:cs="Times New Roman"/>
          <w:szCs w:val="28"/>
        </w:rPr>
        <w:t>61,4</w:t>
      </w:r>
      <w:r w:rsidRPr="0024080D">
        <w:rPr>
          <w:rFonts w:cs="Times New Roman"/>
          <w:szCs w:val="28"/>
        </w:rPr>
        <w:t xml:space="preserve">%, що майже на </w:t>
      </w:r>
      <w:r w:rsidR="00280253">
        <w:rPr>
          <w:rFonts w:cs="Times New Roman"/>
          <w:szCs w:val="28"/>
        </w:rPr>
        <w:t>18% вище р</w:t>
      </w:r>
      <w:r w:rsidRPr="0024080D">
        <w:rPr>
          <w:rFonts w:cs="Times New Roman"/>
          <w:szCs w:val="28"/>
        </w:rPr>
        <w:t>івн</w:t>
      </w:r>
      <w:r w:rsidR="00280253">
        <w:rPr>
          <w:rFonts w:cs="Times New Roman"/>
          <w:szCs w:val="28"/>
        </w:rPr>
        <w:t>я</w:t>
      </w:r>
      <w:r w:rsidRPr="0024080D">
        <w:rPr>
          <w:rFonts w:cs="Times New Roman"/>
          <w:szCs w:val="28"/>
        </w:rPr>
        <w:t xml:space="preserve"> 201</w:t>
      </w:r>
      <w:r w:rsidR="00280253">
        <w:rPr>
          <w:rFonts w:cs="Times New Roman"/>
          <w:szCs w:val="28"/>
        </w:rPr>
        <w:t>8</w:t>
      </w:r>
      <w:r w:rsidRPr="0024080D">
        <w:rPr>
          <w:rFonts w:cs="Times New Roman"/>
          <w:szCs w:val="28"/>
        </w:rPr>
        <w:t> р. (5</w:t>
      </w:r>
      <w:r w:rsidR="006D72BD">
        <w:rPr>
          <w:rFonts w:cs="Times New Roman"/>
          <w:szCs w:val="28"/>
        </w:rPr>
        <w:t>0,5</w:t>
      </w:r>
      <w:r w:rsidRPr="0024080D">
        <w:rPr>
          <w:rFonts w:cs="Times New Roman"/>
          <w:szCs w:val="28"/>
        </w:rPr>
        <w:t>%). Найвищі показники зафіксовано у Кіровоградській (</w:t>
      </w:r>
      <w:r w:rsidR="00280253">
        <w:rPr>
          <w:rFonts w:cs="Times New Roman"/>
          <w:szCs w:val="28"/>
        </w:rPr>
        <w:t>71,1</w:t>
      </w:r>
      <w:r w:rsidRPr="0024080D">
        <w:rPr>
          <w:rFonts w:cs="Times New Roman"/>
          <w:szCs w:val="28"/>
        </w:rPr>
        <w:t>%), Житомирській (</w:t>
      </w:r>
      <w:r w:rsidR="00280253">
        <w:rPr>
          <w:rFonts w:cs="Times New Roman"/>
          <w:szCs w:val="28"/>
        </w:rPr>
        <w:t>69,8</w:t>
      </w:r>
      <w:r w:rsidRPr="0024080D">
        <w:rPr>
          <w:rFonts w:cs="Times New Roman"/>
          <w:szCs w:val="28"/>
        </w:rPr>
        <w:t xml:space="preserve">%) </w:t>
      </w:r>
      <w:r w:rsidR="00280253">
        <w:rPr>
          <w:rFonts w:cs="Times New Roman"/>
          <w:szCs w:val="28"/>
        </w:rPr>
        <w:t xml:space="preserve">та Вінницькій (69,3%) </w:t>
      </w:r>
      <w:r w:rsidRPr="0024080D">
        <w:rPr>
          <w:rFonts w:cs="Times New Roman"/>
          <w:szCs w:val="28"/>
        </w:rPr>
        <w:t>областях; найнижчі показники – в установах ДКВС України (</w:t>
      </w:r>
      <w:r w:rsidR="00280253">
        <w:rPr>
          <w:rFonts w:cs="Times New Roman"/>
          <w:szCs w:val="28"/>
        </w:rPr>
        <w:t>34,2</w:t>
      </w:r>
      <w:r w:rsidRPr="0024080D">
        <w:rPr>
          <w:rFonts w:cs="Times New Roman"/>
          <w:szCs w:val="28"/>
        </w:rPr>
        <w:t xml:space="preserve">%) та </w:t>
      </w:r>
      <w:r w:rsidR="00280253">
        <w:rPr>
          <w:rFonts w:cs="Times New Roman"/>
          <w:szCs w:val="28"/>
        </w:rPr>
        <w:t>Чернівецькій області</w:t>
      </w:r>
      <w:r w:rsidRPr="0024080D">
        <w:rPr>
          <w:rFonts w:cs="Times New Roman"/>
          <w:szCs w:val="28"/>
        </w:rPr>
        <w:t xml:space="preserve"> (</w:t>
      </w:r>
      <w:r w:rsidR="00280253">
        <w:rPr>
          <w:rFonts w:cs="Times New Roman"/>
          <w:szCs w:val="28"/>
        </w:rPr>
        <w:t>44,1</w:t>
      </w:r>
      <w:r w:rsidRPr="0024080D">
        <w:rPr>
          <w:rFonts w:cs="Times New Roman"/>
          <w:szCs w:val="28"/>
        </w:rPr>
        <w:t xml:space="preserve">%). </w:t>
      </w:r>
    </w:p>
    <w:p w14:paraId="79322F08" w14:textId="6B56A146" w:rsidR="0046665C" w:rsidRPr="0024080D" w:rsidRDefault="0046665C" w:rsidP="00867039">
      <w:pPr>
        <w:widowControl w:val="0"/>
        <w:pBdr>
          <w:top w:val="nil"/>
          <w:left w:val="nil"/>
          <w:bottom w:val="nil"/>
          <w:right w:val="nil"/>
          <w:between w:val="nil"/>
        </w:pBdr>
        <w:spacing w:line="252" w:lineRule="auto"/>
        <w:rPr>
          <w:rFonts w:cs="Times New Roman"/>
          <w:szCs w:val="28"/>
        </w:rPr>
      </w:pPr>
      <w:r w:rsidRPr="0024080D">
        <w:rPr>
          <w:rFonts w:cs="Times New Roman"/>
          <w:szCs w:val="28"/>
        </w:rPr>
        <w:t>У жодному з регіонів не досягнуто цільового значення у 3–5% показника ВПС (перерване лікування), а найвищий рівень ВПС виявлено в установах ДКВС України (</w:t>
      </w:r>
      <w:r w:rsidR="003C47B6">
        <w:rPr>
          <w:rFonts w:cs="Times New Roman"/>
          <w:szCs w:val="28"/>
        </w:rPr>
        <w:t>18,4</w:t>
      </w:r>
      <w:r w:rsidRPr="0024080D">
        <w:rPr>
          <w:rFonts w:cs="Times New Roman"/>
          <w:szCs w:val="28"/>
        </w:rPr>
        <w:t xml:space="preserve">%), у </w:t>
      </w:r>
      <w:r w:rsidR="003C47B6">
        <w:rPr>
          <w:rFonts w:cs="Times New Roman"/>
          <w:szCs w:val="28"/>
        </w:rPr>
        <w:t>Луганській</w:t>
      </w:r>
      <w:r w:rsidRPr="0024080D">
        <w:rPr>
          <w:rFonts w:cs="Times New Roman"/>
          <w:szCs w:val="28"/>
        </w:rPr>
        <w:t xml:space="preserve"> (</w:t>
      </w:r>
      <w:r w:rsidR="003C47B6">
        <w:rPr>
          <w:rFonts w:cs="Times New Roman"/>
          <w:szCs w:val="28"/>
        </w:rPr>
        <w:t>17,9</w:t>
      </w:r>
      <w:r w:rsidRPr="0024080D">
        <w:rPr>
          <w:rFonts w:cs="Times New Roman"/>
          <w:szCs w:val="28"/>
        </w:rPr>
        <w:t>%) та Чернівецькій (</w:t>
      </w:r>
      <w:r w:rsidR="003C47B6">
        <w:rPr>
          <w:rFonts w:cs="Times New Roman"/>
          <w:szCs w:val="28"/>
        </w:rPr>
        <w:t>25,0</w:t>
      </w:r>
      <w:r w:rsidRPr="0024080D">
        <w:rPr>
          <w:rFonts w:cs="Times New Roman"/>
          <w:szCs w:val="28"/>
        </w:rPr>
        <w:t xml:space="preserve">%) областях. </w:t>
      </w:r>
    </w:p>
    <w:p w14:paraId="154339D3" w14:textId="14D277F4" w:rsidR="0046665C" w:rsidRPr="0024080D" w:rsidRDefault="006D72BD" w:rsidP="0046665C">
      <w:pPr>
        <w:widowControl w:val="0"/>
        <w:pBdr>
          <w:top w:val="nil"/>
          <w:left w:val="nil"/>
          <w:bottom w:val="nil"/>
          <w:right w:val="nil"/>
          <w:between w:val="nil"/>
        </w:pBdr>
        <w:ind w:firstLine="0"/>
        <w:jc w:val="center"/>
        <w:rPr>
          <w:rFonts w:cs="Times New Roman"/>
          <w:b/>
          <w:szCs w:val="28"/>
        </w:rPr>
      </w:pPr>
      <w:r w:rsidRPr="006D72BD">
        <w:rPr>
          <w:rFonts w:cs="Times New Roman"/>
          <w:b/>
          <w:noProof/>
          <w:szCs w:val="28"/>
        </w:rPr>
        <w:lastRenderedPageBreak/>
        <w:drawing>
          <wp:inline distT="0" distB="0" distL="0" distR="0" wp14:anchorId="69509571" wp14:editId="2B62ABC1">
            <wp:extent cx="6105525" cy="3463290"/>
            <wp:effectExtent l="0" t="0" r="0" b="3810"/>
            <wp:docPr id="103" name="Діаграма 103">
              <a:extLst xmlns:a="http://schemas.openxmlformats.org/drawingml/2006/main">
                <a:ext uri="{FF2B5EF4-FFF2-40B4-BE49-F238E27FC236}">
                  <a16:creationId xmlns:a16="http://schemas.microsoft.com/office/drawing/2014/main" id="{A1ED3DC0-456D-43AA-B778-8FA9F934C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F0E0721" w14:textId="6F8D1562" w:rsidR="0046665C" w:rsidRPr="0024080D" w:rsidRDefault="0046665C" w:rsidP="00867039">
      <w:pPr>
        <w:widowControl w:val="0"/>
        <w:pBdr>
          <w:top w:val="nil"/>
          <w:left w:val="nil"/>
          <w:bottom w:val="nil"/>
          <w:right w:val="nil"/>
          <w:between w:val="nil"/>
        </w:pBdr>
        <w:spacing w:after="120" w:line="252" w:lineRule="auto"/>
        <w:ind w:firstLine="0"/>
        <w:jc w:val="center"/>
        <w:rPr>
          <w:rFonts w:cs="Times New Roman"/>
          <w:b/>
          <w:szCs w:val="28"/>
        </w:rPr>
      </w:pPr>
      <w:r w:rsidRPr="0024080D">
        <w:rPr>
          <w:rFonts w:cs="Times New Roman"/>
          <w:b/>
          <w:szCs w:val="28"/>
        </w:rPr>
        <w:t>Рисунок </w:t>
      </w:r>
      <w:r w:rsidR="00B66A87">
        <w:rPr>
          <w:rFonts w:cs="Times New Roman"/>
          <w:b/>
          <w:szCs w:val="28"/>
        </w:rPr>
        <w:t>4.12</w:t>
      </w:r>
      <w:r w:rsidRPr="0024080D">
        <w:rPr>
          <w:rFonts w:cs="Times New Roman"/>
          <w:b/>
          <w:szCs w:val="28"/>
        </w:rPr>
        <w:t xml:space="preserve">. Результати лікування всіх випадків МЛС-ТБ, </w:t>
      </w:r>
      <w:r w:rsidRPr="0024080D">
        <w:rPr>
          <w:rFonts w:cs="Times New Roman"/>
          <w:b/>
          <w:szCs w:val="28"/>
        </w:rPr>
        <w:br/>
        <w:t>когорта 201</w:t>
      </w:r>
      <w:r w:rsidR="006D72BD">
        <w:rPr>
          <w:rFonts w:cs="Times New Roman"/>
          <w:b/>
          <w:szCs w:val="28"/>
        </w:rPr>
        <w:t>9</w:t>
      </w:r>
      <w:r w:rsidRPr="0024080D">
        <w:rPr>
          <w:rFonts w:cs="Times New Roman"/>
          <w:b/>
          <w:szCs w:val="28"/>
        </w:rPr>
        <w:t> р.</w:t>
      </w:r>
    </w:p>
    <w:p w14:paraId="39BA82C9" w14:textId="7575E7D2" w:rsidR="0046665C" w:rsidRPr="0024080D" w:rsidRDefault="0046665C" w:rsidP="0046665C">
      <w:pPr>
        <w:widowControl w:val="0"/>
        <w:pBdr>
          <w:top w:val="nil"/>
          <w:left w:val="nil"/>
          <w:bottom w:val="nil"/>
          <w:right w:val="nil"/>
          <w:between w:val="nil"/>
        </w:pBdr>
        <w:tabs>
          <w:tab w:val="left" w:pos="5529"/>
        </w:tabs>
        <w:ind w:firstLine="0"/>
        <w:jc w:val="center"/>
        <w:rPr>
          <w:rFonts w:cs="Times New Roman"/>
          <w:b/>
          <w:szCs w:val="28"/>
        </w:rPr>
      </w:pPr>
    </w:p>
    <w:p w14:paraId="24C27A70" w14:textId="77777777" w:rsidR="006A6FB5" w:rsidRPr="0024080D" w:rsidRDefault="006A6FB5">
      <w:pPr>
        <w:spacing w:line="276" w:lineRule="auto"/>
        <w:ind w:firstLine="0"/>
        <w:jc w:val="left"/>
        <w:rPr>
          <w:rFonts w:cs="Times New Roman"/>
          <w:b/>
          <w:caps/>
          <w:szCs w:val="28"/>
        </w:rPr>
      </w:pPr>
      <w:r w:rsidRPr="0024080D">
        <w:rPr>
          <w:rFonts w:cs="Times New Roman"/>
          <w:szCs w:val="28"/>
        </w:rPr>
        <w:br w:type="page"/>
      </w:r>
    </w:p>
    <w:p w14:paraId="3909957C" w14:textId="78A60A26" w:rsidR="00A2335E" w:rsidRPr="0024080D" w:rsidRDefault="00A2335E" w:rsidP="00FA20A4">
      <w:pPr>
        <w:pStyle w:val="1"/>
        <w:spacing w:line="252" w:lineRule="auto"/>
      </w:pPr>
      <w:bookmarkStart w:id="101" w:name="_Toc89149150"/>
      <w:bookmarkEnd w:id="84"/>
      <w:r w:rsidRPr="0024080D">
        <w:lastRenderedPageBreak/>
        <w:t>РОЗДІЛ </w:t>
      </w:r>
      <w:r w:rsidR="00B66A87">
        <w:t>5</w:t>
      </w:r>
      <w:r w:rsidRPr="0024080D">
        <w:t>. ІНФЕКЦІЙНИЙ КОНТРОЛЬ</w:t>
      </w:r>
      <w:bookmarkEnd w:id="101"/>
    </w:p>
    <w:p w14:paraId="3DCA47F9" w14:textId="77777777" w:rsidR="00DC65A2" w:rsidRDefault="00DC65A2" w:rsidP="00DC65A2">
      <w:pPr>
        <w:spacing w:line="256" w:lineRule="auto"/>
        <w:rPr>
          <w:szCs w:val="28"/>
          <w:lang w:eastAsia="en-US"/>
        </w:rPr>
      </w:pPr>
      <w:bookmarkStart w:id="102" w:name="_Toc88088874"/>
      <w:bookmarkStart w:id="103" w:name="_Toc89149153"/>
      <w:r>
        <w:rPr>
          <w:szCs w:val="28"/>
          <w:lang w:eastAsia="en-US"/>
        </w:rPr>
        <w:t>Інфекційний контроль (далі – ІК) – це комплекс заходів спрямований на попередження виникнення та/або поширення інфекційних захворювань шляхом впливу на його передавання.</w:t>
      </w:r>
    </w:p>
    <w:p w14:paraId="1437FD64" w14:textId="77777777" w:rsidR="00DC65A2" w:rsidRDefault="00DC65A2" w:rsidP="00DC65A2">
      <w:pPr>
        <w:spacing w:line="256" w:lineRule="auto"/>
        <w:rPr>
          <w:szCs w:val="28"/>
          <w:lang w:eastAsia="en-US"/>
        </w:rPr>
      </w:pPr>
    </w:p>
    <w:p w14:paraId="4300A850" w14:textId="77777777" w:rsidR="00DC65A2" w:rsidRDefault="00DC65A2" w:rsidP="00DC65A2">
      <w:pPr>
        <w:spacing w:line="256" w:lineRule="auto"/>
        <w:rPr>
          <w:szCs w:val="28"/>
          <w:lang w:eastAsia="en-US"/>
        </w:rPr>
      </w:pPr>
      <w:r>
        <w:rPr>
          <w:szCs w:val="28"/>
          <w:lang w:eastAsia="en-US"/>
        </w:rPr>
        <w:t>Оскільки епідемічне значення при туберкульозі має аерогенний шлях інфікування, заходи ІК ТБ мають включати протидію розповсюдженню інфекційного аерозолю, зменшення його концентрації в повітрі закритих приміщень та захист органів дихання. Наявність захворюваності медичних працівників свідчить про порушення вимог ІК ТБ.</w:t>
      </w:r>
    </w:p>
    <w:p w14:paraId="0B45EDBE" w14:textId="77777777" w:rsidR="00DC65A2" w:rsidRDefault="00DC65A2" w:rsidP="00DC65A2">
      <w:pPr>
        <w:spacing w:line="256" w:lineRule="auto"/>
        <w:rPr>
          <w:szCs w:val="28"/>
          <w:lang w:eastAsia="en-US"/>
        </w:rPr>
      </w:pPr>
    </w:p>
    <w:p w14:paraId="14BE3BFC" w14:textId="7DB2FA82" w:rsidR="00DC65A2" w:rsidRPr="00B66A87" w:rsidRDefault="00B66A87" w:rsidP="00DC65A2">
      <w:pPr>
        <w:spacing w:line="256" w:lineRule="auto"/>
        <w:rPr>
          <w:b/>
          <w:szCs w:val="28"/>
          <w:lang w:eastAsia="en-US"/>
        </w:rPr>
      </w:pPr>
      <w:r w:rsidRPr="00B66A87">
        <w:rPr>
          <w:b/>
          <w:szCs w:val="28"/>
          <w:lang w:eastAsia="en-US"/>
        </w:rPr>
        <w:t>5</w:t>
      </w:r>
      <w:r w:rsidR="00DC65A2" w:rsidRPr="00B66A87">
        <w:rPr>
          <w:b/>
          <w:szCs w:val="28"/>
          <w:lang w:eastAsia="en-US"/>
        </w:rPr>
        <w:t>.1. Організаційний компонент</w:t>
      </w:r>
    </w:p>
    <w:p w14:paraId="61100198" w14:textId="77777777" w:rsidR="00DC65A2" w:rsidRDefault="00DC65A2" w:rsidP="00DC65A2">
      <w:pPr>
        <w:rPr>
          <w:szCs w:val="28"/>
          <w:lang w:eastAsia="en-US"/>
        </w:rPr>
      </w:pPr>
      <w:r>
        <w:rPr>
          <w:szCs w:val="28"/>
          <w:lang w:eastAsia="en-US"/>
        </w:rPr>
        <w:t xml:space="preserve">Необхідні заходи щодо ІК ТБ в Україні регламентовані Стандартом інфекційного контролю для закладів охорони здоров’я, що надають допомогу хворим на туберкульоз (далі – Стандарт інфекційного контролю за туберкульозом), затвердженого наказом МОЗ від 01 лютого 2019 року № 287, </w:t>
      </w:r>
      <w:r>
        <w:rPr>
          <w:color w:val="000000"/>
          <w:szCs w:val="28"/>
        </w:rPr>
        <w:t>зареєстрованого в Міністерстві юстиції України 17 квітня 2019 року за №408/33379</w:t>
      </w:r>
      <w:r>
        <w:rPr>
          <w:szCs w:val="28"/>
          <w:lang w:eastAsia="en-US"/>
        </w:rPr>
        <w:t xml:space="preserve"> (зі змінами).</w:t>
      </w:r>
    </w:p>
    <w:p w14:paraId="3E1A1643" w14:textId="77777777" w:rsidR="00DC65A2" w:rsidRDefault="00DC65A2" w:rsidP="00DC65A2">
      <w:pPr>
        <w:rPr>
          <w:szCs w:val="28"/>
          <w:lang w:eastAsia="en-US"/>
        </w:rPr>
      </w:pPr>
    </w:p>
    <w:p w14:paraId="09D4CD5A" w14:textId="77777777" w:rsidR="00DC65A2" w:rsidRDefault="00DC65A2" w:rsidP="00DC65A2">
      <w:pPr>
        <w:rPr>
          <w:color w:val="000000"/>
          <w:szCs w:val="28"/>
        </w:rPr>
      </w:pPr>
      <w:r>
        <w:rPr>
          <w:color w:val="000000"/>
          <w:szCs w:val="28"/>
        </w:rPr>
        <w:t>Державна стратегія у сфері протидії ВІЛ-інфекції/СНІДу, туберкульозу та вірусним гепатитам на період до 2030 року затверджена розпорядженням Кабінету міністрів України від 27 листопада 2019 року № 1415-р.</w:t>
      </w:r>
    </w:p>
    <w:p w14:paraId="43D6B456" w14:textId="77777777" w:rsidR="00DC65A2" w:rsidRDefault="00DC65A2" w:rsidP="00DC65A2">
      <w:pPr>
        <w:rPr>
          <w:color w:val="000000"/>
          <w:szCs w:val="28"/>
        </w:rPr>
      </w:pPr>
    </w:p>
    <w:p w14:paraId="1ED11B64" w14:textId="77777777" w:rsidR="00DC65A2" w:rsidRDefault="00DC65A2" w:rsidP="00DC65A2">
      <w:pPr>
        <w:rPr>
          <w:color w:val="000000"/>
          <w:szCs w:val="28"/>
        </w:rPr>
      </w:pPr>
      <w:r>
        <w:rPr>
          <w:szCs w:val="28"/>
          <w:lang w:eastAsia="en-US"/>
        </w:rPr>
        <w:t xml:space="preserve">Профілактика інфекційних </w:t>
      </w:r>
      <w:proofErr w:type="spellStart"/>
      <w:r>
        <w:rPr>
          <w:szCs w:val="28"/>
          <w:lang w:eastAsia="en-US"/>
        </w:rPr>
        <w:t>хвороб</w:t>
      </w:r>
      <w:proofErr w:type="spellEnd"/>
      <w:r>
        <w:rPr>
          <w:szCs w:val="28"/>
          <w:lang w:eastAsia="en-US"/>
        </w:rPr>
        <w:t xml:space="preserve">, для яких характерним є аерогенний шлях інфікування, регламентована Заходами та Засобами щодо попередження інфікування при проведенні догляду за пацієнтами, затвердженого наказом МОЗ від 03 серпня 2020 року № 1777, </w:t>
      </w:r>
      <w:r>
        <w:rPr>
          <w:color w:val="000000"/>
          <w:szCs w:val="28"/>
        </w:rPr>
        <w:t>зареєстрованого в Міністерстві юстиції України 10 листопада 2020 року за № 1110/35393 (зі змінами).</w:t>
      </w:r>
    </w:p>
    <w:p w14:paraId="57147E21" w14:textId="77777777" w:rsidR="00DC65A2" w:rsidRDefault="00DC65A2" w:rsidP="00DC65A2">
      <w:pPr>
        <w:rPr>
          <w:color w:val="000000"/>
          <w:szCs w:val="28"/>
        </w:rPr>
      </w:pPr>
    </w:p>
    <w:p w14:paraId="483797AC" w14:textId="77777777" w:rsidR="00DC65A2" w:rsidRDefault="00DC65A2" w:rsidP="00DC65A2">
      <w:pPr>
        <w:rPr>
          <w:szCs w:val="28"/>
          <w:lang w:eastAsia="en-US"/>
        </w:rPr>
      </w:pPr>
      <w:r>
        <w:rPr>
          <w:szCs w:val="28"/>
          <w:lang w:eastAsia="en-US"/>
        </w:rPr>
        <w:t xml:space="preserve">Підходи до знезараження повітря ультрафіолетовими </w:t>
      </w:r>
      <w:proofErr w:type="spellStart"/>
      <w:r>
        <w:rPr>
          <w:szCs w:val="28"/>
          <w:lang w:eastAsia="en-US"/>
        </w:rPr>
        <w:t>опромінювачами</w:t>
      </w:r>
      <w:proofErr w:type="spellEnd"/>
      <w:r>
        <w:rPr>
          <w:szCs w:val="28"/>
          <w:lang w:eastAsia="en-US"/>
        </w:rPr>
        <w:t xml:space="preserve"> в приміщеннях закладів охорони здоров’я регламентовано Санітарно-протиепідемічними правилами і нормами використання ультрафіолетового бактерицидного випромінювання для знезараження повітря та дезінфекції поверхонь в приміщеннях закладів охорони здоров’я та установ / закладів надання соціальних послуг / соціального захисту населення, затверджених наказом Міністерства охорони здоров’я України від 06 травня 2021 року № 882, зареєстровано в Міністерстві юстиції України 28 липня 2021 року за № 978/36600.</w:t>
      </w:r>
    </w:p>
    <w:p w14:paraId="17C2799A" w14:textId="77777777" w:rsidR="00DC65A2" w:rsidRDefault="00DC65A2" w:rsidP="00DC65A2">
      <w:pPr>
        <w:rPr>
          <w:szCs w:val="28"/>
          <w:lang w:eastAsia="en-US"/>
        </w:rPr>
      </w:pPr>
    </w:p>
    <w:p w14:paraId="1ABFD3CD" w14:textId="77777777" w:rsidR="00DC65A2" w:rsidRDefault="00DC65A2" w:rsidP="00DC65A2">
      <w:pPr>
        <w:rPr>
          <w:color w:val="000000"/>
          <w:szCs w:val="28"/>
        </w:rPr>
      </w:pPr>
      <w:r>
        <w:rPr>
          <w:color w:val="000000"/>
          <w:szCs w:val="28"/>
        </w:rPr>
        <w:t xml:space="preserve">Наказом Міністерства охорони здоров'я України від 03 серпня 2021 року № 1614, зареєстрованим в Міністерстві юстиції України 11 жовтня 2021 року за № 1318/36940 «Про організацію профілактики інфекцій та інфекційного контролю в закладах охорони здоров’я та установах/ закладах </w:t>
      </w:r>
      <w:r>
        <w:rPr>
          <w:color w:val="000000"/>
          <w:szCs w:val="28"/>
        </w:rPr>
        <w:lastRenderedPageBreak/>
        <w:t>надання соціальних послуг/ соціального захисту населення», запроваджено комплексний підхід у впровадженні системи профілактики інфекцій та інфекційного контролю.</w:t>
      </w:r>
    </w:p>
    <w:p w14:paraId="4C2D248E" w14:textId="77777777" w:rsidR="00DC65A2" w:rsidRDefault="00DC65A2" w:rsidP="00DC65A2">
      <w:pPr>
        <w:rPr>
          <w:color w:val="000000"/>
          <w:szCs w:val="28"/>
        </w:rPr>
      </w:pPr>
    </w:p>
    <w:p w14:paraId="7AE0478E" w14:textId="2701F7EF" w:rsidR="00DC65A2" w:rsidRDefault="00DC65A2" w:rsidP="00DC65A2">
      <w:pPr>
        <w:rPr>
          <w:szCs w:val="28"/>
          <w:lang w:eastAsia="en-US"/>
        </w:rPr>
      </w:pPr>
      <w:r>
        <w:rPr>
          <w:color w:val="000000"/>
          <w:szCs w:val="28"/>
        </w:rPr>
        <w:t xml:space="preserve">Підготовано </w:t>
      </w:r>
      <w:r w:rsidR="00B66A87">
        <w:rPr>
          <w:color w:val="000000"/>
          <w:szCs w:val="28"/>
        </w:rPr>
        <w:t>проекти</w:t>
      </w:r>
      <w:r>
        <w:rPr>
          <w:color w:val="000000"/>
          <w:szCs w:val="28"/>
        </w:rPr>
        <w:t xml:space="preserve"> Державних санітарних норм та правил України «Заклади охорони здоров’я», </w:t>
      </w:r>
      <w:r>
        <w:t>«Влаштування і біологічна безпека в лабораторіях (відділах, відділеннях), що здійснюють мікробіологічну діагностику туберкульозу</w:t>
      </w:r>
      <w:r>
        <w:rPr>
          <w:color w:val="000000"/>
          <w:szCs w:val="28"/>
        </w:rPr>
        <w:t xml:space="preserve">» та </w:t>
      </w:r>
      <w:r w:rsidR="00B66A87">
        <w:rPr>
          <w:color w:val="000000"/>
          <w:szCs w:val="28"/>
        </w:rPr>
        <w:t>проект</w:t>
      </w:r>
      <w:r>
        <w:rPr>
          <w:color w:val="000000"/>
          <w:szCs w:val="28"/>
        </w:rPr>
        <w:t xml:space="preserve"> змін до Державних санітарно-протиепідемічних правил і норм щодо поводження з медичними відходами, затверджених наказом Міністерства охорони здоров’я України від 08 червня 2015 року № 325, зареєстрованих в Міністерстві юстиції України 07 серпня 2015 року за № 959/27404.</w:t>
      </w:r>
    </w:p>
    <w:p w14:paraId="092608FA" w14:textId="77777777" w:rsidR="00DC65A2" w:rsidRDefault="00DC65A2" w:rsidP="00DC65A2">
      <w:pPr>
        <w:rPr>
          <w:szCs w:val="28"/>
          <w:lang w:eastAsia="en-US"/>
        </w:rPr>
      </w:pPr>
    </w:p>
    <w:p w14:paraId="13331200" w14:textId="77777777" w:rsidR="00DC65A2" w:rsidRDefault="00DC65A2" w:rsidP="00DC65A2">
      <w:pPr>
        <w:rPr>
          <w:szCs w:val="28"/>
          <w:lang w:eastAsia="en-US"/>
        </w:rPr>
      </w:pPr>
      <w:r>
        <w:rPr>
          <w:szCs w:val="28"/>
          <w:lang w:eastAsia="en-US"/>
        </w:rPr>
        <w:t xml:space="preserve">За даними паспортних анкет 13 областей мали плани з ІК ТБ, затверджені на рівні структурних підрозділів з питань охорони здоров’я обласних державних адміністрацій, </w:t>
      </w:r>
      <w:r>
        <w:rPr>
          <w:szCs w:val="28"/>
        </w:rPr>
        <w:t>(окрім Волинської, Житомирської, Запорізької, Івано-Франківської, Львівської, Одеської, Рівненської, Тернопільської, Харківської, Черкаської, Чернігівської областей та м. Києва)</w:t>
      </w:r>
      <w:r>
        <w:rPr>
          <w:szCs w:val="28"/>
          <w:lang w:eastAsia="en-US"/>
        </w:rPr>
        <w:t>. Це свідчить про відсутність чіткого плану впровадження та фінансування заходів з ІК ТБ. 80% регіонів мають затверджений регіональний маршрут пацієнта з ТБ, який допомагає якісно організувати отримання медичної допомоги пацієнтам з ТБ або підозрою на нього (окрім Волинської, Житомирської, Закарпатської, Тернопільської та Харківської областей).</w:t>
      </w:r>
    </w:p>
    <w:p w14:paraId="29463FCD" w14:textId="77777777" w:rsidR="00DC65A2" w:rsidRDefault="00DC65A2" w:rsidP="00DC65A2">
      <w:pPr>
        <w:rPr>
          <w:szCs w:val="28"/>
          <w:lang w:eastAsia="en-US"/>
        </w:rPr>
      </w:pPr>
    </w:p>
    <w:p w14:paraId="070A5EFD" w14:textId="77777777" w:rsidR="00DC65A2" w:rsidRDefault="00DC65A2" w:rsidP="00DC65A2">
      <w:pPr>
        <w:rPr>
          <w:szCs w:val="28"/>
          <w:lang w:eastAsia="en-US"/>
        </w:rPr>
      </w:pPr>
      <w:r>
        <w:rPr>
          <w:szCs w:val="28"/>
          <w:lang w:eastAsia="en-US"/>
        </w:rPr>
        <w:t xml:space="preserve">За 2021 рік фахівцями Центру проведено 13 візитів в заклади охорони здоров’я, які надають допомогу хворим на ТБ, з метою надання організаційно-методичної та технічної допомоги, оцінки ситуації, моніторингу виконання заходів з питань забезпечення належного рівня ІК при наданні медичної допомоги хворим на ТБ. Проведення моніторингових візитів було частково обмежено запровадженням загальнонаціональних протиепідемічних заходів, пов’язаних з розповсюдженням на території України </w:t>
      </w:r>
      <w:r>
        <w:rPr>
          <w:szCs w:val="28"/>
          <w:lang w:val="en-US" w:eastAsia="en-US"/>
        </w:rPr>
        <w:t>COVID</w:t>
      </w:r>
      <w:r>
        <w:rPr>
          <w:szCs w:val="28"/>
          <w:lang w:eastAsia="en-US"/>
        </w:rPr>
        <w:t>-19.</w:t>
      </w:r>
    </w:p>
    <w:p w14:paraId="33EAB646" w14:textId="77777777" w:rsidR="00DC65A2" w:rsidRDefault="00DC65A2" w:rsidP="00DC65A2">
      <w:pPr>
        <w:rPr>
          <w:szCs w:val="28"/>
          <w:lang w:eastAsia="en-US"/>
        </w:rPr>
      </w:pPr>
    </w:p>
    <w:p w14:paraId="4E5F7545" w14:textId="27A2912A" w:rsidR="00DC65A2" w:rsidRPr="00B66A87" w:rsidRDefault="00B66A87" w:rsidP="00DC65A2">
      <w:pPr>
        <w:rPr>
          <w:b/>
          <w:szCs w:val="28"/>
          <w:lang w:eastAsia="en-US"/>
        </w:rPr>
      </w:pPr>
      <w:r w:rsidRPr="00B66A87">
        <w:rPr>
          <w:b/>
          <w:szCs w:val="28"/>
          <w:lang w:eastAsia="en-US"/>
        </w:rPr>
        <w:t>5.</w:t>
      </w:r>
      <w:r w:rsidR="00DC65A2" w:rsidRPr="00B66A87">
        <w:rPr>
          <w:b/>
          <w:szCs w:val="28"/>
          <w:lang w:eastAsia="en-US"/>
        </w:rPr>
        <w:t>2. Адміністративний компонент</w:t>
      </w:r>
    </w:p>
    <w:p w14:paraId="3F22A9BD" w14:textId="77777777" w:rsidR="00DC65A2" w:rsidRDefault="00DC65A2" w:rsidP="00DC65A2">
      <w:pPr>
        <w:rPr>
          <w:szCs w:val="28"/>
          <w:lang w:eastAsia="en-US"/>
        </w:rPr>
      </w:pPr>
      <w:r>
        <w:rPr>
          <w:szCs w:val="28"/>
          <w:lang w:eastAsia="en-US"/>
        </w:rPr>
        <w:t>У 68% протитуберкульозних закладів створено відділи інфекційного контролю, майже у всіх з них призначено керівника відділу. 48-56% укомплектували відділи інфекційного контролю посадами госпітального епідеміолога, керівника сектору з гігієни рук, координатора з навчання та підготовки, та лише 24% –  клінічним провізором.</w:t>
      </w:r>
    </w:p>
    <w:p w14:paraId="2FD6910D" w14:textId="77777777" w:rsidR="00DC65A2" w:rsidRDefault="00DC65A2" w:rsidP="00DC65A2">
      <w:pPr>
        <w:rPr>
          <w:szCs w:val="28"/>
          <w:lang w:eastAsia="en-US"/>
        </w:rPr>
      </w:pPr>
    </w:p>
    <w:p w14:paraId="55876DF2" w14:textId="77777777" w:rsidR="00DC65A2" w:rsidRDefault="00DC65A2" w:rsidP="00DC65A2">
      <w:pPr>
        <w:rPr>
          <w:szCs w:val="28"/>
          <w:lang w:eastAsia="en-US"/>
        </w:rPr>
      </w:pPr>
      <w:r>
        <w:rPr>
          <w:szCs w:val="28"/>
          <w:lang w:eastAsia="en-US"/>
        </w:rPr>
        <w:t xml:space="preserve">23 з 25 регіонів використовують кількісні показники в річних планах з інфекційного контролю за туберкульозом. В цілому по України виконання кількісних показників становить 90,3 %. В регіонах затверджено та впроваджено в роботу 554 стандартів операційних процедур з ІК ТБ, з них </w:t>
      </w:r>
      <w:proofErr w:type="spellStart"/>
      <w:r>
        <w:rPr>
          <w:szCs w:val="28"/>
          <w:lang w:eastAsia="en-US"/>
        </w:rPr>
        <w:t>переглянуто</w:t>
      </w:r>
      <w:proofErr w:type="spellEnd"/>
      <w:r>
        <w:rPr>
          <w:szCs w:val="28"/>
          <w:lang w:eastAsia="en-US"/>
        </w:rPr>
        <w:t xml:space="preserve"> у 2021 році 67,5%. В протитуберкульозних закладах </w:t>
      </w:r>
      <w:r>
        <w:rPr>
          <w:szCs w:val="28"/>
          <w:lang w:eastAsia="en-US"/>
        </w:rPr>
        <w:lastRenderedPageBreak/>
        <w:t>використовуються 266 чек-листів або контрольних списків моніторингу дотримання СОП з ІК ТБ (48% від загальної кількості СОП).</w:t>
      </w:r>
    </w:p>
    <w:p w14:paraId="4791CF08" w14:textId="77777777" w:rsidR="00DC65A2" w:rsidRPr="00731151" w:rsidRDefault="00DC65A2" w:rsidP="00DC65A2">
      <w:pPr>
        <w:rPr>
          <w:szCs w:val="28"/>
          <w:lang w:eastAsia="en-US"/>
        </w:rPr>
      </w:pPr>
      <w:r w:rsidRPr="00731151">
        <w:rPr>
          <w:szCs w:val="28"/>
          <w:lang w:eastAsia="en-US"/>
        </w:rPr>
        <w:t>Робота над розробкою та впровадженням СОП для працівників протитуберкульозних закладів, відповідно до моніторингових даних, несе формальний характер та потребує удосконалення, в тому числі щодо навчання, підготовки, перевірки знань працівників і моніторингу їх дотримання.</w:t>
      </w:r>
    </w:p>
    <w:p w14:paraId="4B468BFC" w14:textId="77777777" w:rsidR="00DC65A2" w:rsidRDefault="00DC65A2" w:rsidP="00DC65A2">
      <w:pPr>
        <w:spacing w:line="256" w:lineRule="auto"/>
        <w:rPr>
          <w:szCs w:val="28"/>
          <w:lang w:eastAsia="en-US"/>
        </w:rPr>
      </w:pPr>
      <w:r>
        <w:rPr>
          <w:szCs w:val="28"/>
          <w:lang w:eastAsia="en-US"/>
        </w:rPr>
        <w:t>В кожному протитуберкульозному закладі (протитуберкульозні диспансери і протитуберкульозні лікарні) наявний план реалізації заходів з ІК, однак зазвичай він носить формальний характер, а розрахунок фінансування і його подальше впровадження проводяться не в повному обсязі та не відповідає дійсності.</w:t>
      </w:r>
    </w:p>
    <w:p w14:paraId="6302BCD1" w14:textId="77777777" w:rsidR="00DC65A2" w:rsidRDefault="00DC65A2" w:rsidP="00DC65A2">
      <w:pPr>
        <w:spacing w:line="256" w:lineRule="auto"/>
        <w:rPr>
          <w:szCs w:val="28"/>
          <w:lang w:eastAsia="en-US"/>
        </w:rPr>
      </w:pPr>
      <w:r>
        <w:rPr>
          <w:szCs w:val="28"/>
          <w:lang w:eastAsia="en-US"/>
        </w:rPr>
        <w:t>Усі протитуберкульозні заклади мають затверджений розподіл приміщень відповідно до ступеня ризику інфікування. Загальна площа зон високого ризику передавання туберкульозу по 24 регіонам (без Харківської області) складає 97239,94 м</w:t>
      </w:r>
      <w:r>
        <w:rPr>
          <w:szCs w:val="28"/>
          <w:vertAlign w:val="superscript"/>
          <w:lang w:eastAsia="en-US"/>
        </w:rPr>
        <w:t>2</w:t>
      </w:r>
      <w:r>
        <w:rPr>
          <w:szCs w:val="28"/>
          <w:lang w:eastAsia="en-US"/>
        </w:rPr>
        <w:t>, що на 55% менше загальної площі зон високого ризику передавання ТБ, заявленою у 2020 році.</w:t>
      </w:r>
    </w:p>
    <w:p w14:paraId="1215C303" w14:textId="77777777" w:rsidR="00DC65A2" w:rsidRDefault="00DC65A2" w:rsidP="00DC65A2">
      <w:pPr>
        <w:spacing w:line="256" w:lineRule="auto"/>
        <w:rPr>
          <w:szCs w:val="28"/>
          <w:lang w:eastAsia="en-US"/>
        </w:rPr>
      </w:pPr>
      <w:r>
        <w:rPr>
          <w:szCs w:val="28"/>
          <w:lang w:eastAsia="en-US"/>
        </w:rPr>
        <w:t>Регіональні протитуберкульозні заклади зазначили наявність 1669 палат, з них лише 7,8% приходиться на ізолятори (з відокремленим туалетом та душовою), 11,5% – на одномісні палати, 32,5% – на двомісні палати, інше – на багатомісні палати, при цьому шість регіональних закладах (Івано-Франківська, Київська, Миколаївська, Рівненська, Сумська, Чернівецька) взагалі не мають ізоляторів, а 5 – лише один ізолятор (Закарпатська, Львівська, Тернопільська, Херсонська, Черкаська). В шести протитуберкульозних закладах (Житомирська, Київська, Луганська, Полтавська, Черкаська, Чернівецька) відсутні одномісні палати, в трьох закладах – одна одномісна палата (Закарпатська, Рівненська, Тернопільська).</w:t>
      </w:r>
    </w:p>
    <w:p w14:paraId="67E6FF5D" w14:textId="77777777" w:rsidR="00DC65A2" w:rsidRDefault="00DC65A2" w:rsidP="00DC65A2">
      <w:pPr>
        <w:spacing w:line="256" w:lineRule="auto"/>
        <w:rPr>
          <w:i/>
          <w:iCs/>
          <w:szCs w:val="28"/>
          <w:lang w:eastAsia="en-US"/>
        </w:rPr>
      </w:pPr>
      <w:bookmarkStart w:id="104" w:name="_Hlk106017949"/>
      <w:r>
        <w:rPr>
          <w:i/>
          <w:iCs/>
          <w:szCs w:val="28"/>
          <w:lang w:eastAsia="en-US"/>
        </w:rPr>
        <w:t xml:space="preserve">Відповідно абзацу 28 пункту 2 розділу ІІ Стандарту інфекційного контролю за туберкульозом, </w:t>
      </w:r>
      <w:bookmarkEnd w:id="104"/>
      <w:r>
        <w:rPr>
          <w:i/>
          <w:iCs/>
          <w:szCs w:val="28"/>
          <w:lang w:eastAsia="en-US"/>
        </w:rPr>
        <w:t xml:space="preserve">у стаціонарі слід суворо дотримуватися правил роздільного, ізольованого розміщення та перебування пацієнтів – пацієнти з </w:t>
      </w:r>
      <w:proofErr w:type="spellStart"/>
      <w:r>
        <w:rPr>
          <w:i/>
          <w:iCs/>
          <w:szCs w:val="28"/>
          <w:lang w:eastAsia="en-US"/>
        </w:rPr>
        <w:t>бактеріовиділенням</w:t>
      </w:r>
      <w:proofErr w:type="spellEnd"/>
      <w:r>
        <w:rPr>
          <w:i/>
          <w:iCs/>
          <w:szCs w:val="28"/>
          <w:lang w:eastAsia="en-US"/>
        </w:rPr>
        <w:t xml:space="preserve"> мають бути ізольовані в одномісних палатах. Дозволяється застосовувати </w:t>
      </w:r>
      <w:proofErr w:type="spellStart"/>
      <w:r>
        <w:rPr>
          <w:i/>
          <w:iCs/>
          <w:szCs w:val="28"/>
          <w:lang w:eastAsia="en-US"/>
        </w:rPr>
        <w:t>когортну</w:t>
      </w:r>
      <w:proofErr w:type="spellEnd"/>
      <w:r>
        <w:rPr>
          <w:i/>
          <w:iCs/>
          <w:szCs w:val="28"/>
          <w:lang w:eastAsia="en-US"/>
        </w:rPr>
        <w:t xml:space="preserve"> ізоляцію не більше двох пацієнтів в одній палаті за умови підтвердження ідентичного профілю резистентності до протитуберкульозних препаратів першого та другого ряду за допомогою молекулярно-генетичних методів діагностики туберкульозу.</w:t>
      </w:r>
    </w:p>
    <w:p w14:paraId="4E2E9E19" w14:textId="77777777" w:rsidR="00DC65A2" w:rsidRDefault="00DC65A2" w:rsidP="00DC65A2">
      <w:pPr>
        <w:spacing w:line="256" w:lineRule="auto"/>
        <w:rPr>
          <w:szCs w:val="28"/>
          <w:lang w:eastAsia="en-US"/>
        </w:rPr>
      </w:pPr>
      <w:r>
        <w:rPr>
          <w:szCs w:val="28"/>
          <w:lang w:eastAsia="en-US"/>
        </w:rPr>
        <w:t>Загальна кількість медичних працівників в протитуберкульозних закладах становить 5 499 осіб. Співвідношення кількості лікарів до сестер (братів) медичних складає 1:2,15.</w:t>
      </w:r>
    </w:p>
    <w:p w14:paraId="15A2D9EF" w14:textId="77777777" w:rsidR="00DC65A2" w:rsidRDefault="00DC65A2" w:rsidP="00DC65A2">
      <w:pPr>
        <w:spacing w:line="256" w:lineRule="auto"/>
        <w:rPr>
          <w:szCs w:val="28"/>
          <w:lang w:eastAsia="en-US"/>
        </w:rPr>
      </w:pPr>
      <w:r>
        <w:rPr>
          <w:szCs w:val="28"/>
          <w:lang w:eastAsia="en-US"/>
        </w:rPr>
        <w:t>191 спеціаліст відділів інфекційного контролю потребують проходження навчання з ІК ТБ.</w:t>
      </w:r>
    </w:p>
    <w:p w14:paraId="238F7613" w14:textId="77777777" w:rsidR="00DC65A2" w:rsidRDefault="00DC65A2" w:rsidP="00DC65A2">
      <w:pPr>
        <w:spacing w:line="256" w:lineRule="auto"/>
        <w:rPr>
          <w:szCs w:val="28"/>
          <w:lang w:eastAsia="en-US"/>
        </w:rPr>
      </w:pPr>
    </w:p>
    <w:p w14:paraId="51B17EFC" w14:textId="77777777" w:rsidR="00DC65A2" w:rsidRDefault="00DC65A2" w:rsidP="00DC65A2">
      <w:pPr>
        <w:spacing w:line="256" w:lineRule="auto"/>
        <w:rPr>
          <w:szCs w:val="28"/>
          <w:lang w:eastAsia="en-US"/>
        </w:rPr>
      </w:pPr>
      <w:r>
        <w:rPr>
          <w:szCs w:val="28"/>
          <w:lang w:eastAsia="en-US"/>
        </w:rPr>
        <w:lastRenderedPageBreak/>
        <w:t>Середня тривалість перебування у стаціонарі пацієнтів з лікарсько-чутливим ТБ становить 61,52 дні, причому у 12 регіонах (Запорізька, Івано-Франківська, Кіровоградська, Луганська, Миколаївська, Полтавська, Рівненська, Харківська, Хмельницька, Черкаська, Чернівецька області та м. Київ) середня тривалість перебування у стаціонарі пацієнтів з лікарсько-чутливим ТБ складає 60 і більше днів (найбільше в Полтавській області – 132,9 дні).</w:t>
      </w:r>
    </w:p>
    <w:p w14:paraId="21615959" w14:textId="77777777" w:rsidR="00DC65A2" w:rsidRDefault="00DC65A2" w:rsidP="00DC65A2">
      <w:pPr>
        <w:spacing w:line="256" w:lineRule="auto"/>
        <w:rPr>
          <w:i/>
          <w:iCs/>
          <w:szCs w:val="28"/>
          <w:lang w:eastAsia="en-US"/>
        </w:rPr>
      </w:pPr>
      <w:r>
        <w:rPr>
          <w:i/>
          <w:iCs/>
          <w:szCs w:val="28"/>
          <w:lang w:eastAsia="en-US"/>
        </w:rPr>
        <w:t>Відповідно абзацу 16 пункту 2 розділу ІІ Стандарту інфекційного контролю за туберкульозом, одним з найбільш ефективних заходів адміністративного компоненту ІК ТБ є радикальний перегляд політики госпіталізації з наданням пріоритету амбулаторному лікуванню туберкульозу.</w:t>
      </w:r>
    </w:p>
    <w:p w14:paraId="2EAD6FF8" w14:textId="77777777" w:rsidR="00DC65A2" w:rsidRDefault="00DC65A2" w:rsidP="00DC65A2">
      <w:pPr>
        <w:spacing w:line="256" w:lineRule="auto"/>
        <w:rPr>
          <w:szCs w:val="28"/>
          <w:lang w:eastAsia="en-US"/>
        </w:rPr>
      </w:pPr>
    </w:p>
    <w:p w14:paraId="3A083FCA" w14:textId="77777777" w:rsidR="00A2335E" w:rsidRPr="0024080D" w:rsidRDefault="00A2335E" w:rsidP="00FA20A4">
      <w:pPr>
        <w:pStyle w:val="2"/>
        <w:spacing w:line="252" w:lineRule="auto"/>
      </w:pPr>
      <w:r w:rsidRPr="0024080D">
        <w:t>Захворюваність медичних працівників на ТБ</w:t>
      </w:r>
      <w:bookmarkEnd w:id="102"/>
      <w:bookmarkEnd w:id="103"/>
      <w:r w:rsidRPr="0024080D">
        <w:t xml:space="preserve"> </w:t>
      </w:r>
    </w:p>
    <w:p w14:paraId="398B7E1F" w14:textId="77777777" w:rsidR="00DC65A2" w:rsidRDefault="00DC65A2" w:rsidP="00DC65A2">
      <w:pPr>
        <w:spacing w:line="256" w:lineRule="auto"/>
        <w:rPr>
          <w:szCs w:val="28"/>
          <w:lang w:eastAsia="en-US"/>
        </w:rPr>
      </w:pPr>
      <w:r>
        <w:rPr>
          <w:szCs w:val="28"/>
          <w:lang w:eastAsia="en-US"/>
        </w:rPr>
        <w:t>В 2021 році зареєстровано 180 випадків серед медичних працівників закладів охорони здоров’я загальної мережі (включно з протитуберкульозними диспансерами), що складає 3,3 на 10 тис. працівників ЗОЗ, та 12 випадків туберкульозу серед медичних працівників закладів охорони здоров’я, що надають допомогу хворим на ТБ, що складає 14,3 на 10 тис. працівників протитуберкульозних закладів (середня захворюваність по Україні – 35,5 на 100 тис. населення).</w:t>
      </w:r>
    </w:p>
    <w:p w14:paraId="0813F95B" w14:textId="244D12EC" w:rsidR="00A2335E" w:rsidRPr="0024080D" w:rsidRDefault="00DC65A2" w:rsidP="00A2335E">
      <w:pPr>
        <w:widowControl w:val="0"/>
        <w:pBdr>
          <w:top w:val="nil"/>
          <w:left w:val="nil"/>
          <w:bottom w:val="nil"/>
          <w:right w:val="nil"/>
          <w:between w:val="nil"/>
        </w:pBdr>
        <w:ind w:firstLine="0"/>
        <w:jc w:val="center"/>
        <w:rPr>
          <w:rFonts w:cs="Times New Roman"/>
          <w:szCs w:val="28"/>
        </w:rPr>
      </w:pPr>
      <w:bookmarkStart w:id="105" w:name="_Toc88088875"/>
      <w:r>
        <w:rPr>
          <w:noProof/>
        </w:rPr>
        <w:drawing>
          <wp:inline distT="0" distB="0" distL="0" distR="0" wp14:anchorId="3BDBB85C" wp14:editId="2A9CFAD3">
            <wp:extent cx="5940425" cy="3161665"/>
            <wp:effectExtent l="0" t="0" r="3175" b="635"/>
            <wp:docPr id="7" name="Діаграма 7">
              <a:extLst xmlns:a="http://schemas.openxmlformats.org/drawingml/2006/main">
                <a:ext uri="{FF2B5EF4-FFF2-40B4-BE49-F238E27FC236}">
                  <a16:creationId xmlns:a16="http://schemas.microsoft.com/office/drawing/2014/main" id="{53B3E4E7-9CAA-4621-ABFC-59E473D34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151DD26" w14:textId="5BFB9521" w:rsidR="00A2335E" w:rsidRPr="0024080D" w:rsidRDefault="00A2335E" w:rsidP="00A2335E">
      <w:pPr>
        <w:widowControl w:val="0"/>
        <w:pBdr>
          <w:top w:val="nil"/>
          <w:left w:val="nil"/>
          <w:bottom w:val="nil"/>
          <w:right w:val="nil"/>
          <w:between w:val="nil"/>
        </w:pBdr>
        <w:ind w:firstLine="0"/>
        <w:jc w:val="center"/>
        <w:rPr>
          <w:rFonts w:cs="Times New Roman"/>
          <w:b/>
          <w:szCs w:val="28"/>
        </w:rPr>
      </w:pPr>
      <w:r w:rsidRPr="0024080D">
        <w:rPr>
          <w:rFonts w:cs="Times New Roman"/>
          <w:b/>
          <w:szCs w:val="28"/>
        </w:rPr>
        <w:t>Рисунок </w:t>
      </w:r>
      <w:r w:rsidR="00B66A87">
        <w:rPr>
          <w:rFonts w:cs="Times New Roman"/>
          <w:b/>
          <w:szCs w:val="28"/>
        </w:rPr>
        <w:t>5</w:t>
      </w:r>
      <w:r w:rsidRPr="0024080D">
        <w:rPr>
          <w:rFonts w:cs="Times New Roman"/>
          <w:b/>
          <w:szCs w:val="28"/>
        </w:rPr>
        <w:t xml:space="preserve">.1. Показники захворюваності на 100 000 населення </w:t>
      </w:r>
      <w:r w:rsidRPr="0024080D">
        <w:rPr>
          <w:rFonts w:cs="Times New Roman"/>
          <w:b/>
          <w:szCs w:val="28"/>
        </w:rPr>
        <w:br/>
        <w:t>серед працівників ПТЗ, ЗОЗ та населення України</w:t>
      </w:r>
    </w:p>
    <w:p w14:paraId="4EABADFD" w14:textId="77777777" w:rsidR="00B66A87" w:rsidRDefault="00B66A87" w:rsidP="00A2335E">
      <w:pPr>
        <w:pStyle w:val="2"/>
        <w:rPr>
          <w:color w:val="1F497D" w:themeColor="text2"/>
        </w:rPr>
      </w:pPr>
      <w:bookmarkStart w:id="106" w:name="_Toc89149154"/>
    </w:p>
    <w:p w14:paraId="3C9D9A0D" w14:textId="5D883D7C" w:rsidR="00A2335E" w:rsidRPr="00B66A87" w:rsidRDefault="00B66A87" w:rsidP="00A2335E">
      <w:pPr>
        <w:pStyle w:val="2"/>
      </w:pPr>
      <w:r w:rsidRPr="00B66A87">
        <w:t>5</w:t>
      </w:r>
      <w:r w:rsidR="00A26355" w:rsidRPr="00B66A87">
        <w:t xml:space="preserve">.3 </w:t>
      </w:r>
      <w:r w:rsidR="00A2335E" w:rsidRPr="00B66A87">
        <w:t>Інженерний компонент</w:t>
      </w:r>
      <w:bookmarkEnd w:id="105"/>
      <w:bookmarkEnd w:id="106"/>
      <w:r w:rsidR="00A2335E" w:rsidRPr="00B66A87">
        <w:t xml:space="preserve"> </w:t>
      </w:r>
    </w:p>
    <w:p w14:paraId="55BA01D4" w14:textId="77777777" w:rsidR="00DC65A2" w:rsidRDefault="00DC65A2" w:rsidP="00DC65A2">
      <w:pPr>
        <w:spacing w:line="256" w:lineRule="auto"/>
        <w:rPr>
          <w:b/>
          <w:color w:val="1F497D" w:themeColor="text2"/>
          <w:szCs w:val="28"/>
          <w:lang w:eastAsia="en-US"/>
        </w:rPr>
      </w:pPr>
      <w:bookmarkStart w:id="107" w:name="_Toc89149155"/>
    </w:p>
    <w:p w14:paraId="5BE503CC" w14:textId="77777777" w:rsidR="00DC65A2" w:rsidRDefault="00DC65A2" w:rsidP="00DC65A2">
      <w:pPr>
        <w:spacing w:line="256" w:lineRule="auto"/>
        <w:rPr>
          <w:b/>
          <w:i/>
          <w:iCs/>
          <w:color w:val="1F497D" w:themeColor="text2"/>
          <w:szCs w:val="28"/>
          <w:lang w:eastAsia="en-US"/>
        </w:rPr>
      </w:pPr>
      <w:r>
        <w:rPr>
          <w:b/>
          <w:i/>
          <w:iCs/>
          <w:color w:val="1F497D" w:themeColor="text2"/>
          <w:szCs w:val="28"/>
          <w:lang w:eastAsia="en-US"/>
        </w:rPr>
        <w:lastRenderedPageBreak/>
        <w:t>Вентиляція</w:t>
      </w:r>
    </w:p>
    <w:p w14:paraId="7BCF8485" w14:textId="77777777" w:rsidR="00DC65A2" w:rsidRDefault="00DC65A2" w:rsidP="00DC65A2">
      <w:pPr>
        <w:spacing w:line="256" w:lineRule="auto"/>
        <w:rPr>
          <w:szCs w:val="28"/>
          <w:lang w:eastAsia="en-US"/>
        </w:rPr>
      </w:pPr>
      <w:r>
        <w:rPr>
          <w:szCs w:val="28"/>
          <w:lang w:eastAsia="en-US"/>
        </w:rPr>
        <w:t xml:space="preserve">Природня вентиляція використовується у всіх закладах, ефективність застосування якої знижена у холодну пору року і внаслідок використання старих вікон та дверей, конструктивних особливостей приміщень і будівель протитуберкульозних закладів, нераціонального використання змішаної вентиляції. </w:t>
      </w:r>
      <w:r>
        <w:rPr>
          <w:i/>
          <w:iCs/>
          <w:szCs w:val="28"/>
          <w:lang w:eastAsia="en-US"/>
        </w:rPr>
        <w:t>В планах інфекційного контролю за туберкульозом відсутні заходи з підвищення ефективності використання вертикальної природньої вентиляції, в тому числі вертикальної природньої вентиляції.</w:t>
      </w:r>
    </w:p>
    <w:p w14:paraId="3D837472" w14:textId="0CAE9EE8" w:rsidR="00DC65A2" w:rsidRDefault="00DC65A2" w:rsidP="00DC65A2">
      <w:pPr>
        <w:spacing w:line="256" w:lineRule="auto"/>
        <w:rPr>
          <w:szCs w:val="28"/>
          <w:lang w:eastAsia="en-US"/>
        </w:rPr>
      </w:pPr>
      <w:r>
        <w:rPr>
          <w:szCs w:val="28"/>
          <w:lang w:eastAsia="en-US"/>
        </w:rPr>
        <w:t xml:space="preserve">Припливно-витяжна вентиляція загального типу встановлена в багатьох протитуберкульозних закладах, але знаходиться в неробочому стані або працює неефективно, вмикається лише періодично, не обслуговується, або не забезпечена фінансово (не вистачає коштів на оплату електроенергії для забезпечення цілодобового функціонування). Вентиляційні системи в протитуберкульозних закладах обслуговують незначну частину зон високого ризику передавання ТБ – 7,76%. </w:t>
      </w:r>
      <w:r>
        <w:rPr>
          <w:i/>
          <w:iCs/>
          <w:szCs w:val="28"/>
          <w:lang w:eastAsia="en-US"/>
        </w:rPr>
        <w:t>У зв’язку з відсутністю відповідних приладів /обладнання, оцінка роботи вентиляційних систем (кратність повітрообміну, напрямок руху повітря) майже не проводяться або проводяться формально.</w:t>
      </w:r>
    </w:p>
    <w:p w14:paraId="4BC610B9" w14:textId="77777777" w:rsidR="00DC65A2" w:rsidRDefault="00DC65A2" w:rsidP="00DC65A2">
      <w:pPr>
        <w:spacing w:line="256" w:lineRule="auto"/>
        <w:rPr>
          <w:szCs w:val="28"/>
          <w:lang w:eastAsia="en-US"/>
        </w:rPr>
      </w:pPr>
      <w:proofErr w:type="spellStart"/>
      <w:r>
        <w:rPr>
          <w:szCs w:val="28"/>
          <w:lang w:eastAsia="en-US"/>
        </w:rPr>
        <w:t>Загальнообмінна</w:t>
      </w:r>
      <w:proofErr w:type="spellEnd"/>
      <w:r>
        <w:rPr>
          <w:szCs w:val="28"/>
          <w:lang w:eastAsia="en-US"/>
        </w:rPr>
        <w:t xml:space="preserve"> припливно-витяжна механічна вентиляція </w:t>
      </w:r>
      <w:r>
        <w:rPr>
          <w:i/>
          <w:iCs/>
          <w:szCs w:val="28"/>
          <w:lang w:eastAsia="en-US"/>
        </w:rPr>
        <w:t>у відділеннях для пацієнтів з ТБ</w:t>
      </w:r>
      <w:r>
        <w:rPr>
          <w:szCs w:val="28"/>
          <w:lang w:eastAsia="en-US"/>
        </w:rPr>
        <w:t xml:space="preserve"> наявна у шести регіонах, з них лише у чотирьох вона знаходиться у робочому стані і лише у трьох експлуатується відповідно вимог Стандарту інфекційного контролю за туберкульозом.</w:t>
      </w:r>
      <w:bookmarkStart w:id="108" w:name="_Hlk106024401"/>
      <w:r>
        <w:rPr>
          <w:szCs w:val="28"/>
          <w:lang w:eastAsia="en-US"/>
        </w:rPr>
        <w:t xml:space="preserve"> Середньомісячна потреба в електроенергії для роботи вентиляційної системи на 1 м</w:t>
      </w:r>
      <w:r>
        <w:rPr>
          <w:szCs w:val="28"/>
          <w:vertAlign w:val="superscript"/>
          <w:lang w:eastAsia="en-US"/>
        </w:rPr>
        <w:t>2</w:t>
      </w:r>
      <w:r>
        <w:rPr>
          <w:szCs w:val="28"/>
          <w:lang w:eastAsia="en-US"/>
        </w:rPr>
        <w:t xml:space="preserve"> становить в середньому 350,54 грн (від 0,91 до 1268,91 грн по 4-х регіонах).</w:t>
      </w:r>
      <w:bookmarkEnd w:id="108"/>
    </w:p>
    <w:p w14:paraId="2912BC76" w14:textId="77777777" w:rsidR="00DC65A2" w:rsidRDefault="00DC65A2" w:rsidP="00DC65A2">
      <w:pPr>
        <w:spacing w:line="256" w:lineRule="auto"/>
        <w:rPr>
          <w:szCs w:val="28"/>
          <w:lang w:eastAsia="en-US"/>
        </w:rPr>
      </w:pPr>
      <w:r>
        <w:rPr>
          <w:szCs w:val="28"/>
          <w:lang w:eastAsia="en-US"/>
        </w:rPr>
        <w:t xml:space="preserve">Механічна вентиляція у </w:t>
      </w:r>
      <w:r>
        <w:rPr>
          <w:i/>
          <w:iCs/>
          <w:szCs w:val="28"/>
          <w:lang w:eastAsia="en-US"/>
        </w:rPr>
        <w:t>лабораторіях, які проводять дослідження ТБ,</w:t>
      </w:r>
      <w:r>
        <w:rPr>
          <w:szCs w:val="28"/>
          <w:lang w:eastAsia="en-US"/>
        </w:rPr>
        <w:t xml:space="preserve"> наявна в п’ятнадцяти регіонах, з них у тринадцяти вона знаходиться у робочому стані та експлуатується відповідно вимог Стандарту інфекційного контролю за туберкульозом. Середньомісячна потреба в електроенергії для роботи вентиляційної системи на 1 м</w:t>
      </w:r>
      <w:r>
        <w:rPr>
          <w:szCs w:val="28"/>
          <w:vertAlign w:val="superscript"/>
          <w:lang w:eastAsia="en-US"/>
        </w:rPr>
        <w:t>2</w:t>
      </w:r>
      <w:r>
        <w:rPr>
          <w:szCs w:val="28"/>
          <w:lang w:eastAsia="en-US"/>
        </w:rPr>
        <w:t xml:space="preserve"> становить в середньому 87,68 грн (від 2,39 до 229,99 грн (за даними одинадцяти регіонів).</w:t>
      </w:r>
    </w:p>
    <w:p w14:paraId="5384115C" w14:textId="77777777" w:rsidR="00DC65A2" w:rsidRDefault="00DC65A2" w:rsidP="00DC65A2">
      <w:pPr>
        <w:spacing w:line="256" w:lineRule="auto"/>
        <w:rPr>
          <w:szCs w:val="28"/>
          <w:lang w:eastAsia="en-US"/>
        </w:rPr>
      </w:pPr>
      <w:r>
        <w:rPr>
          <w:szCs w:val="28"/>
          <w:lang w:eastAsia="en-US"/>
        </w:rPr>
        <w:t xml:space="preserve">Механічна вентиляція </w:t>
      </w:r>
      <w:r>
        <w:rPr>
          <w:i/>
          <w:iCs/>
          <w:szCs w:val="28"/>
          <w:lang w:eastAsia="en-US"/>
        </w:rPr>
        <w:t xml:space="preserve">у приміщеннях, де проводяться </w:t>
      </w:r>
      <w:proofErr w:type="spellStart"/>
      <w:r>
        <w:rPr>
          <w:i/>
          <w:iCs/>
          <w:szCs w:val="28"/>
          <w:lang w:eastAsia="en-US"/>
        </w:rPr>
        <w:t>аерозольгенеруючі</w:t>
      </w:r>
      <w:proofErr w:type="spellEnd"/>
      <w:r>
        <w:rPr>
          <w:i/>
          <w:iCs/>
          <w:szCs w:val="28"/>
          <w:lang w:eastAsia="en-US"/>
        </w:rPr>
        <w:t xml:space="preserve"> процедури,</w:t>
      </w:r>
      <w:r>
        <w:rPr>
          <w:szCs w:val="28"/>
          <w:lang w:eastAsia="en-US"/>
        </w:rPr>
        <w:t xml:space="preserve"> наявна у восьми регіонах (знаходиться у робочому стані та експлуатується відповідно вимог Стандарту інфекційного контролю за туберкульозом). Середньомісячна потреба в електроенергії для роботи вентиляційної системи на 1 м</w:t>
      </w:r>
      <w:r>
        <w:rPr>
          <w:szCs w:val="28"/>
          <w:vertAlign w:val="superscript"/>
          <w:lang w:eastAsia="en-US"/>
        </w:rPr>
        <w:t>2</w:t>
      </w:r>
      <w:r>
        <w:rPr>
          <w:szCs w:val="28"/>
          <w:lang w:eastAsia="en-US"/>
        </w:rPr>
        <w:t xml:space="preserve"> становить в середньому 244 грн (від 12,88 до 919,44 грн (за даними регіонів).</w:t>
      </w:r>
    </w:p>
    <w:p w14:paraId="0C9AD79B" w14:textId="77777777" w:rsidR="00DC65A2" w:rsidRDefault="00DC65A2" w:rsidP="00DC65A2">
      <w:pPr>
        <w:spacing w:line="256" w:lineRule="auto"/>
        <w:rPr>
          <w:szCs w:val="28"/>
          <w:lang w:eastAsia="en-US"/>
        </w:rPr>
      </w:pPr>
    </w:p>
    <w:p w14:paraId="2B4E1F57" w14:textId="77777777" w:rsidR="00DC65A2" w:rsidRDefault="00DC65A2" w:rsidP="00DC65A2">
      <w:pPr>
        <w:spacing w:line="256" w:lineRule="auto"/>
        <w:rPr>
          <w:b/>
          <w:i/>
          <w:iCs/>
          <w:color w:val="1F497D" w:themeColor="text2"/>
          <w:szCs w:val="28"/>
          <w:lang w:eastAsia="en-US"/>
        </w:rPr>
      </w:pPr>
      <w:r>
        <w:rPr>
          <w:b/>
          <w:i/>
          <w:iCs/>
          <w:color w:val="1F497D" w:themeColor="text2"/>
          <w:szCs w:val="28"/>
          <w:lang w:eastAsia="en-US"/>
        </w:rPr>
        <w:t xml:space="preserve">Ультрафіолетові бактерицидні </w:t>
      </w:r>
      <w:proofErr w:type="spellStart"/>
      <w:r>
        <w:rPr>
          <w:b/>
          <w:i/>
          <w:iCs/>
          <w:color w:val="1F497D" w:themeColor="text2"/>
          <w:szCs w:val="28"/>
          <w:lang w:eastAsia="en-US"/>
        </w:rPr>
        <w:t>опромінювачі</w:t>
      </w:r>
      <w:proofErr w:type="spellEnd"/>
    </w:p>
    <w:p w14:paraId="6F1511C3" w14:textId="77777777" w:rsidR="00DC65A2" w:rsidRDefault="00DC65A2" w:rsidP="00DC65A2">
      <w:pPr>
        <w:spacing w:line="256" w:lineRule="auto"/>
        <w:rPr>
          <w:szCs w:val="28"/>
          <w:lang w:eastAsia="en-US"/>
        </w:rPr>
      </w:pPr>
      <w:r>
        <w:rPr>
          <w:szCs w:val="28"/>
          <w:lang w:eastAsia="en-US"/>
        </w:rPr>
        <w:t xml:space="preserve">За 2021 рік рівень оснащення зон високого ризику передавання ТБ екранованими бактерицидними </w:t>
      </w:r>
      <w:proofErr w:type="spellStart"/>
      <w:r>
        <w:rPr>
          <w:szCs w:val="28"/>
          <w:lang w:eastAsia="en-US"/>
        </w:rPr>
        <w:t>опромінювачами</w:t>
      </w:r>
      <w:proofErr w:type="spellEnd"/>
      <w:r>
        <w:rPr>
          <w:szCs w:val="28"/>
          <w:lang w:eastAsia="en-US"/>
        </w:rPr>
        <w:t xml:space="preserve"> по Україні складає 96,5% (у 2020 році – 92,62%, у 2019 році – 88,8%, у 2018 році – 91,1%). Таку оснащені </w:t>
      </w:r>
      <w:r>
        <w:rPr>
          <w:szCs w:val="28"/>
          <w:lang w:eastAsia="en-US"/>
        </w:rPr>
        <w:lastRenderedPageBreak/>
        <w:t xml:space="preserve">можна пов’язати з реорганізацією та оптимізацією протитуберкульозних закладів. Частина </w:t>
      </w:r>
      <w:proofErr w:type="spellStart"/>
      <w:r>
        <w:rPr>
          <w:szCs w:val="28"/>
          <w:lang w:eastAsia="en-US"/>
        </w:rPr>
        <w:t>опромінювачів</w:t>
      </w:r>
      <w:proofErr w:type="spellEnd"/>
      <w:r>
        <w:rPr>
          <w:szCs w:val="28"/>
          <w:lang w:eastAsia="en-US"/>
        </w:rPr>
        <w:t xml:space="preserve"> не встановлена та перебуває на складах (658 шт.).</w:t>
      </w:r>
    </w:p>
    <w:p w14:paraId="2FF5BCB6" w14:textId="77777777" w:rsidR="00DC65A2" w:rsidRDefault="00DC65A2" w:rsidP="00DC65A2">
      <w:pPr>
        <w:spacing w:line="256" w:lineRule="auto"/>
        <w:rPr>
          <w:szCs w:val="28"/>
          <w:lang w:eastAsia="en-US"/>
        </w:rPr>
      </w:pPr>
      <w:r>
        <w:rPr>
          <w:szCs w:val="28"/>
          <w:lang w:eastAsia="en-US"/>
        </w:rPr>
        <w:t>Моніторинг роботи УФ-</w:t>
      </w:r>
      <w:proofErr w:type="spellStart"/>
      <w:r>
        <w:rPr>
          <w:szCs w:val="28"/>
          <w:lang w:eastAsia="en-US"/>
        </w:rPr>
        <w:t>опромінювачів</w:t>
      </w:r>
      <w:proofErr w:type="spellEnd"/>
      <w:r>
        <w:rPr>
          <w:szCs w:val="28"/>
          <w:lang w:eastAsia="en-US"/>
        </w:rPr>
        <w:t xml:space="preserve"> проводиться за допомогою УФ-метра. У 2021 році всі регіони мали актуальну повірку УФ-радіометрів. УФ-радіометри використовуються для оцінки ефективності роботи бактерицидних ламп (</w:t>
      </w:r>
      <w:r>
        <w:rPr>
          <w:i/>
          <w:iCs/>
          <w:szCs w:val="28"/>
          <w:lang w:eastAsia="en-US"/>
        </w:rPr>
        <w:t>91% УФ-</w:t>
      </w:r>
      <w:proofErr w:type="spellStart"/>
      <w:r>
        <w:rPr>
          <w:i/>
          <w:iCs/>
          <w:szCs w:val="28"/>
          <w:lang w:eastAsia="en-US"/>
        </w:rPr>
        <w:t>опромінювачів</w:t>
      </w:r>
      <w:proofErr w:type="spellEnd"/>
      <w:r>
        <w:rPr>
          <w:i/>
          <w:iCs/>
          <w:szCs w:val="28"/>
          <w:lang w:eastAsia="en-US"/>
        </w:rPr>
        <w:t xml:space="preserve"> в 2021 році були перевірені на ефективність і безпечність роботи</w:t>
      </w:r>
      <w:r>
        <w:rPr>
          <w:szCs w:val="28"/>
          <w:lang w:eastAsia="en-US"/>
        </w:rPr>
        <w:t xml:space="preserve"> (середній показник по Україні). Визначення рівнів УФ-випромінювання в нижній частині приміщень при роботі екранованих </w:t>
      </w:r>
      <w:proofErr w:type="spellStart"/>
      <w:r>
        <w:rPr>
          <w:szCs w:val="28"/>
          <w:lang w:eastAsia="en-US"/>
        </w:rPr>
        <w:t>опромінювачів</w:t>
      </w:r>
      <w:proofErr w:type="spellEnd"/>
      <w:r>
        <w:rPr>
          <w:szCs w:val="28"/>
          <w:lang w:eastAsia="en-US"/>
        </w:rPr>
        <w:t xml:space="preserve"> та розрахунок часу роботи відкритих УФ-</w:t>
      </w:r>
      <w:proofErr w:type="spellStart"/>
      <w:r>
        <w:rPr>
          <w:szCs w:val="28"/>
          <w:lang w:eastAsia="en-US"/>
        </w:rPr>
        <w:t>опромінювачів</w:t>
      </w:r>
      <w:proofErr w:type="spellEnd"/>
      <w:r>
        <w:rPr>
          <w:szCs w:val="28"/>
          <w:lang w:eastAsia="en-US"/>
        </w:rPr>
        <w:t xml:space="preserve"> проводиться у 88% та 64% протитуберкульозних закладів відповідно. Кратність очищення бактерицидних ультрафіолетових ламп визначена у 76% закладів. При використанні екранованих бактерицидних </w:t>
      </w:r>
      <w:proofErr w:type="spellStart"/>
      <w:r>
        <w:rPr>
          <w:szCs w:val="28"/>
          <w:lang w:eastAsia="en-US"/>
        </w:rPr>
        <w:t>опромінювачів</w:t>
      </w:r>
      <w:proofErr w:type="spellEnd"/>
      <w:r>
        <w:rPr>
          <w:szCs w:val="28"/>
          <w:lang w:eastAsia="en-US"/>
        </w:rPr>
        <w:t xml:space="preserve"> в зонах високого ризику передавання туберкульозу використовуються засоби для перемішування повітря в приміщенні у 20% протитуберкульозних закладах. </w:t>
      </w:r>
      <w:r>
        <w:rPr>
          <w:i/>
          <w:iCs/>
          <w:szCs w:val="28"/>
          <w:lang w:eastAsia="en-US"/>
        </w:rPr>
        <w:t xml:space="preserve">Менше половини всіх екранованих УФ </w:t>
      </w:r>
      <w:proofErr w:type="spellStart"/>
      <w:r>
        <w:rPr>
          <w:i/>
          <w:iCs/>
          <w:szCs w:val="28"/>
          <w:lang w:eastAsia="en-US"/>
        </w:rPr>
        <w:t>опромінювачів</w:t>
      </w:r>
      <w:proofErr w:type="spellEnd"/>
      <w:r>
        <w:rPr>
          <w:i/>
          <w:iCs/>
          <w:szCs w:val="28"/>
          <w:lang w:eastAsia="en-US"/>
        </w:rPr>
        <w:t xml:space="preserve"> (47,2%) вмикаються поза межами приміщень, в яких використовуються.</w:t>
      </w:r>
    </w:p>
    <w:p w14:paraId="417531B5" w14:textId="77777777" w:rsidR="00DC65A2" w:rsidRDefault="00DC65A2" w:rsidP="00DC65A2">
      <w:pPr>
        <w:spacing w:line="256" w:lineRule="auto"/>
        <w:rPr>
          <w:szCs w:val="28"/>
          <w:lang w:eastAsia="en-US"/>
        </w:rPr>
      </w:pPr>
      <w:r>
        <w:rPr>
          <w:szCs w:val="28"/>
          <w:lang w:eastAsia="en-US"/>
        </w:rPr>
        <w:t>У більшості регіонів заклади надання вторинної медичної допомоги не включені до графіків проведення фіт тестування та перевірки бактерицидних ламп УФ-радіометром, що свідчить про недостатній рівень організаційно-методичної роботи.</w:t>
      </w:r>
    </w:p>
    <w:bookmarkEnd w:id="107"/>
    <w:p w14:paraId="3C84EA0A" w14:textId="1E326ADA" w:rsidR="00DC65A2" w:rsidRPr="00B66A87" w:rsidRDefault="00B66A87" w:rsidP="00DC65A2">
      <w:pPr>
        <w:pStyle w:val="2"/>
      </w:pPr>
      <w:r w:rsidRPr="00B66A87">
        <w:t>5</w:t>
      </w:r>
      <w:r w:rsidR="00A26355" w:rsidRPr="00B66A87">
        <w:t xml:space="preserve">.4 </w:t>
      </w:r>
      <w:r w:rsidR="00DC65A2" w:rsidRPr="00B66A87">
        <w:t xml:space="preserve">Респіраторний компонент </w:t>
      </w:r>
    </w:p>
    <w:p w14:paraId="75B7F151" w14:textId="77777777" w:rsidR="00DC65A2" w:rsidRDefault="00DC65A2" w:rsidP="00DC65A2">
      <w:pPr>
        <w:spacing w:line="256" w:lineRule="auto"/>
        <w:rPr>
          <w:szCs w:val="28"/>
          <w:lang w:eastAsia="en-US"/>
        </w:rPr>
      </w:pPr>
      <w:r>
        <w:rPr>
          <w:szCs w:val="28"/>
          <w:lang w:eastAsia="en-US"/>
        </w:rPr>
        <w:t xml:space="preserve">За звітними даними забезпеченість </w:t>
      </w:r>
      <w:proofErr w:type="spellStart"/>
      <w:r>
        <w:rPr>
          <w:szCs w:val="28"/>
          <w:lang w:eastAsia="en-US"/>
        </w:rPr>
        <w:t>протиаерозольними</w:t>
      </w:r>
      <w:proofErr w:type="spellEnd"/>
      <w:r>
        <w:rPr>
          <w:szCs w:val="28"/>
          <w:lang w:eastAsia="en-US"/>
        </w:rPr>
        <w:t xml:space="preserve"> респіраторами на 01.01.202</w:t>
      </w:r>
      <w:r>
        <w:rPr>
          <w:szCs w:val="28"/>
          <w:lang w:val="ru-RU" w:eastAsia="en-US"/>
        </w:rPr>
        <w:t>2</w:t>
      </w:r>
      <w:r>
        <w:rPr>
          <w:szCs w:val="28"/>
          <w:lang w:eastAsia="en-US"/>
        </w:rPr>
        <w:t>, а саме запас на кількість місяців по областям в середньому складав 11,75 (у</w:t>
      </w:r>
      <w:r>
        <w:rPr>
          <w:szCs w:val="28"/>
          <w:lang w:val="ru-RU" w:eastAsia="en-US"/>
        </w:rPr>
        <w:t xml:space="preserve"> 2020</w:t>
      </w:r>
      <w:r>
        <w:rPr>
          <w:szCs w:val="28"/>
          <w:lang w:eastAsia="en-US"/>
        </w:rPr>
        <w:t xml:space="preserve"> – 6,62, у 2019 – 3,12, у 2018 – 4,53). Враховуючи надані дані по кількості медичних співробітників протитуберкульозних закладів та середньомісячну потребу в респіраторах, в середньому по Україні на одного співробітника протитуберкульозних закладів в місяць розраховано 5,53 респіраторів (у 2020 році – 5,8, у 2019 році – 6,5). Але даний показник дуже різниться в регіонах: від 1,03 до 13,24 (</w:t>
      </w:r>
      <w:r>
        <w:rPr>
          <w:i/>
          <w:iCs/>
          <w:szCs w:val="28"/>
          <w:lang w:eastAsia="en-US"/>
        </w:rPr>
        <w:t>у 28% регіонів середньомісячна потреба в респіраторах на одного співробітника складала менше 3</w:t>
      </w:r>
      <w:r>
        <w:rPr>
          <w:szCs w:val="28"/>
          <w:lang w:eastAsia="en-US"/>
        </w:rPr>
        <w:t>).</w:t>
      </w:r>
    </w:p>
    <w:p w14:paraId="3468098D" w14:textId="77777777" w:rsidR="00DC65A2" w:rsidRDefault="00DC65A2" w:rsidP="00DC65A2">
      <w:pPr>
        <w:spacing w:line="256" w:lineRule="auto"/>
        <w:rPr>
          <w:i/>
          <w:iCs/>
          <w:szCs w:val="28"/>
          <w:lang w:eastAsia="en-US"/>
        </w:rPr>
      </w:pPr>
      <w:r>
        <w:rPr>
          <w:i/>
          <w:iCs/>
          <w:szCs w:val="28"/>
          <w:lang w:eastAsia="en-US"/>
        </w:rPr>
        <w:t xml:space="preserve">Якість даних, що були надані протитуберкульозними закладами щодо кількості респіраторів, кількості респіраторів класу захисту </w:t>
      </w:r>
      <w:r>
        <w:rPr>
          <w:i/>
          <w:iCs/>
          <w:szCs w:val="28"/>
          <w:lang w:val="en-US" w:eastAsia="en-US"/>
        </w:rPr>
        <w:t>FFP</w:t>
      </w:r>
      <w:r>
        <w:rPr>
          <w:i/>
          <w:iCs/>
          <w:szCs w:val="28"/>
          <w:lang w:eastAsia="en-US"/>
        </w:rPr>
        <w:t xml:space="preserve">2 та </w:t>
      </w:r>
      <w:r>
        <w:rPr>
          <w:i/>
          <w:iCs/>
          <w:szCs w:val="28"/>
          <w:lang w:val="en-US" w:eastAsia="en-US"/>
        </w:rPr>
        <w:t>FFP</w:t>
      </w:r>
      <w:r>
        <w:rPr>
          <w:i/>
          <w:iCs/>
          <w:szCs w:val="28"/>
          <w:lang w:eastAsia="en-US"/>
        </w:rPr>
        <w:t>3, а також кількості моделей респіраторів свідчить про низький рівень обізнаності стосовно респіраторного компоненту ІК ТБ та його впровадження.</w:t>
      </w:r>
    </w:p>
    <w:p w14:paraId="2BFDA2FF" w14:textId="77777777" w:rsidR="00DC65A2" w:rsidRDefault="00DC65A2" w:rsidP="00DC65A2">
      <w:pPr>
        <w:spacing w:line="256" w:lineRule="auto"/>
        <w:rPr>
          <w:szCs w:val="28"/>
          <w:lang w:eastAsia="en-US"/>
        </w:rPr>
      </w:pPr>
      <w:r>
        <w:rPr>
          <w:szCs w:val="28"/>
          <w:lang w:eastAsia="en-US"/>
        </w:rPr>
        <w:t>З усіх медичних працівників протитуберкульозних закладів тільки 76,6% пройшли навчання по респіраторному захисту у 2021 році.</w:t>
      </w:r>
    </w:p>
    <w:p w14:paraId="3C62D92B" w14:textId="77777777" w:rsidR="00DC65A2" w:rsidRDefault="00DC65A2" w:rsidP="00DC65A2">
      <w:pPr>
        <w:spacing w:line="256" w:lineRule="auto"/>
        <w:rPr>
          <w:szCs w:val="28"/>
          <w:lang w:eastAsia="en-US"/>
        </w:rPr>
      </w:pPr>
    </w:p>
    <w:p w14:paraId="373219DE" w14:textId="77777777" w:rsidR="00DC65A2" w:rsidRDefault="00DC65A2" w:rsidP="00DC65A2">
      <w:pPr>
        <w:spacing w:line="256" w:lineRule="auto"/>
        <w:rPr>
          <w:i/>
          <w:iCs/>
          <w:szCs w:val="28"/>
          <w:lang w:eastAsia="en-US"/>
        </w:rPr>
      </w:pPr>
      <w:r>
        <w:rPr>
          <w:i/>
          <w:iCs/>
          <w:szCs w:val="28"/>
          <w:lang w:eastAsia="en-US"/>
        </w:rPr>
        <w:lastRenderedPageBreak/>
        <w:t>Об’єм витрачених розчинів для проведення фіт тестування в регіонах свідчить про неправильну організацію проведення фіт тестування співробітників.</w:t>
      </w:r>
    </w:p>
    <w:p w14:paraId="18172BEC" w14:textId="77777777" w:rsidR="00DC65A2" w:rsidRDefault="00DC65A2" w:rsidP="00DC65A2">
      <w:pPr>
        <w:spacing w:line="256" w:lineRule="auto"/>
        <w:rPr>
          <w:i/>
          <w:iCs/>
          <w:szCs w:val="28"/>
          <w:lang w:eastAsia="en-US"/>
        </w:rPr>
      </w:pPr>
      <w:r>
        <w:rPr>
          <w:i/>
          <w:iCs/>
          <w:szCs w:val="28"/>
          <w:lang w:eastAsia="en-US"/>
        </w:rPr>
        <w:t xml:space="preserve">Результати фіт тестування співробітників не враховуються при організації </w:t>
      </w:r>
      <w:proofErr w:type="spellStart"/>
      <w:r>
        <w:rPr>
          <w:i/>
          <w:iCs/>
          <w:szCs w:val="28"/>
          <w:lang w:eastAsia="en-US"/>
        </w:rPr>
        <w:t>закупівель</w:t>
      </w:r>
      <w:proofErr w:type="spellEnd"/>
      <w:r>
        <w:rPr>
          <w:i/>
          <w:iCs/>
          <w:szCs w:val="28"/>
          <w:lang w:eastAsia="en-US"/>
        </w:rPr>
        <w:t xml:space="preserve"> </w:t>
      </w:r>
      <w:proofErr w:type="spellStart"/>
      <w:r>
        <w:rPr>
          <w:i/>
          <w:iCs/>
          <w:szCs w:val="28"/>
          <w:lang w:eastAsia="en-US"/>
        </w:rPr>
        <w:t>протиаерозольних</w:t>
      </w:r>
      <w:proofErr w:type="spellEnd"/>
      <w:r>
        <w:rPr>
          <w:i/>
          <w:iCs/>
          <w:szCs w:val="28"/>
          <w:lang w:eastAsia="en-US"/>
        </w:rPr>
        <w:t xml:space="preserve"> респіраторів.</w:t>
      </w:r>
    </w:p>
    <w:p w14:paraId="4BFCC125" w14:textId="77777777" w:rsidR="00DC65A2" w:rsidRDefault="00DC65A2" w:rsidP="00DC65A2">
      <w:pPr>
        <w:spacing w:line="256" w:lineRule="auto"/>
        <w:rPr>
          <w:szCs w:val="28"/>
          <w:lang w:eastAsia="en-US"/>
        </w:rPr>
      </w:pPr>
    </w:p>
    <w:p w14:paraId="3A8A7C10" w14:textId="77777777" w:rsidR="00DC65A2" w:rsidRDefault="00DC65A2" w:rsidP="00DC65A2">
      <w:pPr>
        <w:spacing w:line="256" w:lineRule="auto"/>
        <w:rPr>
          <w:szCs w:val="28"/>
          <w:lang w:eastAsia="en-US"/>
        </w:rPr>
      </w:pPr>
      <w:r>
        <w:rPr>
          <w:i/>
          <w:iCs/>
          <w:szCs w:val="28"/>
          <w:lang w:eastAsia="en-US"/>
        </w:rPr>
        <w:t>За 2021 рік закуплено на 25% менше розчинів для фіт тестування, ніж використано.</w:t>
      </w:r>
    </w:p>
    <w:p w14:paraId="0AF055EF" w14:textId="6CEDE990" w:rsidR="00A2335E" w:rsidRPr="0024080D" w:rsidRDefault="00DC65A2" w:rsidP="00A2335E">
      <w:pPr>
        <w:widowControl w:val="0"/>
        <w:pBdr>
          <w:top w:val="nil"/>
          <w:left w:val="nil"/>
          <w:bottom w:val="nil"/>
          <w:right w:val="nil"/>
          <w:between w:val="nil"/>
        </w:pBdr>
        <w:ind w:firstLine="0"/>
        <w:jc w:val="center"/>
        <w:rPr>
          <w:rFonts w:cs="Times New Roman"/>
          <w:szCs w:val="28"/>
        </w:rPr>
      </w:pPr>
      <w:r>
        <w:rPr>
          <w:noProof/>
        </w:rPr>
        <w:drawing>
          <wp:inline distT="0" distB="0" distL="0" distR="0" wp14:anchorId="7E261878" wp14:editId="77E43435">
            <wp:extent cx="5940425" cy="2185670"/>
            <wp:effectExtent l="0" t="0" r="3175" b="5080"/>
            <wp:docPr id="15" name="Діаграма 15">
              <a:extLst xmlns:a="http://schemas.openxmlformats.org/drawingml/2006/main">
                <a:ext uri="{FF2B5EF4-FFF2-40B4-BE49-F238E27FC236}">
                  <a16:creationId xmlns:a16="http://schemas.microsoft.com/office/drawing/2014/main" id="{31F139B4-F937-4901-97CB-287C54442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11D79D5" w14:textId="3DBFD1E0" w:rsidR="00A2335E" w:rsidRPr="0024080D" w:rsidRDefault="00A2335E" w:rsidP="00A2335E">
      <w:pPr>
        <w:widowControl w:val="0"/>
        <w:pBdr>
          <w:top w:val="nil"/>
          <w:left w:val="nil"/>
          <w:bottom w:val="nil"/>
          <w:right w:val="nil"/>
          <w:between w:val="nil"/>
        </w:pBdr>
        <w:spacing w:after="120"/>
        <w:ind w:firstLine="0"/>
        <w:jc w:val="center"/>
        <w:rPr>
          <w:rFonts w:cs="Times New Roman"/>
          <w:b/>
          <w:szCs w:val="28"/>
        </w:rPr>
      </w:pPr>
      <w:r w:rsidRPr="0024080D">
        <w:rPr>
          <w:rFonts w:cs="Times New Roman"/>
          <w:b/>
          <w:szCs w:val="28"/>
        </w:rPr>
        <w:t>Рисунок </w:t>
      </w:r>
      <w:r w:rsidR="00B66A87">
        <w:rPr>
          <w:rFonts w:cs="Times New Roman"/>
          <w:b/>
          <w:szCs w:val="28"/>
        </w:rPr>
        <w:t>5</w:t>
      </w:r>
      <w:r w:rsidRPr="0024080D">
        <w:rPr>
          <w:rFonts w:cs="Times New Roman"/>
          <w:b/>
          <w:szCs w:val="28"/>
        </w:rPr>
        <w:t>.2. Забезпеченість респіраторами</w:t>
      </w:r>
      <w:r w:rsidR="003436C2" w:rsidRPr="0024080D">
        <w:rPr>
          <w:rFonts w:cs="Times New Roman"/>
          <w:b/>
          <w:szCs w:val="28"/>
        </w:rPr>
        <w:t xml:space="preserve"> (</w:t>
      </w:r>
      <w:r w:rsidR="00DC65A2">
        <w:rPr>
          <w:rFonts w:cs="Times New Roman"/>
          <w:b/>
          <w:szCs w:val="28"/>
        </w:rPr>
        <w:t>місяців</w:t>
      </w:r>
      <w:r w:rsidR="003436C2" w:rsidRPr="0024080D">
        <w:rPr>
          <w:rFonts w:cs="Times New Roman"/>
          <w:b/>
          <w:szCs w:val="28"/>
        </w:rPr>
        <w:t>)</w:t>
      </w:r>
    </w:p>
    <w:p w14:paraId="1CAFAF0F" w14:textId="77777777" w:rsidR="00DC65A2" w:rsidRDefault="00DC65A2" w:rsidP="00DC65A2">
      <w:pPr>
        <w:spacing w:line="256" w:lineRule="auto"/>
        <w:rPr>
          <w:i/>
          <w:iCs/>
          <w:szCs w:val="28"/>
          <w:lang w:eastAsia="en-US"/>
        </w:rPr>
      </w:pPr>
      <w:bookmarkStart w:id="109" w:name="_Toc88088876"/>
      <w:bookmarkStart w:id="110" w:name="_Toc89149156"/>
      <w:r>
        <w:rPr>
          <w:i/>
          <w:iCs/>
          <w:szCs w:val="28"/>
          <w:lang w:eastAsia="en-US"/>
        </w:rPr>
        <w:t>У більшості регіонів заклади надання вторинної медичної допомоги не включені до графіків проведення фіт тестування, що свідчить про недостатній рівень організаційно-методичної роботи.</w:t>
      </w:r>
    </w:p>
    <w:p w14:paraId="4683455F" w14:textId="77777777" w:rsidR="00A2335E" w:rsidRPr="0024080D" w:rsidRDefault="00A2335E" w:rsidP="00A2335E">
      <w:pPr>
        <w:pStyle w:val="2"/>
      </w:pPr>
      <w:r w:rsidRPr="0024080D">
        <w:t>Висновки з питань організації інфекційного контролю</w:t>
      </w:r>
      <w:bookmarkEnd w:id="109"/>
      <w:bookmarkEnd w:id="110"/>
      <w:r w:rsidRPr="0024080D">
        <w:t xml:space="preserve"> </w:t>
      </w:r>
    </w:p>
    <w:p w14:paraId="5B8058FE" w14:textId="77777777" w:rsidR="00326816" w:rsidRDefault="00326816" w:rsidP="00326816">
      <w:pPr>
        <w:spacing w:line="256" w:lineRule="auto"/>
        <w:rPr>
          <w:szCs w:val="28"/>
          <w:lang w:eastAsia="en-US"/>
        </w:rPr>
      </w:pPr>
      <w:r>
        <w:rPr>
          <w:szCs w:val="28"/>
          <w:lang w:eastAsia="en-US"/>
        </w:rPr>
        <w:t>Станом на 01.01.2022 року протитуберкульозні заклади не відповідають необхідним критеріям ІК ТБ. Протягом звітного періоду спостерігається низька якість організаційних та управлінських заходів в регіонах, а саме планування заходів з ІК ТБ, розрахунки фінансового забезпечення та своєчасне їхнє передавання розпоряднику коштів, розподіл потоків пацієнтів, проведення оптимізації ліжок, навчання і підготовка персоналу.</w:t>
      </w:r>
    </w:p>
    <w:p w14:paraId="4F845C1E" w14:textId="77777777" w:rsidR="00326816" w:rsidRDefault="00326816" w:rsidP="00326816">
      <w:pPr>
        <w:spacing w:line="256" w:lineRule="auto"/>
        <w:rPr>
          <w:szCs w:val="28"/>
          <w:lang w:eastAsia="en-US"/>
        </w:rPr>
      </w:pPr>
      <w:r>
        <w:rPr>
          <w:szCs w:val="28"/>
          <w:lang w:eastAsia="en-US"/>
        </w:rPr>
        <w:t>В усіх протитуберкульозних закладах сформовані відділи з інфекційного контролю (протитуберкульозні заклади були першими з усієї сукупності закладів охорони здоров’я України), на які покладено відповідальність за впровадження комплексу заходів з профілактики інфекцій та інфекційного контролю, в тому числі ІК ТБ, що забезпечить цілісний і систематизований підхід для сталих і ефективних результатів.</w:t>
      </w:r>
    </w:p>
    <w:p w14:paraId="4C926D06" w14:textId="5C44FC1B" w:rsidR="00326816" w:rsidRDefault="00326816" w:rsidP="00326816">
      <w:pPr>
        <w:spacing w:line="256" w:lineRule="auto"/>
        <w:rPr>
          <w:szCs w:val="28"/>
          <w:lang w:eastAsia="en-US"/>
        </w:rPr>
      </w:pPr>
      <w:r>
        <w:rPr>
          <w:szCs w:val="28"/>
          <w:lang w:eastAsia="en-US"/>
        </w:rPr>
        <w:t>В регіонах бул</w:t>
      </w:r>
      <w:r w:rsidR="00B65A91">
        <w:rPr>
          <w:szCs w:val="28"/>
          <w:lang w:eastAsia="en-US"/>
        </w:rPr>
        <w:t>о</w:t>
      </w:r>
      <w:r>
        <w:rPr>
          <w:szCs w:val="28"/>
          <w:lang w:eastAsia="en-US"/>
        </w:rPr>
        <w:t xml:space="preserve"> </w:t>
      </w:r>
      <w:proofErr w:type="spellStart"/>
      <w:r w:rsidR="00B65A91">
        <w:rPr>
          <w:szCs w:val="28"/>
          <w:lang w:eastAsia="en-US"/>
        </w:rPr>
        <w:t>переглянуто</w:t>
      </w:r>
      <w:proofErr w:type="spellEnd"/>
      <w:r>
        <w:rPr>
          <w:szCs w:val="28"/>
          <w:lang w:eastAsia="en-US"/>
        </w:rPr>
        <w:t xml:space="preserve"> розподіл приміщень на зони низького та високого ризику передавання туберкульозу. Раціональне використання приміщень та зменшення площі зон високого ризику призведе до зменшення витрат на експлуатацію закладу через запровадження інженерного та респіраторного компоненту ІК ТБ в місцях, де є безпосередня необхідність.</w:t>
      </w:r>
    </w:p>
    <w:p w14:paraId="286D5FC4" w14:textId="77777777" w:rsidR="00326816" w:rsidRDefault="00326816" w:rsidP="00326816">
      <w:pPr>
        <w:spacing w:line="256" w:lineRule="auto"/>
        <w:rPr>
          <w:szCs w:val="28"/>
          <w:lang w:eastAsia="en-US"/>
        </w:rPr>
      </w:pPr>
    </w:p>
    <w:p w14:paraId="06FF9ADA" w14:textId="77777777" w:rsidR="00326816" w:rsidRDefault="00326816" w:rsidP="00326816">
      <w:pPr>
        <w:spacing w:line="256" w:lineRule="auto"/>
        <w:rPr>
          <w:szCs w:val="28"/>
          <w:lang w:eastAsia="en-US"/>
        </w:rPr>
      </w:pPr>
      <w:r>
        <w:rPr>
          <w:szCs w:val="28"/>
          <w:lang w:eastAsia="en-US"/>
        </w:rPr>
        <w:t>Розпорядники коштів не забезпечують запланованого рівня виділення коштів відповідно до потреби для реалізації заходів ІК ТБ. Моніторинг за дотриманням стандартів операційних процедур не проводиться у більшості закладів, що також відноситься до недоліків реалізації адміністративних заходів.</w:t>
      </w:r>
    </w:p>
    <w:p w14:paraId="51CF12F2" w14:textId="77777777" w:rsidR="00326816" w:rsidRDefault="00326816" w:rsidP="00326816">
      <w:pPr>
        <w:spacing w:line="256" w:lineRule="auto"/>
        <w:rPr>
          <w:szCs w:val="28"/>
          <w:lang w:eastAsia="en-US"/>
        </w:rPr>
      </w:pPr>
      <w:r>
        <w:rPr>
          <w:szCs w:val="28"/>
          <w:lang w:eastAsia="en-US"/>
        </w:rPr>
        <w:t>Не досягнуто рівня, встановленого Стандартом з інфекційного контролю за туберкульозом, щодо респіраторного компоненту ІК ТБ.</w:t>
      </w:r>
    </w:p>
    <w:p w14:paraId="52509036" w14:textId="77777777" w:rsidR="00326816" w:rsidRDefault="00326816" w:rsidP="00326816">
      <w:pPr>
        <w:spacing w:line="256" w:lineRule="auto"/>
        <w:rPr>
          <w:szCs w:val="28"/>
          <w:lang w:eastAsia="en-US"/>
        </w:rPr>
      </w:pPr>
      <w:r>
        <w:rPr>
          <w:szCs w:val="28"/>
          <w:lang w:eastAsia="en-US"/>
        </w:rPr>
        <w:t>У 2021 році були закуплені зручні та прості у використанні УФ-радіометри для всіх обласних протитуберкульозних закладів, визначені відповідальні особи, проведено навчання з їхньої експлуатації. Оснащення такими приладами значно збільшило потенціал закладів щодо моніторингу заходів інженерного компоненту ІК ТБ, а саме ефективності застосування екранованих УФ-</w:t>
      </w:r>
      <w:proofErr w:type="spellStart"/>
      <w:r>
        <w:rPr>
          <w:szCs w:val="28"/>
          <w:lang w:eastAsia="en-US"/>
        </w:rPr>
        <w:t>опромінювачів</w:t>
      </w:r>
      <w:proofErr w:type="spellEnd"/>
      <w:r>
        <w:rPr>
          <w:szCs w:val="28"/>
          <w:lang w:eastAsia="en-US"/>
        </w:rPr>
        <w:t xml:space="preserve"> в умовах відсутності механічної вентиляції та/або недостатнього використання природньої вентиляції.</w:t>
      </w:r>
    </w:p>
    <w:p w14:paraId="1C63D0E6" w14:textId="77777777" w:rsidR="00326816" w:rsidRDefault="00326816" w:rsidP="00326816">
      <w:pPr>
        <w:spacing w:line="256" w:lineRule="auto"/>
        <w:rPr>
          <w:szCs w:val="28"/>
          <w:lang w:eastAsia="en-US"/>
        </w:rPr>
      </w:pPr>
      <w:r>
        <w:rPr>
          <w:szCs w:val="28"/>
          <w:lang w:eastAsia="en-US"/>
        </w:rPr>
        <w:t>В усіх закладах охорони здоров’я та установ / закладів надання соціальних послуг / соціального захисту населення заборонено використання закритих УФ-</w:t>
      </w:r>
      <w:proofErr w:type="spellStart"/>
      <w:r>
        <w:rPr>
          <w:szCs w:val="28"/>
          <w:lang w:eastAsia="en-US"/>
        </w:rPr>
        <w:t>опромінювачів</w:t>
      </w:r>
      <w:proofErr w:type="spellEnd"/>
      <w:r>
        <w:rPr>
          <w:szCs w:val="28"/>
          <w:lang w:eastAsia="en-US"/>
        </w:rPr>
        <w:t xml:space="preserve"> (</w:t>
      </w:r>
      <w:proofErr w:type="spellStart"/>
      <w:r>
        <w:rPr>
          <w:szCs w:val="28"/>
          <w:lang w:eastAsia="en-US"/>
        </w:rPr>
        <w:t>рециркуляторів</w:t>
      </w:r>
      <w:proofErr w:type="spellEnd"/>
      <w:r>
        <w:rPr>
          <w:szCs w:val="28"/>
          <w:lang w:eastAsia="en-US"/>
        </w:rPr>
        <w:t>) з метою профілактики передавання інфекційних агентів повітряним шляхом, що дозволить перенаправити кошти на більш ефективні заходи.</w:t>
      </w:r>
    </w:p>
    <w:p w14:paraId="27A066A6" w14:textId="77777777" w:rsidR="00326816" w:rsidRDefault="00326816" w:rsidP="00326816">
      <w:pPr>
        <w:spacing w:line="256" w:lineRule="auto"/>
        <w:rPr>
          <w:szCs w:val="28"/>
          <w:lang w:eastAsia="en-US"/>
        </w:rPr>
      </w:pPr>
      <w:r>
        <w:rPr>
          <w:szCs w:val="28"/>
          <w:lang w:eastAsia="en-US"/>
        </w:rPr>
        <w:t xml:space="preserve">Значно збільшився запас </w:t>
      </w:r>
      <w:proofErr w:type="spellStart"/>
      <w:r>
        <w:rPr>
          <w:szCs w:val="28"/>
          <w:lang w:eastAsia="en-US"/>
        </w:rPr>
        <w:t>протиаерозольних</w:t>
      </w:r>
      <w:proofErr w:type="spellEnd"/>
      <w:r>
        <w:rPr>
          <w:szCs w:val="28"/>
          <w:lang w:eastAsia="en-US"/>
        </w:rPr>
        <w:t xml:space="preserve"> респіраторів в закладах охорони здоров’я, які надають допомогу хворим на туберкульоз, що свідчить про посилення уваги до гарантування безпеки працівників при роботі в зонах високого ризику.</w:t>
      </w:r>
    </w:p>
    <w:p w14:paraId="2F4B7709" w14:textId="77777777" w:rsidR="00326816" w:rsidRDefault="00326816" w:rsidP="00326816">
      <w:pPr>
        <w:spacing w:line="256" w:lineRule="auto"/>
        <w:rPr>
          <w:szCs w:val="28"/>
          <w:lang w:eastAsia="en-US"/>
        </w:rPr>
      </w:pPr>
      <w:r>
        <w:rPr>
          <w:szCs w:val="28"/>
          <w:lang w:eastAsia="en-US"/>
        </w:rPr>
        <w:t>Відсутність якісної оцінки ефективності роботи бактерицидних ламп та вентиляційних систем, а також коштів для енергозабезпечення механічної вентиляції, проблеми з застосуванням природньої вентиляції є основною причиною зниження ефективності інженерного компоненту ІК ТБ.</w:t>
      </w:r>
    </w:p>
    <w:p w14:paraId="29C21E0F" w14:textId="77777777" w:rsidR="00326816" w:rsidRDefault="00326816" w:rsidP="00326816">
      <w:pPr>
        <w:rPr>
          <w:sz w:val="24"/>
          <w:szCs w:val="24"/>
          <w:lang w:eastAsia="ru-RU"/>
        </w:rPr>
      </w:pPr>
      <w:r>
        <w:rPr>
          <w:szCs w:val="28"/>
          <w:lang w:eastAsia="en-US"/>
        </w:rPr>
        <w:t>Наявність захворюваності серед медичних працівників свідчить про порушення вимог ІК ТБ, особливо що стосується навчання і підготовки.</w:t>
      </w:r>
    </w:p>
    <w:p w14:paraId="0C188B9D" w14:textId="21BA2BF9" w:rsidR="001B746C" w:rsidRPr="0024080D" w:rsidRDefault="001B746C">
      <w:pPr>
        <w:spacing w:line="276" w:lineRule="auto"/>
        <w:ind w:firstLine="0"/>
        <w:jc w:val="left"/>
        <w:rPr>
          <w:rFonts w:cs="Times New Roman"/>
          <w:szCs w:val="28"/>
        </w:rPr>
      </w:pPr>
      <w:r w:rsidRPr="0024080D">
        <w:rPr>
          <w:rFonts w:cs="Times New Roman"/>
          <w:szCs w:val="28"/>
        </w:rPr>
        <w:br w:type="page"/>
      </w:r>
    </w:p>
    <w:p w14:paraId="2EDC5608" w14:textId="0B3F0E39" w:rsidR="006628F8" w:rsidRPr="0024080D" w:rsidRDefault="006628F8" w:rsidP="0024080D">
      <w:pPr>
        <w:pStyle w:val="1"/>
      </w:pPr>
      <w:bookmarkStart w:id="111" w:name="_Toc89149157"/>
      <w:bookmarkStart w:id="112" w:name="_Toc88088878"/>
      <w:r w:rsidRPr="00B66A87">
        <w:lastRenderedPageBreak/>
        <w:t>РОЗДІЛ </w:t>
      </w:r>
      <w:r w:rsidR="00B66A87" w:rsidRPr="00B66A87">
        <w:t>6</w:t>
      </w:r>
      <w:r w:rsidRPr="00B66A87">
        <w:t>.</w:t>
      </w:r>
      <w:r w:rsidR="005F0C8D" w:rsidRPr="005F0C8D">
        <w:t xml:space="preserve"> Аналіз SWOT (Сильні, Слабкі сторони, Потенційні загрози та Ризики) програми</w:t>
      </w:r>
      <w:r w:rsidR="005F0C8D">
        <w:rPr>
          <w:lang w:val="ru-RU"/>
        </w:rPr>
        <w:t>.</w:t>
      </w:r>
      <w:r w:rsidRPr="0024080D">
        <w:t> </w:t>
      </w:r>
      <w:bookmarkEnd w:id="111"/>
    </w:p>
    <w:p w14:paraId="220B5B48" w14:textId="7FC7D743" w:rsidR="006628F8" w:rsidRPr="0024080D" w:rsidRDefault="005F0C8D" w:rsidP="0024080D">
      <w:pPr>
        <w:pStyle w:val="2"/>
      </w:pPr>
      <w:bookmarkStart w:id="113" w:name="_Toc89149158"/>
      <w:r w:rsidRPr="005F0C8D">
        <w:t>Суть аналізу</w:t>
      </w:r>
      <w:bookmarkEnd w:id="113"/>
    </w:p>
    <w:p w14:paraId="08E6D261" w14:textId="77777777" w:rsidR="00FC7BCF" w:rsidRPr="00FC7BCF" w:rsidRDefault="00FC7BCF" w:rsidP="00FC7BCF">
      <w:pPr>
        <w:widowControl w:val="0"/>
        <w:pBdr>
          <w:top w:val="nil"/>
          <w:left w:val="nil"/>
          <w:bottom w:val="nil"/>
          <w:right w:val="nil"/>
          <w:between w:val="nil"/>
        </w:pBdr>
        <w:rPr>
          <w:rFonts w:cs="Times New Roman"/>
          <w:szCs w:val="28"/>
        </w:rPr>
      </w:pPr>
      <w:r w:rsidRPr="00FC7BCF">
        <w:rPr>
          <w:rFonts w:cs="Times New Roman"/>
          <w:szCs w:val="28"/>
        </w:rPr>
        <w:t>Реалізація ефективних заходів з ліквідації ТБ повинна бути заснована на оцінках програми туберкульозу, наявності ресурсів, які потрібні для досягнення поставлених цілей.</w:t>
      </w:r>
    </w:p>
    <w:p w14:paraId="28B99BD8" w14:textId="5AC91F8E" w:rsidR="006628F8" w:rsidRPr="00FC7BCF" w:rsidRDefault="00FC7BCF" w:rsidP="00FC7BCF">
      <w:pPr>
        <w:widowControl w:val="0"/>
        <w:pBdr>
          <w:top w:val="nil"/>
          <w:left w:val="nil"/>
          <w:bottom w:val="nil"/>
          <w:right w:val="nil"/>
          <w:between w:val="nil"/>
        </w:pBdr>
        <w:rPr>
          <w:rFonts w:cs="Times New Roman"/>
          <w:szCs w:val="28"/>
        </w:rPr>
      </w:pPr>
      <w:r w:rsidRPr="00FC7BCF">
        <w:rPr>
          <w:rFonts w:cs="Times New Roman"/>
          <w:szCs w:val="28"/>
        </w:rPr>
        <w:t>Наприкінці 2021 року було розроблено та роздано запитальник для регіонів для проведення комплексної оцінки та отримання зворотного зв'язку від регіонів. Метою запитальника було проведення аналізу виявлення основних потреб служби туберкульозу на регіональному рівні, сильних та слабких сторін програми, позначення питань для покращення та координації зусиль, як на національному, так і на регіональному рівнях.</w:t>
      </w:r>
    </w:p>
    <w:p w14:paraId="70CC7402" w14:textId="6E937EDD" w:rsidR="00FC7BCF" w:rsidRPr="00FC7BCF" w:rsidRDefault="00FC7BCF" w:rsidP="00FC7BCF">
      <w:pPr>
        <w:widowControl w:val="0"/>
        <w:pBdr>
          <w:top w:val="nil"/>
          <w:left w:val="nil"/>
          <w:bottom w:val="nil"/>
          <w:right w:val="nil"/>
          <w:between w:val="nil"/>
        </w:pBdr>
        <w:rPr>
          <w:rFonts w:cs="Times New Roman"/>
          <w:szCs w:val="28"/>
        </w:rPr>
      </w:pPr>
      <w:r w:rsidRPr="00FC7BCF">
        <w:rPr>
          <w:rFonts w:cs="Times New Roman"/>
          <w:szCs w:val="28"/>
        </w:rPr>
        <w:t>Опитувальник складався з 24 питань, і був поділений на 4 блоки: “Кадри”, ”Інфраструктура”, ”Технічне сприяння”, ”Навчання”. Питання оцінювалися за 5-рівневою шкалою і варіювали від "Абсолютно не згоден", "Не зовсім згоден", "Швидше за все так", "Вірно", "Абсолютно згоден". На заповнення запитальника взяли активну участь і надали зворотний зв'язок 19 із 25 регіонів країни. Ми дякуємо всім регіонам, які надали зворотний зв'язок. Регіони, які не надали зворотний зв'язок: Донецька, Волинська, м.</w:t>
      </w:r>
      <w:r w:rsidRPr="00DA0A51">
        <w:rPr>
          <w:rFonts w:cs="Times New Roman"/>
          <w:szCs w:val="28"/>
        </w:rPr>
        <w:t xml:space="preserve"> </w:t>
      </w:r>
      <w:r w:rsidRPr="00FC7BCF">
        <w:rPr>
          <w:rFonts w:cs="Times New Roman"/>
          <w:szCs w:val="28"/>
        </w:rPr>
        <w:t>Київ, Львівська, Дніпровська та Хмельницька області.</w:t>
      </w:r>
    </w:p>
    <w:p w14:paraId="739C7A44" w14:textId="08FA0DF6" w:rsidR="006628F8" w:rsidRPr="0024080D" w:rsidRDefault="00390CA4" w:rsidP="0024080D">
      <w:pPr>
        <w:pStyle w:val="2"/>
      </w:pPr>
      <w:bookmarkStart w:id="114" w:name="_Toc89149159"/>
      <w:r w:rsidRPr="00390CA4">
        <w:t>Інтерпретація результатів аналізу</w:t>
      </w:r>
      <w:bookmarkEnd w:id="114"/>
    </w:p>
    <w:p w14:paraId="29D3C36C" w14:textId="48D589FB" w:rsidR="006628F8" w:rsidRDefault="00390CA4" w:rsidP="0024080D">
      <w:pPr>
        <w:widowControl w:val="0"/>
        <w:pBdr>
          <w:top w:val="nil"/>
          <w:left w:val="nil"/>
          <w:bottom w:val="nil"/>
          <w:right w:val="nil"/>
          <w:between w:val="nil"/>
        </w:pBdr>
        <w:rPr>
          <w:rFonts w:cs="Times New Roman"/>
          <w:iCs/>
          <w:szCs w:val="28"/>
        </w:rPr>
      </w:pPr>
      <w:r w:rsidRPr="00390CA4">
        <w:rPr>
          <w:rFonts w:cs="Times New Roman"/>
          <w:iCs/>
          <w:szCs w:val="28"/>
        </w:rPr>
        <w:t>Респонденти висловили свою думку та надали коментарі щодо основних потреб для реалізації поточної програми. Відповіді варіювали за силою ефективності ліворуч і відображали думку від “Абсолютно незгодний” до “Абсолютно згоден”. Тобто ті відповіді, що знаходяться праворуч, мали найбільше значення для регіонів</w:t>
      </w:r>
      <w:r w:rsidR="006628F8" w:rsidRPr="00390CA4">
        <w:rPr>
          <w:rFonts w:cs="Times New Roman"/>
          <w:iCs/>
          <w:szCs w:val="28"/>
        </w:rPr>
        <w:t>.</w:t>
      </w:r>
    </w:p>
    <w:p w14:paraId="03215E9C" w14:textId="0354908B" w:rsidR="00896DA9" w:rsidRDefault="00896DA9" w:rsidP="00896DA9">
      <w:pPr>
        <w:outlineLvl w:val="0"/>
        <w:rPr>
          <w:b/>
          <w:bCs/>
          <w:i/>
          <w:iCs/>
        </w:rPr>
      </w:pPr>
      <w:r w:rsidRPr="00896DA9">
        <w:rPr>
          <w:b/>
          <w:bCs/>
          <w:i/>
          <w:iCs/>
        </w:rPr>
        <w:t>Інтерпретація результатів блоку 1-"Кадри"</w:t>
      </w:r>
    </w:p>
    <w:p w14:paraId="5E39E7EE" w14:textId="6E838195" w:rsidR="00896DA9" w:rsidRPr="00896DA9" w:rsidRDefault="00896DA9" w:rsidP="00896DA9">
      <w:pPr>
        <w:ind w:firstLine="0"/>
        <w:outlineLvl w:val="0"/>
        <w:rPr>
          <w:b/>
          <w:bCs/>
          <w:i/>
          <w:iCs/>
        </w:rPr>
      </w:pPr>
      <w:r>
        <w:rPr>
          <w:noProof/>
        </w:rPr>
        <w:drawing>
          <wp:inline distT="0" distB="0" distL="0" distR="0" wp14:anchorId="460F2618" wp14:editId="4E352F06">
            <wp:extent cx="5880735" cy="2212340"/>
            <wp:effectExtent l="0" t="0" r="12065" b="2286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6D18042" w14:textId="6F7771CC" w:rsidR="00896DA9" w:rsidRPr="00896DA9" w:rsidRDefault="00896DA9" w:rsidP="00CD4495">
      <w:pPr>
        <w:widowControl w:val="0"/>
        <w:pBdr>
          <w:top w:val="nil"/>
          <w:left w:val="nil"/>
          <w:bottom w:val="nil"/>
          <w:right w:val="nil"/>
          <w:between w:val="nil"/>
        </w:pBdr>
        <w:jc w:val="center"/>
        <w:rPr>
          <w:rFonts w:cs="Times New Roman"/>
          <w:b/>
          <w:bCs/>
          <w:iCs/>
          <w:szCs w:val="28"/>
        </w:rPr>
      </w:pPr>
      <w:r w:rsidRPr="00896DA9">
        <w:rPr>
          <w:rFonts w:cs="Times New Roman"/>
          <w:b/>
          <w:bCs/>
          <w:iCs/>
          <w:szCs w:val="28"/>
        </w:rPr>
        <w:t xml:space="preserve">Рисунок  </w:t>
      </w:r>
      <w:r w:rsidR="00B66A87">
        <w:rPr>
          <w:rFonts w:cs="Times New Roman"/>
          <w:b/>
          <w:bCs/>
          <w:iCs/>
          <w:szCs w:val="28"/>
        </w:rPr>
        <w:t>6.</w:t>
      </w:r>
      <w:r w:rsidRPr="00B66A87">
        <w:rPr>
          <w:rFonts w:cs="Times New Roman"/>
          <w:b/>
          <w:bCs/>
          <w:iCs/>
          <w:szCs w:val="28"/>
        </w:rPr>
        <w:t>1</w:t>
      </w:r>
      <w:r w:rsidRPr="00896DA9">
        <w:rPr>
          <w:rFonts w:cs="Times New Roman"/>
          <w:b/>
          <w:bCs/>
          <w:iCs/>
          <w:szCs w:val="28"/>
        </w:rPr>
        <w:t>.</w:t>
      </w:r>
      <w:r w:rsidR="00B66A87">
        <w:rPr>
          <w:rFonts w:cs="Times New Roman"/>
          <w:b/>
          <w:bCs/>
          <w:iCs/>
          <w:szCs w:val="28"/>
        </w:rPr>
        <w:t xml:space="preserve"> </w:t>
      </w:r>
      <w:r w:rsidRPr="00896DA9">
        <w:rPr>
          <w:rFonts w:cs="Times New Roman"/>
          <w:b/>
          <w:bCs/>
          <w:iCs/>
          <w:szCs w:val="28"/>
        </w:rPr>
        <w:t>Графік відповідей на опитувальник щодо кадрів</w:t>
      </w:r>
    </w:p>
    <w:p w14:paraId="0FEC070A" w14:textId="267B64A9" w:rsidR="00896DA9" w:rsidRPr="00390CA4" w:rsidRDefault="00896DA9" w:rsidP="0024080D">
      <w:pPr>
        <w:widowControl w:val="0"/>
        <w:pBdr>
          <w:top w:val="nil"/>
          <w:left w:val="nil"/>
          <w:bottom w:val="nil"/>
          <w:right w:val="nil"/>
          <w:between w:val="nil"/>
        </w:pBdr>
        <w:rPr>
          <w:rFonts w:cs="Times New Roman"/>
          <w:iCs/>
          <w:szCs w:val="28"/>
        </w:rPr>
      </w:pPr>
      <w:r w:rsidRPr="00896DA9">
        <w:rPr>
          <w:rFonts w:cs="Times New Roman"/>
          <w:iCs/>
          <w:szCs w:val="28"/>
        </w:rPr>
        <w:t xml:space="preserve">Багато регіонів наголосили на необхідності таких співробітників як епідеміолог, міжрайонний фтизіатрів, педіатрів-фтизіатрів. Крім цього в коментарях респонденти наголосили на необхідності у спеціалістах з інфекційного контролю, лікарів інфекціоністів, наркологів та психологів у </w:t>
      </w:r>
      <w:r w:rsidRPr="00896DA9">
        <w:rPr>
          <w:rFonts w:cs="Times New Roman"/>
          <w:iCs/>
          <w:szCs w:val="28"/>
        </w:rPr>
        <w:lastRenderedPageBreak/>
        <w:t>штаті.</w:t>
      </w:r>
    </w:p>
    <w:p w14:paraId="73B1064A" w14:textId="3D41224C" w:rsidR="00CD4495" w:rsidRDefault="00CD4495" w:rsidP="00CD4495">
      <w:pPr>
        <w:outlineLvl w:val="0"/>
        <w:rPr>
          <w:b/>
          <w:bCs/>
          <w:i/>
          <w:iCs/>
        </w:rPr>
      </w:pPr>
      <w:r w:rsidRPr="00896DA9">
        <w:rPr>
          <w:b/>
          <w:bCs/>
          <w:i/>
          <w:iCs/>
        </w:rPr>
        <w:t xml:space="preserve">Інтерпретація результатів блоку </w:t>
      </w:r>
      <w:r>
        <w:rPr>
          <w:b/>
          <w:bCs/>
          <w:i/>
          <w:iCs/>
        </w:rPr>
        <w:t>2</w:t>
      </w:r>
      <w:r w:rsidRPr="00896DA9">
        <w:rPr>
          <w:b/>
          <w:bCs/>
          <w:i/>
          <w:iCs/>
        </w:rPr>
        <w:t>-"</w:t>
      </w:r>
      <w:r>
        <w:rPr>
          <w:b/>
          <w:bCs/>
          <w:i/>
          <w:iCs/>
        </w:rPr>
        <w:t>Інфраструктура</w:t>
      </w:r>
      <w:r w:rsidRPr="00896DA9">
        <w:rPr>
          <w:b/>
          <w:bCs/>
          <w:i/>
          <w:iCs/>
        </w:rPr>
        <w:t>"</w:t>
      </w:r>
    </w:p>
    <w:p w14:paraId="0B65DAEA" w14:textId="1C2BB336" w:rsidR="00CD4495" w:rsidRDefault="00CD4495" w:rsidP="00CD4495">
      <w:pPr>
        <w:widowControl w:val="0"/>
        <w:pBdr>
          <w:top w:val="nil"/>
          <w:left w:val="nil"/>
          <w:bottom w:val="nil"/>
          <w:right w:val="nil"/>
          <w:between w:val="nil"/>
        </w:pBdr>
        <w:ind w:firstLine="0"/>
        <w:rPr>
          <w:rFonts w:cs="Times New Roman"/>
          <w:i/>
          <w:szCs w:val="28"/>
        </w:rPr>
      </w:pPr>
      <w:r>
        <w:rPr>
          <w:noProof/>
        </w:rPr>
        <w:drawing>
          <wp:inline distT="0" distB="0" distL="0" distR="0" wp14:anchorId="5386DC82" wp14:editId="77C64269">
            <wp:extent cx="5880735" cy="1917065"/>
            <wp:effectExtent l="0" t="0" r="12065" b="13335"/>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AE3D571" w14:textId="6F1927EB" w:rsidR="00CD4495" w:rsidRPr="00896DA9" w:rsidRDefault="00CD4495" w:rsidP="00CD4495">
      <w:pPr>
        <w:widowControl w:val="0"/>
        <w:pBdr>
          <w:top w:val="nil"/>
          <w:left w:val="nil"/>
          <w:bottom w:val="nil"/>
          <w:right w:val="nil"/>
          <w:between w:val="nil"/>
        </w:pBdr>
        <w:jc w:val="center"/>
        <w:rPr>
          <w:rFonts w:cs="Times New Roman"/>
          <w:b/>
          <w:bCs/>
          <w:iCs/>
          <w:szCs w:val="28"/>
        </w:rPr>
      </w:pPr>
      <w:r w:rsidRPr="00896DA9">
        <w:rPr>
          <w:rFonts w:cs="Times New Roman"/>
          <w:b/>
          <w:bCs/>
          <w:iCs/>
          <w:szCs w:val="28"/>
        </w:rPr>
        <w:t xml:space="preserve">Рисунок </w:t>
      </w:r>
      <w:r w:rsidR="00B66A87">
        <w:rPr>
          <w:rFonts w:cs="Times New Roman"/>
          <w:b/>
          <w:bCs/>
          <w:iCs/>
          <w:szCs w:val="28"/>
        </w:rPr>
        <w:t>6.2</w:t>
      </w:r>
      <w:r w:rsidRPr="00896DA9">
        <w:rPr>
          <w:rFonts w:cs="Times New Roman"/>
          <w:b/>
          <w:bCs/>
          <w:iCs/>
          <w:szCs w:val="28"/>
        </w:rPr>
        <w:t>.</w:t>
      </w:r>
      <w:r w:rsidR="00B66A87">
        <w:rPr>
          <w:rFonts w:cs="Times New Roman"/>
          <w:b/>
          <w:bCs/>
          <w:iCs/>
          <w:szCs w:val="28"/>
        </w:rPr>
        <w:t xml:space="preserve"> </w:t>
      </w:r>
      <w:r w:rsidRPr="00896DA9">
        <w:rPr>
          <w:rFonts w:cs="Times New Roman"/>
          <w:b/>
          <w:bCs/>
          <w:iCs/>
          <w:szCs w:val="28"/>
        </w:rPr>
        <w:t xml:space="preserve">Графік відповідей на опитувальник щодо </w:t>
      </w:r>
      <w:r>
        <w:rPr>
          <w:rFonts w:cs="Times New Roman"/>
          <w:b/>
          <w:bCs/>
          <w:iCs/>
          <w:szCs w:val="28"/>
        </w:rPr>
        <w:t>інфраструктури</w:t>
      </w:r>
    </w:p>
    <w:p w14:paraId="53D6DF91" w14:textId="395842C6" w:rsidR="00CD4495" w:rsidRDefault="00CD4495" w:rsidP="0024080D">
      <w:pPr>
        <w:widowControl w:val="0"/>
        <w:pBdr>
          <w:top w:val="nil"/>
          <w:left w:val="nil"/>
          <w:bottom w:val="nil"/>
          <w:right w:val="nil"/>
          <w:between w:val="nil"/>
        </w:pBdr>
        <w:rPr>
          <w:rFonts w:cs="Times New Roman"/>
          <w:iCs/>
          <w:szCs w:val="28"/>
        </w:rPr>
      </w:pPr>
      <w:r w:rsidRPr="00CD4495">
        <w:rPr>
          <w:rFonts w:cs="Times New Roman"/>
          <w:iCs/>
          <w:szCs w:val="28"/>
        </w:rPr>
        <w:t>Регіональні фахівці зазначили, що найбільша потреба на місцях надається питанням діагностики. І трохи менше, але також потрібні можливості для лікування. У розділі коментарі деякі області наголосили на необхідності оснащення мобільними флюорографами та апаратами комп'ютерної томографії. Також деякі області наголосили на необхідності проведення капітального ремонту складу. А також деякі відзначили, що не скрізь є покриття інтернетом для ефективної роботи.</w:t>
      </w:r>
    </w:p>
    <w:p w14:paraId="02F15B47" w14:textId="0F5A61FF" w:rsidR="00D833D2" w:rsidRDefault="00D833D2" w:rsidP="00D833D2">
      <w:pPr>
        <w:outlineLvl w:val="0"/>
        <w:rPr>
          <w:b/>
          <w:bCs/>
          <w:i/>
          <w:iCs/>
        </w:rPr>
      </w:pPr>
      <w:r w:rsidRPr="00896DA9">
        <w:rPr>
          <w:b/>
          <w:bCs/>
          <w:i/>
          <w:iCs/>
        </w:rPr>
        <w:t xml:space="preserve">Інтерпретація результатів блоку </w:t>
      </w:r>
      <w:r>
        <w:rPr>
          <w:b/>
          <w:bCs/>
          <w:i/>
          <w:iCs/>
        </w:rPr>
        <w:t>3</w:t>
      </w:r>
      <w:r w:rsidRPr="00896DA9">
        <w:rPr>
          <w:b/>
          <w:bCs/>
          <w:i/>
          <w:iCs/>
        </w:rPr>
        <w:t>-"</w:t>
      </w:r>
      <w:r>
        <w:rPr>
          <w:b/>
          <w:bCs/>
          <w:i/>
          <w:iCs/>
        </w:rPr>
        <w:t>Технічне сприяння</w:t>
      </w:r>
      <w:r w:rsidRPr="00896DA9">
        <w:rPr>
          <w:b/>
          <w:bCs/>
          <w:i/>
          <w:iCs/>
        </w:rPr>
        <w:t>"</w:t>
      </w:r>
    </w:p>
    <w:p w14:paraId="72229C0D" w14:textId="4ABE55E0" w:rsidR="00CD4495" w:rsidRDefault="009F02C0" w:rsidP="009F02C0">
      <w:pPr>
        <w:widowControl w:val="0"/>
        <w:pBdr>
          <w:top w:val="nil"/>
          <w:left w:val="nil"/>
          <w:bottom w:val="nil"/>
          <w:right w:val="nil"/>
          <w:between w:val="nil"/>
        </w:pBdr>
        <w:ind w:firstLine="0"/>
        <w:rPr>
          <w:rFonts w:cs="Times New Roman"/>
          <w:i/>
          <w:szCs w:val="28"/>
        </w:rPr>
      </w:pPr>
      <w:r>
        <w:rPr>
          <w:noProof/>
        </w:rPr>
        <w:drawing>
          <wp:inline distT="0" distB="0" distL="0" distR="0" wp14:anchorId="0B3776B2" wp14:editId="5E10B1F8">
            <wp:extent cx="5940425" cy="2718212"/>
            <wp:effectExtent l="0" t="0" r="3175" b="635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9F2597B" w14:textId="79DFDE42" w:rsidR="009F02C0" w:rsidRPr="00896DA9" w:rsidRDefault="009F02C0" w:rsidP="009F02C0">
      <w:pPr>
        <w:widowControl w:val="0"/>
        <w:pBdr>
          <w:top w:val="nil"/>
          <w:left w:val="nil"/>
          <w:bottom w:val="nil"/>
          <w:right w:val="nil"/>
          <w:between w:val="nil"/>
        </w:pBdr>
        <w:jc w:val="center"/>
        <w:rPr>
          <w:rFonts w:cs="Times New Roman"/>
          <w:b/>
          <w:bCs/>
          <w:iCs/>
          <w:szCs w:val="28"/>
        </w:rPr>
      </w:pPr>
      <w:r w:rsidRPr="00896DA9">
        <w:rPr>
          <w:rFonts w:cs="Times New Roman"/>
          <w:b/>
          <w:bCs/>
          <w:iCs/>
          <w:szCs w:val="28"/>
        </w:rPr>
        <w:t xml:space="preserve">Рисунок </w:t>
      </w:r>
      <w:r w:rsidR="00B66A87">
        <w:rPr>
          <w:rFonts w:cs="Times New Roman"/>
          <w:b/>
          <w:bCs/>
          <w:iCs/>
          <w:szCs w:val="28"/>
        </w:rPr>
        <w:t>6.3</w:t>
      </w:r>
      <w:r w:rsidRPr="00896DA9">
        <w:rPr>
          <w:rFonts w:cs="Times New Roman"/>
          <w:b/>
          <w:bCs/>
          <w:iCs/>
          <w:szCs w:val="28"/>
        </w:rPr>
        <w:t>.</w:t>
      </w:r>
      <w:r w:rsidR="00B66A87">
        <w:rPr>
          <w:rFonts w:cs="Times New Roman"/>
          <w:b/>
          <w:bCs/>
          <w:iCs/>
          <w:szCs w:val="28"/>
        </w:rPr>
        <w:t xml:space="preserve"> </w:t>
      </w:r>
      <w:r w:rsidRPr="00896DA9">
        <w:rPr>
          <w:rFonts w:cs="Times New Roman"/>
          <w:b/>
          <w:bCs/>
          <w:iCs/>
          <w:szCs w:val="28"/>
        </w:rPr>
        <w:t xml:space="preserve">Графік відповідей на </w:t>
      </w:r>
      <w:r>
        <w:rPr>
          <w:rFonts w:cs="Times New Roman"/>
          <w:b/>
          <w:bCs/>
          <w:iCs/>
          <w:szCs w:val="28"/>
        </w:rPr>
        <w:t>запитання з технічного сприяння</w:t>
      </w:r>
    </w:p>
    <w:p w14:paraId="6D27DECB" w14:textId="39D5601B" w:rsidR="009F02C0" w:rsidRPr="00E162EF" w:rsidRDefault="00E162EF" w:rsidP="0024080D">
      <w:pPr>
        <w:widowControl w:val="0"/>
        <w:pBdr>
          <w:top w:val="nil"/>
          <w:left w:val="nil"/>
          <w:bottom w:val="nil"/>
          <w:right w:val="nil"/>
          <w:between w:val="nil"/>
        </w:pBdr>
        <w:rPr>
          <w:rFonts w:cs="Times New Roman"/>
          <w:iCs/>
          <w:szCs w:val="28"/>
        </w:rPr>
      </w:pPr>
      <w:r w:rsidRPr="00E162EF">
        <w:rPr>
          <w:rFonts w:cs="Times New Roman"/>
          <w:iCs/>
          <w:szCs w:val="28"/>
        </w:rPr>
        <w:t>Найбільшу важливість для регіонів склали питання мотивації та заохочення ефективності роботи та проведення навчань. Крім того, деякі регіони відзначили необхідність у призначенні мед. статиста, оскільки багато штатних одиниць об'єднані і виконують додаткові функції. Також необхідно комплектацію штатами системного адміністратора з інженерною освітою відзначили респонденти. Для проведення розслідувань контактів та стеження за пересуванням хворих потрібна комплектація епідеміологами.</w:t>
      </w:r>
    </w:p>
    <w:p w14:paraId="2F9C7994" w14:textId="77777777" w:rsidR="009F02C0" w:rsidRDefault="009F02C0" w:rsidP="0024080D">
      <w:pPr>
        <w:widowControl w:val="0"/>
        <w:pBdr>
          <w:top w:val="nil"/>
          <w:left w:val="nil"/>
          <w:bottom w:val="nil"/>
          <w:right w:val="nil"/>
          <w:between w:val="nil"/>
        </w:pBdr>
        <w:rPr>
          <w:rFonts w:cs="Times New Roman"/>
          <w:i/>
          <w:szCs w:val="28"/>
        </w:rPr>
      </w:pPr>
    </w:p>
    <w:p w14:paraId="694BF374" w14:textId="22A3F4F1" w:rsidR="006628F8" w:rsidRPr="00D833D2" w:rsidRDefault="00D833D2" w:rsidP="0024080D">
      <w:pPr>
        <w:pStyle w:val="2"/>
        <w:rPr>
          <w:i/>
          <w:iCs/>
        </w:rPr>
      </w:pPr>
      <w:bookmarkStart w:id="115" w:name="_Toc89149161"/>
      <w:r w:rsidRPr="00D833D2">
        <w:rPr>
          <w:i/>
          <w:iCs/>
        </w:rPr>
        <w:lastRenderedPageBreak/>
        <w:t xml:space="preserve">Інтерпретація результатів блоку </w:t>
      </w:r>
      <w:r>
        <w:rPr>
          <w:i/>
          <w:iCs/>
        </w:rPr>
        <w:t>4</w:t>
      </w:r>
      <w:r w:rsidRPr="00D833D2">
        <w:rPr>
          <w:i/>
          <w:iCs/>
        </w:rPr>
        <w:t>-"</w:t>
      </w:r>
      <w:r w:rsidR="00A5691A">
        <w:rPr>
          <w:i/>
          <w:iCs/>
        </w:rPr>
        <w:t>Навчання</w:t>
      </w:r>
      <w:r w:rsidRPr="00D833D2">
        <w:rPr>
          <w:i/>
          <w:iCs/>
        </w:rPr>
        <w:t>"</w:t>
      </w:r>
      <w:bookmarkEnd w:id="115"/>
    </w:p>
    <w:p w14:paraId="6354EBF7" w14:textId="292DAAE8" w:rsidR="00B66A87" w:rsidRDefault="00A5691A" w:rsidP="00B66A87">
      <w:pPr>
        <w:widowControl w:val="0"/>
        <w:pBdr>
          <w:top w:val="nil"/>
          <w:left w:val="nil"/>
          <w:bottom w:val="nil"/>
          <w:right w:val="nil"/>
          <w:between w:val="nil"/>
        </w:pBdr>
        <w:ind w:firstLine="0"/>
        <w:jc w:val="center"/>
        <w:rPr>
          <w:iCs/>
        </w:rPr>
      </w:pPr>
      <w:r>
        <w:rPr>
          <w:noProof/>
        </w:rPr>
        <w:drawing>
          <wp:inline distT="0" distB="0" distL="0" distR="0" wp14:anchorId="6B9C2C76" wp14:editId="235A6E5E">
            <wp:extent cx="5940425" cy="4559204"/>
            <wp:effectExtent l="0" t="0" r="3175" b="13335"/>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A5691A">
        <w:rPr>
          <w:iCs/>
        </w:rPr>
        <w:t xml:space="preserve"> </w:t>
      </w:r>
      <w:r w:rsidR="00B66A87" w:rsidRPr="00896DA9">
        <w:rPr>
          <w:rFonts w:cs="Times New Roman"/>
          <w:b/>
          <w:bCs/>
          <w:iCs/>
          <w:szCs w:val="28"/>
        </w:rPr>
        <w:t xml:space="preserve">Рисунок </w:t>
      </w:r>
      <w:r w:rsidR="00B66A87">
        <w:rPr>
          <w:rFonts w:cs="Times New Roman"/>
          <w:b/>
          <w:bCs/>
          <w:iCs/>
          <w:szCs w:val="28"/>
        </w:rPr>
        <w:t>6.4</w:t>
      </w:r>
      <w:r w:rsidR="00B66A87" w:rsidRPr="00896DA9">
        <w:rPr>
          <w:rFonts w:cs="Times New Roman"/>
          <w:b/>
          <w:bCs/>
          <w:iCs/>
          <w:szCs w:val="28"/>
        </w:rPr>
        <w:t>.</w:t>
      </w:r>
      <w:r w:rsidR="00B66A87">
        <w:rPr>
          <w:rFonts w:cs="Times New Roman"/>
          <w:b/>
          <w:bCs/>
          <w:iCs/>
          <w:szCs w:val="28"/>
        </w:rPr>
        <w:t xml:space="preserve"> </w:t>
      </w:r>
      <w:r w:rsidR="00B66A87" w:rsidRPr="00896DA9">
        <w:rPr>
          <w:rFonts w:cs="Times New Roman"/>
          <w:b/>
          <w:bCs/>
          <w:iCs/>
          <w:szCs w:val="28"/>
        </w:rPr>
        <w:t xml:space="preserve">Графік відповідей на </w:t>
      </w:r>
      <w:r w:rsidR="00B66A87">
        <w:rPr>
          <w:rFonts w:cs="Times New Roman"/>
          <w:b/>
          <w:bCs/>
          <w:iCs/>
          <w:szCs w:val="28"/>
        </w:rPr>
        <w:t>запитання з навчання</w:t>
      </w:r>
    </w:p>
    <w:p w14:paraId="21C79198" w14:textId="08709D73" w:rsidR="006628F8" w:rsidRPr="00A5691A" w:rsidRDefault="00A5691A" w:rsidP="00A5691A">
      <w:pPr>
        <w:widowControl w:val="0"/>
        <w:pBdr>
          <w:top w:val="nil"/>
          <w:left w:val="nil"/>
          <w:bottom w:val="nil"/>
          <w:right w:val="nil"/>
          <w:between w:val="nil"/>
        </w:pBdr>
        <w:ind w:firstLine="0"/>
        <w:rPr>
          <w:rFonts w:cs="Times New Roman"/>
          <w:iCs/>
          <w:szCs w:val="28"/>
        </w:rPr>
      </w:pPr>
      <w:r w:rsidRPr="00A5691A">
        <w:rPr>
          <w:rFonts w:cs="Times New Roman"/>
          <w:iCs/>
          <w:szCs w:val="28"/>
        </w:rPr>
        <w:t xml:space="preserve">Більшість регіонів висловили зацікавленість у навчанні за новою системою МВС, і відзначили, що цей напрямок є найважливішим. Крім того, другим за значущістю питанням є для регіонів питання підготовки звітів. Рівним за значимістю є питання аналізу статистичних індикаторів, прикладної епідеміології, візуалізації даних. Потім йдуть питання підготовки річних робочих планів, графіків та таблиць, та </w:t>
      </w:r>
      <w:proofErr w:type="spellStart"/>
      <w:r w:rsidRPr="00A5691A">
        <w:rPr>
          <w:rFonts w:cs="Times New Roman"/>
          <w:iCs/>
          <w:szCs w:val="28"/>
        </w:rPr>
        <w:t>біостатистики</w:t>
      </w:r>
      <w:proofErr w:type="spellEnd"/>
      <w:r w:rsidRPr="00A5691A">
        <w:rPr>
          <w:rFonts w:cs="Times New Roman"/>
          <w:iCs/>
          <w:szCs w:val="28"/>
        </w:rPr>
        <w:t>.</w:t>
      </w:r>
      <w:r>
        <w:rPr>
          <w:rFonts w:cs="Times New Roman"/>
          <w:iCs/>
          <w:szCs w:val="28"/>
        </w:rPr>
        <w:t xml:space="preserve"> </w:t>
      </w:r>
      <w:r w:rsidRPr="00A5691A">
        <w:rPr>
          <w:rFonts w:cs="Times New Roman"/>
          <w:iCs/>
          <w:szCs w:val="28"/>
        </w:rPr>
        <w:t>Наступним за важливістю слід питання усунення дублювання у системі. Трохи поступаються питанням щодо визначення випадків, та надання зворотного зв'язку з національного рівня до регіонального, щодо виконання індикаторів. На останньому важливим питанням є питання надання зворотного зв'язку з обласного на районні рівні.</w:t>
      </w:r>
    </w:p>
    <w:p w14:paraId="1968FA0C" w14:textId="4F779DB3" w:rsidR="006628F8" w:rsidRPr="0024080D" w:rsidRDefault="002E686B" w:rsidP="0024080D">
      <w:pPr>
        <w:pStyle w:val="2"/>
        <w:spacing w:line="245" w:lineRule="auto"/>
      </w:pPr>
      <w:r>
        <w:t>Висновки</w:t>
      </w:r>
    </w:p>
    <w:p w14:paraId="53D6027A" w14:textId="77777777" w:rsidR="002E686B" w:rsidRP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Загалом регіони відкриті та вітають роботу щодо посилення потенціалу на місцях. Найбільшу зацікавленість у респондентів викликали питання щодо проведення додаткового навчання. Багато регіонів активно заповнювали саме блок навчання.</w:t>
      </w:r>
    </w:p>
    <w:p w14:paraId="149D17E8" w14:textId="12F0A54A" w:rsid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 xml:space="preserve">Також у блоці надання технічного сприяння регіони висловили думку щодо мотивації для підвищення ефективності роботи, крім того питання навчання також було підкреслено як необхідний компонент технічного </w:t>
      </w:r>
      <w:r w:rsidRPr="002E686B">
        <w:rPr>
          <w:rFonts w:cs="Times New Roman"/>
          <w:iCs/>
          <w:szCs w:val="28"/>
        </w:rPr>
        <w:lastRenderedPageBreak/>
        <w:t>сприяння.</w:t>
      </w:r>
      <w:r>
        <w:rPr>
          <w:rFonts w:cs="Times New Roman"/>
          <w:iCs/>
          <w:szCs w:val="28"/>
        </w:rPr>
        <w:t xml:space="preserve"> </w:t>
      </w:r>
      <w:r w:rsidR="006628F8" w:rsidRPr="002E686B">
        <w:rPr>
          <w:rFonts w:cs="Times New Roman"/>
          <w:iCs/>
          <w:szCs w:val="28"/>
        </w:rPr>
        <w:t xml:space="preserve">Можливості підвищення кваліфікації спеціалістів. </w:t>
      </w:r>
    </w:p>
    <w:p w14:paraId="4C25725F" w14:textId="77777777" w:rsidR="002E686B" w:rsidRP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За блоком інфраструктури в цілому, регіони висловили думку, що потрібні більше можливостей для діагностики, і трохи менше можливостей для лікування.</w:t>
      </w:r>
    </w:p>
    <w:p w14:paraId="588F77B8" w14:textId="53A1715D" w:rsid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По блоку кадри респонденти наголосили на необхідності таких співробітників як епідеміолог, міжрайонний фтизіатрів, педіатрів-фтизіатрів. Крім цього, у коментарях респонденти наголосили на необхідності у спеціалістах з інфекційного контролю, лікарів інфекціоністів, наркологів та психологів у штаті.</w:t>
      </w:r>
    </w:p>
    <w:p w14:paraId="217406EC" w14:textId="77777777" w:rsidR="002E686B" w:rsidRP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Загалом, для ефективності програми дуже важливо виділити відповідні кадрові ресурси та організувати регулярну професійну підготовку та належні наставництво, моніторинг та підтримку співробітників програми.</w:t>
      </w:r>
    </w:p>
    <w:p w14:paraId="19880B68" w14:textId="097FF3C7" w:rsidR="002E686B" w:rsidRDefault="002E686B" w:rsidP="002E686B">
      <w:pPr>
        <w:widowControl w:val="0"/>
        <w:pBdr>
          <w:top w:val="nil"/>
          <w:left w:val="nil"/>
          <w:bottom w:val="nil"/>
          <w:right w:val="nil"/>
          <w:between w:val="nil"/>
        </w:pBdr>
        <w:spacing w:line="245" w:lineRule="auto"/>
        <w:rPr>
          <w:rFonts w:cs="Times New Roman"/>
          <w:iCs/>
          <w:szCs w:val="28"/>
        </w:rPr>
      </w:pPr>
      <w:r w:rsidRPr="002E686B">
        <w:rPr>
          <w:rFonts w:cs="Times New Roman"/>
          <w:iCs/>
          <w:szCs w:val="28"/>
        </w:rPr>
        <w:t>Кадрові та мотиваційні ресурси, які потрібні для реалізації, повинні стимулювати та підвищувати ефективність регіональних програм.</w:t>
      </w:r>
    </w:p>
    <w:p w14:paraId="66F5E798" w14:textId="7C4D77AE" w:rsidR="006628F8" w:rsidRPr="0024080D" w:rsidRDefault="002E686B" w:rsidP="0024080D">
      <w:pPr>
        <w:pStyle w:val="2"/>
        <w:spacing w:line="245" w:lineRule="auto"/>
      </w:pPr>
      <w:bookmarkStart w:id="116" w:name="_Toc89149163"/>
      <w:r w:rsidRPr="002E686B">
        <w:t>Стан програми в Україні у зв'язку з початком війни (станом на 7 червня 2022 року)</w:t>
      </w:r>
      <w:bookmarkEnd w:id="116"/>
    </w:p>
    <w:p w14:paraId="5AC8D8DC" w14:textId="77777777" w:rsidR="006C320F" w:rsidRDefault="006C320F" w:rsidP="0024080D">
      <w:pPr>
        <w:widowControl w:val="0"/>
        <w:pBdr>
          <w:top w:val="nil"/>
          <w:left w:val="nil"/>
          <w:bottom w:val="nil"/>
          <w:right w:val="nil"/>
          <w:between w:val="nil"/>
        </w:pBdr>
        <w:spacing w:line="245" w:lineRule="auto"/>
        <w:rPr>
          <w:rFonts w:cs="Times New Roman"/>
          <w:szCs w:val="28"/>
        </w:rPr>
      </w:pPr>
      <w:r w:rsidRPr="006C320F">
        <w:rPr>
          <w:rFonts w:cs="Times New Roman"/>
          <w:szCs w:val="28"/>
        </w:rPr>
        <w:t xml:space="preserve">У зв'язку з COVID у 2020 році знизилася кількість вперше виявлених випадків туберкульозу, що потенційно може призвести до накопичення </w:t>
      </w:r>
      <w:proofErr w:type="spellStart"/>
      <w:r w:rsidRPr="006C320F">
        <w:rPr>
          <w:rFonts w:cs="Times New Roman"/>
          <w:szCs w:val="28"/>
        </w:rPr>
        <w:t>недіагностованих</w:t>
      </w:r>
      <w:proofErr w:type="spellEnd"/>
      <w:r w:rsidRPr="006C320F">
        <w:rPr>
          <w:rFonts w:cs="Times New Roman"/>
          <w:szCs w:val="28"/>
        </w:rPr>
        <w:t xml:space="preserve"> та латентних випадків туберкульозу, які можуть бути виявлені на більш пізніх стадіях та у більш важких формах. Розрахунковий показник захворюваності за розрахунками ВООЗ знизився до 5,2% у 2020 р. (73 на 100 000 населення у 2020 р. порівняно з 77 на 100 000 населення у 2019 р.)</w:t>
      </w:r>
    </w:p>
    <w:p w14:paraId="6E4A50F8" w14:textId="77777777" w:rsidR="006C320F" w:rsidRP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Через труднощі з доступом до медичних послуг розрахункова кількість випадків смерті від туберкульозу за оцінкою ВООЗ збільшилася на 13% у 2020 р. (6430 випадків у 2020 р. порівняно з 5700 випадками у 2019 р.).</w:t>
      </w:r>
    </w:p>
    <w:p w14:paraId="7EADD9A9" w14:textId="341133DA" w:rsid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Незважаючи на виклики, з якими зіткнулися у 2020 році, національна протитуберкульозна служба зробила активні дії, та змогла пом'якшити негативні наслідки пандемії, були відзначені позитивні тенденції у 2021 році порівняно з 2020 роком:</w:t>
      </w:r>
    </w:p>
    <w:p w14:paraId="25C4AC32" w14:textId="77777777" w:rsidR="006C320F" w:rsidRP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 Виявлення нових випадків збільшилося з 51,6% до 57,1%.</w:t>
      </w:r>
    </w:p>
    <w:p w14:paraId="050ECD57" w14:textId="77777777" w:rsidR="006C320F" w:rsidRP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 Виявлення ТБ серед контактів збільшилося з 91 до 95,3%.</w:t>
      </w:r>
    </w:p>
    <w:p w14:paraId="23E8278C" w14:textId="77777777" w:rsidR="006C320F" w:rsidRP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 Бактеріологічне охоплення нових випадків та рецидивів збільшилося з 73,9% до 75%.</w:t>
      </w:r>
    </w:p>
    <w:p w14:paraId="1C41EE64" w14:textId="77777777" w:rsidR="006C320F" w:rsidRP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 Показник успішності лікування МЛУ-ТБ збільшиться з 47,2 до 61,4%.</w:t>
      </w:r>
    </w:p>
    <w:p w14:paraId="5D3BFCBE" w14:textId="28634593" w:rsid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 Виявлення туберкульозу серед дітей побільшало на 20%.</w:t>
      </w:r>
    </w:p>
    <w:p w14:paraId="0D71BF80" w14:textId="1E6941C7" w:rsid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За оцінкою ВООЗ, з початку війни оцінюється 6,8 млн. біженців, 8 млн. внутрішньо переміщених осіб, 9151 жертв серед цивільного населення та 4169 загиблих серед цивільного населення (станом на 1 червня 2022 р.).</w:t>
      </w:r>
      <w:r>
        <w:rPr>
          <w:rFonts w:cs="Times New Roman"/>
          <w:szCs w:val="28"/>
        </w:rPr>
        <w:t>³</w:t>
      </w:r>
    </w:p>
    <w:p w14:paraId="470D2B76" w14:textId="50CB9CB8" w:rsidR="006C320F" w:rsidRPr="006C320F" w:rsidRDefault="006C320F" w:rsidP="006C320F">
      <w:pPr>
        <w:widowControl w:val="0"/>
        <w:pBdr>
          <w:top w:val="nil"/>
          <w:left w:val="nil"/>
          <w:bottom w:val="nil"/>
          <w:right w:val="nil"/>
          <w:between w:val="nil"/>
        </w:pBdr>
        <w:spacing w:line="245" w:lineRule="auto"/>
        <w:rPr>
          <w:rFonts w:cs="Times New Roman"/>
          <w:sz w:val="20"/>
          <w:szCs w:val="20"/>
        </w:rPr>
      </w:pPr>
      <w:r w:rsidRPr="006C320F">
        <w:rPr>
          <w:rFonts w:cs="Times New Roman"/>
          <w:sz w:val="20"/>
          <w:szCs w:val="20"/>
        </w:rPr>
        <w:t>³ https://apps.who.int/iris/handle/10665/354696</w:t>
      </w:r>
    </w:p>
    <w:p w14:paraId="1CF490C9" w14:textId="5FCC48DF" w:rsidR="006C320F" w:rsidRDefault="006C320F" w:rsidP="006C320F">
      <w:pPr>
        <w:widowControl w:val="0"/>
        <w:pBdr>
          <w:top w:val="nil"/>
          <w:left w:val="nil"/>
          <w:bottom w:val="nil"/>
          <w:right w:val="nil"/>
          <w:between w:val="nil"/>
        </w:pBdr>
        <w:spacing w:line="245" w:lineRule="auto"/>
        <w:rPr>
          <w:rFonts w:cs="Times New Roman"/>
          <w:szCs w:val="28"/>
        </w:rPr>
      </w:pPr>
      <w:r w:rsidRPr="006C320F">
        <w:rPr>
          <w:rFonts w:cs="Times New Roman"/>
          <w:szCs w:val="28"/>
        </w:rPr>
        <w:t>З початком війни місцеві органи охорони здоров'я зазнають бомбардування та атак.</w:t>
      </w:r>
    </w:p>
    <w:p w14:paraId="6F34815A" w14:textId="77777777" w:rsidR="001A1CC2" w:rsidRPr="001A1CC2" w:rsidRDefault="001A1CC2" w:rsidP="001A1CC2">
      <w:pPr>
        <w:widowControl w:val="0"/>
        <w:pBdr>
          <w:top w:val="nil"/>
          <w:left w:val="nil"/>
          <w:bottom w:val="nil"/>
          <w:right w:val="nil"/>
          <w:between w:val="nil"/>
        </w:pBdr>
        <w:spacing w:line="245" w:lineRule="auto"/>
        <w:rPr>
          <w:rFonts w:cs="Times New Roman"/>
          <w:szCs w:val="28"/>
        </w:rPr>
      </w:pPr>
      <w:r w:rsidRPr="001A1CC2">
        <w:rPr>
          <w:rFonts w:cs="Times New Roman"/>
          <w:szCs w:val="28"/>
        </w:rPr>
        <w:t xml:space="preserve">Туберкульозна лікарня в Чернігові, розрахована на понад 100 ліжок для </w:t>
      </w:r>
      <w:r w:rsidRPr="001A1CC2">
        <w:rPr>
          <w:rFonts w:cs="Times New Roman"/>
          <w:szCs w:val="28"/>
        </w:rPr>
        <w:lastRenderedPageBreak/>
        <w:t>хворих, зазнала бомбардування російськими військами.</w:t>
      </w:r>
    </w:p>
    <w:p w14:paraId="1DE7B342" w14:textId="06BF5503" w:rsidR="006C320F" w:rsidRDefault="001A1CC2" w:rsidP="001A1CC2">
      <w:pPr>
        <w:widowControl w:val="0"/>
        <w:pBdr>
          <w:top w:val="nil"/>
          <w:left w:val="nil"/>
          <w:bottom w:val="nil"/>
          <w:right w:val="nil"/>
          <w:between w:val="nil"/>
        </w:pBdr>
        <w:spacing w:line="245" w:lineRule="auto"/>
        <w:rPr>
          <w:rFonts w:cs="Times New Roman"/>
          <w:szCs w:val="28"/>
        </w:rPr>
      </w:pPr>
      <w:r w:rsidRPr="001A1CC2">
        <w:rPr>
          <w:rFonts w:cs="Times New Roman"/>
          <w:szCs w:val="28"/>
        </w:rPr>
        <w:t>Крім того, збільшуються випадки туберкульозу серед дітей, біженців та навіть військових. 13 квітня місцеві органи охорони здоров'я Рівненської області повідомили про збільшення кількості випадків туберкульозу у першому кварталі 2022 р. (113) порівняно з тим самим періодом 2021 р. (104). Збільшення випадків також було серед дітей; десять у 2022 році та чотири у 2021 році. Станом на 1 квітня з туберкульозом було госпіталізовано п'ятьох осіб із Збройних Сил та Міністерства оборони та чотирьох внутрішньо переміщених осіб.</w:t>
      </w:r>
      <w:r>
        <w:rPr>
          <w:rFonts w:cs="Times New Roman"/>
          <w:szCs w:val="28"/>
        </w:rPr>
        <w:t>³</w:t>
      </w:r>
    </w:p>
    <w:p w14:paraId="48E65FDE" w14:textId="752D0D2F" w:rsidR="001A1CC2" w:rsidRPr="001A1CC2" w:rsidRDefault="001A1CC2" w:rsidP="001A1CC2">
      <w:pPr>
        <w:widowControl w:val="0"/>
        <w:pBdr>
          <w:top w:val="nil"/>
          <w:left w:val="nil"/>
          <w:bottom w:val="nil"/>
          <w:right w:val="nil"/>
          <w:between w:val="nil"/>
        </w:pBdr>
        <w:spacing w:line="245" w:lineRule="auto"/>
        <w:rPr>
          <w:rFonts w:cs="Times New Roman"/>
          <w:sz w:val="20"/>
          <w:szCs w:val="20"/>
        </w:rPr>
      </w:pPr>
      <w:r w:rsidRPr="001A1CC2">
        <w:rPr>
          <w:rFonts w:cs="Times New Roman"/>
          <w:sz w:val="20"/>
          <w:szCs w:val="20"/>
        </w:rPr>
        <w:t>³ https://www.who.int/publications/i/item/WHO-EURO-2022-5152-44915-64754</w:t>
      </w:r>
    </w:p>
    <w:p w14:paraId="68A0C254" w14:textId="645B4A82" w:rsidR="006C320F" w:rsidRDefault="001A1CC2" w:rsidP="0024080D">
      <w:pPr>
        <w:widowControl w:val="0"/>
        <w:pBdr>
          <w:top w:val="nil"/>
          <w:left w:val="nil"/>
          <w:bottom w:val="nil"/>
          <w:right w:val="nil"/>
          <w:between w:val="nil"/>
        </w:pBdr>
        <w:spacing w:line="245" w:lineRule="auto"/>
        <w:rPr>
          <w:rFonts w:cs="Times New Roman"/>
          <w:szCs w:val="28"/>
        </w:rPr>
      </w:pPr>
      <w:r w:rsidRPr="001A1CC2">
        <w:rPr>
          <w:rFonts w:cs="Times New Roman"/>
          <w:szCs w:val="28"/>
        </w:rPr>
        <w:t>З початку війни програма боротьби з туберкульозом зіткнулася з такими труднощами як: складності у доступі до послуг та ліків, затримка на початку лікування через запізнілу діагностику та реєстрацію випадків ТБ, що створює ризик подальшої передачі хвороби в країні. Україна входить до списку 30 країн світу з найвищим рівнем захворюваності на лікарсько-стійкий ТБ, за оцінкою ВООЗ. За оцінками ВООЗ, понад 2500 випадків ТБ, у тому числі 830 випадків МЛУ-ТБ, припадає на очікувану кількість біженців, що створює додаткове навантаження на системи охорони здоров'я та підвищує ризик більшої передачі інфекції серед місць масового скупчення людей.</w:t>
      </w:r>
      <w:r>
        <w:rPr>
          <w:rFonts w:cs="Times New Roman"/>
          <w:szCs w:val="28"/>
        </w:rPr>
        <w:t>³</w:t>
      </w:r>
    </w:p>
    <w:p w14:paraId="1D464036" w14:textId="4CF5A668" w:rsidR="001A1CC2" w:rsidRPr="001A1CC2" w:rsidRDefault="001A1CC2" w:rsidP="0024080D">
      <w:pPr>
        <w:widowControl w:val="0"/>
        <w:pBdr>
          <w:top w:val="nil"/>
          <w:left w:val="nil"/>
          <w:bottom w:val="nil"/>
          <w:right w:val="nil"/>
          <w:between w:val="nil"/>
        </w:pBdr>
        <w:spacing w:line="245" w:lineRule="auto"/>
        <w:rPr>
          <w:rFonts w:cs="Times New Roman"/>
          <w:sz w:val="20"/>
          <w:szCs w:val="20"/>
        </w:rPr>
      </w:pPr>
      <w:r>
        <w:rPr>
          <w:rFonts w:cs="Times New Roman"/>
          <w:szCs w:val="28"/>
        </w:rPr>
        <w:t xml:space="preserve">³ </w:t>
      </w:r>
      <w:r w:rsidRPr="001A1CC2">
        <w:rPr>
          <w:rFonts w:cs="Times New Roman"/>
          <w:sz w:val="20"/>
          <w:szCs w:val="20"/>
        </w:rPr>
        <w:t>https://apps.who.int/iris/bitstream/handle/10665/352494/WHO-EURO-2022-5169-44932-63918-eng.pdf?sequence=3&amp;isAllowed=y</w:t>
      </w:r>
    </w:p>
    <w:p w14:paraId="7251E8B4" w14:textId="652FD0F4" w:rsidR="001A1CC2" w:rsidRDefault="00DF3CA8" w:rsidP="0024080D">
      <w:pPr>
        <w:widowControl w:val="0"/>
        <w:pBdr>
          <w:top w:val="nil"/>
          <w:left w:val="nil"/>
          <w:bottom w:val="nil"/>
          <w:right w:val="nil"/>
          <w:between w:val="nil"/>
        </w:pBdr>
        <w:spacing w:line="245" w:lineRule="auto"/>
        <w:rPr>
          <w:rFonts w:cs="Times New Roman"/>
          <w:szCs w:val="28"/>
        </w:rPr>
      </w:pPr>
      <w:r w:rsidRPr="00DF3CA8">
        <w:rPr>
          <w:rFonts w:cs="Times New Roman"/>
          <w:szCs w:val="28"/>
        </w:rPr>
        <w:t>Переміщення населення і пов'язане з цим труднощі в діагностиці та лікуванні є факторами ризику збільшення захворюваності та смертності знову. У зв'язку з цим, моніторинг пацієнтів з МЛ</w:t>
      </w:r>
      <w:r>
        <w:rPr>
          <w:rFonts w:cs="Times New Roman"/>
          <w:szCs w:val="28"/>
        </w:rPr>
        <w:t>С</w:t>
      </w:r>
      <w:r w:rsidRPr="00DF3CA8">
        <w:rPr>
          <w:rFonts w:cs="Times New Roman"/>
          <w:szCs w:val="28"/>
        </w:rPr>
        <w:t>-ТБ та пре-</w:t>
      </w:r>
      <w:r>
        <w:rPr>
          <w:rFonts w:cs="Times New Roman"/>
          <w:szCs w:val="28"/>
        </w:rPr>
        <w:t>ШЛС-ТБ</w:t>
      </w:r>
      <w:r w:rsidRPr="00DF3CA8">
        <w:rPr>
          <w:rFonts w:cs="Times New Roman"/>
          <w:szCs w:val="28"/>
        </w:rPr>
        <w:t>/</w:t>
      </w:r>
      <w:r>
        <w:rPr>
          <w:rFonts w:cs="Times New Roman"/>
          <w:szCs w:val="28"/>
        </w:rPr>
        <w:t>ШЛС-ТБ</w:t>
      </w:r>
      <w:r w:rsidRPr="00DF3CA8">
        <w:rPr>
          <w:rFonts w:cs="Times New Roman"/>
          <w:szCs w:val="28"/>
        </w:rPr>
        <w:t xml:space="preserve"> вимагають раннього виявлення для початку лікування та заходів інфекційного контролю.</w:t>
      </w:r>
    </w:p>
    <w:p w14:paraId="3B4469CF" w14:textId="2EDC7C92" w:rsidR="001A1CC2" w:rsidRDefault="00A20086" w:rsidP="0024080D">
      <w:pPr>
        <w:widowControl w:val="0"/>
        <w:pBdr>
          <w:top w:val="nil"/>
          <w:left w:val="nil"/>
          <w:bottom w:val="nil"/>
          <w:right w:val="nil"/>
          <w:between w:val="nil"/>
        </w:pBdr>
        <w:spacing w:line="245" w:lineRule="auto"/>
        <w:rPr>
          <w:rFonts w:cs="Times New Roman"/>
          <w:szCs w:val="28"/>
        </w:rPr>
      </w:pPr>
      <w:r w:rsidRPr="00A20086">
        <w:rPr>
          <w:rFonts w:cs="Times New Roman"/>
          <w:szCs w:val="28"/>
        </w:rPr>
        <w:t xml:space="preserve">Сполучені з військовим становищем антисанітарні, обмежені умови життя, погана вентиляція і низьке охоплення вакцинацією є ще однією потенційною загрозою, яка може вплинути на протитуберкульозні служби. Пандемія COVID, що триває, спалахи захворювань, що передаються аліментарним </w:t>
      </w:r>
      <w:r w:rsidR="004807AD">
        <w:rPr>
          <w:rFonts w:cs="Times New Roman"/>
          <w:szCs w:val="28"/>
        </w:rPr>
        <w:t xml:space="preserve">та водним </w:t>
      </w:r>
      <w:r w:rsidRPr="00A20086">
        <w:rPr>
          <w:rFonts w:cs="Times New Roman"/>
          <w:szCs w:val="28"/>
        </w:rPr>
        <w:t xml:space="preserve">шляхом - холера, дизентерія; спалахи інфекцій, що запобігають вакцинації - поліомієліт, дифтерія і правець, </w:t>
      </w:r>
      <w:r>
        <w:rPr>
          <w:rFonts w:cs="Times New Roman"/>
          <w:szCs w:val="28"/>
        </w:rPr>
        <w:t xml:space="preserve">- </w:t>
      </w:r>
      <w:r w:rsidRPr="00A20086">
        <w:rPr>
          <w:rFonts w:cs="Times New Roman"/>
          <w:szCs w:val="28"/>
        </w:rPr>
        <w:t>ці фактори становлять великий ризик не тільки для України, але і для всіх сусідніх країн.</w:t>
      </w:r>
    </w:p>
    <w:p w14:paraId="42F71AB0" w14:textId="0DACB569" w:rsidR="00DF3CA8" w:rsidRDefault="00A20086" w:rsidP="0024080D">
      <w:pPr>
        <w:widowControl w:val="0"/>
        <w:pBdr>
          <w:top w:val="nil"/>
          <w:left w:val="nil"/>
          <w:bottom w:val="nil"/>
          <w:right w:val="nil"/>
          <w:between w:val="nil"/>
        </w:pBdr>
        <w:spacing w:line="245" w:lineRule="auto"/>
        <w:rPr>
          <w:rFonts w:cs="Times New Roman"/>
          <w:szCs w:val="28"/>
        </w:rPr>
      </w:pPr>
      <w:r w:rsidRPr="00A20086">
        <w:rPr>
          <w:rFonts w:cs="Times New Roman"/>
          <w:szCs w:val="28"/>
        </w:rPr>
        <w:t>Виниклі реальні та непрямі загрози для програми не можуть не відбиватися на охопленні послугами та як надання послуг, що в свою чергу впливає на ефективність та досягнення цілей та показників програми. Дані ризики відкидають досягнення програми назад і вимагають певного періоду відновлення та відродження до попереднього рівня.</w:t>
      </w:r>
      <w:r>
        <w:rPr>
          <w:rFonts w:cs="Times New Roman"/>
          <w:szCs w:val="28"/>
        </w:rPr>
        <w:t xml:space="preserve"> </w:t>
      </w:r>
    </w:p>
    <w:p w14:paraId="35B82B74" w14:textId="2B4D47C6" w:rsidR="00A20086" w:rsidRDefault="00A20086" w:rsidP="0024080D">
      <w:pPr>
        <w:widowControl w:val="0"/>
        <w:pBdr>
          <w:top w:val="nil"/>
          <w:left w:val="nil"/>
          <w:bottom w:val="nil"/>
          <w:right w:val="nil"/>
          <w:between w:val="nil"/>
        </w:pBdr>
        <w:spacing w:line="245" w:lineRule="auto"/>
        <w:rPr>
          <w:rFonts w:cs="Times New Roman"/>
          <w:szCs w:val="28"/>
        </w:rPr>
      </w:pPr>
      <w:r w:rsidRPr="00A20086">
        <w:rPr>
          <w:rFonts w:cs="Times New Roman"/>
          <w:szCs w:val="28"/>
        </w:rPr>
        <w:t xml:space="preserve">Для пом'якшення негативних наслідків на протитуберкульозну службу важливо продовжувати заходи щодо забезпечення своєчасної діагностики та лікування хворих, важливо вести своєчасний облік та реєстрацію випадків на місцях внутрішньо переміщених осіб та біженців, розширювати можливості надання укорочених режимів та можливостей відео стеження, а також </w:t>
      </w:r>
      <w:r w:rsidRPr="00A20086">
        <w:rPr>
          <w:rFonts w:cs="Times New Roman"/>
          <w:szCs w:val="28"/>
        </w:rPr>
        <w:lastRenderedPageBreak/>
        <w:t>забезпечення повноцінної підтримки таких пацієнтів та їх контактів.</w:t>
      </w:r>
    </w:p>
    <w:p w14:paraId="4D787E00" w14:textId="659B112D" w:rsidR="00A20086" w:rsidRDefault="00A20086" w:rsidP="00A20086">
      <w:pPr>
        <w:pStyle w:val="2"/>
        <w:spacing w:line="233" w:lineRule="auto"/>
      </w:pPr>
      <w:r>
        <w:t>Рекомендації</w:t>
      </w:r>
    </w:p>
    <w:p w14:paraId="08EED42D" w14:textId="6090DC32" w:rsidR="00A20086" w:rsidRPr="00A20086" w:rsidRDefault="00A20086" w:rsidP="00A20086">
      <w:pPr>
        <w:ind w:firstLine="0"/>
      </w:pPr>
      <w:r w:rsidRPr="00A20086">
        <w:t>Ліквідація ТБ належить до завдань, поставлених у рамках ЦУР, для виконання яких необхідно реалізувати комплекс біомедичних, соціально-економічних та системних завдань. У зв'язку з війною та пандемією, що триває, пріоритетом на 2022 рік є необхідність відновити доступ до основних послуг з боротьби з ТБ та їх надання, щоб показники ТБ могли відновитися як мінімум до рівня 2019 року. До пріоритетних питань належать:</w:t>
      </w:r>
    </w:p>
    <w:p w14:paraId="5CCB1CC4" w14:textId="3840197F" w:rsidR="00EC3269" w:rsidRDefault="00EC3269" w:rsidP="00EC3269">
      <w:pPr>
        <w:pStyle w:val="2"/>
        <w:rPr>
          <w:i/>
          <w:iCs/>
        </w:rPr>
      </w:pPr>
      <w:r w:rsidRPr="00EC3269">
        <w:rPr>
          <w:i/>
          <w:iCs/>
        </w:rPr>
        <w:t>Доступ до тестування та діагностики туберкульозу та COVID-19</w:t>
      </w:r>
    </w:p>
    <w:p w14:paraId="089F899D" w14:textId="77777777" w:rsidR="00EC3269" w:rsidRDefault="00EC3269" w:rsidP="00EC3269">
      <w:pPr>
        <w:ind w:firstLine="0"/>
      </w:pPr>
      <w:r>
        <w:t xml:space="preserve">• Використовувати молекулярні тести з високою чутливістю та специфічність для </w:t>
      </w:r>
      <w:proofErr w:type="spellStart"/>
      <w:r>
        <w:t>одномоментного</w:t>
      </w:r>
      <w:proofErr w:type="spellEnd"/>
      <w:r>
        <w:t xml:space="preserve"> подвійного діагностичного тестування на туберкульоз та COVID-19.</w:t>
      </w:r>
    </w:p>
    <w:p w14:paraId="6B6F0C79" w14:textId="77777777" w:rsidR="00EC3269" w:rsidRDefault="00EC3269" w:rsidP="00EC3269">
      <w:pPr>
        <w:ind w:firstLine="0"/>
      </w:pPr>
      <w:r>
        <w:t>• Підвищити доступність, швидкість та надійність транспортування зразків для діагностики.</w:t>
      </w:r>
    </w:p>
    <w:p w14:paraId="1E3E5FE4" w14:textId="77777777" w:rsidR="00EC3269" w:rsidRDefault="00EC3269" w:rsidP="00EC3269">
      <w:pPr>
        <w:ind w:firstLine="0"/>
      </w:pPr>
      <w:r>
        <w:t>• Розширити заходи щодо скринінгу та виявлення випадків захворювання на медичні</w:t>
      </w:r>
    </w:p>
    <w:p w14:paraId="0E1EF003" w14:textId="6198925F" w:rsidR="00EC3269" w:rsidRDefault="00EC3269" w:rsidP="00EC3269">
      <w:pPr>
        <w:ind w:firstLine="0"/>
      </w:pPr>
      <w:r>
        <w:t>установи, зокрема орієнтовані групи високого ризику ( люди з ВІЛ).</w:t>
      </w:r>
    </w:p>
    <w:p w14:paraId="2FFA1E21" w14:textId="0E7B3717" w:rsidR="00EC3269" w:rsidRDefault="00EC3269" w:rsidP="00EC3269">
      <w:pPr>
        <w:pStyle w:val="2"/>
        <w:rPr>
          <w:i/>
          <w:iCs/>
        </w:rPr>
      </w:pPr>
      <w:r>
        <w:rPr>
          <w:i/>
          <w:iCs/>
        </w:rPr>
        <w:t>Початок лікування та його ефективність</w:t>
      </w:r>
    </w:p>
    <w:p w14:paraId="5CB0B82E" w14:textId="77777777" w:rsidR="007F78B5" w:rsidRDefault="007F78B5" w:rsidP="007F78B5">
      <w:pPr>
        <w:ind w:firstLine="0"/>
      </w:pPr>
      <w:r>
        <w:t>Амбулаторна допомога, орієнтована на пацієнта, повинна бути кращою, ніж стаціонарне лікування хворих на ТБ (за винятком випадків, коли серйозні стани вимагають госпіталізації), щоб зменшити можливості передачі інфекції.</w:t>
      </w:r>
    </w:p>
    <w:p w14:paraId="27FD361D" w14:textId="696D4A9D" w:rsidR="007F78B5" w:rsidRDefault="007F78B5" w:rsidP="007F78B5">
      <w:pPr>
        <w:ind w:firstLine="0"/>
      </w:pPr>
      <w:r>
        <w:t>Надання протитуберкульозного лікування має бути відповідно до останніх рекомендацій ВООЗ для всіх хворих на туберкульоз, у тому числі тих, що перебувають на карантині за COVID-19 та осіб з підтвердженою інфекцією. Впровадити за необхідності сесії психологічної підтримки для пацієнтів та медичних працівників.</w:t>
      </w:r>
    </w:p>
    <w:p w14:paraId="0A167BB5" w14:textId="77777777" w:rsidR="007F78B5" w:rsidRDefault="007F78B5" w:rsidP="007F78B5">
      <w:pPr>
        <w:ind w:firstLine="0"/>
      </w:pPr>
      <w:r>
        <w:t>• Розвивати телемедицину за допомогою цифрових платформ для консультації. Масштабувати віртуальну допомогу, цифрову охорону здоров'я для надання віддаленого відеоспостереження.</w:t>
      </w:r>
    </w:p>
    <w:p w14:paraId="20D44A39" w14:textId="2BD63D4A" w:rsidR="007F78B5" w:rsidRDefault="007F78B5" w:rsidP="007F78B5">
      <w:pPr>
        <w:ind w:firstLine="0"/>
      </w:pPr>
      <w:r>
        <w:t>• Поліпшити відстеження контактів, розслідування та профілактичної терапії туберкульозу.</w:t>
      </w:r>
    </w:p>
    <w:p w14:paraId="1AF2B78C" w14:textId="385AF5D9" w:rsidR="00DC57D7" w:rsidRDefault="00DC57D7" w:rsidP="00DC57D7">
      <w:pPr>
        <w:pStyle w:val="2"/>
        <w:rPr>
          <w:i/>
          <w:iCs/>
        </w:rPr>
      </w:pPr>
      <w:r>
        <w:rPr>
          <w:i/>
          <w:iCs/>
        </w:rPr>
        <w:t>Інфекційний контроль та захист медичних працівників</w:t>
      </w:r>
    </w:p>
    <w:p w14:paraId="78803851" w14:textId="039DF224" w:rsidR="00DC57D7" w:rsidRDefault="00DC57D7" w:rsidP="00DC57D7">
      <w:pPr>
        <w:ind w:firstLine="0"/>
      </w:pPr>
      <w:r>
        <w:t>• Забезпечити доступність та постачання високоякісних засобів захисту для медичних працівників, включаючи маски та респіратори.</w:t>
      </w:r>
    </w:p>
    <w:p w14:paraId="1496599B" w14:textId="5D5F02B4" w:rsidR="00DC57D7" w:rsidRDefault="00DC57D7" w:rsidP="00DC57D7">
      <w:pPr>
        <w:ind w:firstLine="0"/>
      </w:pPr>
      <w:r>
        <w:t>• Посилити заходи щодо інфекційного контролю в областях, у зв'язку з потенційними загрозами спалахів особливо небезпечних інфекцій, таких як холера.</w:t>
      </w:r>
    </w:p>
    <w:p w14:paraId="27E88FF9" w14:textId="3C125A06" w:rsidR="00DC57D7" w:rsidRDefault="00DC57D7" w:rsidP="00DC57D7">
      <w:pPr>
        <w:pStyle w:val="2"/>
        <w:rPr>
          <w:i/>
          <w:iCs/>
        </w:rPr>
      </w:pPr>
      <w:r>
        <w:rPr>
          <w:i/>
          <w:iCs/>
        </w:rPr>
        <w:t>Соціальний захист пацієнтів</w:t>
      </w:r>
    </w:p>
    <w:p w14:paraId="27145C24" w14:textId="21C35AEF" w:rsidR="00DC57D7" w:rsidRDefault="00630F71" w:rsidP="00DC57D7">
      <w:pPr>
        <w:ind w:firstLine="0"/>
      </w:pPr>
      <w:r w:rsidRPr="00630F71">
        <w:t xml:space="preserve">• Поліпшити та розширити соціальний захист осіб, </w:t>
      </w:r>
      <w:r>
        <w:t xml:space="preserve">які </w:t>
      </w:r>
      <w:r w:rsidRPr="00630F71">
        <w:t>захворі</w:t>
      </w:r>
      <w:r>
        <w:t>л</w:t>
      </w:r>
      <w:r w:rsidRPr="00630F71">
        <w:t>и на туберкульоз, COVID-19 або пацієнтів із поєднаним діагнозом.</w:t>
      </w:r>
    </w:p>
    <w:p w14:paraId="6F267B88" w14:textId="39B55484" w:rsidR="00630F71" w:rsidRDefault="00630F71" w:rsidP="00630F71">
      <w:pPr>
        <w:pStyle w:val="2"/>
        <w:rPr>
          <w:i/>
          <w:iCs/>
        </w:rPr>
      </w:pPr>
      <w:r>
        <w:rPr>
          <w:i/>
          <w:iCs/>
        </w:rPr>
        <w:lastRenderedPageBreak/>
        <w:t>Моніторинг і оцінка</w:t>
      </w:r>
    </w:p>
    <w:p w14:paraId="7C78239E" w14:textId="618AF983" w:rsidR="00630F71" w:rsidRPr="00630F71" w:rsidRDefault="00630F71" w:rsidP="00630F71">
      <w:pPr>
        <w:ind w:firstLine="0"/>
      </w:pPr>
      <w:r w:rsidRPr="00630F71">
        <w:t>• Для забезпечення підзвітності моніторинг та оцінка повинні проводитись регулярно на систематичній основі. Слід збирати та аналізувати дані про внутрішньо переміщених пацієнтів, а також обмінюватися даними про пацієнтів, що виїхали, проводити аналіз показників діяльності та посилення впливу.</w:t>
      </w:r>
    </w:p>
    <w:p w14:paraId="4EC990F3" w14:textId="77777777" w:rsidR="00A2335E" w:rsidRPr="0024080D" w:rsidRDefault="00A2335E">
      <w:pPr>
        <w:spacing w:line="276" w:lineRule="auto"/>
        <w:ind w:firstLine="0"/>
        <w:jc w:val="left"/>
        <w:rPr>
          <w:rFonts w:cs="Times New Roman"/>
          <w:b/>
          <w:caps/>
          <w:szCs w:val="28"/>
        </w:rPr>
      </w:pPr>
      <w:r w:rsidRPr="0024080D">
        <w:rPr>
          <w:rFonts w:cs="Times New Roman"/>
          <w:szCs w:val="28"/>
        </w:rPr>
        <w:br w:type="page"/>
      </w:r>
    </w:p>
    <w:p w14:paraId="03B92989" w14:textId="77777777" w:rsidR="00712BDA" w:rsidRPr="0024080D" w:rsidRDefault="00712BDA" w:rsidP="0024080D">
      <w:pPr>
        <w:pStyle w:val="1"/>
        <w:spacing w:line="233" w:lineRule="auto"/>
      </w:pPr>
      <w:bookmarkStart w:id="117" w:name="_Toc89149165"/>
      <w:bookmarkStart w:id="118" w:name="_Toc88088879"/>
      <w:bookmarkEnd w:id="112"/>
      <w:r w:rsidRPr="0024080D">
        <w:lastRenderedPageBreak/>
        <w:t>ВИСНОВКи</w:t>
      </w:r>
      <w:bookmarkEnd w:id="117"/>
    </w:p>
    <w:p w14:paraId="717B1A2C" w14:textId="77777777" w:rsidR="00712BDA" w:rsidRPr="0024080D" w:rsidRDefault="00712BDA" w:rsidP="0024080D">
      <w:pPr>
        <w:pStyle w:val="2"/>
        <w:spacing w:line="233" w:lineRule="auto"/>
      </w:pPr>
      <w:bookmarkStart w:id="119" w:name="_Toc89149166"/>
      <w:r w:rsidRPr="0024080D">
        <w:t>Реформування і децентралізація системи охорони здоров’я та виявлення туберкульозу</w:t>
      </w:r>
      <w:bookmarkEnd w:id="118"/>
      <w:bookmarkEnd w:id="119"/>
    </w:p>
    <w:p w14:paraId="25D32E4E"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Трансформація системи охорони здоров’я стосується кожного. Її мета - забезпечити громадянам України рівний доступ до якісних медичних послуг, в результаті змін орієнтувати систему так, щоб у центрі її був пацієнт.</w:t>
      </w:r>
    </w:p>
    <w:p w14:paraId="31A43EFA"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Бачення  системи охорони здоров'я після проведення реформи: ефективна і доступна система охорони здоров'я, що відповідає потребам населення України. Підвищення рівня і якості життя населення на основі розширення доступності, підвищення якості та безпеки медичної допомоги, продуктивної зайнятості персоналу, що працює у галузі охорони здоров'я, а також підвищення їх рівня соціального забезпечення, розвитку і оптимізації системи соціальної підтримки.</w:t>
      </w:r>
    </w:p>
    <w:p w14:paraId="0510D218"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В поточних умовах реформування галузі охорони здоров’я та розбудови сфери громадського здоров’я надзвичайно важливим є посилення ролі первинної мережі, як одного з виконавців Стратегії. Лише  так ми зможемо забезпечити надання якісних людино-орієнтованих послуг хворим на туберкульоз, підвищити ефективність лікування таких хворих та приблизить нас до спільної мети подолання туберкульозу, яка є ключовою в Цілях сталого розвитку, що стосуються забезпечення здорового способу життя та сприяння благополуччю для всіх у будь-якому віці. </w:t>
      </w:r>
    </w:p>
    <w:p w14:paraId="71588AF4"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30 вересня 2019 року Президент України видав Указ “Про Цілі сталого розвитку України на період до 2030 року”, в якому підтримав забезпечення досягнення глобальних цілей сталого розвитку та результатів їх адаптації з урахуванням специфіки розвитку України, викладених у Національній доповіді "Цілі сталого розвитку: Україна”.  </w:t>
      </w:r>
    </w:p>
    <w:p w14:paraId="6CD7A13B"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Збройна агресія </w:t>
      </w:r>
      <w:proofErr w:type="spellStart"/>
      <w:r w:rsidRPr="006F4CF7">
        <w:rPr>
          <w:rFonts w:cs="Times New Roman"/>
          <w:szCs w:val="28"/>
        </w:rPr>
        <w:t>росії</w:t>
      </w:r>
      <w:proofErr w:type="spellEnd"/>
      <w:r w:rsidRPr="006F4CF7">
        <w:rPr>
          <w:rFonts w:cs="Times New Roman"/>
          <w:szCs w:val="28"/>
        </w:rPr>
        <w:t xml:space="preserve">, яка спустошує Україну та руйнує заклади охорони здоров’я, спонукає до прийняття швидких та ефективних рішень відновлення та подальшого розвитку систем. </w:t>
      </w:r>
    </w:p>
    <w:p w14:paraId="27515889"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Сьогодні Міністерство охорони здоров’я України та обласні державні адміністрації працюють над відновленням роботи лікарень на звільнених від ворога територіях Київської, Чернігівської та Сумської областей. Прийнято принципове рішення: не лише відбудовувати існуючі заклади, а й запустити новий інфраструктурний етап реформи системи охорони здоров’я.</w:t>
      </w:r>
    </w:p>
    <w:p w14:paraId="76BE3C3C"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Нова мережа закладів формуватиметься відповідно до принципу госпітальних округів та поділятиметься на </w:t>
      </w:r>
      <w:proofErr w:type="spellStart"/>
      <w:r w:rsidRPr="006F4CF7">
        <w:rPr>
          <w:rFonts w:cs="Times New Roman"/>
          <w:szCs w:val="28"/>
        </w:rPr>
        <w:t>надкластерні</w:t>
      </w:r>
      <w:proofErr w:type="spellEnd"/>
      <w:r w:rsidRPr="006F4CF7">
        <w:rPr>
          <w:rFonts w:cs="Times New Roman"/>
          <w:szCs w:val="28"/>
        </w:rPr>
        <w:t xml:space="preserve">, кластерні, загальні та пункти первинної меддопомоги. </w:t>
      </w:r>
    </w:p>
    <w:p w14:paraId="7B19BA09"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Система госпітальних округів передбачає кілька рівнів допомоги залежно від складності випадку та важкості стану пацієнта. </w:t>
      </w:r>
    </w:p>
    <w:p w14:paraId="2502EF5F"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Наближення менш складних послуг до пацієнта та концентрація високотехнологічних послуг для важчих випадків дозволить покращити надання медичної допомоги.</w:t>
      </w:r>
    </w:p>
    <w:p w14:paraId="7CA5CBFA"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proofErr w:type="spellStart"/>
      <w:r w:rsidRPr="006F4CF7">
        <w:rPr>
          <w:rFonts w:cs="Times New Roman"/>
          <w:szCs w:val="28"/>
        </w:rPr>
        <w:t>Наднакластерні</w:t>
      </w:r>
      <w:proofErr w:type="spellEnd"/>
      <w:r w:rsidRPr="006F4CF7">
        <w:rPr>
          <w:rFonts w:cs="Times New Roman"/>
          <w:szCs w:val="28"/>
        </w:rPr>
        <w:t xml:space="preserve"> лікарні будуть максимально оснащені сучасним обладнанням та надаватимуть пацієнту найширший спектр послуг. В кластерному </w:t>
      </w:r>
      <w:proofErr w:type="spellStart"/>
      <w:r w:rsidRPr="006F4CF7">
        <w:rPr>
          <w:rFonts w:cs="Times New Roman"/>
          <w:szCs w:val="28"/>
        </w:rPr>
        <w:t>медзакладі</w:t>
      </w:r>
      <w:proofErr w:type="spellEnd"/>
      <w:r w:rsidRPr="006F4CF7">
        <w:rPr>
          <w:rFonts w:cs="Times New Roman"/>
          <w:szCs w:val="28"/>
        </w:rPr>
        <w:t xml:space="preserve"> пацієнт зможе отримати медичні послуги при </w:t>
      </w:r>
      <w:r w:rsidRPr="006F4CF7">
        <w:rPr>
          <w:rFonts w:cs="Times New Roman"/>
          <w:szCs w:val="28"/>
        </w:rPr>
        <w:lastRenderedPageBreak/>
        <w:t>найбільш поширених хворобах. Загальні лікарні надаватимуть базові медичні послуги для пацієнтів однієї або кількох громад.</w:t>
      </w:r>
    </w:p>
    <w:p w14:paraId="7F8F260F"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Поділ кожної території на госпітальні кластери – це спосіб збалансувати переваги та недоліки децентралізації, коли територіальна громада буде чітко знати, до якого госпітального кластеру вона належить та мусить враховувати роль свого медичного закладу в роботі всієї системи. Госпітальне планування надає кожній громаді орієнтир: де і які послуги мають отримувати мешканці, де необхідна співпраця з іншими громадами. І тут головне, щоб на кожному рівні передбачити якісні послуги для пацієнта з туберкульозом</w:t>
      </w:r>
    </w:p>
    <w:p w14:paraId="31B4118D" w14:textId="77777777" w:rsidR="006F4CF7" w:rsidRPr="006F4CF7"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 xml:space="preserve">Також важливо, що подібна система є основою побудови госпітальних мереж у країнах ЄС. У Європі останніми роками найголовнішими у роботі медичної системи вважають наступні показники: зменшення термінів перебування у лікарні, зменшення кількості стаціонарних ліжок, покращення результатів лікування. Україні за цими показниками ще багато чого потрібно зробити, щоб наблизитись до сучасної європейської системи надання меддопомоги. В напрямку протидії туберкульозу є певний прогрес, однак впровадження радикально нового підходу із залученням до партнерства цивільного населення, громадських організацій та приватного сектору на всіх етапах планування і впровадження заходів з боротьби із ТБ продовжує бути актуальним. Необхідне посилення заходів протидії туберкульозу, з врахуванням інновацій, посилення політичної прихильності до подолання туберкульозу на всіх рівнях, фокусування зусиль на відновленні первинної медико-санітарної допомоги (далі – ПМСД) в еру після COVID-19 шляхом посилення ролі ПМСД у наданні послуг з туберкульозу, орієнтованих на людей та з використанням цифрових рішень для охорони здоров’я. </w:t>
      </w:r>
    </w:p>
    <w:p w14:paraId="5BBC7F7F" w14:textId="64120AB0" w:rsidR="00712BDA" w:rsidRPr="0024080D" w:rsidRDefault="006F4CF7" w:rsidP="006F4CF7">
      <w:pPr>
        <w:widowControl w:val="0"/>
        <w:pBdr>
          <w:top w:val="nil"/>
          <w:left w:val="nil"/>
          <w:bottom w:val="nil"/>
          <w:right w:val="nil"/>
          <w:between w:val="nil"/>
        </w:pBdr>
        <w:spacing w:line="233" w:lineRule="auto"/>
        <w:rPr>
          <w:rFonts w:cs="Times New Roman"/>
          <w:szCs w:val="28"/>
        </w:rPr>
      </w:pPr>
      <w:r w:rsidRPr="006F4CF7">
        <w:rPr>
          <w:rFonts w:cs="Times New Roman"/>
          <w:szCs w:val="28"/>
        </w:rPr>
        <w:t>Розширення використання молекулярної експрес-діагностики для виявлення ТБ на ранніх стадіях, а також ЛС-ТБ, значно допоможе вчасно виявити захворювання, що є запорукою на шляху до подолання ТБ. В країні є чіткий алгоритм виявлення туберкульозу, необхідно лише забезпечити його бездоганне виконання. І це відповідальність кожного лікаря, кожного керівника закладу охорони здоров’я. Особливо це актуально в умовах масового переміщення людей, в умовах постійного впливу стресорів, коли ослаблення супротиву імунної системи веде до прогресування різних захворювань, в тому числі і туберкульозу.</w:t>
      </w:r>
    </w:p>
    <w:sectPr w:rsidR="00712BDA" w:rsidRPr="0024080D" w:rsidSect="007343C2">
      <w:headerReference w:type="even" r:id="rId98"/>
      <w:headerReference w:type="default" r:id="rId99"/>
      <w:footerReference w:type="even" r:id="rId100"/>
      <w:footerReference w:type="default" r:id="rId101"/>
      <w:headerReference w:type="first" r:id="rId102"/>
      <w:footerReference w:type="first" r:id="rId103"/>
      <w:pgSz w:w="11907" w:h="16840" w:code="9"/>
      <w:pgMar w:top="1134" w:right="851" w:bottom="1134" w:left="1701" w:header="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6FE3" w14:textId="77777777" w:rsidR="001B293D" w:rsidRDefault="001B293D" w:rsidP="00E5524D">
      <w:r>
        <w:separator/>
      </w:r>
    </w:p>
  </w:endnote>
  <w:endnote w:type="continuationSeparator" w:id="0">
    <w:p w14:paraId="585985E6" w14:textId="77777777" w:rsidR="001B293D" w:rsidRDefault="001B293D" w:rsidP="00E5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nionPro-Semibold">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0B8C" w14:textId="77777777" w:rsidR="000C22F8" w:rsidRDefault="000C22F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24"/>
        <w:szCs w:val="24"/>
      </w:rPr>
      <w:id w:val="-833523218"/>
      <w:docPartObj>
        <w:docPartGallery w:val="Page Numbers (Bottom of Page)"/>
        <w:docPartUnique/>
      </w:docPartObj>
    </w:sdtPr>
    <w:sdtContent>
      <w:p w14:paraId="52DD80B2" w14:textId="6EFFD208" w:rsidR="00DC6532" w:rsidRPr="000B32FA" w:rsidRDefault="00DC6532" w:rsidP="005F6C0F">
        <w:pPr>
          <w:pStyle w:val="af7"/>
          <w:ind w:firstLine="0"/>
          <w:jc w:val="center"/>
          <w:rPr>
            <w:rFonts w:cs="Times New Roman"/>
            <w:sz w:val="24"/>
            <w:szCs w:val="24"/>
          </w:rPr>
        </w:pPr>
        <w:r w:rsidRPr="000B32FA">
          <w:rPr>
            <w:rFonts w:cs="Times New Roman"/>
            <w:sz w:val="24"/>
            <w:szCs w:val="24"/>
          </w:rPr>
          <w:fldChar w:fldCharType="begin"/>
        </w:r>
        <w:r w:rsidRPr="000B32FA">
          <w:rPr>
            <w:rFonts w:cs="Times New Roman"/>
            <w:sz w:val="24"/>
            <w:szCs w:val="24"/>
          </w:rPr>
          <w:instrText>PAGE   \* MERGEFORMAT</w:instrText>
        </w:r>
        <w:r w:rsidRPr="000B32FA">
          <w:rPr>
            <w:rFonts w:cs="Times New Roman"/>
            <w:sz w:val="24"/>
            <w:szCs w:val="24"/>
          </w:rPr>
          <w:fldChar w:fldCharType="separate"/>
        </w:r>
        <w:r w:rsidR="00E82522" w:rsidRPr="00E82522">
          <w:rPr>
            <w:rFonts w:cs="Times New Roman"/>
            <w:noProof/>
            <w:sz w:val="24"/>
            <w:szCs w:val="24"/>
            <w:lang w:val="ru-RU"/>
          </w:rPr>
          <w:t>5</w:t>
        </w:r>
        <w:r w:rsidRPr="000B32FA">
          <w:rPr>
            <w:rFonts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7A28" w14:textId="77777777" w:rsidR="000C22F8" w:rsidRDefault="000C22F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79775" w14:textId="77777777" w:rsidR="001B293D" w:rsidRDefault="001B293D" w:rsidP="003D13EA">
      <w:pPr>
        <w:ind w:firstLine="0"/>
      </w:pPr>
      <w:r>
        <w:separator/>
      </w:r>
    </w:p>
  </w:footnote>
  <w:footnote w:type="continuationSeparator" w:id="0">
    <w:p w14:paraId="0D6DE842" w14:textId="77777777" w:rsidR="001B293D" w:rsidRDefault="001B293D" w:rsidP="00E5524D">
      <w:r>
        <w:continuationSeparator/>
      </w:r>
    </w:p>
  </w:footnote>
  <w:footnote w:id="1">
    <w:p w14:paraId="55D364BE" w14:textId="3A8B7755" w:rsidR="00DC6532" w:rsidRPr="003D13EA" w:rsidRDefault="00DC6532" w:rsidP="003D13EA">
      <w:pPr>
        <w:pStyle w:val="aa"/>
        <w:ind w:firstLine="0"/>
        <w:rPr>
          <w:rFonts w:ascii="Times New Roman" w:hAnsi="Times New Roman" w:cs="Times New Roman"/>
          <w:sz w:val="18"/>
          <w:szCs w:val="18"/>
          <w:lang w:val="uk-UA"/>
        </w:rPr>
      </w:pPr>
      <w:bookmarkStart w:id="9" w:name="_Hlk105751956"/>
      <w:r w:rsidRPr="003D13EA">
        <w:rPr>
          <w:rStyle w:val="ac"/>
          <w:rFonts w:ascii="Times New Roman" w:hAnsi="Times New Roman" w:cs="Times New Roman"/>
          <w:sz w:val="18"/>
          <w:szCs w:val="18"/>
        </w:rPr>
        <w:footnoteRef/>
      </w:r>
      <w:r w:rsidR="000D5E07" w:rsidRPr="000D5E07">
        <w:rPr>
          <w:rFonts w:ascii="Times New Roman" w:hAnsi="Times New Roman" w:cs="Times New Roman"/>
          <w:sz w:val="18"/>
          <w:szCs w:val="18"/>
        </w:rPr>
        <w:t xml:space="preserve">  https://www.who.int/publications/digital/global-tuberculosis-report-2021/covid-19</w:t>
      </w:r>
      <w:r w:rsidRPr="003D13EA">
        <w:rPr>
          <w:rFonts w:ascii="Times New Roman" w:hAnsi="Times New Roman" w:cs="Times New Roman"/>
          <w:sz w:val="18"/>
          <w:szCs w:val="18"/>
          <w:lang w:val="uk-UA"/>
        </w:rPr>
        <w:t>.</w:t>
      </w:r>
    </w:p>
    <w:bookmarkEnd w:id="9"/>
  </w:footnote>
  <w:footnote w:id="2">
    <w:p w14:paraId="29CCB207" w14:textId="043262CC" w:rsidR="00DC6532" w:rsidRPr="003D13EA" w:rsidRDefault="00DC6532" w:rsidP="003D13EA">
      <w:pPr>
        <w:pStyle w:val="aa"/>
        <w:ind w:firstLine="0"/>
        <w:rPr>
          <w:rFonts w:ascii="Times New Roman" w:hAnsi="Times New Roman" w:cs="Times New Roman"/>
          <w:sz w:val="18"/>
          <w:szCs w:val="18"/>
          <w:lang w:val="uk-UA"/>
        </w:rPr>
      </w:pPr>
      <w:r w:rsidRPr="003D13EA">
        <w:rPr>
          <w:rStyle w:val="ac"/>
          <w:rFonts w:ascii="Times New Roman" w:hAnsi="Times New Roman" w:cs="Times New Roman"/>
          <w:sz w:val="18"/>
          <w:szCs w:val="18"/>
        </w:rPr>
        <w:footnoteRef/>
      </w:r>
      <w:r w:rsidR="004A21BB" w:rsidRPr="004A21BB">
        <w:rPr>
          <w:rFonts w:ascii="Times New Roman" w:eastAsia="Arial" w:hAnsi="Times New Roman" w:cs="Times New Roman"/>
          <w:sz w:val="18"/>
          <w:szCs w:val="18"/>
          <w:lang w:val="uk-UA" w:eastAsia="uk-UA"/>
        </w:rPr>
        <w:t>https://www.who.int/publications/m/item/overview-progress-towards-achieving-global-tuberculosis-targets-and-implementation-of-the-un-political-declaration-on-tuberculosis</w:t>
      </w:r>
      <w:r w:rsidRPr="003D13EA">
        <w:rPr>
          <w:rFonts w:ascii="Times New Roman" w:eastAsia="Arial" w:hAnsi="Times New Roman" w:cs="Times New Roman"/>
          <w:sz w:val="18"/>
          <w:szCs w:val="18"/>
          <w:lang w:val="uk-UA" w:eastAsia="uk-U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E485" w14:textId="77777777" w:rsidR="000C22F8" w:rsidRDefault="000C22F8">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2320" w14:textId="77777777" w:rsidR="000C22F8" w:rsidRDefault="000C22F8">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C91C" w14:textId="77777777" w:rsidR="000C22F8" w:rsidRDefault="000C22F8">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929D12"/>
    <w:lvl w:ilvl="0">
      <w:numFmt w:val="bullet"/>
      <w:lvlText w:val="*"/>
      <w:lvlJc w:val="left"/>
    </w:lvl>
  </w:abstractNum>
  <w:abstractNum w:abstractNumId="1" w15:restartNumberingAfterBreak="0">
    <w:nsid w:val="060812A2"/>
    <w:multiLevelType w:val="hybridMultilevel"/>
    <w:tmpl w:val="EA4018F0"/>
    <w:lvl w:ilvl="0" w:tplc="C9929D12">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7B231FC"/>
    <w:multiLevelType w:val="hybridMultilevel"/>
    <w:tmpl w:val="90B294D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 w15:restartNumberingAfterBreak="0">
    <w:nsid w:val="373830E8"/>
    <w:multiLevelType w:val="hybridMultilevel"/>
    <w:tmpl w:val="F14C91EA"/>
    <w:lvl w:ilvl="0" w:tplc="C9929D12">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1367CE4"/>
    <w:multiLevelType w:val="hybridMultilevel"/>
    <w:tmpl w:val="66986E96"/>
    <w:lvl w:ilvl="0" w:tplc="C9929D12">
      <w:start w:val="65535"/>
      <w:numFmt w:val="bullet"/>
      <w:lvlText w:val="•"/>
      <w:lvlJc w:val="left"/>
      <w:pPr>
        <w:ind w:left="720" w:hanging="360"/>
      </w:pPr>
      <w:rPr>
        <w:rFonts w:ascii="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3D87211"/>
    <w:multiLevelType w:val="hybridMultilevel"/>
    <w:tmpl w:val="B2A4AE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5081903"/>
    <w:multiLevelType w:val="hybridMultilevel"/>
    <w:tmpl w:val="A95480E8"/>
    <w:lvl w:ilvl="0" w:tplc="7B82C008">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4BC75742"/>
    <w:multiLevelType w:val="hybridMultilevel"/>
    <w:tmpl w:val="B2D2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B1417"/>
    <w:multiLevelType w:val="hybridMultilevel"/>
    <w:tmpl w:val="BFE2B50C"/>
    <w:lvl w:ilvl="0" w:tplc="C9929D12">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5E906D7"/>
    <w:multiLevelType w:val="hybridMultilevel"/>
    <w:tmpl w:val="4E6CF9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89A42BB"/>
    <w:multiLevelType w:val="hybridMultilevel"/>
    <w:tmpl w:val="24D42E14"/>
    <w:lvl w:ilvl="0" w:tplc="04220001">
      <w:start w:val="1"/>
      <w:numFmt w:val="bullet"/>
      <w:lvlText w:val=""/>
      <w:lvlJc w:val="left"/>
      <w:pPr>
        <w:ind w:left="1708" w:hanging="360"/>
      </w:pPr>
      <w:rPr>
        <w:rFonts w:ascii="Symbol" w:hAnsi="Symbol" w:hint="default"/>
      </w:rPr>
    </w:lvl>
    <w:lvl w:ilvl="1" w:tplc="04220003" w:tentative="1">
      <w:start w:val="1"/>
      <w:numFmt w:val="bullet"/>
      <w:lvlText w:val="o"/>
      <w:lvlJc w:val="left"/>
      <w:pPr>
        <w:ind w:left="2428" w:hanging="360"/>
      </w:pPr>
      <w:rPr>
        <w:rFonts w:ascii="Courier New" w:hAnsi="Courier New" w:cs="Courier New" w:hint="default"/>
      </w:rPr>
    </w:lvl>
    <w:lvl w:ilvl="2" w:tplc="04220005" w:tentative="1">
      <w:start w:val="1"/>
      <w:numFmt w:val="bullet"/>
      <w:lvlText w:val=""/>
      <w:lvlJc w:val="left"/>
      <w:pPr>
        <w:ind w:left="3148" w:hanging="360"/>
      </w:pPr>
      <w:rPr>
        <w:rFonts w:ascii="Wingdings" w:hAnsi="Wingdings" w:hint="default"/>
      </w:rPr>
    </w:lvl>
    <w:lvl w:ilvl="3" w:tplc="04220001" w:tentative="1">
      <w:start w:val="1"/>
      <w:numFmt w:val="bullet"/>
      <w:lvlText w:val=""/>
      <w:lvlJc w:val="left"/>
      <w:pPr>
        <w:ind w:left="3868" w:hanging="360"/>
      </w:pPr>
      <w:rPr>
        <w:rFonts w:ascii="Symbol" w:hAnsi="Symbol" w:hint="default"/>
      </w:rPr>
    </w:lvl>
    <w:lvl w:ilvl="4" w:tplc="04220003" w:tentative="1">
      <w:start w:val="1"/>
      <w:numFmt w:val="bullet"/>
      <w:lvlText w:val="o"/>
      <w:lvlJc w:val="left"/>
      <w:pPr>
        <w:ind w:left="4588" w:hanging="360"/>
      </w:pPr>
      <w:rPr>
        <w:rFonts w:ascii="Courier New" w:hAnsi="Courier New" w:cs="Courier New" w:hint="default"/>
      </w:rPr>
    </w:lvl>
    <w:lvl w:ilvl="5" w:tplc="04220005" w:tentative="1">
      <w:start w:val="1"/>
      <w:numFmt w:val="bullet"/>
      <w:lvlText w:val=""/>
      <w:lvlJc w:val="left"/>
      <w:pPr>
        <w:ind w:left="5308" w:hanging="360"/>
      </w:pPr>
      <w:rPr>
        <w:rFonts w:ascii="Wingdings" w:hAnsi="Wingdings" w:hint="default"/>
      </w:rPr>
    </w:lvl>
    <w:lvl w:ilvl="6" w:tplc="04220001" w:tentative="1">
      <w:start w:val="1"/>
      <w:numFmt w:val="bullet"/>
      <w:lvlText w:val=""/>
      <w:lvlJc w:val="left"/>
      <w:pPr>
        <w:ind w:left="6028" w:hanging="360"/>
      </w:pPr>
      <w:rPr>
        <w:rFonts w:ascii="Symbol" w:hAnsi="Symbol" w:hint="default"/>
      </w:rPr>
    </w:lvl>
    <w:lvl w:ilvl="7" w:tplc="04220003" w:tentative="1">
      <w:start w:val="1"/>
      <w:numFmt w:val="bullet"/>
      <w:lvlText w:val="o"/>
      <w:lvlJc w:val="left"/>
      <w:pPr>
        <w:ind w:left="6748" w:hanging="360"/>
      </w:pPr>
      <w:rPr>
        <w:rFonts w:ascii="Courier New" w:hAnsi="Courier New" w:cs="Courier New" w:hint="default"/>
      </w:rPr>
    </w:lvl>
    <w:lvl w:ilvl="8" w:tplc="04220005" w:tentative="1">
      <w:start w:val="1"/>
      <w:numFmt w:val="bullet"/>
      <w:lvlText w:val=""/>
      <w:lvlJc w:val="left"/>
      <w:pPr>
        <w:ind w:left="7468" w:hanging="360"/>
      </w:pPr>
      <w:rPr>
        <w:rFonts w:ascii="Wingdings" w:hAnsi="Wingdings" w:hint="default"/>
      </w:rPr>
    </w:lvl>
  </w:abstractNum>
  <w:abstractNum w:abstractNumId="11" w15:restartNumberingAfterBreak="0">
    <w:nsid w:val="67F978C6"/>
    <w:multiLevelType w:val="hybridMultilevel"/>
    <w:tmpl w:val="D90C6332"/>
    <w:lvl w:ilvl="0" w:tplc="0338DBCC">
      <w:start w:val="1"/>
      <w:numFmt w:val="decimal"/>
      <w:lvlText w:val="%1."/>
      <w:lvlJc w:val="left"/>
      <w:pPr>
        <w:ind w:left="633" w:hanging="360"/>
      </w:pPr>
      <w:rPr>
        <w:rFonts w:hint="default"/>
      </w:rPr>
    </w:lvl>
    <w:lvl w:ilvl="1" w:tplc="04220019" w:tentative="1">
      <w:start w:val="1"/>
      <w:numFmt w:val="lowerLetter"/>
      <w:lvlText w:val="%2."/>
      <w:lvlJc w:val="left"/>
      <w:pPr>
        <w:ind w:left="1353" w:hanging="360"/>
      </w:pPr>
    </w:lvl>
    <w:lvl w:ilvl="2" w:tplc="0422001B" w:tentative="1">
      <w:start w:val="1"/>
      <w:numFmt w:val="lowerRoman"/>
      <w:lvlText w:val="%3."/>
      <w:lvlJc w:val="right"/>
      <w:pPr>
        <w:ind w:left="2073" w:hanging="180"/>
      </w:pPr>
    </w:lvl>
    <w:lvl w:ilvl="3" w:tplc="0422000F" w:tentative="1">
      <w:start w:val="1"/>
      <w:numFmt w:val="decimal"/>
      <w:lvlText w:val="%4."/>
      <w:lvlJc w:val="left"/>
      <w:pPr>
        <w:ind w:left="2793" w:hanging="360"/>
      </w:pPr>
    </w:lvl>
    <w:lvl w:ilvl="4" w:tplc="04220019" w:tentative="1">
      <w:start w:val="1"/>
      <w:numFmt w:val="lowerLetter"/>
      <w:lvlText w:val="%5."/>
      <w:lvlJc w:val="left"/>
      <w:pPr>
        <w:ind w:left="3513" w:hanging="360"/>
      </w:pPr>
    </w:lvl>
    <w:lvl w:ilvl="5" w:tplc="0422001B" w:tentative="1">
      <w:start w:val="1"/>
      <w:numFmt w:val="lowerRoman"/>
      <w:lvlText w:val="%6."/>
      <w:lvlJc w:val="right"/>
      <w:pPr>
        <w:ind w:left="4233" w:hanging="180"/>
      </w:pPr>
    </w:lvl>
    <w:lvl w:ilvl="6" w:tplc="0422000F" w:tentative="1">
      <w:start w:val="1"/>
      <w:numFmt w:val="decimal"/>
      <w:lvlText w:val="%7."/>
      <w:lvlJc w:val="left"/>
      <w:pPr>
        <w:ind w:left="4953" w:hanging="360"/>
      </w:pPr>
    </w:lvl>
    <w:lvl w:ilvl="7" w:tplc="04220019" w:tentative="1">
      <w:start w:val="1"/>
      <w:numFmt w:val="lowerLetter"/>
      <w:lvlText w:val="%8."/>
      <w:lvlJc w:val="left"/>
      <w:pPr>
        <w:ind w:left="5673" w:hanging="360"/>
      </w:pPr>
    </w:lvl>
    <w:lvl w:ilvl="8" w:tplc="0422001B" w:tentative="1">
      <w:start w:val="1"/>
      <w:numFmt w:val="lowerRoman"/>
      <w:lvlText w:val="%9."/>
      <w:lvlJc w:val="right"/>
      <w:pPr>
        <w:ind w:left="6393" w:hanging="180"/>
      </w:pPr>
    </w:lvl>
  </w:abstractNum>
  <w:abstractNum w:abstractNumId="12" w15:restartNumberingAfterBreak="0">
    <w:nsid w:val="6C902BFA"/>
    <w:multiLevelType w:val="hybridMultilevel"/>
    <w:tmpl w:val="93362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705CE6"/>
    <w:multiLevelType w:val="hybridMultilevel"/>
    <w:tmpl w:val="A57AD1EC"/>
    <w:lvl w:ilvl="0" w:tplc="C9929D12">
      <w:start w:val="65535"/>
      <w:numFmt w:val="bullet"/>
      <w:lvlText w:val="•"/>
      <w:lvlJc w:val="left"/>
      <w:pPr>
        <w:ind w:left="720" w:hanging="360"/>
      </w:pPr>
      <w:rPr>
        <w:rFonts w:ascii="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2E806F3"/>
    <w:multiLevelType w:val="hybridMultilevel"/>
    <w:tmpl w:val="035C1DB8"/>
    <w:lvl w:ilvl="0" w:tplc="C9929D12">
      <w:start w:val="65535"/>
      <w:numFmt w:val="bullet"/>
      <w:lvlText w:val="•"/>
      <w:lvlJc w:val="left"/>
      <w:pPr>
        <w:ind w:left="1322" w:hanging="360"/>
      </w:pPr>
      <w:rPr>
        <w:rFonts w:ascii="Arial" w:hAnsi="Arial" w:cs="Arial" w:hint="default"/>
      </w:rPr>
    </w:lvl>
    <w:lvl w:ilvl="1" w:tplc="04220003" w:tentative="1">
      <w:start w:val="1"/>
      <w:numFmt w:val="bullet"/>
      <w:lvlText w:val="o"/>
      <w:lvlJc w:val="left"/>
      <w:pPr>
        <w:ind w:left="2042" w:hanging="360"/>
      </w:pPr>
      <w:rPr>
        <w:rFonts w:ascii="Courier New" w:hAnsi="Courier New" w:cs="Courier New" w:hint="default"/>
      </w:rPr>
    </w:lvl>
    <w:lvl w:ilvl="2" w:tplc="04220005" w:tentative="1">
      <w:start w:val="1"/>
      <w:numFmt w:val="bullet"/>
      <w:lvlText w:val=""/>
      <w:lvlJc w:val="left"/>
      <w:pPr>
        <w:ind w:left="2762" w:hanging="360"/>
      </w:pPr>
      <w:rPr>
        <w:rFonts w:ascii="Wingdings" w:hAnsi="Wingdings" w:hint="default"/>
      </w:rPr>
    </w:lvl>
    <w:lvl w:ilvl="3" w:tplc="04220001" w:tentative="1">
      <w:start w:val="1"/>
      <w:numFmt w:val="bullet"/>
      <w:lvlText w:val=""/>
      <w:lvlJc w:val="left"/>
      <w:pPr>
        <w:ind w:left="3482" w:hanging="360"/>
      </w:pPr>
      <w:rPr>
        <w:rFonts w:ascii="Symbol" w:hAnsi="Symbol" w:hint="default"/>
      </w:rPr>
    </w:lvl>
    <w:lvl w:ilvl="4" w:tplc="04220003" w:tentative="1">
      <w:start w:val="1"/>
      <w:numFmt w:val="bullet"/>
      <w:lvlText w:val="o"/>
      <w:lvlJc w:val="left"/>
      <w:pPr>
        <w:ind w:left="4202" w:hanging="360"/>
      </w:pPr>
      <w:rPr>
        <w:rFonts w:ascii="Courier New" w:hAnsi="Courier New" w:cs="Courier New" w:hint="default"/>
      </w:rPr>
    </w:lvl>
    <w:lvl w:ilvl="5" w:tplc="04220005" w:tentative="1">
      <w:start w:val="1"/>
      <w:numFmt w:val="bullet"/>
      <w:lvlText w:val=""/>
      <w:lvlJc w:val="left"/>
      <w:pPr>
        <w:ind w:left="4922" w:hanging="360"/>
      </w:pPr>
      <w:rPr>
        <w:rFonts w:ascii="Wingdings" w:hAnsi="Wingdings" w:hint="default"/>
      </w:rPr>
    </w:lvl>
    <w:lvl w:ilvl="6" w:tplc="04220001" w:tentative="1">
      <w:start w:val="1"/>
      <w:numFmt w:val="bullet"/>
      <w:lvlText w:val=""/>
      <w:lvlJc w:val="left"/>
      <w:pPr>
        <w:ind w:left="5642" w:hanging="360"/>
      </w:pPr>
      <w:rPr>
        <w:rFonts w:ascii="Symbol" w:hAnsi="Symbol" w:hint="default"/>
      </w:rPr>
    </w:lvl>
    <w:lvl w:ilvl="7" w:tplc="04220003" w:tentative="1">
      <w:start w:val="1"/>
      <w:numFmt w:val="bullet"/>
      <w:lvlText w:val="o"/>
      <w:lvlJc w:val="left"/>
      <w:pPr>
        <w:ind w:left="6362" w:hanging="360"/>
      </w:pPr>
      <w:rPr>
        <w:rFonts w:ascii="Courier New" w:hAnsi="Courier New" w:cs="Courier New" w:hint="default"/>
      </w:rPr>
    </w:lvl>
    <w:lvl w:ilvl="8" w:tplc="04220005" w:tentative="1">
      <w:start w:val="1"/>
      <w:numFmt w:val="bullet"/>
      <w:lvlText w:val=""/>
      <w:lvlJc w:val="left"/>
      <w:pPr>
        <w:ind w:left="7082" w:hanging="360"/>
      </w:pPr>
      <w:rPr>
        <w:rFonts w:ascii="Wingdings" w:hAnsi="Wingdings" w:hint="default"/>
      </w:rPr>
    </w:lvl>
  </w:abstractNum>
  <w:abstractNum w:abstractNumId="15" w15:restartNumberingAfterBreak="0">
    <w:nsid w:val="7425773D"/>
    <w:multiLevelType w:val="hybridMultilevel"/>
    <w:tmpl w:val="D4FECE6E"/>
    <w:lvl w:ilvl="0" w:tplc="C9929D12">
      <w:start w:val="1"/>
      <w:numFmt w:val="bullet"/>
      <w:lvlText w:val="•"/>
      <w:lvlJc w:val="left"/>
      <w:pPr>
        <w:ind w:left="1429" w:hanging="360"/>
      </w:pPr>
      <w:rPr>
        <w:rFonts w:ascii="Arial" w:hAnsi="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7E0A2928"/>
    <w:multiLevelType w:val="hybridMultilevel"/>
    <w:tmpl w:val="4B9C159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1538200201">
    <w:abstractNumId w:val="11"/>
  </w:num>
  <w:num w:numId="2" w16cid:durableId="2108693117">
    <w:abstractNumId w:val="2"/>
  </w:num>
  <w:num w:numId="3" w16cid:durableId="1862164845">
    <w:abstractNumId w:val="10"/>
  </w:num>
  <w:num w:numId="4" w16cid:durableId="1870337900">
    <w:abstractNumId w:val="7"/>
  </w:num>
  <w:num w:numId="5" w16cid:durableId="335115139">
    <w:abstractNumId w:val="12"/>
  </w:num>
  <w:num w:numId="6" w16cid:durableId="207649473">
    <w:abstractNumId w:val="6"/>
  </w:num>
  <w:num w:numId="7" w16cid:durableId="13651569">
    <w:abstractNumId w:val="16"/>
  </w:num>
  <w:num w:numId="8" w16cid:durableId="246962374">
    <w:abstractNumId w:val="15"/>
  </w:num>
  <w:num w:numId="9" w16cid:durableId="1554662075">
    <w:abstractNumId w:val="0"/>
    <w:lvlOverride w:ilvl="0">
      <w:lvl w:ilvl="0">
        <w:start w:val="1"/>
        <w:numFmt w:val="bullet"/>
        <w:lvlText w:val="•"/>
        <w:legacy w:legacy="1" w:legacySpace="0" w:legacyIndent="240"/>
        <w:lvlJc w:val="left"/>
        <w:rPr>
          <w:rFonts w:ascii="Arial" w:hAnsi="Arial" w:hint="default"/>
        </w:rPr>
      </w:lvl>
    </w:lvlOverride>
  </w:num>
  <w:num w:numId="10" w16cid:durableId="783038308">
    <w:abstractNumId w:val="5"/>
  </w:num>
  <w:num w:numId="11" w16cid:durableId="411246794">
    <w:abstractNumId w:val="9"/>
  </w:num>
  <w:num w:numId="12" w16cid:durableId="1991708472">
    <w:abstractNumId w:val="14"/>
  </w:num>
  <w:num w:numId="13" w16cid:durableId="611673832">
    <w:abstractNumId w:val="4"/>
  </w:num>
  <w:num w:numId="14" w16cid:durableId="835921453">
    <w:abstractNumId w:val="3"/>
  </w:num>
  <w:num w:numId="15" w16cid:durableId="1635788236">
    <w:abstractNumId w:val="13"/>
  </w:num>
  <w:num w:numId="16" w16cid:durableId="1696422764">
    <w:abstractNumId w:val="1"/>
  </w:num>
  <w:num w:numId="17" w16cid:durableId="443883073">
    <w:abstractNumId w:val="8"/>
  </w:num>
  <w:num w:numId="18" w16cid:durableId="25907155">
    <w:abstractNumId w:val="0"/>
    <w:lvlOverride w:ilvl="0">
      <w:lvl w:ilvl="0">
        <w:start w:val="65535"/>
        <w:numFmt w:val="bullet"/>
        <w:lvlText w:val="•"/>
        <w:legacy w:legacy="1" w:legacySpace="0" w:legacyIndent="240"/>
        <w:lvlJc w:val="left"/>
        <w:rPr>
          <w:rFonts w:ascii="Arial" w:hAnsi="Arial" w:cs="Arial" w:hint="default"/>
        </w:rPr>
      </w:lvl>
    </w:lvlOverride>
  </w:num>
  <w:num w:numId="19" w16cid:durableId="18105840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xtTQxMDM0MjE0MLFU0lEKTi0uzszPAykwqgUAsuI5ZSwAAAA="/>
  </w:docVars>
  <w:rsids>
    <w:rsidRoot w:val="00D87661"/>
    <w:rsid w:val="00020195"/>
    <w:rsid w:val="00021E9C"/>
    <w:rsid w:val="00023266"/>
    <w:rsid w:val="00024E9E"/>
    <w:rsid w:val="00031233"/>
    <w:rsid w:val="00035F5B"/>
    <w:rsid w:val="000439EC"/>
    <w:rsid w:val="000465CA"/>
    <w:rsid w:val="0005100A"/>
    <w:rsid w:val="0005153E"/>
    <w:rsid w:val="00055BE2"/>
    <w:rsid w:val="0006355B"/>
    <w:rsid w:val="00064F3E"/>
    <w:rsid w:val="00074815"/>
    <w:rsid w:val="00075E69"/>
    <w:rsid w:val="000802FD"/>
    <w:rsid w:val="000805B9"/>
    <w:rsid w:val="000807A4"/>
    <w:rsid w:val="00081045"/>
    <w:rsid w:val="00081546"/>
    <w:rsid w:val="000815AC"/>
    <w:rsid w:val="000836F3"/>
    <w:rsid w:val="00092E1F"/>
    <w:rsid w:val="000A028C"/>
    <w:rsid w:val="000A19CF"/>
    <w:rsid w:val="000A36FF"/>
    <w:rsid w:val="000A3889"/>
    <w:rsid w:val="000B32FA"/>
    <w:rsid w:val="000B57E4"/>
    <w:rsid w:val="000B65C0"/>
    <w:rsid w:val="000B6B37"/>
    <w:rsid w:val="000C1BEF"/>
    <w:rsid w:val="000C22F8"/>
    <w:rsid w:val="000C38D3"/>
    <w:rsid w:val="000C58EA"/>
    <w:rsid w:val="000D57BB"/>
    <w:rsid w:val="000D5E07"/>
    <w:rsid w:val="000D6EA9"/>
    <w:rsid w:val="000E1478"/>
    <w:rsid w:val="000E210F"/>
    <w:rsid w:val="000E3A6F"/>
    <w:rsid w:val="000E3E8B"/>
    <w:rsid w:val="000E4932"/>
    <w:rsid w:val="000E6ABF"/>
    <w:rsid w:val="000F0124"/>
    <w:rsid w:val="000F7E0A"/>
    <w:rsid w:val="00100034"/>
    <w:rsid w:val="0010188E"/>
    <w:rsid w:val="001021BF"/>
    <w:rsid w:val="001045E0"/>
    <w:rsid w:val="001051E9"/>
    <w:rsid w:val="001065DE"/>
    <w:rsid w:val="00112B14"/>
    <w:rsid w:val="00115D88"/>
    <w:rsid w:val="001225B1"/>
    <w:rsid w:val="001276A7"/>
    <w:rsid w:val="00131DC5"/>
    <w:rsid w:val="00134F61"/>
    <w:rsid w:val="00136B49"/>
    <w:rsid w:val="0014052D"/>
    <w:rsid w:val="00141CD0"/>
    <w:rsid w:val="0014396B"/>
    <w:rsid w:val="00143B9E"/>
    <w:rsid w:val="00154A21"/>
    <w:rsid w:val="00160050"/>
    <w:rsid w:val="00164F50"/>
    <w:rsid w:val="001657BB"/>
    <w:rsid w:val="00170D76"/>
    <w:rsid w:val="00176722"/>
    <w:rsid w:val="00177211"/>
    <w:rsid w:val="001810C7"/>
    <w:rsid w:val="0018642F"/>
    <w:rsid w:val="00186F57"/>
    <w:rsid w:val="0018784D"/>
    <w:rsid w:val="0019330C"/>
    <w:rsid w:val="00194016"/>
    <w:rsid w:val="001A1CC2"/>
    <w:rsid w:val="001A2625"/>
    <w:rsid w:val="001A459E"/>
    <w:rsid w:val="001A61A5"/>
    <w:rsid w:val="001A6BF9"/>
    <w:rsid w:val="001B09F9"/>
    <w:rsid w:val="001B293D"/>
    <w:rsid w:val="001B3306"/>
    <w:rsid w:val="001B60E5"/>
    <w:rsid w:val="001B746C"/>
    <w:rsid w:val="001B7CF7"/>
    <w:rsid w:val="001C0D07"/>
    <w:rsid w:val="001C2B5A"/>
    <w:rsid w:val="001C3446"/>
    <w:rsid w:val="001C66C1"/>
    <w:rsid w:val="001C6F3F"/>
    <w:rsid w:val="001C735C"/>
    <w:rsid w:val="001D06F4"/>
    <w:rsid w:val="001D2519"/>
    <w:rsid w:val="001D3B84"/>
    <w:rsid w:val="001D42A0"/>
    <w:rsid w:val="001D529D"/>
    <w:rsid w:val="001D7B0F"/>
    <w:rsid w:val="001E1E23"/>
    <w:rsid w:val="001E22BC"/>
    <w:rsid w:val="001E249C"/>
    <w:rsid w:val="001E2F24"/>
    <w:rsid w:val="001F2DC8"/>
    <w:rsid w:val="001F6A5F"/>
    <w:rsid w:val="001F6FF2"/>
    <w:rsid w:val="0020179E"/>
    <w:rsid w:val="00205080"/>
    <w:rsid w:val="00205273"/>
    <w:rsid w:val="002102DD"/>
    <w:rsid w:val="00214E19"/>
    <w:rsid w:val="00215DA8"/>
    <w:rsid w:val="00220545"/>
    <w:rsid w:val="00220824"/>
    <w:rsid w:val="002212CD"/>
    <w:rsid w:val="002217E7"/>
    <w:rsid w:val="002226DE"/>
    <w:rsid w:val="00222812"/>
    <w:rsid w:val="00233441"/>
    <w:rsid w:val="00233AD5"/>
    <w:rsid w:val="0024080D"/>
    <w:rsid w:val="00250082"/>
    <w:rsid w:val="00252CDB"/>
    <w:rsid w:val="00255CC6"/>
    <w:rsid w:val="0025718B"/>
    <w:rsid w:val="00264E10"/>
    <w:rsid w:val="002755AC"/>
    <w:rsid w:val="00276063"/>
    <w:rsid w:val="00276A50"/>
    <w:rsid w:val="00280253"/>
    <w:rsid w:val="0028104F"/>
    <w:rsid w:val="00281A19"/>
    <w:rsid w:val="00281E91"/>
    <w:rsid w:val="00283360"/>
    <w:rsid w:val="00285A70"/>
    <w:rsid w:val="002942D0"/>
    <w:rsid w:val="0029725D"/>
    <w:rsid w:val="002976EE"/>
    <w:rsid w:val="00297D9C"/>
    <w:rsid w:val="002A2553"/>
    <w:rsid w:val="002A43EA"/>
    <w:rsid w:val="002A59B7"/>
    <w:rsid w:val="002A5F6D"/>
    <w:rsid w:val="002B24A3"/>
    <w:rsid w:val="002B428E"/>
    <w:rsid w:val="002B70CE"/>
    <w:rsid w:val="002C05AC"/>
    <w:rsid w:val="002C0642"/>
    <w:rsid w:val="002C2988"/>
    <w:rsid w:val="002C55C8"/>
    <w:rsid w:val="002D08D1"/>
    <w:rsid w:val="002D278A"/>
    <w:rsid w:val="002D2DC8"/>
    <w:rsid w:val="002D414B"/>
    <w:rsid w:val="002E00DA"/>
    <w:rsid w:val="002E60B8"/>
    <w:rsid w:val="002E686B"/>
    <w:rsid w:val="002F5D71"/>
    <w:rsid w:val="002F714F"/>
    <w:rsid w:val="00300F57"/>
    <w:rsid w:val="00303893"/>
    <w:rsid w:val="00315379"/>
    <w:rsid w:val="00316083"/>
    <w:rsid w:val="003231AC"/>
    <w:rsid w:val="00326816"/>
    <w:rsid w:val="00327766"/>
    <w:rsid w:val="003277B7"/>
    <w:rsid w:val="003346AD"/>
    <w:rsid w:val="003366D1"/>
    <w:rsid w:val="00340602"/>
    <w:rsid w:val="00340EFE"/>
    <w:rsid w:val="003427BD"/>
    <w:rsid w:val="003436C2"/>
    <w:rsid w:val="00343883"/>
    <w:rsid w:val="003463ED"/>
    <w:rsid w:val="00353722"/>
    <w:rsid w:val="00353761"/>
    <w:rsid w:val="00354ACA"/>
    <w:rsid w:val="00356700"/>
    <w:rsid w:val="00360CFD"/>
    <w:rsid w:val="00361D38"/>
    <w:rsid w:val="00364DCB"/>
    <w:rsid w:val="00367964"/>
    <w:rsid w:val="0037225C"/>
    <w:rsid w:val="00376D38"/>
    <w:rsid w:val="00376FF7"/>
    <w:rsid w:val="0038110C"/>
    <w:rsid w:val="00382B33"/>
    <w:rsid w:val="003836B7"/>
    <w:rsid w:val="00384A9F"/>
    <w:rsid w:val="00387206"/>
    <w:rsid w:val="00390CA4"/>
    <w:rsid w:val="003956DA"/>
    <w:rsid w:val="003A2908"/>
    <w:rsid w:val="003A3632"/>
    <w:rsid w:val="003B2A7B"/>
    <w:rsid w:val="003B326E"/>
    <w:rsid w:val="003B35F7"/>
    <w:rsid w:val="003B4EBA"/>
    <w:rsid w:val="003B68E9"/>
    <w:rsid w:val="003C3D54"/>
    <w:rsid w:val="003C47B6"/>
    <w:rsid w:val="003C5C26"/>
    <w:rsid w:val="003C6959"/>
    <w:rsid w:val="003D13EA"/>
    <w:rsid w:val="003D1E05"/>
    <w:rsid w:val="003D2426"/>
    <w:rsid w:val="003D5DAC"/>
    <w:rsid w:val="003D6212"/>
    <w:rsid w:val="003D6E8A"/>
    <w:rsid w:val="003D7143"/>
    <w:rsid w:val="003D7BC0"/>
    <w:rsid w:val="003D7E13"/>
    <w:rsid w:val="003E51B4"/>
    <w:rsid w:val="003E6E38"/>
    <w:rsid w:val="003E7E60"/>
    <w:rsid w:val="003F2827"/>
    <w:rsid w:val="003F31CE"/>
    <w:rsid w:val="003F4B52"/>
    <w:rsid w:val="003F7EC4"/>
    <w:rsid w:val="00401344"/>
    <w:rsid w:val="004031AF"/>
    <w:rsid w:val="004047F5"/>
    <w:rsid w:val="0040642B"/>
    <w:rsid w:val="004157A2"/>
    <w:rsid w:val="00422602"/>
    <w:rsid w:val="004274EC"/>
    <w:rsid w:val="00432182"/>
    <w:rsid w:val="00432B7A"/>
    <w:rsid w:val="00437289"/>
    <w:rsid w:val="00443AA4"/>
    <w:rsid w:val="00450237"/>
    <w:rsid w:val="00455CC2"/>
    <w:rsid w:val="00457AA4"/>
    <w:rsid w:val="00460660"/>
    <w:rsid w:val="0046225E"/>
    <w:rsid w:val="0046311D"/>
    <w:rsid w:val="0046665C"/>
    <w:rsid w:val="0047069D"/>
    <w:rsid w:val="004807AD"/>
    <w:rsid w:val="00481DAF"/>
    <w:rsid w:val="00483E94"/>
    <w:rsid w:val="00484E1D"/>
    <w:rsid w:val="00494BC2"/>
    <w:rsid w:val="004953EB"/>
    <w:rsid w:val="00495488"/>
    <w:rsid w:val="004A21BB"/>
    <w:rsid w:val="004B3AED"/>
    <w:rsid w:val="004B5A4B"/>
    <w:rsid w:val="004B6F70"/>
    <w:rsid w:val="004C12B6"/>
    <w:rsid w:val="004C3149"/>
    <w:rsid w:val="004C3569"/>
    <w:rsid w:val="004C41A6"/>
    <w:rsid w:val="004C4308"/>
    <w:rsid w:val="004D0BD7"/>
    <w:rsid w:val="004D4F3E"/>
    <w:rsid w:val="004D5511"/>
    <w:rsid w:val="004D76F9"/>
    <w:rsid w:val="004E047F"/>
    <w:rsid w:val="004E170E"/>
    <w:rsid w:val="004E67DD"/>
    <w:rsid w:val="004E6CB1"/>
    <w:rsid w:val="004F0309"/>
    <w:rsid w:val="004F1244"/>
    <w:rsid w:val="004F2AB0"/>
    <w:rsid w:val="004F384E"/>
    <w:rsid w:val="004F503D"/>
    <w:rsid w:val="005021B3"/>
    <w:rsid w:val="005026BA"/>
    <w:rsid w:val="005034C8"/>
    <w:rsid w:val="00504DE2"/>
    <w:rsid w:val="00511A5B"/>
    <w:rsid w:val="00511ECB"/>
    <w:rsid w:val="00517772"/>
    <w:rsid w:val="00520F8F"/>
    <w:rsid w:val="00523A34"/>
    <w:rsid w:val="00524790"/>
    <w:rsid w:val="00542D64"/>
    <w:rsid w:val="0054712A"/>
    <w:rsid w:val="00550C6E"/>
    <w:rsid w:val="00551657"/>
    <w:rsid w:val="0055278F"/>
    <w:rsid w:val="00553085"/>
    <w:rsid w:val="00554437"/>
    <w:rsid w:val="00555A87"/>
    <w:rsid w:val="00556A84"/>
    <w:rsid w:val="00560126"/>
    <w:rsid w:val="005613A2"/>
    <w:rsid w:val="005633B3"/>
    <w:rsid w:val="005679C7"/>
    <w:rsid w:val="00570A19"/>
    <w:rsid w:val="005716ED"/>
    <w:rsid w:val="005735EC"/>
    <w:rsid w:val="00573FB4"/>
    <w:rsid w:val="0057478C"/>
    <w:rsid w:val="00575D20"/>
    <w:rsid w:val="00580723"/>
    <w:rsid w:val="0058092D"/>
    <w:rsid w:val="00587D79"/>
    <w:rsid w:val="00590F17"/>
    <w:rsid w:val="00593721"/>
    <w:rsid w:val="00595752"/>
    <w:rsid w:val="00596E32"/>
    <w:rsid w:val="005A15D1"/>
    <w:rsid w:val="005A6175"/>
    <w:rsid w:val="005A7210"/>
    <w:rsid w:val="005A7D8A"/>
    <w:rsid w:val="005B314B"/>
    <w:rsid w:val="005C0476"/>
    <w:rsid w:val="005C751D"/>
    <w:rsid w:val="005D24D4"/>
    <w:rsid w:val="005E4B21"/>
    <w:rsid w:val="005E4E80"/>
    <w:rsid w:val="005E58BA"/>
    <w:rsid w:val="005E6715"/>
    <w:rsid w:val="005E7BFC"/>
    <w:rsid w:val="005F0BE3"/>
    <w:rsid w:val="005F0C8D"/>
    <w:rsid w:val="005F6C0F"/>
    <w:rsid w:val="005F7BB9"/>
    <w:rsid w:val="0060067B"/>
    <w:rsid w:val="006036B3"/>
    <w:rsid w:val="006110AE"/>
    <w:rsid w:val="006119BD"/>
    <w:rsid w:val="006125A2"/>
    <w:rsid w:val="006156F5"/>
    <w:rsid w:val="006167F5"/>
    <w:rsid w:val="00630983"/>
    <w:rsid w:val="00630F71"/>
    <w:rsid w:val="006317BA"/>
    <w:rsid w:val="006375A0"/>
    <w:rsid w:val="006429CA"/>
    <w:rsid w:val="00642FD3"/>
    <w:rsid w:val="00651EC1"/>
    <w:rsid w:val="00655F80"/>
    <w:rsid w:val="006561A7"/>
    <w:rsid w:val="00657C78"/>
    <w:rsid w:val="006628E3"/>
    <w:rsid w:val="006628F8"/>
    <w:rsid w:val="00670629"/>
    <w:rsid w:val="00673421"/>
    <w:rsid w:val="00680434"/>
    <w:rsid w:val="00684761"/>
    <w:rsid w:val="00687CEB"/>
    <w:rsid w:val="0069010E"/>
    <w:rsid w:val="00693BE1"/>
    <w:rsid w:val="006A0605"/>
    <w:rsid w:val="006A5F71"/>
    <w:rsid w:val="006A6FB5"/>
    <w:rsid w:val="006B01EC"/>
    <w:rsid w:val="006B1BF8"/>
    <w:rsid w:val="006B47B0"/>
    <w:rsid w:val="006C0AD5"/>
    <w:rsid w:val="006C2F7D"/>
    <w:rsid w:val="006C320F"/>
    <w:rsid w:val="006C4377"/>
    <w:rsid w:val="006C668D"/>
    <w:rsid w:val="006C6A81"/>
    <w:rsid w:val="006D2B9A"/>
    <w:rsid w:val="006D4863"/>
    <w:rsid w:val="006D72BD"/>
    <w:rsid w:val="006E27F6"/>
    <w:rsid w:val="006E329A"/>
    <w:rsid w:val="006E37A1"/>
    <w:rsid w:val="006E45C3"/>
    <w:rsid w:val="006E58B4"/>
    <w:rsid w:val="006E613C"/>
    <w:rsid w:val="006E7083"/>
    <w:rsid w:val="006E7ED2"/>
    <w:rsid w:val="006F27E1"/>
    <w:rsid w:val="006F3901"/>
    <w:rsid w:val="006F4CF7"/>
    <w:rsid w:val="006F56A4"/>
    <w:rsid w:val="006F583C"/>
    <w:rsid w:val="006F6D91"/>
    <w:rsid w:val="0070193F"/>
    <w:rsid w:val="0070479D"/>
    <w:rsid w:val="00705507"/>
    <w:rsid w:val="00705CB5"/>
    <w:rsid w:val="0070794B"/>
    <w:rsid w:val="00711EDD"/>
    <w:rsid w:val="00712BDA"/>
    <w:rsid w:val="0071361B"/>
    <w:rsid w:val="00716D8C"/>
    <w:rsid w:val="007212B2"/>
    <w:rsid w:val="0072347E"/>
    <w:rsid w:val="007234E6"/>
    <w:rsid w:val="00727340"/>
    <w:rsid w:val="00731151"/>
    <w:rsid w:val="00731704"/>
    <w:rsid w:val="00732D7D"/>
    <w:rsid w:val="00733323"/>
    <w:rsid w:val="007343C2"/>
    <w:rsid w:val="0074125A"/>
    <w:rsid w:val="0074130C"/>
    <w:rsid w:val="007444E9"/>
    <w:rsid w:val="007451A2"/>
    <w:rsid w:val="00747D31"/>
    <w:rsid w:val="00751468"/>
    <w:rsid w:val="00751951"/>
    <w:rsid w:val="00754803"/>
    <w:rsid w:val="00754A49"/>
    <w:rsid w:val="0075597A"/>
    <w:rsid w:val="0075605A"/>
    <w:rsid w:val="007575FF"/>
    <w:rsid w:val="007579EF"/>
    <w:rsid w:val="00760247"/>
    <w:rsid w:val="007603D1"/>
    <w:rsid w:val="00761F32"/>
    <w:rsid w:val="00770DF0"/>
    <w:rsid w:val="0077262C"/>
    <w:rsid w:val="00775579"/>
    <w:rsid w:val="00782F14"/>
    <w:rsid w:val="007836DF"/>
    <w:rsid w:val="00784017"/>
    <w:rsid w:val="00784A70"/>
    <w:rsid w:val="00785D9F"/>
    <w:rsid w:val="00786783"/>
    <w:rsid w:val="00786B63"/>
    <w:rsid w:val="00787DCE"/>
    <w:rsid w:val="007900DD"/>
    <w:rsid w:val="00790BCF"/>
    <w:rsid w:val="007A038B"/>
    <w:rsid w:val="007A1196"/>
    <w:rsid w:val="007A22B6"/>
    <w:rsid w:val="007A3720"/>
    <w:rsid w:val="007B37EB"/>
    <w:rsid w:val="007B38DD"/>
    <w:rsid w:val="007B4027"/>
    <w:rsid w:val="007B53B1"/>
    <w:rsid w:val="007C7087"/>
    <w:rsid w:val="007D11DE"/>
    <w:rsid w:val="007D14E4"/>
    <w:rsid w:val="007D63BD"/>
    <w:rsid w:val="007E0FD3"/>
    <w:rsid w:val="007E3A36"/>
    <w:rsid w:val="007E5B99"/>
    <w:rsid w:val="007F0DA7"/>
    <w:rsid w:val="007F43F3"/>
    <w:rsid w:val="007F47A7"/>
    <w:rsid w:val="007F6BD6"/>
    <w:rsid w:val="007F78B5"/>
    <w:rsid w:val="00806F08"/>
    <w:rsid w:val="00811BBC"/>
    <w:rsid w:val="00815979"/>
    <w:rsid w:val="00816227"/>
    <w:rsid w:val="00823162"/>
    <w:rsid w:val="0083017A"/>
    <w:rsid w:val="008306B0"/>
    <w:rsid w:val="008316B1"/>
    <w:rsid w:val="00832040"/>
    <w:rsid w:val="008361AB"/>
    <w:rsid w:val="00836597"/>
    <w:rsid w:val="00840372"/>
    <w:rsid w:val="00842819"/>
    <w:rsid w:val="00844605"/>
    <w:rsid w:val="00846DD9"/>
    <w:rsid w:val="00852E8C"/>
    <w:rsid w:val="008628D0"/>
    <w:rsid w:val="00862B53"/>
    <w:rsid w:val="00863B35"/>
    <w:rsid w:val="00864A35"/>
    <w:rsid w:val="00867037"/>
    <w:rsid w:val="00867039"/>
    <w:rsid w:val="0086722B"/>
    <w:rsid w:val="00867B09"/>
    <w:rsid w:val="00870F3B"/>
    <w:rsid w:val="008748A5"/>
    <w:rsid w:val="008757DC"/>
    <w:rsid w:val="00875991"/>
    <w:rsid w:val="00876CA9"/>
    <w:rsid w:val="00881E46"/>
    <w:rsid w:val="008836A8"/>
    <w:rsid w:val="008847F8"/>
    <w:rsid w:val="008875F3"/>
    <w:rsid w:val="00892912"/>
    <w:rsid w:val="00893F18"/>
    <w:rsid w:val="00895AE3"/>
    <w:rsid w:val="00895D77"/>
    <w:rsid w:val="00896DA9"/>
    <w:rsid w:val="008A07DA"/>
    <w:rsid w:val="008A0AC4"/>
    <w:rsid w:val="008A0BF6"/>
    <w:rsid w:val="008A5C22"/>
    <w:rsid w:val="008A6198"/>
    <w:rsid w:val="008B425D"/>
    <w:rsid w:val="008C0509"/>
    <w:rsid w:val="008C1169"/>
    <w:rsid w:val="008C19F7"/>
    <w:rsid w:val="008C308C"/>
    <w:rsid w:val="008D03AB"/>
    <w:rsid w:val="008D2AC7"/>
    <w:rsid w:val="008D3D75"/>
    <w:rsid w:val="008D489F"/>
    <w:rsid w:val="008D4F2B"/>
    <w:rsid w:val="008D5C6F"/>
    <w:rsid w:val="008D6157"/>
    <w:rsid w:val="008D6B97"/>
    <w:rsid w:val="008E01AD"/>
    <w:rsid w:val="008E0A57"/>
    <w:rsid w:val="008E1120"/>
    <w:rsid w:val="008E2B8B"/>
    <w:rsid w:val="008E4924"/>
    <w:rsid w:val="008E5383"/>
    <w:rsid w:val="008E64AA"/>
    <w:rsid w:val="008E7E28"/>
    <w:rsid w:val="008F6ECA"/>
    <w:rsid w:val="008F7287"/>
    <w:rsid w:val="009061F2"/>
    <w:rsid w:val="00906E1C"/>
    <w:rsid w:val="00907EBE"/>
    <w:rsid w:val="009109C7"/>
    <w:rsid w:val="009112D5"/>
    <w:rsid w:val="00911758"/>
    <w:rsid w:val="00915B71"/>
    <w:rsid w:val="00916494"/>
    <w:rsid w:val="009165DE"/>
    <w:rsid w:val="00916C8D"/>
    <w:rsid w:val="00923862"/>
    <w:rsid w:val="00924839"/>
    <w:rsid w:val="0093163B"/>
    <w:rsid w:val="00933C94"/>
    <w:rsid w:val="00933D04"/>
    <w:rsid w:val="00935E38"/>
    <w:rsid w:val="00942B33"/>
    <w:rsid w:val="00944BB0"/>
    <w:rsid w:val="00945500"/>
    <w:rsid w:val="00945B1D"/>
    <w:rsid w:val="00947BA8"/>
    <w:rsid w:val="00955631"/>
    <w:rsid w:val="00956549"/>
    <w:rsid w:val="00957266"/>
    <w:rsid w:val="009612D6"/>
    <w:rsid w:val="00962A7F"/>
    <w:rsid w:val="00965C73"/>
    <w:rsid w:val="009660EF"/>
    <w:rsid w:val="00966E0E"/>
    <w:rsid w:val="00967660"/>
    <w:rsid w:val="00971D71"/>
    <w:rsid w:val="00975876"/>
    <w:rsid w:val="00976F5B"/>
    <w:rsid w:val="0098018A"/>
    <w:rsid w:val="0098566C"/>
    <w:rsid w:val="00993105"/>
    <w:rsid w:val="00996CEA"/>
    <w:rsid w:val="00997B99"/>
    <w:rsid w:val="009A135F"/>
    <w:rsid w:val="009A195C"/>
    <w:rsid w:val="009A5D6B"/>
    <w:rsid w:val="009A665D"/>
    <w:rsid w:val="009A7A96"/>
    <w:rsid w:val="009B1DC8"/>
    <w:rsid w:val="009B50E3"/>
    <w:rsid w:val="009B5F11"/>
    <w:rsid w:val="009B7D86"/>
    <w:rsid w:val="009C0B05"/>
    <w:rsid w:val="009C4C8D"/>
    <w:rsid w:val="009D2BE7"/>
    <w:rsid w:val="009D36E6"/>
    <w:rsid w:val="009D5D92"/>
    <w:rsid w:val="009D65AE"/>
    <w:rsid w:val="009E134E"/>
    <w:rsid w:val="009E1D4F"/>
    <w:rsid w:val="009E1EE4"/>
    <w:rsid w:val="009E2EE4"/>
    <w:rsid w:val="009E4B69"/>
    <w:rsid w:val="009E5264"/>
    <w:rsid w:val="009F02C0"/>
    <w:rsid w:val="009F541D"/>
    <w:rsid w:val="009F6CEA"/>
    <w:rsid w:val="00A0018B"/>
    <w:rsid w:val="00A067E6"/>
    <w:rsid w:val="00A07C90"/>
    <w:rsid w:val="00A1031E"/>
    <w:rsid w:val="00A110D9"/>
    <w:rsid w:val="00A12DDE"/>
    <w:rsid w:val="00A13C3C"/>
    <w:rsid w:val="00A17006"/>
    <w:rsid w:val="00A20086"/>
    <w:rsid w:val="00A22E99"/>
    <w:rsid w:val="00A2335E"/>
    <w:rsid w:val="00A24F63"/>
    <w:rsid w:val="00A26295"/>
    <w:rsid w:val="00A26355"/>
    <w:rsid w:val="00A27C0E"/>
    <w:rsid w:val="00A41BC9"/>
    <w:rsid w:val="00A42720"/>
    <w:rsid w:val="00A42A15"/>
    <w:rsid w:val="00A44384"/>
    <w:rsid w:val="00A4756A"/>
    <w:rsid w:val="00A50108"/>
    <w:rsid w:val="00A50FFF"/>
    <w:rsid w:val="00A5691A"/>
    <w:rsid w:val="00A61F1E"/>
    <w:rsid w:val="00A62167"/>
    <w:rsid w:val="00A645B2"/>
    <w:rsid w:val="00A67433"/>
    <w:rsid w:val="00A678E2"/>
    <w:rsid w:val="00A70D09"/>
    <w:rsid w:val="00A70E1B"/>
    <w:rsid w:val="00A71AA2"/>
    <w:rsid w:val="00A85D1E"/>
    <w:rsid w:val="00A9313B"/>
    <w:rsid w:val="00AA4131"/>
    <w:rsid w:val="00AA4F82"/>
    <w:rsid w:val="00AA534C"/>
    <w:rsid w:val="00AA7532"/>
    <w:rsid w:val="00AA776A"/>
    <w:rsid w:val="00AB024C"/>
    <w:rsid w:val="00AB0A58"/>
    <w:rsid w:val="00AB0FFE"/>
    <w:rsid w:val="00AB22D8"/>
    <w:rsid w:val="00AB31C4"/>
    <w:rsid w:val="00AB63D2"/>
    <w:rsid w:val="00AC2B24"/>
    <w:rsid w:val="00AD0EF7"/>
    <w:rsid w:val="00AD6308"/>
    <w:rsid w:val="00AE1CAE"/>
    <w:rsid w:val="00AE347C"/>
    <w:rsid w:val="00AE666C"/>
    <w:rsid w:val="00AF1279"/>
    <w:rsid w:val="00AF1926"/>
    <w:rsid w:val="00AF4C04"/>
    <w:rsid w:val="00AF5EA8"/>
    <w:rsid w:val="00AF6FF2"/>
    <w:rsid w:val="00B04E65"/>
    <w:rsid w:val="00B171FA"/>
    <w:rsid w:val="00B1746E"/>
    <w:rsid w:val="00B26725"/>
    <w:rsid w:val="00B418B3"/>
    <w:rsid w:val="00B418BE"/>
    <w:rsid w:val="00B46EB6"/>
    <w:rsid w:val="00B52B91"/>
    <w:rsid w:val="00B622EC"/>
    <w:rsid w:val="00B65A91"/>
    <w:rsid w:val="00B66A87"/>
    <w:rsid w:val="00B73400"/>
    <w:rsid w:val="00B80C3F"/>
    <w:rsid w:val="00B8268A"/>
    <w:rsid w:val="00B835D2"/>
    <w:rsid w:val="00B85D34"/>
    <w:rsid w:val="00B931DF"/>
    <w:rsid w:val="00B96B14"/>
    <w:rsid w:val="00B9767E"/>
    <w:rsid w:val="00BA5D7E"/>
    <w:rsid w:val="00BA6C32"/>
    <w:rsid w:val="00BA7548"/>
    <w:rsid w:val="00BA78D5"/>
    <w:rsid w:val="00BB1947"/>
    <w:rsid w:val="00BB2275"/>
    <w:rsid w:val="00BB6038"/>
    <w:rsid w:val="00BC02C3"/>
    <w:rsid w:val="00BC2F31"/>
    <w:rsid w:val="00BC45F7"/>
    <w:rsid w:val="00BC5E87"/>
    <w:rsid w:val="00BC6571"/>
    <w:rsid w:val="00BD47DD"/>
    <w:rsid w:val="00BD52B7"/>
    <w:rsid w:val="00BD731E"/>
    <w:rsid w:val="00BD753B"/>
    <w:rsid w:val="00BD76C4"/>
    <w:rsid w:val="00BE1502"/>
    <w:rsid w:val="00BE1808"/>
    <w:rsid w:val="00BE1809"/>
    <w:rsid w:val="00BE3E82"/>
    <w:rsid w:val="00BE767A"/>
    <w:rsid w:val="00BF203D"/>
    <w:rsid w:val="00BF23DC"/>
    <w:rsid w:val="00BF249D"/>
    <w:rsid w:val="00BF28F8"/>
    <w:rsid w:val="00BF3866"/>
    <w:rsid w:val="00BF55FF"/>
    <w:rsid w:val="00BF5A5D"/>
    <w:rsid w:val="00BF5EBB"/>
    <w:rsid w:val="00C015EA"/>
    <w:rsid w:val="00C03147"/>
    <w:rsid w:val="00C06CAC"/>
    <w:rsid w:val="00C07688"/>
    <w:rsid w:val="00C14454"/>
    <w:rsid w:val="00C16A93"/>
    <w:rsid w:val="00C16E02"/>
    <w:rsid w:val="00C2115D"/>
    <w:rsid w:val="00C21D1C"/>
    <w:rsid w:val="00C30C0D"/>
    <w:rsid w:val="00C34CA2"/>
    <w:rsid w:val="00C36AD5"/>
    <w:rsid w:val="00C41CB1"/>
    <w:rsid w:val="00C422A2"/>
    <w:rsid w:val="00C430B9"/>
    <w:rsid w:val="00C435D5"/>
    <w:rsid w:val="00C46798"/>
    <w:rsid w:val="00C47DC8"/>
    <w:rsid w:val="00C5281F"/>
    <w:rsid w:val="00C52AFA"/>
    <w:rsid w:val="00C559A1"/>
    <w:rsid w:val="00C55AA1"/>
    <w:rsid w:val="00C577F8"/>
    <w:rsid w:val="00C61C77"/>
    <w:rsid w:val="00C61FC1"/>
    <w:rsid w:val="00C66EF6"/>
    <w:rsid w:val="00C713AD"/>
    <w:rsid w:val="00C7195B"/>
    <w:rsid w:val="00C751DE"/>
    <w:rsid w:val="00C752BA"/>
    <w:rsid w:val="00C753DC"/>
    <w:rsid w:val="00C80050"/>
    <w:rsid w:val="00C800AC"/>
    <w:rsid w:val="00C82167"/>
    <w:rsid w:val="00C824A5"/>
    <w:rsid w:val="00C8317B"/>
    <w:rsid w:val="00C91D42"/>
    <w:rsid w:val="00C93AB9"/>
    <w:rsid w:val="00CA3E95"/>
    <w:rsid w:val="00CA4631"/>
    <w:rsid w:val="00CA55D7"/>
    <w:rsid w:val="00CA568A"/>
    <w:rsid w:val="00CB0132"/>
    <w:rsid w:val="00CB285D"/>
    <w:rsid w:val="00CB453E"/>
    <w:rsid w:val="00CC22BF"/>
    <w:rsid w:val="00CC386A"/>
    <w:rsid w:val="00CC395F"/>
    <w:rsid w:val="00CD0A25"/>
    <w:rsid w:val="00CD3328"/>
    <w:rsid w:val="00CD399D"/>
    <w:rsid w:val="00CD4495"/>
    <w:rsid w:val="00CD49CD"/>
    <w:rsid w:val="00CD7D8C"/>
    <w:rsid w:val="00CE154E"/>
    <w:rsid w:val="00CE41AB"/>
    <w:rsid w:val="00CE5A51"/>
    <w:rsid w:val="00CF2A35"/>
    <w:rsid w:val="00CF4C1F"/>
    <w:rsid w:val="00CF58EE"/>
    <w:rsid w:val="00CF649A"/>
    <w:rsid w:val="00D00DA3"/>
    <w:rsid w:val="00D01F6F"/>
    <w:rsid w:val="00D03D7D"/>
    <w:rsid w:val="00D06289"/>
    <w:rsid w:val="00D14BAA"/>
    <w:rsid w:val="00D15630"/>
    <w:rsid w:val="00D179E8"/>
    <w:rsid w:val="00D226B0"/>
    <w:rsid w:val="00D229C9"/>
    <w:rsid w:val="00D23851"/>
    <w:rsid w:val="00D30711"/>
    <w:rsid w:val="00D32355"/>
    <w:rsid w:val="00D35C1B"/>
    <w:rsid w:val="00D37F9E"/>
    <w:rsid w:val="00D4027A"/>
    <w:rsid w:val="00D551BD"/>
    <w:rsid w:val="00D555F5"/>
    <w:rsid w:val="00D571D7"/>
    <w:rsid w:val="00D579A3"/>
    <w:rsid w:val="00D6352A"/>
    <w:rsid w:val="00D64625"/>
    <w:rsid w:val="00D719B6"/>
    <w:rsid w:val="00D73957"/>
    <w:rsid w:val="00D760A8"/>
    <w:rsid w:val="00D81180"/>
    <w:rsid w:val="00D833D2"/>
    <w:rsid w:val="00D845EE"/>
    <w:rsid w:val="00D847EA"/>
    <w:rsid w:val="00D8501A"/>
    <w:rsid w:val="00D85F01"/>
    <w:rsid w:val="00D87661"/>
    <w:rsid w:val="00D94580"/>
    <w:rsid w:val="00D949F1"/>
    <w:rsid w:val="00DA0A51"/>
    <w:rsid w:val="00DA2458"/>
    <w:rsid w:val="00DA54AA"/>
    <w:rsid w:val="00DA7E06"/>
    <w:rsid w:val="00DB494A"/>
    <w:rsid w:val="00DB624E"/>
    <w:rsid w:val="00DC0C09"/>
    <w:rsid w:val="00DC4579"/>
    <w:rsid w:val="00DC57D7"/>
    <w:rsid w:val="00DC6532"/>
    <w:rsid w:val="00DC65A2"/>
    <w:rsid w:val="00DD1F31"/>
    <w:rsid w:val="00DD649F"/>
    <w:rsid w:val="00DD7860"/>
    <w:rsid w:val="00DE0FA3"/>
    <w:rsid w:val="00DE1C38"/>
    <w:rsid w:val="00DE4C28"/>
    <w:rsid w:val="00DF2532"/>
    <w:rsid w:val="00DF3CA8"/>
    <w:rsid w:val="00DF3E86"/>
    <w:rsid w:val="00DF4AAF"/>
    <w:rsid w:val="00DF4C65"/>
    <w:rsid w:val="00DF6CD5"/>
    <w:rsid w:val="00E005F4"/>
    <w:rsid w:val="00E02CBD"/>
    <w:rsid w:val="00E04E4E"/>
    <w:rsid w:val="00E06FA6"/>
    <w:rsid w:val="00E1105C"/>
    <w:rsid w:val="00E1294E"/>
    <w:rsid w:val="00E12E48"/>
    <w:rsid w:val="00E14AF9"/>
    <w:rsid w:val="00E15F75"/>
    <w:rsid w:val="00E162EF"/>
    <w:rsid w:val="00E16955"/>
    <w:rsid w:val="00E2045F"/>
    <w:rsid w:val="00E20C26"/>
    <w:rsid w:val="00E21927"/>
    <w:rsid w:val="00E25780"/>
    <w:rsid w:val="00E26877"/>
    <w:rsid w:val="00E303D7"/>
    <w:rsid w:val="00E30806"/>
    <w:rsid w:val="00E36160"/>
    <w:rsid w:val="00E42869"/>
    <w:rsid w:val="00E433DD"/>
    <w:rsid w:val="00E506A3"/>
    <w:rsid w:val="00E52E1F"/>
    <w:rsid w:val="00E54E2B"/>
    <w:rsid w:val="00E5524D"/>
    <w:rsid w:val="00E57421"/>
    <w:rsid w:val="00E60BCE"/>
    <w:rsid w:val="00E64511"/>
    <w:rsid w:val="00E65E76"/>
    <w:rsid w:val="00E66DD8"/>
    <w:rsid w:val="00E72CE9"/>
    <w:rsid w:val="00E73487"/>
    <w:rsid w:val="00E74B6E"/>
    <w:rsid w:val="00E7718B"/>
    <w:rsid w:val="00E808CA"/>
    <w:rsid w:val="00E82522"/>
    <w:rsid w:val="00E85E17"/>
    <w:rsid w:val="00E87788"/>
    <w:rsid w:val="00E9331A"/>
    <w:rsid w:val="00E93C6D"/>
    <w:rsid w:val="00E96E20"/>
    <w:rsid w:val="00EA053E"/>
    <w:rsid w:val="00EA1706"/>
    <w:rsid w:val="00EB2BDC"/>
    <w:rsid w:val="00EB6693"/>
    <w:rsid w:val="00EC3269"/>
    <w:rsid w:val="00EC4121"/>
    <w:rsid w:val="00EC68DF"/>
    <w:rsid w:val="00ED184E"/>
    <w:rsid w:val="00ED38D4"/>
    <w:rsid w:val="00ED537C"/>
    <w:rsid w:val="00EE24CD"/>
    <w:rsid w:val="00EE537A"/>
    <w:rsid w:val="00EE7688"/>
    <w:rsid w:val="00EF04D7"/>
    <w:rsid w:val="00EF0B16"/>
    <w:rsid w:val="00EF4FFC"/>
    <w:rsid w:val="00F03DC0"/>
    <w:rsid w:val="00F07217"/>
    <w:rsid w:val="00F0780A"/>
    <w:rsid w:val="00F105E4"/>
    <w:rsid w:val="00F12716"/>
    <w:rsid w:val="00F12E85"/>
    <w:rsid w:val="00F14086"/>
    <w:rsid w:val="00F14F3B"/>
    <w:rsid w:val="00F159F1"/>
    <w:rsid w:val="00F16AE5"/>
    <w:rsid w:val="00F21416"/>
    <w:rsid w:val="00F33444"/>
    <w:rsid w:val="00F354D5"/>
    <w:rsid w:val="00F35E3B"/>
    <w:rsid w:val="00F46ED3"/>
    <w:rsid w:val="00F47772"/>
    <w:rsid w:val="00F52A10"/>
    <w:rsid w:val="00F601B5"/>
    <w:rsid w:val="00F63CAE"/>
    <w:rsid w:val="00F67B60"/>
    <w:rsid w:val="00F708F6"/>
    <w:rsid w:val="00F717FD"/>
    <w:rsid w:val="00F76875"/>
    <w:rsid w:val="00F812DD"/>
    <w:rsid w:val="00F82274"/>
    <w:rsid w:val="00F93C61"/>
    <w:rsid w:val="00F942D4"/>
    <w:rsid w:val="00F96AEC"/>
    <w:rsid w:val="00FA0C9C"/>
    <w:rsid w:val="00FA20A4"/>
    <w:rsid w:val="00FA2177"/>
    <w:rsid w:val="00FA70A0"/>
    <w:rsid w:val="00FA7379"/>
    <w:rsid w:val="00FB2448"/>
    <w:rsid w:val="00FB32C6"/>
    <w:rsid w:val="00FB3766"/>
    <w:rsid w:val="00FB3805"/>
    <w:rsid w:val="00FB4C08"/>
    <w:rsid w:val="00FC0D11"/>
    <w:rsid w:val="00FC32AF"/>
    <w:rsid w:val="00FC4AED"/>
    <w:rsid w:val="00FC4F11"/>
    <w:rsid w:val="00FC7BCF"/>
    <w:rsid w:val="00FD0379"/>
    <w:rsid w:val="00FD0BAE"/>
    <w:rsid w:val="00FD1A2B"/>
    <w:rsid w:val="00FD2A8A"/>
    <w:rsid w:val="00FD3FFC"/>
    <w:rsid w:val="00FD425B"/>
    <w:rsid w:val="00FD582E"/>
    <w:rsid w:val="00FE4BE2"/>
    <w:rsid w:val="00FE7A57"/>
    <w:rsid w:val="00FE7B69"/>
    <w:rsid w:val="00FF1607"/>
    <w:rsid w:val="00FF2D97"/>
    <w:rsid w:val="00FF58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438AA"/>
  <w15:docId w15:val="{C2CADA51-98A8-4C57-B16E-85424E2DE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3D2"/>
    <w:pPr>
      <w:spacing w:line="240" w:lineRule="auto"/>
      <w:ind w:firstLine="709"/>
      <w:jc w:val="both"/>
    </w:pPr>
    <w:rPr>
      <w:rFonts w:ascii="Times New Roman" w:hAnsi="Times New Roman"/>
      <w:sz w:val="28"/>
    </w:rPr>
  </w:style>
  <w:style w:type="paragraph" w:styleId="1">
    <w:name w:val="heading 1"/>
    <w:basedOn w:val="a"/>
    <w:next w:val="a"/>
    <w:link w:val="10"/>
    <w:uiPriority w:val="9"/>
    <w:qFormat/>
    <w:rsid w:val="00E42869"/>
    <w:pPr>
      <w:keepNext/>
      <w:keepLines/>
      <w:spacing w:after="120"/>
      <w:ind w:firstLine="0"/>
      <w:outlineLvl w:val="0"/>
    </w:pPr>
    <w:rPr>
      <w:b/>
      <w:caps/>
      <w:szCs w:val="48"/>
    </w:rPr>
  </w:style>
  <w:style w:type="paragraph" w:styleId="2">
    <w:name w:val="heading 2"/>
    <w:basedOn w:val="a"/>
    <w:next w:val="a"/>
    <w:link w:val="20"/>
    <w:uiPriority w:val="9"/>
    <w:unhideWhenUsed/>
    <w:qFormat/>
    <w:rsid w:val="00F12716"/>
    <w:pPr>
      <w:keepNext/>
      <w:keepLines/>
      <w:spacing w:before="120" w:after="120"/>
      <w:outlineLvl w:val="1"/>
    </w:pPr>
    <w:rPr>
      <w:b/>
      <w:szCs w:val="36"/>
    </w:rPr>
  </w:style>
  <w:style w:type="paragraph" w:styleId="3">
    <w:name w:val="heading 3"/>
    <w:basedOn w:val="a"/>
    <w:next w:val="a"/>
    <w:link w:val="30"/>
    <w:uiPriority w:val="9"/>
    <w:unhideWhenUsed/>
    <w:qFormat/>
    <w:rsid w:val="00993105"/>
    <w:pPr>
      <w:keepNext/>
      <w:keepLines/>
      <w:spacing w:before="120" w:after="120"/>
      <w:outlineLvl w:val="2"/>
    </w:pPr>
    <w:rPr>
      <w:b/>
      <w:i/>
      <w:szCs w:val="28"/>
    </w:rPr>
  </w:style>
  <w:style w:type="paragraph" w:styleId="4">
    <w:name w:val="heading 4"/>
    <w:basedOn w:val="a"/>
    <w:next w:val="a"/>
    <w:link w:val="40"/>
    <w:uiPriority w:val="9"/>
    <w:unhideWhenUsed/>
    <w:qFormat/>
    <w:rsid w:val="004B3AED"/>
    <w:pPr>
      <w:keepNext/>
      <w:keepLines/>
      <w:spacing w:before="120" w:after="120"/>
      <w:outlineLvl w:val="3"/>
    </w:pPr>
    <w:rPr>
      <w:i/>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0">
    <w:name w:val="20"/>
    <w:basedOn w:val="TableNormal1"/>
    <w:tblPr>
      <w:tblStyleRowBandSize w:val="1"/>
      <w:tblStyleColBandSize w:val="1"/>
      <w:tblCellMar>
        <w:top w:w="100" w:type="dxa"/>
        <w:left w:w="100" w:type="dxa"/>
        <w:bottom w:w="100" w:type="dxa"/>
        <w:right w:w="100"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top w:w="100" w:type="dxa"/>
        <w:left w:w="100" w:type="dxa"/>
        <w:bottom w:w="100" w:type="dxa"/>
        <w:right w:w="100"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1">
    <w:name w:val="6"/>
    <w:basedOn w:val="TableNormal1"/>
    <w:tblPr>
      <w:tblStyleRowBandSize w:val="1"/>
      <w:tblStyleColBandSize w:val="1"/>
      <w:tblCellMar>
        <w:top w:w="100" w:type="dxa"/>
        <w:left w:w="100" w:type="dxa"/>
        <w:bottom w:w="100" w:type="dxa"/>
        <w:right w:w="100" w:type="dxa"/>
      </w:tblCellMar>
    </w:tblPr>
  </w:style>
  <w:style w:type="table" w:customStyle="1" w:styleId="51">
    <w:name w:val="5"/>
    <w:basedOn w:val="TableNormal1"/>
    <w:tblPr>
      <w:tblStyleRowBandSize w:val="1"/>
      <w:tblStyleColBandSize w:val="1"/>
      <w:tblCellMar>
        <w:top w:w="100" w:type="dxa"/>
        <w:left w:w="100" w:type="dxa"/>
        <w:bottom w:w="100" w:type="dxa"/>
        <w:right w:w="100" w:type="dxa"/>
      </w:tblCellMar>
    </w:tblPr>
  </w:style>
  <w:style w:type="table" w:customStyle="1" w:styleId="41">
    <w:name w:val="4"/>
    <w:basedOn w:val="TableNormal1"/>
    <w:tblPr>
      <w:tblStyleRowBandSize w:val="1"/>
      <w:tblStyleColBandSize w:val="1"/>
      <w:tblCellMar>
        <w:top w:w="100" w:type="dxa"/>
        <w:left w:w="100" w:type="dxa"/>
        <w:bottom w:w="100" w:type="dxa"/>
        <w:right w:w="100" w:type="dxa"/>
      </w:tblCellMar>
    </w:tblPr>
  </w:style>
  <w:style w:type="table" w:customStyle="1" w:styleId="31">
    <w:name w:val="3"/>
    <w:basedOn w:val="TableNormal1"/>
    <w:tblPr>
      <w:tblStyleRowBandSize w:val="1"/>
      <w:tblStyleColBandSize w:val="1"/>
      <w:tblCellMar>
        <w:top w:w="100" w:type="dxa"/>
        <w:left w:w="100" w:type="dxa"/>
        <w:bottom w:w="100" w:type="dxa"/>
        <w:right w:w="100" w:type="dxa"/>
      </w:tblCellMar>
    </w:tblPr>
  </w:style>
  <w:style w:type="table" w:customStyle="1" w:styleId="29">
    <w:name w:val="2"/>
    <w:basedOn w:val="TableNormal1"/>
    <w:tblPr>
      <w:tblStyleRowBandSize w:val="1"/>
      <w:tblStyleColBandSize w:val="1"/>
      <w:tblCellMar>
        <w:top w:w="100" w:type="dxa"/>
        <w:left w:w="100" w:type="dxa"/>
        <w:bottom w:w="100" w:type="dxa"/>
        <w:right w:w="100" w:type="dxa"/>
      </w:tblCellMar>
    </w:tblPr>
  </w:style>
  <w:style w:type="table" w:customStyle="1" w:styleId="1a">
    <w:name w:val="1"/>
    <w:basedOn w:val="TableNormal1"/>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C16E02"/>
    <w:pPr>
      <w:ind w:left="720"/>
      <w:contextualSpacing/>
    </w:pPr>
  </w:style>
  <w:style w:type="character" w:styleId="a8">
    <w:name w:val="Hyperlink"/>
    <w:basedOn w:val="a0"/>
    <w:uiPriority w:val="99"/>
    <w:unhideWhenUsed/>
    <w:rsid w:val="008E2B8B"/>
    <w:rPr>
      <w:color w:val="0000FF" w:themeColor="hyperlink"/>
      <w:u w:val="single"/>
    </w:rPr>
  </w:style>
  <w:style w:type="table" w:styleId="a9">
    <w:name w:val="Table Grid"/>
    <w:basedOn w:val="a1"/>
    <w:uiPriority w:val="39"/>
    <w:rsid w:val="006F583C"/>
    <w:pPr>
      <w:spacing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BC5E87"/>
    <w:rPr>
      <w:rFonts w:asciiTheme="minorHAnsi" w:eastAsiaTheme="minorHAnsi" w:hAnsiTheme="minorHAnsi" w:cstheme="minorBidi"/>
      <w:sz w:val="20"/>
      <w:szCs w:val="20"/>
      <w:lang w:val="en-GB" w:eastAsia="en-US"/>
    </w:rPr>
  </w:style>
  <w:style w:type="character" w:customStyle="1" w:styleId="ab">
    <w:name w:val="Текст виноски Знак"/>
    <w:basedOn w:val="a0"/>
    <w:link w:val="aa"/>
    <w:uiPriority w:val="99"/>
    <w:semiHidden/>
    <w:rsid w:val="00BC5E87"/>
    <w:rPr>
      <w:rFonts w:asciiTheme="minorHAnsi" w:eastAsiaTheme="minorHAnsi" w:hAnsiTheme="minorHAnsi" w:cstheme="minorBidi"/>
      <w:sz w:val="20"/>
      <w:szCs w:val="20"/>
      <w:lang w:val="en-GB" w:eastAsia="en-US"/>
    </w:rPr>
  </w:style>
  <w:style w:type="character" w:styleId="ac">
    <w:name w:val="footnote reference"/>
    <w:basedOn w:val="a0"/>
    <w:uiPriority w:val="99"/>
    <w:semiHidden/>
    <w:unhideWhenUsed/>
    <w:rsid w:val="00BC5E87"/>
    <w:rPr>
      <w:vertAlign w:val="superscript"/>
    </w:rPr>
  </w:style>
  <w:style w:type="table" w:customStyle="1" w:styleId="1b">
    <w:name w:val="Сітка таблиці1"/>
    <w:basedOn w:val="a1"/>
    <w:next w:val="a9"/>
    <w:uiPriority w:val="39"/>
    <w:rsid w:val="005A7210"/>
    <w:pPr>
      <w:spacing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ітка таблиці2"/>
    <w:basedOn w:val="a1"/>
    <w:next w:val="a9"/>
    <w:uiPriority w:val="39"/>
    <w:rsid w:val="007E0FD3"/>
    <w:pPr>
      <w:spacing w:line="240" w:lineRule="auto"/>
    </w:pPr>
    <w:rPr>
      <w:rFonts w:ascii="Calibri" w:eastAsia="Times New Roman" w:hAnsi="Calibri"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
    <w:basedOn w:val="a1"/>
    <w:next w:val="a9"/>
    <w:uiPriority w:val="39"/>
    <w:rsid w:val="00630983"/>
    <w:pPr>
      <w:spacing w:line="240" w:lineRule="auto"/>
    </w:pPr>
    <w:rPr>
      <w:rFonts w:ascii="Calibri" w:eastAsia="Times New Roman" w:hAnsi="Calibri"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751468"/>
    <w:rPr>
      <w:sz w:val="16"/>
      <w:szCs w:val="16"/>
    </w:rPr>
  </w:style>
  <w:style w:type="paragraph" w:styleId="ae">
    <w:name w:val="annotation text"/>
    <w:basedOn w:val="a"/>
    <w:link w:val="af"/>
    <w:uiPriority w:val="99"/>
    <w:semiHidden/>
    <w:unhideWhenUsed/>
    <w:rsid w:val="00751468"/>
    <w:rPr>
      <w:sz w:val="20"/>
      <w:szCs w:val="20"/>
    </w:rPr>
  </w:style>
  <w:style w:type="character" w:customStyle="1" w:styleId="af">
    <w:name w:val="Текст примітки Знак"/>
    <w:basedOn w:val="a0"/>
    <w:link w:val="ae"/>
    <w:uiPriority w:val="99"/>
    <w:semiHidden/>
    <w:rsid w:val="00751468"/>
    <w:rPr>
      <w:sz w:val="20"/>
      <w:szCs w:val="20"/>
    </w:rPr>
  </w:style>
  <w:style w:type="paragraph" w:styleId="af0">
    <w:name w:val="annotation subject"/>
    <w:basedOn w:val="ae"/>
    <w:next w:val="ae"/>
    <w:link w:val="af1"/>
    <w:uiPriority w:val="99"/>
    <w:semiHidden/>
    <w:unhideWhenUsed/>
    <w:rsid w:val="00751468"/>
    <w:rPr>
      <w:b/>
      <w:bCs/>
    </w:rPr>
  </w:style>
  <w:style w:type="character" w:customStyle="1" w:styleId="af1">
    <w:name w:val="Тема примітки Знак"/>
    <w:basedOn w:val="af"/>
    <w:link w:val="af0"/>
    <w:uiPriority w:val="99"/>
    <w:semiHidden/>
    <w:rsid w:val="00751468"/>
    <w:rPr>
      <w:b/>
      <w:bCs/>
      <w:sz w:val="20"/>
      <w:szCs w:val="20"/>
    </w:rPr>
  </w:style>
  <w:style w:type="paragraph" w:styleId="af2">
    <w:name w:val="endnote text"/>
    <w:basedOn w:val="a"/>
    <w:link w:val="af3"/>
    <w:uiPriority w:val="99"/>
    <w:semiHidden/>
    <w:unhideWhenUsed/>
    <w:rsid w:val="00EC68DF"/>
    <w:rPr>
      <w:sz w:val="20"/>
      <w:szCs w:val="20"/>
    </w:rPr>
  </w:style>
  <w:style w:type="character" w:customStyle="1" w:styleId="af3">
    <w:name w:val="Текст кінцевої виноски Знак"/>
    <w:basedOn w:val="a0"/>
    <w:link w:val="af2"/>
    <w:uiPriority w:val="99"/>
    <w:semiHidden/>
    <w:rsid w:val="00EC68DF"/>
    <w:rPr>
      <w:sz w:val="20"/>
      <w:szCs w:val="20"/>
    </w:rPr>
  </w:style>
  <w:style w:type="character" w:styleId="af4">
    <w:name w:val="endnote reference"/>
    <w:basedOn w:val="a0"/>
    <w:uiPriority w:val="99"/>
    <w:semiHidden/>
    <w:unhideWhenUsed/>
    <w:rsid w:val="00EC68DF"/>
    <w:rPr>
      <w:vertAlign w:val="superscript"/>
    </w:rPr>
  </w:style>
  <w:style w:type="character" w:customStyle="1" w:styleId="1c">
    <w:name w:val="Незакрита згадка1"/>
    <w:basedOn w:val="a0"/>
    <w:uiPriority w:val="99"/>
    <w:semiHidden/>
    <w:unhideWhenUsed/>
    <w:rsid w:val="00443AA4"/>
    <w:rPr>
      <w:color w:val="605E5C"/>
      <w:shd w:val="clear" w:color="auto" w:fill="E1DFDD"/>
    </w:rPr>
  </w:style>
  <w:style w:type="paragraph" w:styleId="af5">
    <w:name w:val="header"/>
    <w:basedOn w:val="a"/>
    <w:link w:val="af6"/>
    <w:uiPriority w:val="99"/>
    <w:unhideWhenUsed/>
    <w:rsid w:val="00893F18"/>
    <w:pPr>
      <w:tabs>
        <w:tab w:val="center" w:pos="4986"/>
        <w:tab w:val="right" w:pos="9973"/>
      </w:tabs>
    </w:pPr>
  </w:style>
  <w:style w:type="character" w:customStyle="1" w:styleId="af6">
    <w:name w:val="Верхній колонтитул Знак"/>
    <w:basedOn w:val="a0"/>
    <w:link w:val="af5"/>
    <w:uiPriority w:val="99"/>
    <w:rsid w:val="00893F18"/>
  </w:style>
  <w:style w:type="paragraph" w:styleId="af7">
    <w:name w:val="footer"/>
    <w:basedOn w:val="a"/>
    <w:link w:val="af8"/>
    <w:uiPriority w:val="99"/>
    <w:unhideWhenUsed/>
    <w:rsid w:val="00893F18"/>
    <w:pPr>
      <w:tabs>
        <w:tab w:val="center" w:pos="4986"/>
        <w:tab w:val="right" w:pos="9973"/>
      </w:tabs>
    </w:pPr>
  </w:style>
  <w:style w:type="character" w:customStyle="1" w:styleId="af8">
    <w:name w:val="Нижній колонтитул Знак"/>
    <w:basedOn w:val="a0"/>
    <w:link w:val="af7"/>
    <w:uiPriority w:val="99"/>
    <w:rsid w:val="00893F18"/>
  </w:style>
  <w:style w:type="paragraph" w:styleId="af9">
    <w:name w:val="TOC Heading"/>
    <w:basedOn w:val="1"/>
    <w:next w:val="a"/>
    <w:uiPriority w:val="39"/>
    <w:unhideWhenUsed/>
    <w:qFormat/>
    <w:rsid w:val="00360CFD"/>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1d">
    <w:name w:val="toc 1"/>
    <w:basedOn w:val="a"/>
    <w:next w:val="a"/>
    <w:autoRedefine/>
    <w:uiPriority w:val="39"/>
    <w:unhideWhenUsed/>
    <w:rsid w:val="002E00DA"/>
    <w:pPr>
      <w:tabs>
        <w:tab w:val="right" w:leader="dot" w:pos="9345"/>
      </w:tabs>
      <w:spacing w:line="233" w:lineRule="auto"/>
      <w:ind w:firstLine="0"/>
      <w:jc w:val="left"/>
    </w:pPr>
    <w:rPr>
      <w:rFonts w:asciiTheme="minorHAnsi" w:hAnsiTheme="minorHAnsi"/>
      <w:b/>
      <w:bCs/>
      <w:caps/>
      <w:sz w:val="20"/>
      <w:szCs w:val="20"/>
    </w:rPr>
  </w:style>
  <w:style w:type="paragraph" w:styleId="2b">
    <w:name w:val="toc 2"/>
    <w:basedOn w:val="a"/>
    <w:next w:val="a"/>
    <w:autoRedefine/>
    <w:uiPriority w:val="39"/>
    <w:unhideWhenUsed/>
    <w:rsid w:val="002E00DA"/>
    <w:pPr>
      <w:tabs>
        <w:tab w:val="right" w:leader="dot" w:pos="9345"/>
      </w:tabs>
      <w:ind w:left="284" w:firstLine="0"/>
      <w:jc w:val="left"/>
    </w:pPr>
    <w:rPr>
      <w:rFonts w:asciiTheme="minorHAnsi" w:hAnsiTheme="minorHAnsi"/>
      <w:smallCaps/>
      <w:sz w:val="20"/>
      <w:szCs w:val="20"/>
    </w:rPr>
  </w:style>
  <w:style w:type="paragraph" w:styleId="33">
    <w:name w:val="toc 3"/>
    <w:basedOn w:val="a"/>
    <w:next w:val="a"/>
    <w:autoRedefine/>
    <w:uiPriority w:val="39"/>
    <w:unhideWhenUsed/>
    <w:rsid w:val="00580723"/>
    <w:pPr>
      <w:tabs>
        <w:tab w:val="right" w:leader="dot" w:pos="9345"/>
      </w:tabs>
      <w:spacing w:line="233" w:lineRule="auto"/>
      <w:ind w:left="567" w:firstLine="0"/>
      <w:jc w:val="left"/>
    </w:pPr>
    <w:rPr>
      <w:rFonts w:asciiTheme="minorHAnsi" w:hAnsiTheme="minorHAnsi"/>
      <w:i/>
      <w:iCs/>
      <w:sz w:val="20"/>
      <w:szCs w:val="20"/>
    </w:rPr>
  </w:style>
  <w:style w:type="paragraph" w:styleId="42">
    <w:name w:val="toc 4"/>
    <w:basedOn w:val="a"/>
    <w:next w:val="a"/>
    <w:autoRedefine/>
    <w:uiPriority w:val="39"/>
    <w:unhideWhenUsed/>
    <w:rsid w:val="00DD649F"/>
    <w:pPr>
      <w:tabs>
        <w:tab w:val="right" w:leader="dot" w:pos="9345"/>
      </w:tabs>
      <w:ind w:left="851" w:firstLine="0"/>
      <w:jc w:val="left"/>
    </w:pPr>
    <w:rPr>
      <w:rFonts w:asciiTheme="minorHAnsi" w:hAnsiTheme="minorHAnsi"/>
      <w:sz w:val="18"/>
      <w:szCs w:val="18"/>
    </w:rPr>
  </w:style>
  <w:style w:type="paragraph" w:styleId="52">
    <w:name w:val="toc 5"/>
    <w:basedOn w:val="a"/>
    <w:next w:val="a"/>
    <w:autoRedefine/>
    <w:uiPriority w:val="39"/>
    <w:unhideWhenUsed/>
    <w:rsid w:val="00590F17"/>
    <w:pPr>
      <w:ind w:left="880"/>
    </w:pPr>
    <w:rPr>
      <w:rFonts w:asciiTheme="minorHAnsi" w:hAnsiTheme="minorHAnsi"/>
      <w:sz w:val="18"/>
      <w:szCs w:val="18"/>
    </w:rPr>
  </w:style>
  <w:style w:type="paragraph" w:styleId="62">
    <w:name w:val="toc 6"/>
    <w:basedOn w:val="a"/>
    <w:next w:val="a"/>
    <w:autoRedefine/>
    <w:uiPriority w:val="39"/>
    <w:unhideWhenUsed/>
    <w:rsid w:val="00590F17"/>
    <w:pPr>
      <w:ind w:left="1100"/>
    </w:pPr>
    <w:rPr>
      <w:rFonts w:asciiTheme="minorHAnsi" w:hAnsiTheme="minorHAnsi"/>
      <w:sz w:val="18"/>
      <w:szCs w:val="18"/>
    </w:rPr>
  </w:style>
  <w:style w:type="paragraph" w:styleId="70">
    <w:name w:val="toc 7"/>
    <w:basedOn w:val="a"/>
    <w:next w:val="a"/>
    <w:autoRedefine/>
    <w:uiPriority w:val="39"/>
    <w:unhideWhenUsed/>
    <w:rsid w:val="00590F17"/>
    <w:pPr>
      <w:ind w:left="1320"/>
    </w:pPr>
    <w:rPr>
      <w:rFonts w:asciiTheme="minorHAnsi" w:hAnsiTheme="minorHAnsi"/>
      <w:sz w:val="18"/>
      <w:szCs w:val="18"/>
    </w:rPr>
  </w:style>
  <w:style w:type="paragraph" w:styleId="80">
    <w:name w:val="toc 8"/>
    <w:basedOn w:val="a"/>
    <w:next w:val="a"/>
    <w:autoRedefine/>
    <w:uiPriority w:val="39"/>
    <w:unhideWhenUsed/>
    <w:rsid w:val="00590F17"/>
    <w:pPr>
      <w:ind w:left="1540"/>
    </w:pPr>
    <w:rPr>
      <w:rFonts w:asciiTheme="minorHAnsi" w:hAnsiTheme="minorHAnsi"/>
      <w:sz w:val="18"/>
      <w:szCs w:val="18"/>
    </w:rPr>
  </w:style>
  <w:style w:type="paragraph" w:styleId="90">
    <w:name w:val="toc 9"/>
    <w:basedOn w:val="a"/>
    <w:next w:val="a"/>
    <w:autoRedefine/>
    <w:uiPriority w:val="39"/>
    <w:unhideWhenUsed/>
    <w:rsid w:val="00590F17"/>
    <w:pPr>
      <w:ind w:left="1760"/>
    </w:pPr>
    <w:rPr>
      <w:rFonts w:asciiTheme="minorHAnsi" w:hAnsiTheme="minorHAnsi"/>
      <w:sz w:val="18"/>
      <w:szCs w:val="18"/>
    </w:rPr>
  </w:style>
  <w:style w:type="paragraph" w:styleId="afa">
    <w:name w:val="Balloon Text"/>
    <w:basedOn w:val="a"/>
    <w:link w:val="afb"/>
    <w:uiPriority w:val="99"/>
    <w:semiHidden/>
    <w:unhideWhenUsed/>
    <w:rsid w:val="00784017"/>
    <w:rPr>
      <w:rFonts w:ascii="Tahoma" w:hAnsi="Tahoma" w:cs="Tahoma"/>
      <w:sz w:val="16"/>
      <w:szCs w:val="16"/>
    </w:rPr>
  </w:style>
  <w:style w:type="character" w:customStyle="1" w:styleId="afb">
    <w:name w:val="Текст у виносці Знак"/>
    <w:basedOn w:val="a0"/>
    <w:link w:val="afa"/>
    <w:uiPriority w:val="99"/>
    <w:semiHidden/>
    <w:rsid w:val="00784017"/>
    <w:rPr>
      <w:rFonts w:ascii="Tahoma" w:hAnsi="Tahoma" w:cs="Tahoma"/>
      <w:sz w:val="16"/>
      <w:szCs w:val="16"/>
    </w:rPr>
  </w:style>
  <w:style w:type="paragraph" w:styleId="afc">
    <w:name w:val="Body Text"/>
    <w:basedOn w:val="a"/>
    <w:link w:val="afd"/>
    <w:uiPriority w:val="1"/>
    <w:qFormat/>
    <w:rsid w:val="00D37F9E"/>
    <w:pPr>
      <w:widowControl w:val="0"/>
      <w:ind w:left="113" w:firstLine="720"/>
    </w:pPr>
    <w:rPr>
      <w:rFonts w:cstheme="minorBidi"/>
      <w:sz w:val="21"/>
      <w:szCs w:val="21"/>
      <w:lang w:val="en-US" w:eastAsia="en-US"/>
    </w:rPr>
  </w:style>
  <w:style w:type="character" w:customStyle="1" w:styleId="afd">
    <w:name w:val="Основний текст Знак"/>
    <w:basedOn w:val="a0"/>
    <w:link w:val="afc"/>
    <w:uiPriority w:val="1"/>
    <w:rsid w:val="00D37F9E"/>
    <w:rPr>
      <w:rFonts w:cstheme="minorBidi"/>
      <w:sz w:val="21"/>
      <w:szCs w:val="21"/>
      <w:lang w:val="en-US" w:eastAsia="en-US"/>
    </w:rPr>
  </w:style>
  <w:style w:type="character" w:customStyle="1" w:styleId="fontstyle21">
    <w:name w:val="fontstyle21"/>
    <w:basedOn w:val="a0"/>
    <w:rsid w:val="004B3AED"/>
    <w:rPr>
      <w:rFonts w:ascii="MinionPro-Semibold" w:hAnsi="MinionPro-Semibold" w:hint="default"/>
      <w:b w:val="0"/>
      <w:bCs w:val="0"/>
      <w:i w:val="0"/>
      <w:iCs w:val="0"/>
      <w:color w:val="000000"/>
      <w:sz w:val="20"/>
      <w:szCs w:val="20"/>
    </w:rPr>
  </w:style>
  <w:style w:type="character" w:customStyle="1" w:styleId="fontstyle01">
    <w:name w:val="fontstyle01"/>
    <w:basedOn w:val="a0"/>
    <w:rsid w:val="004B3AED"/>
    <w:rPr>
      <w:rFonts w:ascii="Times New Roman" w:hAnsi="Times New Roman"/>
      <w:b w:val="0"/>
      <w:bCs w:val="0"/>
      <w:i w:val="0"/>
      <w:iCs w:val="0"/>
      <w:caps w:val="0"/>
      <w:smallCaps w:val="0"/>
      <w:strike w:val="0"/>
      <w:dstrike w:val="0"/>
      <w:vanish w:val="0"/>
      <w:color w:val="000000"/>
      <w:spacing w:val="0"/>
      <w:w w:val="100"/>
      <w:sz w:val="28"/>
      <w:szCs w:val="20"/>
      <w:vertAlign w:val="baseline"/>
    </w:rPr>
  </w:style>
  <w:style w:type="paragraph" w:styleId="HTML">
    <w:name w:val="HTML Preformatted"/>
    <w:basedOn w:val="a"/>
    <w:link w:val="HTML0"/>
    <w:uiPriority w:val="99"/>
    <w:semiHidden/>
    <w:unhideWhenUsed/>
    <w:rsid w:val="004B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4B3AED"/>
    <w:rPr>
      <w:rFonts w:ascii="Courier New" w:eastAsia="Times New Roman" w:hAnsi="Courier New" w:cs="Courier New"/>
      <w:sz w:val="20"/>
      <w:szCs w:val="20"/>
    </w:rPr>
  </w:style>
  <w:style w:type="character" w:customStyle="1" w:styleId="y2iqfc">
    <w:name w:val="y2iqfc"/>
    <w:basedOn w:val="a0"/>
    <w:rsid w:val="004B3AED"/>
  </w:style>
  <w:style w:type="character" w:customStyle="1" w:styleId="10">
    <w:name w:val="Заголовок 1 Знак"/>
    <w:basedOn w:val="a0"/>
    <w:link w:val="1"/>
    <w:uiPriority w:val="9"/>
    <w:rsid w:val="00E42869"/>
    <w:rPr>
      <w:rFonts w:ascii="Times New Roman" w:hAnsi="Times New Roman"/>
      <w:b/>
      <w:caps/>
      <w:sz w:val="28"/>
      <w:szCs w:val="48"/>
    </w:rPr>
  </w:style>
  <w:style w:type="character" w:customStyle="1" w:styleId="20">
    <w:name w:val="Заголовок 2 Знак"/>
    <w:basedOn w:val="a0"/>
    <w:link w:val="2"/>
    <w:uiPriority w:val="9"/>
    <w:rsid w:val="004B3AED"/>
    <w:rPr>
      <w:rFonts w:ascii="Times New Roman" w:hAnsi="Times New Roman"/>
      <w:b/>
      <w:sz w:val="28"/>
      <w:szCs w:val="36"/>
    </w:rPr>
  </w:style>
  <w:style w:type="character" w:customStyle="1" w:styleId="30">
    <w:name w:val="Заголовок 3 Знак"/>
    <w:basedOn w:val="a0"/>
    <w:link w:val="3"/>
    <w:uiPriority w:val="9"/>
    <w:rsid w:val="00993105"/>
    <w:rPr>
      <w:rFonts w:ascii="Times New Roman" w:hAnsi="Times New Roman"/>
      <w:b/>
      <w:i/>
      <w:sz w:val="28"/>
      <w:szCs w:val="28"/>
    </w:rPr>
  </w:style>
  <w:style w:type="character" w:customStyle="1" w:styleId="40">
    <w:name w:val="Заголовок 4 Знак"/>
    <w:basedOn w:val="a0"/>
    <w:link w:val="4"/>
    <w:uiPriority w:val="9"/>
    <w:rsid w:val="004B3AED"/>
    <w:rPr>
      <w:rFonts w:ascii="Times New Roman" w:hAnsi="Times New Roman"/>
      <w:i/>
      <w:sz w:val="28"/>
      <w:szCs w:val="24"/>
    </w:rPr>
  </w:style>
  <w:style w:type="character" w:customStyle="1" w:styleId="50">
    <w:name w:val="Заголовок 5 Знак"/>
    <w:basedOn w:val="a0"/>
    <w:link w:val="5"/>
    <w:uiPriority w:val="9"/>
    <w:semiHidden/>
    <w:rsid w:val="004B3AED"/>
    <w:rPr>
      <w:rFonts w:ascii="Times New Roman" w:hAnsi="Times New Roman"/>
      <w:b/>
      <w:sz w:val="28"/>
    </w:rPr>
  </w:style>
  <w:style w:type="character" w:customStyle="1" w:styleId="60">
    <w:name w:val="Заголовок 6 Знак"/>
    <w:basedOn w:val="a0"/>
    <w:link w:val="6"/>
    <w:uiPriority w:val="9"/>
    <w:semiHidden/>
    <w:rsid w:val="004B3AED"/>
    <w:rPr>
      <w:rFonts w:ascii="Times New Roman" w:hAnsi="Times New Roman"/>
      <w:b/>
      <w:sz w:val="20"/>
      <w:szCs w:val="20"/>
    </w:rPr>
  </w:style>
  <w:style w:type="character" w:customStyle="1" w:styleId="a4">
    <w:name w:val="Назва Знак"/>
    <w:basedOn w:val="a0"/>
    <w:link w:val="a3"/>
    <w:uiPriority w:val="10"/>
    <w:rsid w:val="004B3AED"/>
    <w:rPr>
      <w:rFonts w:ascii="Times New Roman" w:hAnsi="Times New Roman"/>
      <w:b/>
      <w:sz w:val="72"/>
      <w:szCs w:val="72"/>
    </w:rPr>
  </w:style>
  <w:style w:type="character" w:customStyle="1" w:styleId="a6">
    <w:name w:val="Підзаголовок Знак"/>
    <w:basedOn w:val="a0"/>
    <w:link w:val="a5"/>
    <w:uiPriority w:val="11"/>
    <w:rsid w:val="004B3AED"/>
    <w:rPr>
      <w:rFonts w:ascii="Georgia" w:eastAsia="Georgia" w:hAnsi="Georgia" w:cs="Georgia"/>
      <w:i/>
      <w:color w:val="666666"/>
      <w:sz w:val="48"/>
      <w:szCs w:val="48"/>
    </w:rPr>
  </w:style>
  <w:style w:type="character" w:styleId="afe">
    <w:name w:val="FollowedHyperlink"/>
    <w:basedOn w:val="a0"/>
    <w:uiPriority w:val="99"/>
    <w:semiHidden/>
    <w:unhideWhenUsed/>
    <w:rsid w:val="00593721"/>
    <w:rPr>
      <w:color w:val="800080" w:themeColor="followedHyperlink"/>
      <w:u w:val="single"/>
    </w:rPr>
  </w:style>
  <w:style w:type="table" w:customStyle="1" w:styleId="1e">
    <w:name w:val="Сетка таблицы1"/>
    <w:basedOn w:val="a1"/>
    <w:next w:val="a9"/>
    <w:uiPriority w:val="39"/>
    <w:rsid w:val="00222812"/>
    <w:pPr>
      <w:spacing w:line="240" w:lineRule="auto"/>
    </w:pPr>
    <w:rPr>
      <w:rFonts w:ascii="Calibri" w:eastAsia="Times New Roman" w:hAnsi="Calibri"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860">
      <w:bodyDiv w:val="1"/>
      <w:marLeft w:val="0"/>
      <w:marRight w:val="0"/>
      <w:marTop w:val="0"/>
      <w:marBottom w:val="0"/>
      <w:divBdr>
        <w:top w:val="none" w:sz="0" w:space="0" w:color="auto"/>
        <w:left w:val="none" w:sz="0" w:space="0" w:color="auto"/>
        <w:bottom w:val="none" w:sz="0" w:space="0" w:color="auto"/>
        <w:right w:val="none" w:sz="0" w:space="0" w:color="auto"/>
      </w:divBdr>
    </w:div>
    <w:div w:id="163712423">
      <w:bodyDiv w:val="1"/>
      <w:marLeft w:val="0"/>
      <w:marRight w:val="0"/>
      <w:marTop w:val="0"/>
      <w:marBottom w:val="0"/>
      <w:divBdr>
        <w:top w:val="none" w:sz="0" w:space="0" w:color="auto"/>
        <w:left w:val="none" w:sz="0" w:space="0" w:color="auto"/>
        <w:bottom w:val="none" w:sz="0" w:space="0" w:color="auto"/>
        <w:right w:val="none" w:sz="0" w:space="0" w:color="auto"/>
      </w:divBdr>
    </w:div>
    <w:div w:id="189923381">
      <w:bodyDiv w:val="1"/>
      <w:marLeft w:val="0"/>
      <w:marRight w:val="0"/>
      <w:marTop w:val="0"/>
      <w:marBottom w:val="0"/>
      <w:divBdr>
        <w:top w:val="none" w:sz="0" w:space="0" w:color="auto"/>
        <w:left w:val="none" w:sz="0" w:space="0" w:color="auto"/>
        <w:bottom w:val="none" w:sz="0" w:space="0" w:color="auto"/>
        <w:right w:val="none" w:sz="0" w:space="0" w:color="auto"/>
      </w:divBdr>
    </w:div>
    <w:div w:id="292756932">
      <w:bodyDiv w:val="1"/>
      <w:marLeft w:val="0"/>
      <w:marRight w:val="0"/>
      <w:marTop w:val="0"/>
      <w:marBottom w:val="0"/>
      <w:divBdr>
        <w:top w:val="none" w:sz="0" w:space="0" w:color="auto"/>
        <w:left w:val="none" w:sz="0" w:space="0" w:color="auto"/>
        <w:bottom w:val="none" w:sz="0" w:space="0" w:color="auto"/>
        <w:right w:val="none" w:sz="0" w:space="0" w:color="auto"/>
      </w:divBdr>
    </w:div>
    <w:div w:id="559485112">
      <w:bodyDiv w:val="1"/>
      <w:marLeft w:val="0"/>
      <w:marRight w:val="0"/>
      <w:marTop w:val="0"/>
      <w:marBottom w:val="0"/>
      <w:divBdr>
        <w:top w:val="none" w:sz="0" w:space="0" w:color="auto"/>
        <w:left w:val="none" w:sz="0" w:space="0" w:color="auto"/>
        <w:bottom w:val="none" w:sz="0" w:space="0" w:color="auto"/>
        <w:right w:val="none" w:sz="0" w:space="0" w:color="auto"/>
      </w:divBdr>
    </w:div>
    <w:div w:id="638539572">
      <w:bodyDiv w:val="1"/>
      <w:marLeft w:val="0"/>
      <w:marRight w:val="0"/>
      <w:marTop w:val="0"/>
      <w:marBottom w:val="0"/>
      <w:divBdr>
        <w:top w:val="none" w:sz="0" w:space="0" w:color="auto"/>
        <w:left w:val="none" w:sz="0" w:space="0" w:color="auto"/>
        <w:bottom w:val="none" w:sz="0" w:space="0" w:color="auto"/>
        <w:right w:val="none" w:sz="0" w:space="0" w:color="auto"/>
      </w:divBdr>
    </w:div>
    <w:div w:id="695543184">
      <w:bodyDiv w:val="1"/>
      <w:marLeft w:val="0"/>
      <w:marRight w:val="0"/>
      <w:marTop w:val="0"/>
      <w:marBottom w:val="0"/>
      <w:divBdr>
        <w:top w:val="none" w:sz="0" w:space="0" w:color="auto"/>
        <w:left w:val="none" w:sz="0" w:space="0" w:color="auto"/>
        <w:bottom w:val="none" w:sz="0" w:space="0" w:color="auto"/>
        <w:right w:val="none" w:sz="0" w:space="0" w:color="auto"/>
      </w:divBdr>
    </w:div>
    <w:div w:id="704983272">
      <w:bodyDiv w:val="1"/>
      <w:marLeft w:val="0"/>
      <w:marRight w:val="0"/>
      <w:marTop w:val="0"/>
      <w:marBottom w:val="0"/>
      <w:divBdr>
        <w:top w:val="none" w:sz="0" w:space="0" w:color="auto"/>
        <w:left w:val="none" w:sz="0" w:space="0" w:color="auto"/>
        <w:bottom w:val="none" w:sz="0" w:space="0" w:color="auto"/>
        <w:right w:val="none" w:sz="0" w:space="0" w:color="auto"/>
      </w:divBdr>
    </w:div>
    <w:div w:id="1339427306">
      <w:bodyDiv w:val="1"/>
      <w:marLeft w:val="0"/>
      <w:marRight w:val="0"/>
      <w:marTop w:val="0"/>
      <w:marBottom w:val="0"/>
      <w:divBdr>
        <w:top w:val="none" w:sz="0" w:space="0" w:color="auto"/>
        <w:left w:val="none" w:sz="0" w:space="0" w:color="auto"/>
        <w:bottom w:val="none" w:sz="0" w:space="0" w:color="auto"/>
        <w:right w:val="none" w:sz="0" w:space="0" w:color="auto"/>
      </w:divBdr>
      <w:divsChild>
        <w:div w:id="2099787639">
          <w:marLeft w:val="0"/>
          <w:marRight w:val="0"/>
          <w:marTop w:val="0"/>
          <w:marBottom w:val="0"/>
          <w:divBdr>
            <w:top w:val="none" w:sz="0" w:space="0" w:color="auto"/>
            <w:left w:val="none" w:sz="0" w:space="0" w:color="auto"/>
            <w:bottom w:val="none" w:sz="0" w:space="0" w:color="auto"/>
            <w:right w:val="none" w:sz="0" w:space="0" w:color="auto"/>
          </w:divBdr>
        </w:div>
      </w:divsChild>
    </w:div>
    <w:div w:id="1421095652">
      <w:bodyDiv w:val="1"/>
      <w:marLeft w:val="0"/>
      <w:marRight w:val="0"/>
      <w:marTop w:val="0"/>
      <w:marBottom w:val="0"/>
      <w:divBdr>
        <w:top w:val="none" w:sz="0" w:space="0" w:color="auto"/>
        <w:left w:val="none" w:sz="0" w:space="0" w:color="auto"/>
        <w:bottom w:val="none" w:sz="0" w:space="0" w:color="auto"/>
        <w:right w:val="none" w:sz="0" w:space="0" w:color="auto"/>
      </w:divBdr>
    </w:div>
    <w:div w:id="1738436090">
      <w:bodyDiv w:val="1"/>
      <w:marLeft w:val="0"/>
      <w:marRight w:val="0"/>
      <w:marTop w:val="0"/>
      <w:marBottom w:val="0"/>
      <w:divBdr>
        <w:top w:val="none" w:sz="0" w:space="0" w:color="auto"/>
        <w:left w:val="none" w:sz="0" w:space="0" w:color="auto"/>
        <w:bottom w:val="none" w:sz="0" w:space="0" w:color="auto"/>
        <w:right w:val="none" w:sz="0" w:space="0" w:color="auto"/>
      </w:divBdr>
    </w:div>
    <w:div w:id="202443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5.xml"/><Relationship Id="rId89" Type="http://schemas.openxmlformats.org/officeDocument/2006/relationships/chart" Target="charts/chart80.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3.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image" Target="media/image2.png"/><Relationship Id="rId87" Type="http://schemas.openxmlformats.org/officeDocument/2006/relationships/chart" Target="charts/chart78.xm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3.xml"/><Relationship Id="rId90" Type="http://schemas.openxmlformats.org/officeDocument/2006/relationships/chart" Target="charts/chart81.xml"/><Relationship Id="rId95" Type="http://schemas.openxmlformats.org/officeDocument/2006/relationships/chart" Target="charts/chart86.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4.xml"/><Relationship Id="rId80" Type="http://schemas.openxmlformats.org/officeDocument/2006/relationships/chart" Target="charts/chart71.xml"/><Relationship Id="rId85" Type="http://schemas.openxmlformats.org/officeDocument/2006/relationships/chart" Target="charts/chart76.xml"/><Relationship Id="rId93" Type="http://schemas.openxmlformats.org/officeDocument/2006/relationships/chart" Target="charts/chart84.xm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footer" Target="footer3.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4.xml"/><Relationship Id="rId88" Type="http://schemas.openxmlformats.org/officeDocument/2006/relationships/chart" Target="charts/chart79.xml"/><Relationship Id="rId91" Type="http://schemas.openxmlformats.org/officeDocument/2006/relationships/chart" Target="charts/chart82.xml"/><Relationship Id="rId96" Type="http://schemas.openxmlformats.org/officeDocument/2006/relationships/chart" Target="charts/chart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image" Target="media/image1.jpeg"/><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8.xml"/><Relationship Id="rId97" Type="http://schemas.openxmlformats.org/officeDocument/2006/relationships/chart" Target="charts/chart88.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chartUserShapes" Target="../drawings/drawing1.xml"/><Relationship Id="rId4"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6.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52.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60.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61.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62.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63.xlsx"/></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4.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56.xml"/><Relationship Id="rId1" Type="http://schemas.microsoft.com/office/2011/relationships/chartStyle" Target="style56.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68.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69.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9.xml"/></Relationships>
</file>

<file path=word/charts/_rels/chart85.xml.rels><?xml version="1.0" encoding="UTF-8" standalone="yes"?>
<Relationships xmlns="http://schemas.openxmlformats.org/package/2006/relationships"><Relationship Id="rId3" Type="http://schemas.openxmlformats.org/officeDocument/2006/relationships/oleObject" Target="file:///\\localhost\Users\dilyafruzkhudaykulova\Desktop\dovi\SWOT.xlsx" TargetMode="External"/><Relationship Id="rId2" Type="http://schemas.microsoft.com/office/2011/relationships/chartColorStyle" Target="colors59.xml"/><Relationship Id="rId1" Type="http://schemas.microsoft.com/office/2011/relationships/chartStyle" Target="style59.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embeddings/oleObject3.bin"/></Relationships>
</file>

<file path=word/charts/_rels/chart87.xml.rels><?xml version="1.0" encoding="UTF-8" standalone="yes"?>
<Relationships xmlns="http://schemas.openxmlformats.org/package/2006/relationships"><Relationship Id="rId3" Type="http://schemas.openxmlformats.org/officeDocument/2006/relationships/oleObject" Target="file:///\\localhost\Users\dilyafruzkhudaykulova\Desktop\dovi\SWOT.xlsx" TargetMode="External"/><Relationship Id="rId2" Type="http://schemas.microsoft.com/office/2011/relationships/chartColorStyle" Target="colors61.xml"/><Relationship Id="rId1" Type="http://schemas.microsoft.com/office/2011/relationships/chartStyle" Target="style61.xml"/></Relationships>
</file>

<file path=word/charts/_rels/chart88.xml.rels><?xml version="1.0" encoding="UTF-8" standalone="yes"?>
<Relationships xmlns="http://schemas.openxmlformats.org/package/2006/relationships"><Relationship Id="rId3" Type="http://schemas.openxmlformats.org/officeDocument/2006/relationships/oleObject" Target="file:///\\localhost\Users\dilyafruzkhudaykulova\Desktop\dovi\SWOT.xlsx" TargetMode="External"/><Relationship Id="rId2" Type="http://schemas.microsoft.com/office/2011/relationships/chartColorStyle" Target="colors62.xml"/><Relationship Id="rId1" Type="http://schemas.microsoft.com/office/2011/relationships/chartStyle" Target="style6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burden!$E$9</c:f>
              <c:strCache>
                <c:ptCount val="1"/>
                <c:pt idx="0">
                  <c:v>Захворюваність</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burden!$F$8:$I$8</c:f>
              <c:strCache>
                <c:ptCount val="4"/>
                <c:pt idx="0">
                  <c:v>UA</c:v>
                </c:pt>
                <c:pt idx="1">
                  <c:v>EU</c:v>
                </c:pt>
                <c:pt idx="2">
                  <c:v>GL</c:v>
                </c:pt>
                <c:pt idx="3">
                  <c:v>Goal</c:v>
                </c:pt>
              </c:strCache>
            </c:strRef>
          </c:cat>
          <c:val>
            <c:numRef>
              <c:f>burden!$F$9:$I$9</c:f>
              <c:numCache>
                <c:formatCode>0%</c:formatCode>
                <c:ptCount val="4"/>
                <c:pt idx="0">
                  <c:v>0.19</c:v>
                </c:pt>
                <c:pt idx="1">
                  <c:v>0.25</c:v>
                </c:pt>
                <c:pt idx="2">
                  <c:v>0.11</c:v>
                </c:pt>
                <c:pt idx="3">
                  <c:v>0.2</c:v>
                </c:pt>
              </c:numCache>
            </c:numRef>
          </c:val>
          <c:extLst>
            <c:ext xmlns:c16="http://schemas.microsoft.com/office/drawing/2014/chart" uri="{C3380CC4-5D6E-409C-BE32-E72D297353CC}">
              <c16:uniqueId val="{00000000-4229-43B2-AB33-B67D675F89DF}"/>
            </c:ext>
          </c:extLst>
        </c:ser>
        <c:ser>
          <c:idx val="1"/>
          <c:order val="1"/>
          <c:tx>
            <c:strRef>
              <c:f>burden!$E$10</c:f>
              <c:strCache>
                <c:ptCount val="1"/>
                <c:pt idx="0">
                  <c:v>Смертність</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burden!$F$8:$I$8</c:f>
              <c:strCache>
                <c:ptCount val="4"/>
                <c:pt idx="0">
                  <c:v>UA</c:v>
                </c:pt>
                <c:pt idx="1">
                  <c:v>EU</c:v>
                </c:pt>
                <c:pt idx="2">
                  <c:v>GL</c:v>
                </c:pt>
                <c:pt idx="3">
                  <c:v>Goal</c:v>
                </c:pt>
              </c:strCache>
            </c:strRef>
          </c:cat>
          <c:val>
            <c:numRef>
              <c:f>burden!$F$10:$I$10</c:f>
              <c:numCache>
                <c:formatCode>0%</c:formatCode>
                <c:ptCount val="4"/>
                <c:pt idx="0">
                  <c:v>0.13</c:v>
                </c:pt>
                <c:pt idx="1">
                  <c:v>0.26</c:v>
                </c:pt>
                <c:pt idx="2" formatCode="0.00%">
                  <c:v>9.1999999999999998E-2</c:v>
                </c:pt>
                <c:pt idx="3">
                  <c:v>0.35</c:v>
                </c:pt>
              </c:numCache>
            </c:numRef>
          </c:val>
          <c:extLst>
            <c:ext xmlns:c16="http://schemas.microsoft.com/office/drawing/2014/chart" uri="{C3380CC4-5D6E-409C-BE32-E72D297353CC}">
              <c16:uniqueId val="{00000001-4229-43B2-AB33-B67D675F89DF}"/>
            </c:ext>
          </c:extLst>
        </c:ser>
        <c:dLbls>
          <c:dLblPos val="inEnd"/>
          <c:showLegendKey val="0"/>
          <c:showVal val="1"/>
          <c:showCatName val="0"/>
          <c:showSerName val="0"/>
          <c:showPercent val="0"/>
          <c:showBubbleSize val="0"/>
        </c:dLbls>
        <c:gapWidth val="100"/>
        <c:overlap val="-24"/>
        <c:axId val="-2051036128"/>
        <c:axId val="-2051168064"/>
      </c:barChart>
      <c:catAx>
        <c:axId val="-2051036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051168064"/>
        <c:crosses val="autoZero"/>
        <c:auto val="1"/>
        <c:lblAlgn val="ctr"/>
        <c:lblOffset val="100"/>
        <c:noMultiLvlLbl val="0"/>
      </c:catAx>
      <c:valAx>
        <c:axId val="-2051168064"/>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205103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0251719349413571"/>
          <c:y val="0.22679605190196295"/>
          <c:w val="0.60897652451424023"/>
          <c:h val="0.62291005877786398"/>
        </c:manualLayout>
      </c:layout>
      <c:lineChart>
        <c:grouping val="standard"/>
        <c:varyColors val="0"/>
        <c:ser>
          <c:idx val="0"/>
          <c:order val="0"/>
          <c:tx>
            <c:strRef>
              <c:f>Аркуш1!$B$1</c:f>
              <c:strCache>
                <c:ptCount val="1"/>
                <c:pt idx="0">
                  <c:v>Донецька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71.900000000000006</c:v>
                </c:pt>
                <c:pt idx="1">
                  <c:v>72.400000000000006</c:v>
                </c:pt>
                <c:pt idx="2">
                  <c:v>71.7</c:v>
                </c:pt>
                <c:pt idx="3">
                  <c:v>66.900000000000006</c:v>
                </c:pt>
                <c:pt idx="4">
                  <c:v>56.5</c:v>
                </c:pt>
                <c:pt idx="5">
                  <c:v>51.6</c:v>
                </c:pt>
              </c:numCache>
            </c:numRef>
          </c:val>
          <c:smooth val="0"/>
          <c:extLst>
            <c:ext xmlns:c16="http://schemas.microsoft.com/office/drawing/2014/chart" uri="{C3380CC4-5D6E-409C-BE32-E72D297353CC}">
              <c16:uniqueId val="{00000000-75E9-40F9-BEB8-1A578723E3E6}"/>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Житомирська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77.8</c:v>
                </c:pt>
                <c:pt idx="1">
                  <c:v>77.3</c:v>
                </c:pt>
                <c:pt idx="2">
                  <c:v>76.5</c:v>
                </c:pt>
                <c:pt idx="3">
                  <c:v>68.599999999999994</c:v>
                </c:pt>
                <c:pt idx="4">
                  <c:v>44.4</c:v>
                </c:pt>
                <c:pt idx="5">
                  <c:v>50</c:v>
                </c:pt>
              </c:numCache>
            </c:numRef>
          </c:val>
          <c:smooth val="0"/>
          <c:extLst>
            <c:ext xmlns:c16="http://schemas.microsoft.com/office/drawing/2014/chart" uri="{C3380CC4-5D6E-409C-BE32-E72D297353CC}">
              <c16:uniqueId val="{00000000-567A-42E5-BC45-6C1BC377C8F3}"/>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Закарпатська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69.599999999999994</c:v>
                </c:pt>
                <c:pt idx="1">
                  <c:v>67.5</c:v>
                </c:pt>
                <c:pt idx="2">
                  <c:v>67.599999999999994</c:v>
                </c:pt>
                <c:pt idx="3">
                  <c:v>69.099999999999994</c:v>
                </c:pt>
                <c:pt idx="4">
                  <c:v>51.6</c:v>
                </c:pt>
                <c:pt idx="5">
                  <c:v>60</c:v>
                </c:pt>
              </c:numCache>
            </c:numRef>
          </c:val>
          <c:smooth val="0"/>
          <c:extLst>
            <c:ext xmlns:c16="http://schemas.microsoft.com/office/drawing/2014/chart" uri="{C3380CC4-5D6E-409C-BE32-E72D297353CC}">
              <c16:uniqueId val="{00000000-4A51-4767-B773-A01AAC5B1654}"/>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Запорізька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77</c:v>
                </c:pt>
                <c:pt idx="1">
                  <c:v>74.8</c:v>
                </c:pt>
                <c:pt idx="2">
                  <c:v>79.400000000000006</c:v>
                </c:pt>
                <c:pt idx="3">
                  <c:v>71.7</c:v>
                </c:pt>
                <c:pt idx="4">
                  <c:v>53.2</c:v>
                </c:pt>
                <c:pt idx="5">
                  <c:v>50.5</c:v>
                </c:pt>
              </c:numCache>
            </c:numRef>
          </c:val>
          <c:smooth val="0"/>
          <c:extLst>
            <c:ext xmlns:c16="http://schemas.microsoft.com/office/drawing/2014/chart" uri="{C3380CC4-5D6E-409C-BE32-E72D297353CC}">
              <c16:uniqueId val="{00000000-5B62-4878-8ABE-7AB2549E5C2E}"/>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Івано-Франківська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66.2</c:v>
                </c:pt>
                <c:pt idx="1">
                  <c:v>64</c:v>
                </c:pt>
                <c:pt idx="2">
                  <c:v>56.5</c:v>
                </c:pt>
                <c:pt idx="3">
                  <c:v>50.3</c:v>
                </c:pt>
                <c:pt idx="4">
                  <c:v>29.2</c:v>
                </c:pt>
                <c:pt idx="5">
                  <c:v>29.2</c:v>
                </c:pt>
              </c:numCache>
            </c:numRef>
          </c:val>
          <c:smooth val="0"/>
          <c:extLst>
            <c:ext xmlns:c16="http://schemas.microsoft.com/office/drawing/2014/chart" uri="{C3380CC4-5D6E-409C-BE32-E72D297353CC}">
              <c16:uniqueId val="{00000000-5D50-4FDA-8030-04F63561314E}"/>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Київська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85.7</c:v>
                </c:pt>
                <c:pt idx="1">
                  <c:v>79</c:v>
                </c:pt>
                <c:pt idx="2">
                  <c:v>74</c:v>
                </c:pt>
                <c:pt idx="3">
                  <c:v>71.3</c:v>
                </c:pt>
                <c:pt idx="4">
                  <c:v>47.4</c:v>
                </c:pt>
                <c:pt idx="5">
                  <c:v>48.9</c:v>
                </c:pt>
              </c:numCache>
            </c:numRef>
          </c:val>
          <c:smooth val="0"/>
          <c:extLst>
            <c:ext xmlns:c16="http://schemas.microsoft.com/office/drawing/2014/chart" uri="{C3380CC4-5D6E-409C-BE32-E72D297353CC}">
              <c16:uniqueId val="{00000000-D4A7-4175-B60E-B289D0ACA292}"/>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Кіровоградська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79.400000000000006</c:v>
                </c:pt>
                <c:pt idx="1">
                  <c:v>76.900000000000006</c:v>
                </c:pt>
                <c:pt idx="2">
                  <c:v>73</c:v>
                </c:pt>
                <c:pt idx="3">
                  <c:v>75.3</c:v>
                </c:pt>
                <c:pt idx="4">
                  <c:v>55.5</c:v>
                </c:pt>
                <c:pt idx="5">
                  <c:v>47.9</c:v>
                </c:pt>
              </c:numCache>
            </c:numRef>
          </c:val>
          <c:smooth val="0"/>
          <c:extLst>
            <c:ext xmlns:c16="http://schemas.microsoft.com/office/drawing/2014/chart" uri="{C3380CC4-5D6E-409C-BE32-E72D297353CC}">
              <c16:uniqueId val="{00000000-673F-42F1-9821-9426EEF4E8F9}"/>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aseline="0"/>
      </a:pPr>
      <a:endParaRPr lang="uk-UA"/>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Луганська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65.400000000000006</c:v>
                </c:pt>
                <c:pt idx="1">
                  <c:v>64.3</c:v>
                </c:pt>
                <c:pt idx="2">
                  <c:v>71</c:v>
                </c:pt>
                <c:pt idx="3">
                  <c:v>61.9</c:v>
                </c:pt>
                <c:pt idx="4">
                  <c:v>47.8</c:v>
                </c:pt>
                <c:pt idx="5">
                  <c:v>45.3</c:v>
                </c:pt>
              </c:numCache>
            </c:numRef>
          </c:val>
          <c:smooth val="0"/>
          <c:extLst>
            <c:ext xmlns:c16="http://schemas.microsoft.com/office/drawing/2014/chart" uri="{C3380CC4-5D6E-409C-BE32-E72D297353CC}">
              <c16:uniqueId val="{00000000-7861-42B7-8E91-CF99D6DBE369}"/>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Львівська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80</c:v>
                </c:pt>
                <c:pt idx="1">
                  <c:v>70</c:v>
                </c:pt>
                <c:pt idx="2">
                  <c:v>65.7</c:v>
                </c:pt>
                <c:pt idx="3">
                  <c:v>64.7</c:v>
                </c:pt>
                <c:pt idx="4">
                  <c:v>44</c:v>
                </c:pt>
                <c:pt idx="5">
                  <c:v>50</c:v>
                </c:pt>
              </c:numCache>
            </c:numRef>
          </c:val>
          <c:smooth val="0"/>
          <c:extLst>
            <c:ext xmlns:c16="http://schemas.microsoft.com/office/drawing/2014/chart" uri="{C3380CC4-5D6E-409C-BE32-E72D297353CC}">
              <c16:uniqueId val="{00000000-85B9-400A-87B4-F3F37BCE4062}"/>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Миколаївська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82.1</c:v>
                </c:pt>
                <c:pt idx="1">
                  <c:v>74.599999999999994</c:v>
                </c:pt>
                <c:pt idx="2">
                  <c:v>69.3</c:v>
                </c:pt>
                <c:pt idx="3">
                  <c:v>68.099999999999994</c:v>
                </c:pt>
                <c:pt idx="4">
                  <c:v>47.8</c:v>
                </c:pt>
                <c:pt idx="5">
                  <c:v>53.5</c:v>
                </c:pt>
              </c:numCache>
            </c:numRef>
          </c:val>
          <c:smooth val="0"/>
          <c:extLst>
            <c:ext xmlns:c16="http://schemas.microsoft.com/office/drawing/2014/chart" uri="{C3380CC4-5D6E-409C-BE32-E72D297353CC}">
              <c16:uniqueId val="{00000000-D09D-4C4F-91D5-AFE967C76CB0}"/>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02679928167"/>
          <c:y val="0.12643076923076901"/>
          <c:w val="0.84459732007183297"/>
          <c:h val="0.48207268322228902"/>
        </c:manualLayout>
      </c:layout>
      <c:barChart>
        <c:barDir val="col"/>
        <c:grouping val="clustered"/>
        <c:varyColors val="0"/>
        <c:ser>
          <c:idx val="0"/>
          <c:order val="0"/>
          <c:tx>
            <c:strRef>
              <c:f>UNHLMT!$E$9</c:f>
              <c:strCache>
                <c:ptCount val="1"/>
                <c:pt idx="0">
                  <c:v> D&amp;T Child TB</c:v>
                </c:pt>
              </c:strCache>
            </c:strRef>
          </c:tx>
          <c:spPr>
            <a:solidFill>
              <a:schemeClr val="accent1">
                <a:shade val="47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UNHLMT!$F$9:$J$9</c:f>
              <c:numCache>
                <c:formatCode>General</c:formatCode>
                <c:ptCount val="5"/>
                <c:pt idx="0">
                  <c:v>83.4</c:v>
                </c:pt>
                <c:pt idx="1">
                  <c:v>83.1</c:v>
                </c:pt>
                <c:pt idx="2">
                  <c:v>42.4</c:v>
                </c:pt>
                <c:pt idx="3">
                  <c:v>51.4</c:v>
                </c:pt>
                <c:pt idx="4" formatCode="0.0">
                  <c:v>65.074999999999974</c:v>
                </c:pt>
              </c:numCache>
            </c:numRef>
          </c:val>
          <c:extLst>
            <c:ext xmlns:c16="http://schemas.microsoft.com/office/drawing/2014/chart" uri="{C3380CC4-5D6E-409C-BE32-E72D297353CC}">
              <c16:uniqueId val="{00000000-D4CD-4236-ADE2-7508E085E0E2}"/>
            </c:ext>
          </c:extLst>
        </c:ser>
        <c:ser>
          <c:idx val="1"/>
          <c:order val="1"/>
          <c:tx>
            <c:strRef>
              <c:f>UNHLMT!$E$10</c:f>
              <c:strCache>
                <c:ptCount val="1"/>
                <c:pt idx="0">
                  <c:v> D&amp;T ML TB</c:v>
                </c:pt>
              </c:strCache>
            </c:strRef>
          </c:tx>
          <c:spPr>
            <a:solidFill>
              <a:schemeClr val="accent1">
                <a:shade val="65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UNHLMT!$F$10:$J$10</c:f>
              <c:numCache>
                <c:formatCode>General</c:formatCode>
                <c:ptCount val="5"/>
                <c:pt idx="0">
                  <c:v>79.3</c:v>
                </c:pt>
                <c:pt idx="1">
                  <c:v>70.599999999999994</c:v>
                </c:pt>
                <c:pt idx="2">
                  <c:v>46</c:v>
                </c:pt>
                <c:pt idx="3">
                  <c:v>41.1</c:v>
                </c:pt>
                <c:pt idx="4" formatCode="0.0">
                  <c:v>59.25</c:v>
                </c:pt>
              </c:numCache>
            </c:numRef>
          </c:val>
          <c:extLst>
            <c:ext xmlns:c16="http://schemas.microsoft.com/office/drawing/2014/chart" uri="{C3380CC4-5D6E-409C-BE32-E72D297353CC}">
              <c16:uniqueId val="{00000001-D4CD-4236-ADE2-7508E085E0E2}"/>
            </c:ext>
          </c:extLst>
        </c:ser>
        <c:ser>
          <c:idx val="2"/>
          <c:order val="2"/>
          <c:tx>
            <c:strRef>
              <c:f>UNHLMT!$E$11</c:f>
              <c:strCache>
                <c:ptCount val="1"/>
                <c:pt idx="0">
                  <c:v> PTP &lt;5 y.a</c:v>
                </c:pt>
              </c:strCache>
            </c:strRef>
          </c:tx>
          <c:spPr>
            <a:solidFill>
              <a:schemeClr val="accent1">
                <a:shade val="82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UNHLMT!$F$11:$J$11</c:f>
              <c:numCache>
                <c:formatCode>General</c:formatCode>
                <c:ptCount val="5"/>
                <c:pt idx="0">
                  <c:v>155</c:v>
                </c:pt>
                <c:pt idx="1">
                  <c:v>149</c:v>
                </c:pt>
                <c:pt idx="2">
                  <c:v>108</c:v>
                </c:pt>
                <c:pt idx="3">
                  <c:v>92</c:v>
                </c:pt>
                <c:pt idx="4" formatCode="0.0">
                  <c:v>126</c:v>
                </c:pt>
              </c:numCache>
            </c:numRef>
          </c:val>
          <c:extLst>
            <c:ext xmlns:c16="http://schemas.microsoft.com/office/drawing/2014/chart" uri="{C3380CC4-5D6E-409C-BE32-E72D297353CC}">
              <c16:uniqueId val="{00000002-D4CD-4236-ADE2-7508E085E0E2}"/>
            </c:ext>
          </c:extLst>
        </c:ser>
        <c:ser>
          <c:idx val="3"/>
          <c:order val="3"/>
          <c:tx>
            <c:strRef>
              <c:f>UNHLMT!$E$12</c:f>
              <c:strCache>
                <c:ptCount val="1"/>
                <c:pt idx="0">
                  <c:v>PTP&gt;5 y.a</c:v>
                </c:pt>
              </c:strCache>
            </c:strRef>
          </c:tx>
          <c:spPr>
            <a:solidFill>
              <a:schemeClr val="accent1"/>
            </a:solidFill>
            <a:ln>
              <a:noFill/>
            </a:ln>
            <a:effectLst/>
          </c:spPr>
          <c:invertIfNegative val="0"/>
          <c:cat>
            <c:strRef>
              <c:f>UNHLMT!$F$8:$J$8</c:f>
              <c:strCache>
                <c:ptCount val="5"/>
                <c:pt idx="0">
                  <c:v>2018</c:v>
                </c:pt>
                <c:pt idx="1">
                  <c:v>2019</c:v>
                </c:pt>
                <c:pt idx="2">
                  <c:v>2020</c:v>
                </c:pt>
                <c:pt idx="3">
                  <c:v>2021</c:v>
                </c:pt>
                <c:pt idx="4">
                  <c:v>TOTAL</c:v>
                </c:pt>
              </c:strCache>
            </c:strRef>
          </c:cat>
          <c:val>
            <c:numRef>
              <c:f>UNHLMT!$F$12:$J$12</c:f>
              <c:numCache>
                <c:formatCode>General</c:formatCode>
                <c:ptCount val="5"/>
                <c:pt idx="0">
                  <c:v>146</c:v>
                </c:pt>
                <c:pt idx="1">
                  <c:v>190</c:v>
                </c:pt>
                <c:pt idx="2">
                  <c:v>181</c:v>
                </c:pt>
                <c:pt idx="3">
                  <c:v>231</c:v>
                </c:pt>
                <c:pt idx="4" formatCode="0.0">
                  <c:v>187</c:v>
                </c:pt>
              </c:numCache>
            </c:numRef>
          </c:val>
          <c:extLst>
            <c:ext xmlns:c16="http://schemas.microsoft.com/office/drawing/2014/chart" uri="{C3380CC4-5D6E-409C-BE32-E72D297353CC}">
              <c16:uniqueId val="{00000003-D4CD-4236-ADE2-7508E085E0E2}"/>
            </c:ext>
          </c:extLst>
        </c:ser>
        <c:ser>
          <c:idx val="4"/>
          <c:order val="4"/>
          <c:tx>
            <c:strRef>
              <c:f>UNHLMT!$E$13</c:f>
              <c:strCache>
                <c:ptCount val="1"/>
                <c:pt idx="0">
                  <c:v>PTP PLHIV</c:v>
                </c:pt>
              </c:strCache>
            </c:strRef>
          </c:tx>
          <c:spPr>
            <a:solidFill>
              <a:schemeClr val="accent1">
                <a:tint val="83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UNHLMT!$F$13:$J$13</c:f>
              <c:numCache>
                <c:formatCode>General</c:formatCode>
                <c:ptCount val="5"/>
                <c:pt idx="0">
                  <c:v>69.3</c:v>
                </c:pt>
                <c:pt idx="1">
                  <c:v>50.7</c:v>
                </c:pt>
                <c:pt idx="2">
                  <c:v>44</c:v>
                </c:pt>
                <c:pt idx="3">
                  <c:v>26.3</c:v>
                </c:pt>
                <c:pt idx="4" formatCode="0.0">
                  <c:v>47.575000000000003</c:v>
                </c:pt>
              </c:numCache>
            </c:numRef>
          </c:val>
          <c:extLst>
            <c:ext xmlns:c16="http://schemas.microsoft.com/office/drawing/2014/chart" uri="{C3380CC4-5D6E-409C-BE32-E72D297353CC}">
              <c16:uniqueId val="{00000004-D4CD-4236-ADE2-7508E085E0E2}"/>
            </c:ext>
          </c:extLst>
        </c:ser>
        <c:ser>
          <c:idx val="5"/>
          <c:order val="5"/>
          <c:tx>
            <c:strRef>
              <c:f>UNHLMT!$E$14</c:f>
              <c:strCache>
                <c:ptCount val="1"/>
                <c:pt idx="0">
                  <c:v>D&amp;T target</c:v>
                </c:pt>
              </c:strCache>
            </c:strRef>
          </c:tx>
          <c:spPr>
            <a:solidFill>
              <a:schemeClr val="accent1">
                <a:tint val="65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UNHLMT!$F$14:$J$14</c:f>
              <c:numCache>
                <c:formatCode>General</c:formatCode>
                <c:ptCount val="5"/>
                <c:pt idx="0">
                  <c:v>87.3</c:v>
                </c:pt>
                <c:pt idx="1">
                  <c:v>86.7</c:v>
                </c:pt>
                <c:pt idx="2">
                  <c:v>64.7</c:v>
                </c:pt>
                <c:pt idx="3">
                  <c:v>72.900000000000006</c:v>
                </c:pt>
                <c:pt idx="4" formatCode="0.0">
                  <c:v>77.900000000000006</c:v>
                </c:pt>
              </c:numCache>
            </c:numRef>
          </c:val>
          <c:extLst>
            <c:ext xmlns:c16="http://schemas.microsoft.com/office/drawing/2014/chart" uri="{C3380CC4-5D6E-409C-BE32-E72D297353CC}">
              <c16:uniqueId val="{00000005-D4CD-4236-ADE2-7508E085E0E2}"/>
            </c:ext>
          </c:extLst>
        </c:ser>
        <c:ser>
          <c:idx val="6"/>
          <c:order val="6"/>
          <c:tx>
            <c:strRef>
              <c:f>UNHLMT!$E$15</c:f>
              <c:strCache>
                <c:ptCount val="1"/>
                <c:pt idx="0">
                  <c:v>PTP target</c:v>
                </c:pt>
              </c:strCache>
            </c:strRef>
          </c:tx>
          <c:spPr>
            <a:solidFill>
              <a:schemeClr val="accent1">
                <a:tint val="48000"/>
              </a:schemeClr>
            </a:solidFill>
            <a:ln>
              <a:noFill/>
            </a:ln>
            <a:effectLst/>
          </c:spPr>
          <c:invertIfNegative val="0"/>
          <c:cat>
            <c:strRef>
              <c:f>UNHLMT!$F$8:$J$8</c:f>
              <c:strCache>
                <c:ptCount val="5"/>
                <c:pt idx="0">
                  <c:v>2018</c:v>
                </c:pt>
                <c:pt idx="1">
                  <c:v>2019</c:v>
                </c:pt>
                <c:pt idx="2">
                  <c:v>2020</c:v>
                </c:pt>
                <c:pt idx="3">
                  <c:v>2021</c:v>
                </c:pt>
                <c:pt idx="4">
                  <c:v>TOTAL</c:v>
                </c:pt>
              </c:strCache>
            </c:strRef>
          </c:cat>
          <c:val>
            <c:numRef>
              <c:f>UNHLMT!$F$15:$J$15</c:f>
              <c:numCache>
                <c:formatCode>General</c:formatCode>
                <c:ptCount val="5"/>
                <c:pt idx="0">
                  <c:v>103</c:v>
                </c:pt>
                <c:pt idx="1">
                  <c:v>100</c:v>
                </c:pt>
                <c:pt idx="2">
                  <c:v>80</c:v>
                </c:pt>
                <c:pt idx="3">
                  <c:v>63</c:v>
                </c:pt>
                <c:pt idx="4" formatCode="0.0">
                  <c:v>86.5</c:v>
                </c:pt>
              </c:numCache>
            </c:numRef>
          </c:val>
          <c:extLst>
            <c:ext xmlns:c16="http://schemas.microsoft.com/office/drawing/2014/chart" uri="{C3380CC4-5D6E-409C-BE32-E72D297353CC}">
              <c16:uniqueId val="{00000006-D4CD-4236-ADE2-7508E085E0E2}"/>
            </c:ext>
          </c:extLst>
        </c:ser>
        <c:dLbls>
          <c:showLegendKey val="0"/>
          <c:showVal val="0"/>
          <c:showCatName val="0"/>
          <c:showSerName val="0"/>
          <c:showPercent val="0"/>
          <c:showBubbleSize val="0"/>
        </c:dLbls>
        <c:gapWidth val="219"/>
        <c:overlap val="-27"/>
        <c:axId val="-2062442880"/>
        <c:axId val="-2078535024"/>
      </c:barChart>
      <c:catAx>
        <c:axId val="-20624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78535024"/>
        <c:crosses val="autoZero"/>
        <c:auto val="1"/>
        <c:lblAlgn val="ctr"/>
        <c:lblOffset val="100"/>
        <c:noMultiLvlLbl val="0"/>
      </c:catAx>
      <c:valAx>
        <c:axId val="-207853502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06244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Одеська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130.6</c:v>
                </c:pt>
                <c:pt idx="1">
                  <c:v>127.9</c:v>
                </c:pt>
                <c:pt idx="2">
                  <c:v>140.6</c:v>
                </c:pt>
                <c:pt idx="3">
                  <c:v>138.5</c:v>
                </c:pt>
                <c:pt idx="4">
                  <c:v>91.8</c:v>
                </c:pt>
                <c:pt idx="5">
                  <c:v>105.9</c:v>
                </c:pt>
              </c:numCache>
            </c:numRef>
          </c:val>
          <c:smooth val="0"/>
          <c:extLst>
            <c:ext xmlns:c16="http://schemas.microsoft.com/office/drawing/2014/chart" uri="{C3380CC4-5D6E-409C-BE32-E72D297353CC}">
              <c16:uniqueId val="{00000000-9574-4AFC-83FC-DDE741397C42}"/>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Полтавська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69.599999999999994</c:v>
                </c:pt>
                <c:pt idx="1">
                  <c:v>65</c:v>
                </c:pt>
                <c:pt idx="2">
                  <c:v>59.5</c:v>
                </c:pt>
                <c:pt idx="3">
                  <c:v>52.1</c:v>
                </c:pt>
                <c:pt idx="4">
                  <c:v>36.5</c:v>
                </c:pt>
                <c:pt idx="5">
                  <c:v>34.9</c:v>
                </c:pt>
              </c:numCache>
            </c:numRef>
          </c:val>
          <c:smooth val="0"/>
          <c:extLst>
            <c:ext xmlns:c16="http://schemas.microsoft.com/office/drawing/2014/chart" uri="{C3380CC4-5D6E-409C-BE32-E72D297353CC}">
              <c16:uniqueId val="{00000000-B813-48CB-B182-F72A61B89036}"/>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Рівненська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66.5</c:v>
                </c:pt>
                <c:pt idx="1">
                  <c:v>55.2</c:v>
                </c:pt>
                <c:pt idx="2">
                  <c:v>54.8</c:v>
                </c:pt>
                <c:pt idx="3">
                  <c:v>53.4</c:v>
                </c:pt>
                <c:pt idx="4">
                  <c:v>36.4</c:v>
                </c:pt>
                <c:pt idx="5">
                  <c:v>38.9</c:v>
                </c:pt>
              </c:numCache>
            </c:numRef>
          </c:val>
          <c:smooth val="0"/>
          <c:extLst>
            <c:ext xmlns:c16="http://schemas.microsoft.com/office/drawing/2014/chart" uri="{C3380CC4-5D6E-409C-BE32-E72D297353CC}">
              <c16:uniqueId val="{00000000-F2DA-4BF7-9BFA-6A646D84A4B1}"/>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Сумська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72</c:v>
                </c:pt>
                <c:pt idx="1">
                  <c:v>69.8</c:v>
                </c:pt>
                <c:pt idx="2">
                  <c:v>69.7</c:v>
                </c:pt>
                <c:pt idx="3">
                  <c:v>63.4</c:v>
                </c:pt>
                <c:pt idx="4">
                  <c:v>41.9</c:v>
                </c:pt>
                <c:pt idx="5">
                  <c:v>42.6</c:v>
                </c:pt>
              </c:numCache>
            </c:numRef>
          </c:val>
          <c:smooth val="0"/>
          <c:extLst>
            <c:ext xmlns:c16="http://schemas.microsoft.com/office/drawing/2014/chart" uri="{C3380CC4-5D6E-409C-BE32-E72D297353CC}">
              <c16:uniqueId val="{00000000-DC69-42DC-A26A-282F85F7B3C8}"/>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Тернопільська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57.2</c:v>
                </c:pt>
                <c:pt idx="1">
                  <c:v>47.2</c:v>
                </c:pt>
                <c:pt idx="2">
                  <c:v>42.6</c:v>
                </c:pt>
                <c:pt idx="3">
                  <c:v>42.3</c:v>
                </c:pt>
                <c:pt idx="4">
                  <c:v>21.6</c:v>
                </c:pt>
                <c:pt idx="5">
                  <c:v>24.4</c:v>
                </c:pt>
              </c:numCache>
            </c:numRef>
          </c:val>
          <c:smooth val="0"/>
          <c:extLst>
            <c:ext xmlns:c16="http://schemas.microsoft.com/office/drawing/2014/chart" uri="{C3380CC4-5D6E-409C-BE32-E72D297353CC}">
              <c16:uniqueId val="{00000000-83C0-4103-8CA6-7A23B7E1A573}"/>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Харківська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52.5</c:v>
                </c:pt>
                <c:pt idx="1">
                  <c:v>51</c:v>
                </c:pt>
                <c:pt idx="2">
                  <c:v>49.7</c:v>
                </c:pt>
                <c:pt idx="3">
                  <c:v>48.7</c:v>
                </c:pt>
                <c:pt idx="4">
                  <c:v>35.200000000000003</c:v>
                </c:pt>
                <c:pt idx="5">
                  <c:v>36.200000000000003</c:v>
                </c:pt>
              </c:numCache>
            </c:numRef>
          </c:val>
          <c:smooth val="0"/>
          <c:extLst>
            <c:ext xmlns:c16="http://schemas.microsoft.com/office/drawing/2014/chart" uri="{C3380CC4-5D6E-409C-BE32-E72D297353CC}">
              <c16:uniqueId val="{00000000-8073-4C59-9F4F-658AA80DE3E4}"/>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Херсонська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99.1</c:v>
                </c:pt>
                <c:pt idx="1">
                  <c:v>92.9</c:v>
                </c:pt>
                <c:pt idx="2">
                  <c:v>83.4</c:v>
                </c:pt>
                <c:pt idx="3">
                  <c:v>77.900000000000006</c:v>
                </c:pt>
                <c:pt idx="4">
                  <c:v>59.6</c:v>
                </c:pt>
                <c:pt idx="5">
                  <c:v>53.8</c:v>
                </c:pt>
              </c:numCache>
            </c:numRef>
          </c:val>
          <c:smooth val="0"/>
          <c:extLst>
            <c:ext xmlns:c16="http://schemas.microsoft.com/office/drawing/2014/chart" uri="{C3380CC4-5D6E-409C-BE32-E72D297353CC}">
              <c16:uniqueId val="{00000000-C116-40D9-9EF6-F9F942CAA143}"/>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Хмельницька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68.2</c:v>
                </c:pt>
                <c:pt idx="1">
                  <c:v>63.8</c:v>
                </c:pt>
                <c:pt idx="2">
                  <c:v>61.2</c:v>
                </c:pt>
                <c:pt idx="3">
                  <c:v>58</c:v>
                </c:pt>
                <c:pt idx="4">
                  <c:v>37.200000000000003</c:v>
                </c:pt>
                <c:pt idx="5">
                  <c:v>32.299999999999997</c:v>
                </c:pt>
              </c:numCache>
            </c:numRef>
          </c:val>
          <c:smooth val="0"/>
          <c:extLst>
            <c:ext xmlns:c16="http://schemas.microsoft.com/office/drawing/2014/chart" uri="{C3380CC4-5D6E-409C-BE32-E72D297353CC}">
              <c16:uniqueId val="{00000000-3CAC-4AE1-B18C-1464CE7197AE}"/>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Черкаська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66.599999999999994</c:v>
                </c:pt>
                <c:pt idx="1">
                  <c:v>63.3</c:v>
                </c:pt>
                <c:pt idx="2">
                  <c:v>58.6</c:v>
                </c:pt>
                <c:pt idx="3">
                  <c:v>54.8</c:v>
                </c:pt>
                <c:pt idx="4">
                  <c:v>40.700000000000003</c:v>
                </c:pt>
                <c:pt idx="5">
                  <c:v>40.200000000000003</c:v>
                </c:pt>
              </c:numCache>
            </c:numRef>
          </c:val>
          <c:smooth val="0"/>
          <c:extLst>
            <c:ext xmlns:c16="http://schemas.microsoft.com/office/drawing/2014/chart" uri="{C3380CC4-5D6E-409C-BE32-E72D297353CC}">
              <c16:uniqueId val="{00000000-2A8E-4000-B263-305967A30CDF}"/>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Чернівецька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39.799999999999997</c:v>
                </c:pt>
                <c:pt idx="1">
                  <c:v>41.1</c:v>
                </c:pt>
                <c:pt idx="2">
                  <c:v>34.6</c:v>
                </c:pt>
                <c:pt idx="3">
                  <c:v>40.6</c:v>
                </c:pt>
                <c:pt idx="4">
                  <c:v>22.8</c:v>
                </c:pt>
                <c:pt idx="5">
                  <c:v>25.3</c:v>
                </c:pt>
              </c:numCache>
            </c:numRef>
          </c:val>
          <c:smooth val="0"/>
          <c:extLst>
            <c:ext xmlns:c16="http://schemas.microsoft.com/office/drawing/2014/chart" uri="{C3380CC4-5D6E-409C-BE32-E72D297353CC}">
              <c16:uniqueId val="{00000000-8724-4A42-8B36-83D12517EE5E}"/>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UNHLMT!$F$34</c:f>
              <c:strCache>
                <c:ptCount val="1"/>
                <c:pt idx="0">
                  <c:v>UA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UNHLMT!$E$35:$E$41</c:f>
              <c:strCache>
                <c:ptCount val="7"/>
                <c:pt idx="0">
                  <c:v> D&amp;T Child TB</c:v>
                </c:pt>
                <c:pt idx="1">
                  <c:v> D&amp;T ML TB</c:v>
                </c:pt>
                <c:pt idx="2">
                  <c:v> PTP &lt;5 y.a</c:v>
                </c:pt>
                <c:pt idx="3">
                  <c:v>PTP&gt;5 y.a</c:v>
                </c:pt>
                <c:pt idx="4">
                  <c:v>PTP PLHIV</c:v>
                </c:pt>
                <c:pt idx="5">
                  <c:v>D&amp;T target</c:v>
                </c:pt>
                <c:pt idx="6">
                  <c:v>PTP target</c:v>
                </c:pt>
              </c:strCache>
            </c:strRef>
          </c:cat>
          <c:val>
            <c:numRef>
              <c:f>UNHLMT!$F$35:$F$41</c:f>
              <c:numCache>
                <c:formatCode>General</c:formatCode>
                <c:ptCount val="7"/>
                <c:pt idx="0">
                  <c:v>37.799999999999997</c:v>
                </c:pt>
                <c:pt idx="1">
                  <c:v>37.1</c:v>
                </c:pt>
                <c:pt idx="2">
                  <c:v>100</c:v>
                </c:pt>
                <c:pt idx="3">
                  <c:v>100</c:v>
                </c:pt>
                <c:pt idx="4">
                  <c:v>20.9</c:v>
                </c:pt>
                <c:pt idx="5">
                  <c:v>51.4</c:v>
                </c:pt>
                <c:pt idx="6">
                  <c:v>57.5</c:v>
                </c:pt>
              </c:numCache>
            </c:numRef>
          </c:val>
          <c:extLst>
            <c:ext xmlns:c16="http://schemas.microsoft.com/office/drawing/2014/chart" uri="{C3380CC4-5D6E-409C-BE32-E72D297353CC}">
              <c16:uniqueId val="{00000000-2939-4E2A-AF50-ABFD92640D3B}"/>
            </c:ext>
          </c:extLst>
        </c:ser>
        <c:ser>
          <c:idx val="1"/>
          <c:order val="1"/>
          <c:tx>
            <c:strRef>
              <c:f>UNHLMT!$G$34</c:f>
              <c:strCache>
                <c:ptCount val="1"/>
                <c:pt idx="0">
                  <c:v>GL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UNHLMT!$E$35:$E$41</c:f>
              <c:strCache>
                <c:ptCount val="7"/>
                <c:pt idx="0">
                  <c:v> D&amp;T Child TB</c:v>
                </c:pt>
                <c:pt idx="1">
                  <c:v> D&amp;T ML TB</c:v>
                </c:pt>
                <c:pt idx="2">
                  <c:v> PTP &lt;5 y.a</c:v>
                </c:pt>
                <c:pt idx="3">
                  <c:v>PTP&gt;5 y.a</c:v>
                </c:pt>
                <c:pt idx="4">
                  <c:v>PTP PLHIV</c:v>
                </c:pt>
                <c:pt idx="5">
                  <c:v>D&amp;T target</c:v>
                </c:pt>
                <c:pt idx="6">
                  <c:v>PTP target</c:v>
                </c:pt>
              </c:strCache>
            </c:strRef>
          </c:cat>
          <c:val>
            <c:numRef>
              <c:f>UNHLMT!$G$35:$G$41</c:f>
              <c:numCache>
                <c:formatCode>General</c:formatCode>
                <c:ptCount val="7"/>
                <c:pt idx="0">
                  <c:v>41</c:v>
                </c:pt>
                <c:pt idx="1">
                  <c:v>32</c:v>
                </c:pt>
                <c:pt idx="2">
                  <c:v>29</c:v>
                </c:pt>
                <c:pt idx="3">
                  <c:v>16</c:v>
                </c:pt>
                <c:pt idx="4">
                  <c:v>100</c:v>
                </c:pt>
                <c:pt idx="5">
                  <c:v>50</c:v>
                </c:pt>
                <c:pt idx="6">
                  <c:v>29</c:v>
                </c:pt>
              </c:numCache>
            </c:numRef>
          </c:val>
          <c:extLst>
            <c:ext xmlns:c16="http://schemas.microsoft.com/office/drawing/2014/chart" uri="{C3380CC4-5D6E-409C-BE32-E72D297353CC}">
              <c16:uniqueId val="{00000001-2939-4E2A-AF50-ABFD92640D3B}"/>
            </c:ext>
          </c:extLst>
        </c:ser>
        <c:dLbls>
          <c:dLblPos val="inEnd"/>
          <c:showLegendKey val="0"/>
          <c:showVal val="1"/>
          <c:showCatName val="0"/>
          <c:showSerName val="0"/>
          <c:showPercent val="0"/>
          <c:showBubbleSize val="0"/>
        </c:dLbls>
        <c:gapWidth val="100"/>
        <c:axId val="-2062095888"/>
        <c:axId val="-2061783152"/>
      </c:barChart>
      <c:catAx>
        <c:axId val="-20620958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061783152"/>
        <c:crosses val="autoZero"/>
        <c:auto val="1"/>
        <c:lblAlgn val="ctr"/>
        <c:lblOffset val="100"/>
        <c:noMultiLvlLbl val="0"/>
      </c:catAx>
      <c:valAx>
        <c:axId val="-2061783152"/>
        <c:scaling>
          <c:orientation val="minMax"/>
        </c:scaling>
        <c:delete val="1"/>
        <c:axPos val="b"/>
        <c:numFmt formatCode="General" sourceLinked="1"/>
        <c:majorTickMark val="none"/>
        <c:minorTickMark val="none"/>
        <c:tickLblPos val="nextTo"/>
        <c:crossAx val="-2062095888"/>
        <c:crosses val="autoZero"/>
        <c:crossBetween val="between"/>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Чернігівська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83.5</c:v>
                </c:pt>
                <c:pt idx="1">
                  <c:v>75.400000000000006</c:v>
                </c:pt>
                <c:pt idx="2">
                  <c:v>73.7</c:v>
                </c:pt>
                <c:pt idx="3">
                  <c:v>58.3</c:v>
                </c:pt>
                <c:pt idx="4">
                  <c:v>44</c:v>
                </c:pt>
                <c:pt idx="5">
                  <c:v>56.2</c:v>
                </c:pt>
              </c:numCache>
            </c:numRef>
          </c:val>
          <c:smooth val="0"/>
          <c:extLst>
            <c:ext xmlns:c16="http://schemas.microsoft.com/office/drawing/2014/chart" uri="{C3380CC4-5D6E-409C-BE32-E72D297353CC}">
              <c16:uniqueId val="{00000000-F630-460D-8A46-0135826C83F5}"/>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м. Київ</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52.6</c:v>
                </c:pt>
                <c:pt idx="1">
                  <c:v>50</c:v>
                </c:pt>
                <c:pt idx="2">
                  <c:v>44.8</c:v>
                </c:pt>
                <c:pt idx="3">
                  <c:v>45</c:v>
                </c:pt>
                <c:pt idx="4">
                  <c:v>28</c:v>
                </c:pt>
                <c:pt idx="5">
                  <c:v>28.5</c:v>
                </c:pt>
              </c:numCache>
            </c:numRef>
          </c:val>
          <c:smooth val="0"/>
          <c:extLst>
            <c:ext xmlns:c16="http://schemas.microsoft.com/office/drawing/2014/chart" uri="{C3380CC4-5D6E-409C-BE32-E72D297353CC}">
              <c16:uniqueId val="{00000000-A425-4AA7-8F28-2A97B73D8F54}"/>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270D-413A-A547-BB7271010174}"/>
            </c:ext>
          </c:extLst>
        </c:ser>
        <c:ser>
          <c:idx val="1"/>
          <c:order val="1"/>
          <c:tx>
            <c:strRef>
              <c:f>Аркуш1!$C$1</c:f>
              <c:strCache>
                <c:ptCount val="1"/>
                <c:pt idx="0">
                  <c:v>Захворюваність міських жителів</c:v>
                </c:pt>
              </c:strCache>
            </c:strRef>
          </c:tx>
          <c:spPr>
            <a:solidFill>
              <a:schemeClr val="accent2"/>
            </a:solidFill>
            <a:ln w="25400">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Аркуш1!$C$2:$C$27</c:f>
              <c:numCache>
                <c:formatCode>General</c:formatCode>
                <c:ptCount val="26"/>
                <c:pt idx="0">
                  <c:v>24.3</c:v>
                </c:pt>
                <c:pt idx="1">
                  <c:v>51.4</c:v>
                </c:pt>
                <c:pt idx="2">
                  <c:v>69</c:v>
                </c:pt>
                <c:pt idx="3">
                  <c:v>53.6</c:v>
                </c:pt>
                <c:pt idx="4">
                  <c:v>44.1</c:v>
                </c:pt>
                <c:pt idx="5">
                  <c:v>66.900000000000006</c:v>
                </c:pt>
                <c:pt idx="6">
                  <c:v>46.5</c:v>
                </c:pt>
                <c:pt idx="7">
                  <c:v>27.5</c:v>
                </c:pt>
                <c:pt idx="8">
                  <c:v>45.3</c:v>
                </c:pt>
                <c:pt idx="9">
                  <c:v>41.3</c:v>
                </c:pt>
                <c:pt idx="10">
                  <c:v>45.7</c:v>
                </c:pt>
                <c:pt idx="11">
                  <c:v>47.7</c:v>
                </c:pt>
                <c:pt idx="12">
                  <c:v>50.4</c:v>
                </c:pt>
                <c:pt idx="13">
                  <c:v>114.6</c:v>
                </c:pt>
                <c:pt idx="14">
                  <c:v>29.6</c:v>
                </c:pt>
                <c:pt idx="15">
                  <c:v>38.299999999999997</c:v>
                </c:pt>
                <c:pt idx="16">
                  <c:v>39.700000000000003</c:v>
                </c:pt>
                <c:pt idx="17">
                  <c:v>23.1</c:v>
                </c:pt>
                <c:pt idx="18">
                  <c:v>35.299999999999997</c:v>
                </c:pt>
                <c:pt idx="19">
                  <c:v>49.7</c:v>
                </c:pt>
                <c:pt idx="20">
                  <c:v>28.8</c:v>
                </c:pt>
                <c:pt idx="21">
                  <c:v>37.700000000000003</c:v>
                </c:pt>
                <c:pt idx="22">
                  <c:v>27.1</c:v>
                </c:pt>
                <c:pt idx="23">
                  <c:v>39.4</c:v>
                </c:pt>
                <c:pt idx="24">
                  <c:v>28.5</c:v>
                </c:pt>
                <c:pt idx="25">
                  <c:v>41.6</c:v>
                </c:pt>
              </c:numCache>
            </c:numRef>
          </c:val>
          <c:extLst>
            <c:ext xmlns:c16="http://schemas.microsoft.com/office/drawing/2014/chart" uri="{C3380CC4-5D6E-409C-BE32-E72D297353CC}">
              <c16:uniqueId val="{00000001-270D-413A-A547-BB7271010174}"/>
            </c:ext>
          </c:extLst>
        </c:ser>
        <c:ser>
          <c:idx val="2"/>
          <c:order val="2"/>
          <c:tx>
            <c:strRef>
              <c:f>Аркуш1!$D$1</c:f>
              <c:strCache>
                <c:ptCount val="1"/>
                <c:pt idx="0">
                  <c:v>Захворюваність сільських жителів</c:v>
                </c:pt>
              </c:strCache>
            </c:strRef>
          </c:tx>
          <c:spPr>
            <a:solidFill>
              <a:schemeClr val="accent1"/>
            </a:solidFill>
            <a:ln>
              <a:noFill/>
            </a:ln>
            <a:effectLst>
              <a:glow>
                <a:schemeClr val="accent1"/>
              </a:glow>
              <a:outerShdw sx="1000" sy="1000" algn="ctr" rotWithShape="0">
                <a:srgbClr val="000000"/>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Аркуш1!$D$2:$D$27</c:f>
              <c:numCache>
                <c:formatCode>General</c:formatCode>
                <c:ptCount val="26"/>
                <c:pt idx="0">
                  <c:v>29</c:v>
                </c:pt>
                <c:pt idx="1">
                  <c:v>69.099999999999994</c:v>
                </c:pt>
                <c:pt idx="2">
                  <c:v>61.3</c:v>
                </c:pt>
                <c:pt idx="3">
                  <c:v>40.5</c:v>
                </c:pt>
                <c:pt idx="4">
                  <c:v>58.5</c:v>
                </c:pt>
                <c:pt idx="5">
                  <c:v>55.9</c:v>
                </c:pt>
                <c:pt idx="6">
                  <c:v>63.9</c:v>
                </c:pt>
                <c:pt idx="7">
                  <c:v>32</c:v>
                </c:pt>
                <c:pt idx="8">
                  <c:v>54.6</c:v>
                </c:pt>
                <c:pt idx="9">
                  <c:v>59.4</c:v>
                </c:pt>
                <c:pt idx="10">
                  <c:v>44.2</c:v>
                </c:pt>
                <c:pt idx="11">
                  <c:v>53.6</c:v>
                </c:pt>
                <c:pt idx="12">
                  <c:v>60.4</c:v>
                </c:pt>
                <c:pt idx="13">
                  <c:v>88.6</c:v>
                </c:pt>
                <c:pt idx="14">
                  <c:v>43.6</c:v>
                </c:pt>
                <c:pt idx="15">
                  <c:v>39.4</c:v>
                </c:pt>
                <c:pt idx="16">
                  <c:v>49.3</c:v>
                </c:pt>
                <c:pt idx="17">
                  <c:v>25.6</c:v>
                </c:pt>
                <c:pt idx="18">
                  <c:v>39.799999999999997</c:v>
                </c:pt>
                <c:pt idx="19">
                  <c:v>60.2</c:v>
                </c:pt>
                <c:pt idx="20">
                  <c:v>37.1</c:v>
                </c:pt>
                <c:pt idx="21">
                  <c:v>43.4</c:v>
                </c:pt>
                <c:pt idx="22">
                  <c:v>23.9</c:v>
                </c:pt>
                <c:pt idx="23">
                  <c:v>87.8</c:v>
                </c:pt>
                <c:pt idx="24">
                  <c:v>0</c:v>
                </c:pt>
                <c:pt idx="25">
                  <c:v>49.7</c:v>
                </c:pt>
              </c:numCache>
            </c:numRef>
          </c:val>
          <c:extLst>
            <c:ext xmlns:c16="http://schemas.microsoft.com/office/drawing/2014/chart" uri="{C3380CC4-5D6E-409C-BE32-E72D297353CC}">
              <c16:uniqueId val="{00000002-270D-413A-A547-BB7271010174}"/>
            </c:ext>
          </c:extLst>
        </c:ser>
        <c:dLbls>
          <c:showLegendKey val="0"/>
          <c:showVal val="0"/>
          <c:showCatName val="0"/>
          <c:showSerName val="0"/>
          <c:showPercent val="0"/>
          <c:showBubbleSize val="0"/>
        </c:dLbls>
        <c:gapWidth val="219"/>
        <c:axId val="409414720"/>
        <c:axId val="409415048"/>
      </c:ba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99332442358785E-2"/>
          <c:y val="4.4326241134751775E-2"/>
          <c:w val="0.84551813986056357"/>
          <c:h val="0.67886301446361763"/>
        </c:manualLayout>
      </c:layout>
      <c:barChart>
        <c:barDir val="col"/>
        <c:grouping val="clustered"/>
        <c:varyColors val="0"/>
        <c:ser>
          <c:idx val="0"/>
          <c:order val="0"/>
          <c:tx>
            <c:strRef>
              <c:f>Лист1!$A$214</c:f>
              <c:strCache>
                <c:ptCount val="1"/>
                <c:pt idx="0">
                  <c:v>Інтенсивний показник на 100 тис. населення</c:v>
                </c:pt>
              </c:strCache>
            </c:strRef>
          </c:tx>
          <c:spPr>
            <a:solidFill>
              <a:srgbClr val="FF9933"/>
            </a:solidFill>
            <a:ln>
              <a:noFill/>
            </a:ln>
            <a:effectLst/>
          </c:spPr>
          <c:invertIfNegative val="0"/>
          <c:dLbls>
            <c:dLbl>
              <c:idx val="0"/>
              <c:layout>
                <c:manualLayout>
                  <c:x val="-2.7778366269238801E-3"/>
                  <c:y val="0.44860699751980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2-4648-8E1C-690467076182}"/>
                </c:ext>
              </c:extLst>
            </c:dLbl>
            <c:dLbl>
              <c:idx val="1"/>
              <c:layout>
                <c:manualLayout>
                  <c:x val="-2.77783662692391E-3"/>
                  <c:y val="0.390630162055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52-4648-8E1C-690467076182}"/>
                </c:ext>
              </c:extLst>
            </c:dLbl>
            <c:dLbl>
              <c:idx val="2"/>
              <c:layout>
                <c:manualLayout>
                  <c:x val="-6.7638854560221002E-3"/>
                  <c:y val="0.390630162055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2-4648-8E1C-690467076182}"/>
                </c:ext>
              </c:extLst>
            </c:dLbl>
            <c:dLbl>
              <c:idx val="3"/>
              <c:layout>
                <c:manualLayout>
                  <c:x val="-3.5624919082424102E-3"/>
                  <c:y val="0.36285262507324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2-4648-8E1C-690467076182}"/>
                </c:ext>
              </c:extLst>
            </c:dLbl>
            <c:dLbl>
              <c:idx val="4"/>
              <c:layout>
                <c:manualLayout>
                  <c:x val="2.415458937197979E-3"/>
                  <c:y val="0.190138067877052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52-4648-8E1C-690467076182}"/>
                </c:ext>
              </c:extLst>
            </c:dLbl>
            <c:dLbl>
              <c:idx val="5"/>
              <c:layout>
                <c:manualLayout>
                  <c:x val="0"/>
                  <c:y val="0.31281851236485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52-4648-8E1C-690467076182}"/>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Лист1!$B$213:$G$213</c:f>
              <c:numCache>
                <c:formatCode>General</c:formatCode>
                <c:ptCount val="6"/>
                <c:pt idx="0">
                  <c:v>2016</c:v>
                </c:pt>
                <c:pt idx="1">
                  <c:v>2017</c:v>
                </c:pt>
                <c:pt idx="2">
                  <c:v>2018</c:v>
                </c:pt>
                <c:pt idx="3">
                  <c:v>2019</c:v>
                </c:pt>
                <c:pt idx="4">
                  <c:v>2020</c:v>
                </c:pt>
                <c:pt idx="5">
                  <c:v>2021</c:v>
                </c:pt>
              </c:numCache>
            </c:numRef>
          </c:cat>
          <c:val>
            <c:numRef>
              <c:f>Лист1!$B$214:$G$214</c:f>
              <c:numCache>
                <c:formatCode>General</c:formatCode>
                <c:ptCount val="6"/>
                <c:pt idx="0">
                  <c:v>82.1</c:v>
                </c:pt>
                <c:pt idx="1">
                  <c:v>76.599999999999994</c:v>
                </c:pt>
                <c:pt idx="2">
                  <c:v>74</c:v>
                </c:pt>
                <c:pt idx="3">
                  <c:v>69.400000000000006</c:v>
                </c:pt>
                <c:pt idx="4">
                  <c:v>50.9</c:v>
                </c:pt>
                <c:pt idx="5">
                  <c:v>47.6</c:v>
                </c:pt>
              </c:numCache>
            </c:numRef>
          </c:val>
          <c:extLst>
            <c:ext xmlns:c16="http://schemas.microsoft.com/office/drawing/2014/chart" uri="{C3380CC4-5D6E-409C-BE32-E72D297353CC}">
              <c16:uniqueId val="{00000006-A352-4648-8E1C-690467076182}"/>
            </c:ext>
          </c:extLst>
        </c:ser>
        <c:dLbls>
          <c:showLegendKey val="0"/>
          <c:showVal val="0"/>
          <c:showCatName val="0"/>
          <c:showSerName val="0"/>
          <c:showPercent val="0"/>
          <c:showBubbleSize val="0"/>
        </c:dLbls>
        <c:gapWidth val="150"/>
        <c:axId val="1862372720"/>
        <c:axId val="1861695984"/>
      </c:barChart>
      <c:lineChart>
        <c:grouping val="standard"/>
        <c:varyColors val="0"/>
        <c:ser>
          <c:idx val="1"/>
          <c:order val="1"/>
          <c:tx>
            <c:strRef>
              <c:f>Лист1!$A$215</c:f>
              <c:strCache>
                <c:ptCount val="1"/>
                <c:pt idx="0">
                  <c:v>темп росту/зниження</c:v>
                </c:pt>
              </c:strCache>
            </c:strRef>
          </c:tx>
          <c:spPr>
            <a:ln w="28575" cap="rnd">
              <a:solidFill>
                <a:srgbClr val="0070C0"/>
              </a:solidFill>
              <a:round/>
            </a:ln>
            <a:effectLst/>
          </c:spPr>
          <c:marker>
            <c:symbol val="none"/>
          </c:marker>
          <c:dLbls>
            <c:dLbl>
              <c:idx val="0"/>
              <c:layout>
                <c:manualLayout>
                  <c:x val="-2.2141451144382595E-17"/>
                  <c:y val="-2.0430497469973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52-4648-8E1C-690467076182}"/>
                </c:ext>
              </c:extLst>
            </c:dLbl>
            <c:dLbl>
              <c:idx val="1"/>
              <c:layout>
                <c:manualLayout>
                  <c:x val="-2.0531400966183576E-2"/>
                  <c:y val="-4.3779637435657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52-4648-8E1C-690467076182}"/>
                </c:ext>
              </c:extLst>
            </c:dLbl>
            <c:dLbl>
              <c:idx val="2"/>
              <c:layout>
                <c:manualLayout>
                  <c:x val="-8.856580457753038E-17"/>
                  <c:y val="-1.1674569982842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52-4648-8E1C-690467076182}"/>
                </c:ext>
              </c:extLst>
            </c:dLbl>
            <c:dLbl>
              <c:idx val="3"/>
              <c:layout>
                <c:manualLayout>
                  <c:x val="-1.79372197309417E-2"/>
                  <c:y val="-2.038735983690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52-4648-8E1C-690467076182}"/>
                </c:ext>
              </c:extLst>
            </c:dLbl>
            <c:dLbl>
              <c:idx val="4"/>
              <c:layout>
                <c:manualLayout>
                  <c:x val="-3.1888390632785403E-2"/>
                  <c:y val="-7.747196738022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52-4648-8E1C-69046707618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Лист1!$B$213:$G$213</c:f>
              <c:numCache>
                <c:formatCode>General</c:formatCode>
                <c:ptCount val="6"/>
                <c:pt idx="0">
                  <c:v>2016</c:v>
                </c:pt>
                <c:pt idx="1">
                  <c:v>2017</c:v>
                </c:pt>
                <c:pt idx="2">
                  <c:v>2018</c:v>
                </c:pt>
                <c:pt idx="3">
                  <c:v>2019</c:v>
                </c:pt>
                <c:pt idx="4">
                  <c:v>2020</c:v>
                </c:pt>
                <c:pt idx="5">
                  <c:v>2021</c:v>
                </c:pt>
              </c:numCache>
            </c:numRef>
          </c:cat>
          <c:val>
            <c:numRef>
              <c:f>Лист1!$B$215:$G$215</c:f>
              <c:numCache>
                <c:formatCode>General</c:formatCode>
                <c:ptCount val="6"/>
                <c:pt idx="0">
                  <c:v>-3.1</c:v>
                </c:pt>
                <c:pt idx="1">
                  <c:v>-6.7</c:v>
                </c:pt>
                <c:pt idx="2">
                  <c:v>-3.4</c:v>
                </c:pt>
                <c:pt idx="3">
                  <c:v>-6.6</c:v>
                </c:pt>
                <c:pt idx="4">
                  <c:v>-26.6</c:v>
                </c:pt>
                <c:pt idx="5">
                  <c:v>-6.5</c:v>
                </c:pt>
              </c:numCache>
            </c:numRef>
          </c:val>
          <c:smooth val="0"/>
          <c:extLst>
            <c:ext xmlns:c16="http://schemas.microsoft.com/office/drawing/2014/chart" uri="{C3380CC4-5D6E-409C-BE32-E72D297353CC}">
              <c16:uniqueId val="{0000000C-A352-4648-8E1C-690467076182}"/>
            </c:ext>
          </c:extLst>
        </c:ser>
        <c:dLbls>
          <c:showLegendKey val="0"/>
          <c:showVal val="0"/>
          <c:showCatName val="0"/>
          <c:showSerName val="0"/>
          <c:showPercent val="0"/>
          <c:showBubbleSize val="0"/>
        </c:dLbls>
        <c:marker val="1"/>
        <c:smooth val="0"/>
        <c:axId val="-2065185568"/>
        <c:axId val="1856527152"/>
      </c:lineChart>
      <c:catAx>
        <c:axId val="18623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1861695984"/>
        <c:crosses val="autoZero"/>
        <c:auto val="1"/>
        <c:lblAlgn val="ctr"/>
        <c:lblOffset val="100"/>
        <c:noMultiLvlLbl val="0"/>
      </c:catAx>
      <c:valAx>
        <c:axId val="186169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solidFill>
            <a:sysClr val="window" lastClr="FFFFFF"/>
          </a:solid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2372720"/>
        <c:crosses val="autoZero"/>
        <c:crossBetween val="between"/>
      </c:valAx>
      <c:valAx>
        <c:axId val="1856527152"/>
        <c:scaling>
          <c:orientation val="minMax"/>
        </c:scaling>
        <c:delete val="0"/>
        <c:axPos val="r"/>
        <c:numFmt formatCode="General" sourceLinked="1"/>
        <c:majorTickMark val="none"/>
        <c:minorTickMark val="none"/>
        <c:tickLblPos val="nextTo"/>
        <c:spPr>
          <a:solidFill>
            <a:sysClr val="window" lastClr="FFFFFF"/>
          </a:solidFill>
          <a:ln>
            <a:solidFill>
              <a:sysClr val="window" lastClr="FFFFF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65185568"/>
        <c:crosses val="max"/>
        <c:crossBetween val="between"/>
      </c:valAx>
      <c:catAx>
        <c:axId val="-2065185568"/>
        <c:scaling>
          <c:orientation val="minMax"/>
        </c:scaling>
        <c:delete val="1"/>
        <c:axPos val="b"/>
        <c:numFmt formatCode="General" sourceLinked="1"/>
        <c:majorTickMark val="none"/>
        <c:minorTickMark val="none"/>
        <c:tickLblPos val="nextTo"/>
        <c:crossAx val="185652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Лист1!$B$488</c:f>
              <c:strCache>
                <c:ptCount val="1"/>
                <c:pt idx="0">
                  <c:v>2021</c:v>
                </c:pt>
              </c:strCache>
            </c:strRef>
          </c:tx>
          <c:spPr>
            <a:solidFill>
              <a:srgbClr val="FF9933"/>
            </a:solidFill>
            <a:ln>
              <a:noFill/>
            </a:ln>
            <a:effectLst/>
          </c:spPr>
          <c:invertIfNegative val="0"/>
          <c:dPt>
            <c:idx val="25"/>
            <c:invertIfNegative val="0"/>
            <c:bubble3D val="0"/>
            <c:spPr>
              <a:solidFill>
                <a:srgbClr val="0070C0"/>
              </a:solidFill>
              <a:ln>
                <a:noFill/>
              </a:ln>
              <a:effectLst/>
            </c:spPr>
            <c:extLst>
              <c:ext xmlns:c16="http://schemas.microsoft.com/office/drawing/2014/chart" uri="{C3380CC4-5D6E-409C-BE32-E72D297353CC}">
                <c16:uniqueId val="{00000001-68C5-4F12-8BE1-E500C1EEF321}"/>
              </c:ext>
            </c:extLst>
          </c:dPt>
          <c:dLbls>
            <c:dLbl>
              <c:idx val="25"/>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1-68C5-4F12-8BE1-E500C1EEF32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Лист1!$A$489:$A$514</c:f>
              <c:strCache>
                <c:ptCount val="26"/>
                <c:pt idx="0">
                  <c:v>Одеська</c:v>
                </c:pt>
                <c:pt idx="1">
                  <c:v>Миколаївська</c:v>
                </c:pt>
                <c:pt idx="2">
                  <c:v>Дніпропетровська</c:v>
                </c:pt>
                <c:pt idx="3">
                  <c:v>Закарпатська</c:v>
                </c:pt>
                <c:pt idx="4">
                  <c:v>Кіровоградська</c:v>
                </c:pt>
                <c:pt idx="5">
                  <c:v>Чернігівська</c:v>
                </c:pt>
                <c:pt idx="6">
                  <c:v>Херсонська</c:v>
                </c:pt>
                <c:pt idx="7">
                  <c:v>Київська</c:v>
                </c:pt>
                <c:pt idx="8">
                  <c:v>Луганська**</c:v>
                </c:pt>
                <c:pt idx="9">
                  <c:v>Полтавська</c:v>
                </c:pt>
                <c:pt idx="10">
                  <c:v>Запорізька</c:v>
                </c:pt>
                <c:pt idx="11">
                  <c:v>Житомирська</c:v>
                </c:pt>
                <c:pt idx="12">
                  <c:v>Вінницька</c:v>
                </c:pt>
                <c:pt idx="13">
                  <c:v>Волинська</c:v>
                </c:pt>
                <c:pt idx="14">
                  <c:v>Рівненська</c:v>
                </c:pt>
                <c:pt idx="15">
                  <c:v>Харківська</c:v>
                </c:pt>
                <c:pt idx="16">
                  <c:v>Чернівецька</c:v>
                </c:pt>
                <c:pt idx="17">
                  <c:v>Черкаська</c:v>
                </c:pt>
                <c:pt idx="18">
                  <c:v>Донецька**</c:v>
                </c:pt>
                <c:pt idx="19">
                  <c:v>Хмельницька</c:v>
                </c:pt>
                <c:pt idx="20">
                  <c:v>Львівська</c:v>
                </c:pt>
                <c:pt idx="21">
                  <c:v>Сумська</c:v>
                </c:pt>
                <c:pt idx="22">
                  <c:v>Івано-Франківська</c:v>
                </c:pt>
                <c:pt idx="23">
                  <c:v>Тернопільська</c:v>
                </c:pt>
                <c:pt idx="24">
                  <c:v>м. Київ</c:v>
                </c:pt>
                <c:pt idx="25">
                  <c:v>Україна</c:v>
                </c:pt>
              </c:strCache>
            </c:strRef>
          </c:cat>
          <c:val>
            <c:numRef>
              <c:f>Лист1!$B$489:$B$514</c:f>
              <c:numCache>
                <c:formatCode>General</c:formatCode>
                <c:ptCount val="26"/>
                <c:pt idx="0">
                  <c:v>136.70000000000002</c:v>
                </c:pt>
                <c:pt idx="1">
                  <c:v>95.5</c:v>
                </c:pt>
                <c:pt idx="2">
                  <c:v>74.100000000000009</c:v>
                </c:pt>
                <c:pt idx="3">
                  <c:v>73.400000000000006</c:v>
                </c:pt>
                <c:pt idx="4">
                  <c:v>71.900000000000006</c:v>
                </c:pt>
                <c:pt idx="5">
                  <c:v>61.5</c:v>
                </c:pt>
                <c:pt idx="6">
                  <c:v>59.7</c:v>
                </c:pt>
                <c:pt idx="7">
                  <c:v>52.6</c:v>
                </c:pt>
                <c:pt idx="8">
                  <c:v>51.400000000000006</c:v>
                </c:pt>
                <c:pt idx="9">
                  <c:v>50.900000000000006</c:v>
                </c:pt>
                <c:pt idx="10">
                  <c:v>50.400000000000006</c:v>
                </c:pt>
                <c:pt idx="11">
                  <c:v>46.900000000000006</c:v>
                </c:pt>
                <c:pt idx="12">
                  <c:v>46.6</c:v>
                </c:pt>
                <c:pt idx="13">
                  <c:v>45</c:v>
                </c:pt>
                <c:pt idx="14">
                  <c:v>44.400000000000006</c:v>
                </c:pt>
                <c:pt idx="15">
                  <c:v>39.800000000000004</c:v>
                </c:pt>
                <c:pt idx="16">
                  <c:v>39.1</c:v>
                </c:pt>
                <c:pt idx="17">
                  <c:v>38.6</c:v>
                </c:pt>
                <c:pt idx="18">
                  <c:v>38.5</c:v>
                </c:pt>
                <c:pt idx="19">
                  <c:v>35.1</c:v>
                </c:pt>
                <c:pt idx="20">
                  <c:v>31.6</c:v>
                </c:pt>
                <c:pt idx="21">
                  <c:v>25</c:v>
                </c:pt>
                <c:pt idx="22">
                  <c:v>24.400000000000002</c:v>
                </c:pt>
                <c:pt idx="23">
                  <c:v>23.1</c:v>
                </c:pt>
                <c:pt idx="24">
                  <c:v>23</c:v>
                </c:pt>
                <c:pt idx="25">
                  <c:v>47.6</c:v>
                </c:pt>
              </c:numCache>
            </c:numRef>
          </c:val>
          <c:extLst>
            <c:ext xmlns:c16="http://schemas.microsoft.com/office/drawing/2014/chart" uri="{C3380CC4-5D6E-409C-BE32-E72D297353CC}">
              <c16:uniqueId val="{00000002-68C5-4F12-8BE1-E500C1EEF321}"/>
            </c:ext>
          </c:extLst>
        </c:ser>
        <c:dLbls>
          <c:showLegendKey val="0"/>
          <c:showVal val="0"/>
          <c:showCatName val="0"/>
          <c:showSerName val="0"/>
          <c:showPercent val="0"/>
          <c:showBubbleSize val="0"/>
        </c:dLbls>
        <c:gapWidth val="219"/>
        <c:overlap val="-27"/>
        <c:axId val="1863275568"/>
        <c:axId val="-2136800720"/>
      </c:barChart>
      <c:lineChart>
        <c:grouping val="standard"/>
        <c:varyColors val="0"/>
        <c:ser>
          <c:idx val="1"/>
          <c:order val="1"/>
          <c:tx>
            <c:strRef>
              <c:f>Лист1!$C$488</c:f>
              <c:strCache>
                <c:ptCount val="1"/>
                <c:pt idx="0">
                  <c:v>2021</c:v>
                </c:pt>
              </c:strCache>
            </c:strRef>
          </c:tx>
          <c:spPr>
            <a:ln w="28575" cap="rnd">
              <a:solidFill>
                <a:srgbClr val="0070C0"/>
              </a:solidFill>
              <a:round/>
            </a:ln>
            <a:effectLst/>
          </c:spPr>
          <c:marker>
            <c:symbol val="none"/>
          </c:marker>
          <c:cat>
            <c:strRef>
              <c:f>Лист1!$A$489:$A$514</c:f>
              <c:strCache>
                <c:ptCount val="26"/>
                <c:pt idx="0">
                  <c:v>Одеська</c:v>
                </c:pt>
                <c:pt idx="1">
                  <c:v>Миколаївська</c:v>
                </c:pt>
                <c:pt idx="2">
                  <c:v>Дніпропетровська</c:v>
                </c:pt>
                <c:pt idx="3">
                  <c:v>Закарпатська</c:v>
                </c:pt>
                <c:pt idx="4">
                  <c:v>Кіровоградська</c:v>
                </c:pt>
                <c:pt idx="5">
                  <c:v>Чернігівська</c:v>
                </c:pt>
                <c:pt idx="6">
                  <c:v>Херсонська</c:v>
                </c:pt>
                <c:pt idx="7">
                  <c:v>Київська</c:v>
                </c:pt>
                <c:pt idx="8">
                  <c:v>Луганська**</c:v>
                </c:pt>
                <c:pt idx="9">
                  <c:v>Полтавська</c:v>
                </c:pt>
                <c:pt idx="10">
                  <c:v>Запорізька</c:v>
                </c:pt>
                <c:pt idx="11">
                  <c:v>Житомирська</c:v>
                </c:pt>
                <c:pt idx="12">
                  <c:v>Вінницька</c:v>
                </c:pt>
                <c:pt idx="13">
                  <c:v>Волинська</c:v>
                </c:pt>
                <c:pt idx="14">
                  <c:v>Рівненська</c:v>
                </c:pt>
                <c:pt idx="15">
                  <c:v>Харківська</c:v>
                </c:pt>
                <c:pt idx="16">
                  <c:v>Чернівецька</c:v>
                </c:pt>
                <c:pt idx="17">
                  <c:v>Черкаська</c:v>
                </c:pt>
                <c:pt idx="18">
                  <c:v>Донецька**</c:v>
                </c:pt>
                <c:pt idx="19">
                  <c:v>Хмельницька</c:v>
                </c:pt>
                <c:pt idx="20">
                  <c:v>Львівська</c:v>
                </c:pt>
                <c:pt idx="21">
                  <c:v>Сумська</c:v>
                </c:pt>
                <c:pt idx="22">
                  <c:v>Івано-Франківська</c:v>
                </c:pt>
                <c:pt idx="23">
                  <c:v>Тернопільська</c:v>
                </c:pt>
                <c:pt idx="24">
                  <c:v>м. Київ</c:v>
                </c:pt>
                <c:pt idx="25">
                  <c:v>Україна</c:v>
                </c:pt>
              </c:strCache>
            </c:strRef>
          </c:cat>
          <c:val>
            <c:numRef>
              <c:f>Лист1!$C$489:$C$514</c:f>
              <c:numCache>
                <c:formatCode>General</c:formatCode>
                <c:ptCount val="26"/>
                <c:pt idx="0">
                  <c:v>47.6</c:v>
                </c:pt>
                <c:pt idx="1">
                  <c:v>47.6</c:v>
                </c:pt>
                <c:pt idx="2">
                  <c:v>47.6</c:v>
                </c:pt>
                <c:pt idx="3">
                  <c:v>47.6</c:v>
                </c:pt>
                <c:pt idx="4">
                  <c:v>47.6</c:v>
                </c:pt>
                <c:pt idx="5">
                  <c:v>47.6</c:v>
                </c:pt>
                <c:pt idx="6">
                  <c:v>47.6</c:v>
                </c:pt>
                <c:pt idx="7">
                  <c:v>47.6</c:v>
                </c:pt>
                <c:pt idx="8">
                  <c:v>47.6</c:v>
                </c:pt>
                <c:pt idx="9">
                  <c:v>47.6</c:v>
                </c:pt>
                <c:pt idx="10">
                  <c:v>47.6</c:v>
                </c:pt>
                <c:pt idx="11">
                  <c:v>47.6</c:v>
                </c:pt>
                <c:pt idx="12">
                  <c:v>47.6</c:v>
                </c:pt>
                <c:pt idx="13">
                  <c:v>47.6</c:v>
                </c:pt>
                <c:pt idx="14">
                  <c:v>47.6</c:v>
                </c:pt>
                <c:pt idx="15">
                  <c:v>47.6</c:v>
                </c:pt>
                <c:pt idx="16">
                  <c:v>47.6</c:v>
                </c:pt>
                <c:pt idx="17">
                  <c:v>47.6</c:v>
                </c:pt>
                <c:pt idx="18">
                  <c:v>47.6</c:v>
                </c:pt>
                <c:pt idx="19">
                  <c:v>47.6</c:v>
                </c:pt>
                <c:pt idx="20">
                  <c:v>47.6</c:v>
                </c:pt>
                <c:pt idx="21">
                  <c:v>47.6</c:v>
                </c:pt>
                <c:pt idx="22">
                  <c:v>47.6</c:v>
                </c:pt>
                <c:pt idx="23">
                  <c:v>47.6</c:v>
                </c:pt>
                <c:pt idx="24">
                  <c:v>47.6</c:v>
                </c:pt>
                <c:pt idx="25">
                  <c:v>47.6</c:v>
                </c:pt>
              </c:numCache>
            </c:numRef>
          </c:val>
          <c:smooth val="0"/>
          <c:extLst>
            <c:ext xmlns:c16="http://schemas.microsoft.com/office/drawing/2014/chart" uri="{C3380CC4-5D6E-409C-BE32-E72D297353CC}">
              <c16:uniqueId val="{00000003-68C5-4F12-8BE1-E500C1EEF321}"/>
            </c:ext>
          </c:extLst>
        </c:ser>
        <c:dLbls>
          <c:showLegendKey val="0"/>
          <c:showVal val="0"/>
          <c:showCatName val="0"/>
          <c:showSerName val="0"/>
          <c:showPercent val="0"/>
          <c:showBubbleSize val="0"/>
        </c:dLbls>
        <c:marker val="1"/>
        <c:smooth val="0"/>
        <c:axId val="1863275568"/>
        <c:axId val="-2136800720"/>
      </c:lineChart>
      <c:catAx>
        <c:axId val="186327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2136800720"/>
        <c:crosses val="autoZero"/>
        <c:auto val="1"/>
        <c:lblAlgn val="ctr"/>
        <c:lblOffset val="100"/>
        <c:noMultiLvlLbl val="0"/>
      </c:catAx>
      <c:valAx>
        <c:axId val="-2136800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6327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76766813822241E-2"/>
          <c:y val="6.2077414741761934E-2"/>
          <c:w val="0.90620525695157672"/>
          <c:h val="0.71005752852322035"/>
        </c:manualLayout>
      </c:layout>
      <c:barChart>
        <c:barDir val="col"/>
        <c:grouping val="stacked"/>
        <c:varyColors val="0"/>
        <c:ser>
          <c:idx val="0"/>
          <c:order val="0"/>
          <c:tx>
            <c:strRef>
              <c:f>Аркуш1!$B$1</c:f>
              <c:strCache>
                <c:ptCount val="1"/>
                <c:pt idx="0">
                  <c:v>Підтверджені бактеріологічно</c:v>
                </c:pt>
              </c:strCache>
            </c:strRef>
          </c:tx>
          <c:spPr>
            <a:solidFill>
              <a:schemeClr val="accent1"/>
            </a:solidFill>
            <a:ln w="31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18125</c:v>
                </c:pt>
                <c:pt idx="1">
                  <c:v>16561</c:v>
                </c:pt>
                <c:pt idx="2">
                  <c:v>16596</c:v>
                </c:pt>
                <c:pt idx="3">
                  <c:v>16529</c:v>
                </c:pt>
                <c:pt idx="4">
                  <c:v>11569</c:v>
                </c:pt>
                <c:pt idx="5">
                  <c:v>12256</c:v>
                </c:pt>
              </c:numCache>
            </c:numRef>
          </c:val>
          <c:extLst>
            <c:ext xmlns:c16="http://schemas.microsoft.com/office/drawing/2014/chart" uri="{C3380CC4-5D6E-409C-BE32-E72D297353CC}">
              <c16:uniqueId val="{00000000-4EEA-4952-AAD6-A24539E8BA6B}"/>
            </c:ext>
          </c:extLst>
        </c:ser>
        <c:ser>
          <c:idx val="1"/>
          <c:order val="1"/>
          <c:tx>
            <c:strRef>
              <c:f>Аркуш1!$C$1</c:f>
              <c:strCache>
                <c:ptCount val="1"/>
                <c:pt idx="0">
                  <c:v>Клінічно діагностовані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10927</c:v>
                </c:pt>
                <c:pt idx="1">
                  <c:v>10668</c:v>
                </c:pt>
                <c:pt idx="2">
                  <c:v>9916</c:v>
                </c:pt>
                <c:pt idx="3">
                  <c:v>8850</c:v>
                </c:pt>
                <c:pt idx="4">
                  <c:v>4414</c:v>
                </c:pt>
                <c:pt idx="5">
                  <c:v>4495</c:v>
                </c:pt>
              </c:numCache>
            </c:numRef>
          </c:val>
          <c:extLst>
            <c:ext xmlns:c16="http://schemas.microsoft.com/office/drawing/2014/chart" uri="{C3380CC4-5D6E-409C-BE32-E72D297353CC}">
              <c16:uniqueId val="{00000001-4EEA-4952-AAD6-A24539E8BA6B}"/>
            </c:ext>
          </c:extLst>
        </c:ser>
        <c:dLbls>
          <c:showLegendKey val="0"/>
          <c:showVal val="0"/>
          <c:showCatName val="0"/>
          <c:showSerName val="0"/>
          <c:showPercent val="0"/>
          <c:showBubbleSize val="0"/>
        </c:dLbls>
        <c:gapWidth val="89"/>
        <c:overlap val="100"/>
        <c:axId val="290426232"/>
        <c:axId val="290425248"/>
      </c:barChart>
      <c:lineChart>
        <c:grouping val="standard"/>
        <c:varyColors val="0"/>
        <c:ser>
          <c:idx val="2"/>
          <c:order val="2"/>
          <c:tx>
            <c:strRef>
              <c:f>Аркуш1!$D$1</c:f>
              <c:strCache>
                <c:ptCount val="1"/>
                <c:pt idx="0">
                  <c:v>Відсоток лабораторно підтверджених</c:v>
                </c:pt>
              </c:strCache>
            </c:strRef>
          </c:tx>
          <c:spPr>
            <a:ln w="34925" cap="sq">
              <a:solidFill>
                <a:schemeClr val="accent3"/>
              </a:solidFill>
              <a:miter lim="800000"/>
              <a:headEnd type="none"/>
              <a:tailEnd type="none"/>
            </a:ln>
            <a:effectLst/>
          </c:spPr>
          <c:marker>
            <c:symbol val="circle"/>
            <c:size val="5"/>
            <c:spPr>
              <a:solidFill>
                <a:schemeClr val="accent3"/>
              </a:solidFill>
              <a:ln w="9525">
                <a:solidFill>
                  <a:schemeClr val="accent3"/>
                </a:solidFill>
                <a:headEnd type="diamond"/>
                <a:tailEnd type="diamond"/>
              </a:ln>
              <a:effectLst/>
            </c:spPr>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EA-4952-AAD6-A24539E8BA6B}"/>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EA-4952-AAD6-A24539E8BA6B}"/>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EA-4952-AAD6-A24539E8BA6B}"/>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EA-4952-AAD6-A24539E8BA6B}"/>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EA-4952-AAD6-A24539E8BA6B}"/>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EA-4952-AAD6-A24539E8BA6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62.4</c:v>
                </c:pt>
                <c:pt idx="1">
                  <c:v>60.8</c:v>
                </c:pt>
                <c:pt idx="2">
                  <c:v>62.6</c:v>
                </c:pt>
                <c:pt idx="3">
                  <c:v>65.099999999999994</c:v>
                </c:pt>
                <c:pt idx="4">
                  <c:v>72.400000000000006</c:v>
                </c:pt>
                <c:pt idx="5">
                  <c:v>73.2</c:v>
                </c:pt>
              </c:numCache>
            </c:numRef>
          </c:val>
          <c:smooth val="0"/>
          <c:extLst>
            <c:ext xmlns:c16="http://schemas.microsoft.com/office/drawing/2014/chart" uri="{C3380CC4-5D6E-409C-BE32-E72D297353CC}">
              <c16:uniqueId val="{00000008-4EEA-4952-AAD6-A24539E8BA6B}"/>
            </c:ext>
          </c:extLst>
        </c:ser>
        <c:dLbls>
          <c:showLegendKey val="0"/>
          <c:showVal val="0"/>
          <c:showCatName val="0"/>
          <c:showSerName val="0"/>
          <c:showPercent val="0"/>
          <c:showBubbleSize val="0"/>
        </c:dLbls>
        <c:marker val="1"/>
        <c:smooth val="0"/>
        <c:axId val="528732792"/>
        <c:axId val="528737712"/>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528737712"/>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528732792"/>
        <c:crosses val="max"/>
        <c:crossBetween val="between"/>
      </c:valAx>
      <c:catAx>
        <c:axId val="528732792"/>
        <c:scaling>
          <c:orientation val="minMax"/>
        </c:scaling>
        <c:delete val="1"/>
        <c:axPos val="b"/>
        <c:numFmt formatCode="General" sourceLinked="1"/>
        <c:majorTickMark val="out"/>
        <c:minorTickMark val="none"/>
        <c:tickLblPos val="nextTo"/>
        <c:crossAx val="528737712"/>
        <c:crosses val="autoZero"/>
        <c:auto val="1"/>
        <c:lblAlgn val="ctr"/>
        <c:lblOffset val="100"/>
        <c:noMultiLvlLbl val="0"/>
      </c:catAx>
      <c:spPr>
        <a:noFill/>
        <a:ln w="0">
          <a:solidFill>
            <a:schemeClr val="accent3"/>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ayout>
        <c:manualLayout>
          <c:xMode val="edge"/>
          <c:yMode val="edge"/>
          <c:x val="2.9511356510687366E-2"/>
          <c:y val="0.89934473708027873"/>
          <c:w val="0.94637656396638292"/>
          <c:h val="7.3789814277965854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17DE-434A-A7BC-347C510C6CCC}"/>
            </c:ext>
          </c:extLst>
        </c:ser>
        <c:dLbls>
          <c:showLegendKey val="0"/>
          <c:showVal val="0"/>
          <c:showCatName val="0"/>
          <c:showSerName val="0"/>
          <c:showPercent val="0"/>
          <c:showBubbleSize val="0"/>
        </c:dLbls>
        <c:gapWidth val="219"/>
        <c:overlap val="-27"/>
        <c:axId val="409414720"/>
        <c:axId val="409415048"/>
      </c:barChart>
      <c:scatterChart>
        <c:scatterStyle val="lineMarker"/>
        <c:varyColors val="0"/>
        <c:ser>
          <c:idx val="1"/>
          <c:order val="1"/>
          <c:tx>
            <c:strRef>
              <c:f>Аркуш1!$C$1</c:f>
              <c:strCache>
                <c:ptCount val="1"/>
                <c:pt idx="0">
                  <c:v>2016</c:v>
                </c:pt>
              </c:strCache>
            </c:strRef>
          </c:tx>
          <c:spPr>
            <a:ln w="25400" cap="rnd">
              <a:noFill/>
              <a:round/>
            </a:ln>
            <a:effectLst/>
          </c:spPr>
          <c:marker>
            <c:symbol val="circle"/>
            <c:size val="5"/>
            <c:spPr>
              <a:solidFill>
                <a:schemeClr val="accent2">
                  <a:lumMod val="20000"/>
                  <a:lumOff val="80000"/>
                </a:schemeClr>
              </a:solidFill>
              <a:ln w="38100">
                <a:solidFill>
                  <a:schemeClr val="accent2"/>
                </a:solidFill>
              </a:ln>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Аркуш1!$C$2:$C$27</c:f>
              <c:numCache>
                <c:formatCode>0.0</c:formatCode>
                <c:ptCount val="26"/>
                <c:pt idx="0">
                  <c:v>69.431818181818187</c:v>
                </c:pt>
                <c:pt idx="1">
                  <c:v>85.568513119533534</c:v>
                </c:pt>
                <c:pt idx="2">
                  <c:v>64.20714940421631</c:v>
                </c:pt>
                <c:pt idx="3">
                  <c:v>64.655839133797372</c:v>
                </c:pt>
                <c:pt idx="4">
                  <c:v>76.804733727810643</c:v>
                </c:pt>
                <c:pt idx="5">
                  <c:v>75.26627218934911</c:v>
                </c:pt>
                <c:pt idx="6">
                  <c:v>71.36640557006092</c:v>
                </c:pt>
                <c:pt idx="7">
                  <c:v>65.980629539951579</c:v>
                </c:pt>
                <c:pt idx="8">
                  <c:v>64.810126582278485</c:v>
                </c:pt>
                <c:pt idx="9">
                  <c:v>78.230337078651687</c:v>
                </c:pt>
                <c:pt idx="10">
                  <c:v>65.429234338747094</c:v>
                </c:pt>
                <c:pt idx="11">
                  <c:v>62.591963780418794</c:v>
                </c:pt>
                <c:pt idx="12">
                  <c:v>70.034843205574916</c:v>
                </c:pt>
                <c:pt idx="13">
                  <c:v>66.977411258515602</c:v>
                </c:pt>
                <c:pt idx="14">
                  <c:v>65.388711395101168</c:v>
                </c:pt>
                <c:pt idx="15">
                  <c:v>74.963396778916547</c:v>
                </c:pt>
                <c:pt idx="16">
                  <c:v>80.99290780141844</c:v>
                </c:pt>
                <c:pt idx="17">
                  <c:v>64.444444444444443</c:v>
                </c:pt>
                <c:pt idx="18">
                  <c:v>75.777414075286416</c:v>
                </c:pt>
                <c:pt idx="19">
                  <c:v>78.988764044943821</c:v>
                </c:pt>
                <c:pt idx="20">
                  <c:v>55.862977602108032</c:v>
                </c:pt>
                <c:pt idx="21">
                  <c:v>73.313782991202345</c:v>
                </c:pt>
                <c:pt idx="22">
                  <c:v>83.333333333333343</c:v>
                </c:pt>
                <c:pt idx="23">
                  <c:v>72.541507024265655</c:v>
                </c:pt>
                <c:pt idx="24">
                  <c:v>65.688487584650119</c:v>
                </c:pt>
                <c:pt idx="25" formatCode="General">
                  <c:v>62.4</c:v>
                </c:pt>
              </c:numCache>
            </c:numRef>
          </c:yVal>
          <c:smooth val="0"/>
          <c:extLst>
            <c:ext xmlns:c16="http://schemas.microsoft.com/office/drawing/2014/chart" uri="{C3380CC4-5D6E-409C-BE32-E72D297353CC}">
              <c16:uniqueId val="{00000001-17DE-434A-A7BC-347C510C6CCC}"/>
            </c:ext>
          </c:extLst>
        </c:ser>
        <c:dLbls>
          <c:showLegendKey val="0"/>
          <c:showVal val="0"/>
          <c:showCatName val="0"/>
          <c:showSerName val="0"/>
          <c:showPercent val="0"/>
          <c:showBubbleSize val="0"/>
        </c:dLbls>
        <c:axId val="409414720"/>
        <c:axId val="409415048"/>
      </c:scatterChart>
      <c:scatterChart>
        <c:scatterStyle val="lineMarker"/>
        <c:varyColors val="0"/>
        <c:ser>
          <c:idx val="2"/>
          <c:order val="2"/>
          <c:tx>
            <c:strRef>
              <c:f>Аркуш1!$D$1</c:f>
              <c:strCache>
                <c:ptCount val="1"/>
                <c:pt idx="0">
                  <c:v>2021</c:v>
                </c:pt>
              </c:strCache>
            </c:strRef>
          </c:tx>
          <c:spPr>
            <a:ln w="28575" cap="rnd">
              <a:noFill/>
              <a:round/>
            </a:ln>
            <a:effectLst>
              <a:glow>
                <a:schemeClr val="accent1"/>
              </a:glow>
              <a:outerShdw sx="1000" sy="1000" algn="ctr" rotWithShape="0">
                <a:srgbClr val="000000"/>
              </a:outerShdw>
            </a:effectLst>
          </c:spPr>
          <c:marker>
            <c:symbol val="circle"/>
            <c:size val="5"/>
            <c:spPr>
              <a:solidFill>
                <a:schemeClr val="accent1">
                  <a:lumMod val="20000"/>
                  <a:lumOff val="80000"/>
                </a:schemeClr>
              </a:solidFill>
              <a:ln w="38100">
                <a:solidFill>
                  <a:schemeClr val="accent1"/>
                </a:solidFill>
                <a:headEnd w="lg" len="med"/>
                <a:tailEnd w="lg" len="lg"/>
              </a:ln>
              <a:effectLst>
                <a:glow>
                  <a:schemeClr val="accent1"/>
                </a:glow>
                <a:outerShdw sx="1000" sy="1000" algn="ctr" rotWithShape="0">
                  <a:srgbClr val="000000"/>
                </a:outerShdw>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Аркуш1!$D$2:$D$27</c:f>
              <c:numCache>
                <c:formatCode>0.0</c:formatCode>
                <c:ptCount val="26"/>
                <c:pt idx="0">
                  <c:v>79.94269340974212</c:v>
                </c:pt>
                <c:pt idx="1">
                  <c:v>90.816326530612244</c:v>
                </c:pt>
                <c:pt idx="2">
                  <c:v>67.899332306111972</c:v>
                </c:pt>
                <c:pt idx="3">
                  <c:v>71.949828962371726</c:v>
                </c:pt>
                <c:pt idx="4">
                  <c:v>85.882352941176464</c:v>
                </c:pt>
                <c:pt idx="5">
                  <c:v>85.957446808510639</c:v>
                </c:pt>
                <c:pt idx="6">
                  <c:v>77.337559429477025</c:v>
                </c:pt>
                <c:pt idx="7">
                  <c:v>80.601092896174862</c:v>
                </c:pt>
                <c:pt idx="8">
                  <c:v>81.314432989690715</c:v>
                </c:pt>
                <c:pt idx="9">
                  <c:v>79.234972677595621</c:v>
                </c:pt>
                <c:pt idx="10">
                  <c:v>78.200692041522487</c:v>
                </c:pt>
                <c:pt idx="11">
                  <c:v>74.36363636363636</c:v>
                </c:pt>
                <c:pt idx="12">
                  <c:v>86.32162661737523</c:v>
                </c:pt>
                <c:pt idx="13">
                  <c:v>51.305542830966559</c:v>
                </c:pt>
                <c:pt idx="14">
                  <c:v>81.489841986455986</c:v>
                </c:pt>
                <c:pt idx="15">
                  <c:v>88.33746898263027</c:v>
                </c:pt>
                <c:pt idx="16">
                  <c:v>77.545691906005217</c:v>
                </c:pt>
                <c:pt idx="17">
                  <c:v>73.36448598130842</c:v>
                </c:pt>
                <c:pt idx="18">
                  <c:v>75.579809004092766</c:v>
                </c:pt>
                <c:pt idx="19">
                  <c:v>79.91266375545851</c:v>
                </c:pt>
                <c:pt idx="20">
                  <c:v>72.676056338028175</c:v>
                </c:pt>
                <c:pt idx="21">
                  <c:v>80.653266331658287</c:v>
                </c:pt>
                <c:pt idx="22">
                  <c:v>86.915887850467286</c:v>
                </c:pt>
                <c:pt idx="23">
                  <c:v>69.539078156312627</c:v>
                </c:pt>
                <c:pt idx="24">
                  <c:v>75.555555555555557</c:v>
                </c:pt>
                <c:pt idx="25" formatCode="General">
                  <c:v>73.2</c:v>
                </c:pt>
              </c:numCache>
            </c:numRef>
          </c:yVal>
          <c:smooth val="0"/>
          <c:extLst>
            <c:ext xmlns:c16="http://schemas.microsoft.com/office/drawing/2014/chart" uri="{C3380CC4-5D6E-409C-BE32-E72D297353CC}">
              <c16:uniqueId val="{00000002-17DE-434A-A7BC-347C510C6CCC}"/>
            </c:ext>
          </c:extLst>
        </c:ser>
        <c:dLbls>
          <c:showLegendKey val="0"/>
          <c:showVal val="0"/>
          <c:showCatName val="0"/>
          <c:showSerName val="0"/>
          <c:showPercent val="0"/>
          <c:showBubbleSize val="0"/>
        </c:dLbls>
        <c:axId val="409421936"/>
        <c:axId val="409420952"/>
      </c:scatte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tickLblSkip val="1"/>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valAx>
        <c:axId val="4094209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21936"/>
        <c:crosses val="max"/>
        <c:crossBetween val="midCat"/>
      </c:valAx>
      <c:valAx>
        <c:axId val="409421936"/>
        <c:scaling>
          <c:orientation val="minMax"/>
        </c:scaling>
        <c:delete val="1"/>
        <c:axPos val="t"/>
        <c:majorTickMark val="out"/>
        <c:minorTickMark val="none"/>
        <c:tickLblPos val="nextTo"/>
        <c:crossAx val="409420952"/>
        <c:crosses val="max"/>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1E-2"/>
          <c:y val="0.1285225372057974"/>
          <c:w val="0.90620525695157672"/>
          <c:h val="0.71005752852322035"/>
        </c:manualLayout>
      </c:layout>
      <c:barChart>
        <c:barDir val="col"/>
        <c:grouping val="stacked"/>
        <c:varyColors val="0"/>
        <c:ser>
          <c:idx val="0"/>
          <c:order val="0"/>
          <c:tx>
            <c:strRef>
              <c:f>Аркуш1!$B$1</c:f>
              <c:strCache>
                <c:ptCount val="1"/>
                <c:pt idx="0">
                  <c:v>Легень</c:v>
                </c:pt>
              </c:strCache>
            </c:strRef>
          </c:tx>
          <c:spPr>
            <a:solidFill>
              <a:schemeClr val="accent1"/>
            </a:solidFill>
            <a:ln w="31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26357</c:v>
                </c:pt>
                <c:pt idx="1">
                  <c:v>24735</c:v>
                </c:pt>
                <c:pt idx="2">
                  <c:v>24213</c:v>
                </c:pt>
                <c:pt idx="3">
                  <c:v>22950</c:v>
                </c:pt>
                <c:pt idx="4">
                  <c:v>15983</c:v>
                </c:pt>
                <c:pt idx="5">
                  <c:v>16751</c:v>
                </c:pt>
              </c:numCache>
            </c:numRef>
          </c:val>
          <c:extLst>
            <c:ext xmlns:c16="http://schemas.microsoft.com/office/drawing/2014/chart" uri="{C3380CC4-5D6E-409C-BE32-E72D297353CC}">
              <c16:uniqueId val="{00000000-1092-4F57-BA9A-6C6DD7AB5B46}"/>
            </c:ext>
          </c:extLst>
        </c:ser>
        <c:ser>
          <c:idx val="1"/>
          <c:order val="1"/>
          <c:tx>
            <c:strRef>
              <c:f>Аркуш1!$C$1</c:f>
              <c:strCache>
                <c:ptCount val="1"/>
                <c:pt idx="0">
                  <c:v>Позалегеневий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2695</c:v>
                </c:pt>
                <c:pt idx="1">
                  <c:v>2494</c:v>
                </c:pt>
                <c:pt idx="2">
                  <c:v>2299</c:v>
                </c:pt>
                <c:pt idx="3">
                  <c:v>2429</c:v>
                </c:pt>
                <c:pt idx="4">
                  <c:v>1550</c:v>
                </c:pt>
                <c:pt idx="5">
                  <c:v>1556</c:v>
                </c:pt>
              </c:numCache>
            </c:numRef>
          </c:val>
          <c:extLst>
            <c:ext xmlns:c16="http://schemas.microsoft.com/office/drawing/2014/chart" uri="{C3380CC4-5D6E-409C-BE32-E72D297353CC}">
              <c16:uniqueId val="{00000001-1092-4F57-BA9A-6C6DD7AB5B46}"/>
            </c:ext>
          </c:extLst>
        </c:ser>
        <c:dLbls>
          <c:showLegendKey val="0"/>
          <c:showVal val="0"/>
          <c:showCatName val="0"/>
          <c:showSerName val="0"/>
          <c:showPercent val="0"/>
          <c:showBubbleSize val="0"/>
        </c:dLbls>
        <c:gapWidth val="89"/>
        <c:overlap val="100"/>
        <c:axId val="290426232"/>
        <c:axId val="290425248"/>
      </c:barChart>
      <c:lineChart>
        <c:grouping val="standard"/>
        <c:varyColors val="0"/>
        <c:ser>
          <c:idx val="2"/>
          <c:order val="2"/>
          <c:tx>
            <c:strRef>
              <c:f>Аркуш1!$D$1</c:f>
              <c:strCache>
                <c:ptCount val="1"/>
                <c:pt idx="0">
                  <c:v>Відсоток позалегеневих</c:v>
                </c:pt>
              </c:strCache>
            </c:strRef>
          </c:tx>
          <c:spPr>
            <a:ln w="34925" cap="sq">
              <a:solidFill>
                <a:schemeClr val="accent3"/>
              </a:solidFill>
              <a:miter lim="800000"/>
              <a:headEnd type="none"/>
              <a:tailEnd type="none"/>
            </a:ln>
            <a:effectLst/>
          </c:spPr>
          <c:marker>
            <c:symbol val="circle"/>
            <c:size val="5"/>
            <c:spPr>
              <a:solidFill>
                <a:schemeClr val="accent3"/>
              </a:solidFill>
              <a:ln w="9525">
                <a:solidFill>
                  <a:schemeClr val="accent3"/>
                </a:solidFill>
                <a:headEnd type="diamond"/>
                <a:tailEnd type="diamond"/>
              </a:ln>
              <a:effectLst/>
            </c:spPr>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92-4F57-BA9A-6C6DD7AB5B46}"/>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92-4F57-BA9A-6C6DD7AB5B46}"/>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92-4F57-BA9A-6C6DD7AB5B46}"/>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92-4F57-BA9A-6C6DD7AB5B46}"/>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92-4F57-BA9A-6C6DD7AB5B46}"/>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92-4F57-BA9A-6C6DD7AB5B46}"/>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9.3000000000000007</c:v>
                </c:pt>
                <c:pt idx="1">
                  <c:v>9.1999999999999993</c:v>
                </c:pt>
                <c:pt idx="2">
                  <c:v>8.8000000000000007</c:v>
                </c:pt>
                <c:pt idx="3">
                  <c:v>9.6</c:v>
                </c:pt>
                <c:pt idx="4">
                  <c:v>8.8000000000000007</c:v>
                </c:pt>
                <c:pt idx="5">
                  <c:v>8.5</c:v>
                </c:pt>
              </c:numCache>
            </c:numRef>
          </c:val>
          <c:smooth val="0"/>
          <c:extLst>
            <c:ext xmlns:c16="http://schemas.microsoft.com/office/drawing/2014/chart" uri="{C3380CC4-5D6E-409C-BE32-E72D297353CC}">
              <c16:uniqueId val="{00000008-1092-4F57-BA9A-6C6DD7AB5B46}"/>
            </c:ext>
          </c:extLst>
        </c:ser>
        <c:dLbls>
          <c:showLegendKey val="0"/>
          <c:showVal val="0"/>
          <c:showCatName val="0"/>
          <c:showSerName val="0"/>
          <c:showPercent val="0"/>
          <c:showBubbleSize val="0"/>
        </c:dLbls>
        <c:marker val="1"/>
        <c:smooth val="0"/>
        <c:axId val="528732792"/>
        <c:axId val="528737712"/>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528737712"/>
        <c:scaling>
          <c:orientation val="minMax"/>
          <c:max val="11"/>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528732792"/>
        <c:crosses val="max"/>
        <c:crossBetween val="between"/>
      </c:valAx>
      <c:catAx>
        <c:axId val="528732792"/>
        <c:scaling>
          <c:orientation val="minMax"/>
        </c:scaling>
        <c:delete val="1"/>
        <c:axPos val="b"/>
        <c:numFmt formatCode="General" sourceLinked="1"/>
        <c:majorTickMark val="out"/>
        <c:minorTickMark val="none"/>
        <c:tickLblPos val="nextTo"/>
        <c:crossAx val="528737712"/>
        <c:crosses val="autoZero"/>
        <c:auto val="1"/>
        <c:lblAlgn val="ctr"/>
        <c:lblOffset val="100"/>
        <c:noMultiLvlLbl val="0"/>
      </c:catAx>
      <c:spPr>
        <a:noFill/>
        <a:ln w="0">
          <a:solidFill>
            <a:schemeClr val="accent3"/>
          </a:solidFill>
        </a:ln>
        <a:effectLst/>
      </c:spPr>
    </c:plotArea>
    <c:legend>
      <c:legendPos val="b"/>
      <c:layout>
        <c:manualLayout>
          <c:xMode val="edge"/>
          <c:yMode val="edge"/>
          <c:x val="2.9511364270955492E-2"/>
          <c:y val="0.92459521131287159"/>
          <c:w val="0.9378250591016547"/>
          <c:h val="5.9078258074883497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82EF-456C-8F70-59722988D131}"/>
            </c:ext>
          </c:extLst>
        </c:ser>
        <c:dLbls>
          <c:showLegendKey val="0"/>
          <c:showVal val="0"/>
          <c:showCatName val="0"/>
          <c:showSerName val="0"/>
          <c:showPercent val="0"/>
          <c:showBubbleSize val="0"/>
        </c:dLbls>
        <c:gapWidth val="219"/>
        <c:overlap val="-27"/>
        <c:axId val="409414720"/>
        <c:axId val="409415048"/>
      </c:barChart>
      <c:scatterChart>
        <c:scatterStyle val="lineMarker"/>
        <c:varyColors val="0"/>
        <c:ser>
          <c:idx val="1"/>
          <c:order val="1"/>
          <c:tx>
            <c:strRef>
              <c:f>Аркуш1!$C$1</c:f>
              <c:strCache>
                <c:ptCount val="1"/>
                <c:pt idx="0">
                  <c:v>2016</c:v>
                </c:pt>
              </c:strCache>
            </c:strRef>
          </c:tx>
          <c:spPr>
            <a:ln w="25400" cap="rnd">
              <a:noFill/>
              <a:round/>
            </a:ln>
            <a:effectLst/>
          </c:spPr>
          <c:marker>
            <c:symbol val="circle"/>
            <c:size val="5"/>
            <c:spPr>
              <a:solidFill>
                <a:schemeClr val="accent2">
                  <a:lumMod val="20000"/>
                  <a:lumOff val="80000"/>
                </a:schemeClr>
              </a:solidFill>
              <a:ln w="38100">
                <a:solidFill>
                  <a:schemeClr val="accent2"/>
                </a:solidFill>
              </a:ln>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Аркуш1!$C$2:$C$27</c:f>
              <c:numCache>
                <c:formatCode>0.0</c:formatCode>
                <c:ptCount val="26"/>
                <c:pt idx="0">
                  <c:v>9.4650205761316872</c:v>
                </c:pt>
                <c:pt idx="1">
                  <c:v>13.164556962025317</c:v>
                </c:pt>
                <c:pt idx="2">
                  <c:v>12.404656764351666</c:v>
                </c:pt>
                <c:pt idx="3">
                  <c:v>3.7946428571428568</c:v>
                </c:pt>
                <c:pt idx="4">
                  <c:v>10.864978902953586</c:v>
                </c:pt>
                <c:pt idx="5">
                  <c:v>2.9850746268656714</c:v>
                </c:pt>
                <c:pt idx="6">
                  <c:v>9.9529780564263337</c:v>
                </c:pt>
                <c:pt idx="7">
                  <c:v>9.3304061470911073</c:v>
                </c:pt>
                <c:pt idx="8">
                  <c:v>17.248603351955307</c:v>
                </c:pt>
                <c:pt idx="9">
                  <c:v>6.438896189224705</c:v>
                </c:pt>
                <c:pt idx="10">
                  <c:v>3.5794183445190155</c:v>
                </c:pt>
                <c:pt idx="11">
                  <c:v>8.0166579906298807</c:v>
                </c:pt>
                <c:pt idx="12">
                  <c:v>7.6180257510729614</c:v>
                </c:pt>
                <c:pt idx="13">
                  <c:v>8.8562091503267979</c:v>
                </c:pt>
                <c:pt idx="14">
                  <c:v>4.9595141700404861</c:v>
                </c:pt>
                <c:pt idx="15">
                  <c:v>10.835509138381202</c:v>
                </c:pt>
                <c:pt idx="16">
                  <c:v>9.8465473145780056</c:v>
                </c:pt>
                <c:pt idx="17">
                  <c:v>9.8497495826377293</c:v>
                </c:pt>
                <c:pt idx="18">
                  <c:v>6.7887109077040435</c:v>
                </c:pt>
                <c:pt idx="19">
                  <c:v>7.1949947862356618</c:v>
                </c:pt>
                <c:pt idx="20">
                  <c:v>11.228070175438596</c:v>
                </c:pt>
                <c:pt idx="21">
                  <c:v>17.632850241545896</c:v>
                </c:pt>
                <c:pt idx="22">
                  <c:v>7.3170731707317067</c:v>
                </c:pt>
                <c:pt idx="23">
                  <c:v>8.3138173302107727</c:v>
                </c:pt>
                <c:pt idx="24">
                  <c:v>11.870026525198938</c:v>
                </c:pt>
                <c:pt idx="25" formatCode="General">
                  <c:v>9.3000000000000007</c:v>
                </c:pt>
              </c:numCache>
            </c:numRef>
          </c:yVal>
          <c:smooth val="0"/>
          <c:extLst>
            <c:ext xmlns:c16="http://schemas.microsoft.com/office/drawing/2014/chart" uri="{C3380CC4-5D6E-409C-BE32-E72D297353CC}">
              <c16:uniqueId val="{00000001-82EF-456C-8F70-59722988D131}"/>
            </c:ext>
          </c:extLst>
        </c:ser>
        <c:dLbls>
          <c:showLegendKey val="0"/>
          <c:showVal val="0"/>
          <c:showCatName val="0"/>
          <c:showSerName val="0"/>
          <c:showPercent val="0"/>
          <c:showBubbleSize val="0"/>
        </c:dLbls>
        <c:axId val="409414720"/>
        <c:axId val="409415048"/>
      </c:scatterChart>
      <c:scatterChart>
        <c:scatterStyle val="lineMarker"/>
        <c:varyColors val="0"/>
        <c:ser>
          <c:idx val="2"/>
          <c:order val="2"/>
          <c:tx>
            <c:strRef>
              <c:f>Аркуш1!$D$1</c:f>
              <c:strCache>
                <c:ptCount val="1"/>
                <c:pt idx="0">
                  <c:v>2021</c:v>
                </c:pt>
              </c:strCache>
            </c:strRef>
          </c:tx>
          <c:spPr>
            <a:ln w="28575" cap="rnd">
              <a:noFill/>
              <a:round/>
            </a:ln>
            <a:effectLst>
              <a:glow>
                <a:schemeClr val="accent1"/>
              </a:glow>
              <a:outerShdw sx="1000" sy="1000" algn="ctr" rotWithShape="0">
                <a:srgbClr val="000000"/>
              </a:outerShdw>
            </a:effectLst>
          </c:spPr>
          <c:marker>
            <c:symbol val="circle"/>
            <c:size val="5"/>
            <c:spPr>
              <a:solidFill>
                <a:schemeClr val="accent1">
                  <a:lumMod val="20000"/>
                  <a:lumOff val="80000"/>
                </a:schemeClr>
              </a:solidFill>
              <a:ln w="38100">
                <a:solidFill>
                  <a:schemeClr val="accent1"/>
                </a:solidFill>
                <a:headEnd w="lg" len="med"/>
                <a:tailEnd w="lg" len="lg"/>
              </a:ln>
              <a:effectLst>
                <a:glow>
                  <a:schemeClr val="accent1"/>
                </a:glow>
                <a:outerShdw sx="1000" sy="1000" algn="ctr" rotWithShape="0">
                  <a:srgbClr val="000000"/>
                </a:outerShdw>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Аркуш1!$D$2:$D$27</c:f>
              <c:numCache>
                <c:formatCode>0.0</c:formatCode>
                <c:ptCount val="26"/>
                <c:pt idx="0">
                  <c:v>12.090680100755668</c:v>
                </c:pt>
                <c:pt idx="1">
                  <c:v>16.949152542372879</c:v>
                </c:pt>
                <c:pt idx="2">
                  <c:v>6.3041385948026951</c:v>
                </c:pt>
                <c:pt idx="3">
                  <c:v>4.5701849836779109</c:v>
                </c:pt>
                <c:pt idx="4">
                  <c:v>7.4410163339382942</c:v>
                </c:pt>
                <c:pt idx="5">
                  <c:v>5.1144010767160157</c:v>
                </c:pt>
                <c:pt idx="6">
                  <c:v>8.5507246376811583</c:v>
                </c:pt>
                <c:pt idx="7">
                  <c:v>9.1811414392059554</c:v>
                </c:pt>
                <c:pt idx="8">
                  <c:v>8.7058823529411757</c:v>
                </c:pt>
                <c:pt idx="9">
                  <c:v>12.649164677804295</c:v>
                </c:pt>
                <c:pt idx="10">
                  <c:v>3.6666666666666665</c:v>
                </c:pt>
                <c:pt idx="11">
                  <c:v>9.3157460840890352</c:v>
                </c:pt>
                <c:pt idx="12">
                  <c:v>5.0877192982456139</c:v>
                </c:pt>
                <c:pt idx="13">
                  <c:v>11.043194784026079</c:v>
                </c:pt>
                <c:pt idx="14">
                  <c:v>5.5437100213219619</c:v>
                </c:pt>
                <c:pt idx="15">
                  <c:v>6.4965197215777257</c:v>
                </c:pt>
                <c:pt idx="16">
                  <c:v>11.954022988505747</c:v>
                </c:pt>
                <c:pt idx="17">
                  <c:v>12.653061224489795</c:v>
                </c:pt>
                <c:pt idx="18">
                  <c:v>8.489388264669163</c:v>
                </c:pt>
                <c:pt idx="19">
                  <c:v>6.9105691056910574</c:v>
                </c:pt>
                <c:pt idx="20">
                  <c:v>11.691542288557214</c:v>
                </c:pt>
                <c:pt idx="21">
                  <c:v>14.957264957264957</c:v>
                </c:pt>
                <c:pt idx="22">
                  <c:v>5.3097345132743365</c:v>
                </c:pt>
                <c:pt idx="23">
                  <c:v>5.6710775047258979</c:v>
                </c:pt>
                <c:pt idx="24">
                  <c:v>10</c:v>
                </c:pt>
                <c:pt idx="25" formatCode="General">
                  <c:v>8.5</c:v>
                </c:pt>
              </c:numCache>
            </c:numRef>
          </c:yVal>
          <c:smooth val="0"/>
          <c:extLst>
            <c:ext xmlns:c16="http://schemas.microsoft.com/office/drawing/2014/chart" uri="{C3380CC4-5D6E-409C-BE32-E72D297353CC}">
              <c16:uniqueId val="{00000002-82EF-456C-8F70-59722988D131}"/>
            </c:ext>
          </c:extLst>
        </c:ser>
        <c:dLbls>
          <c:showLegendKey val="0"/>
          <c:showVal val="0"/>
          <c:showCatName val="0"/>
          <c:showSerName val="0"/>
          <c:showPercent val="0"/>
          <c:showBubbleSize val="0"/>
        </c:dLbls>
        <c:axId val="409421936"/>
        <c:axId val="409420952"/>
      </c:scatte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tickLblSkip val="1"/>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valAx>
        <c:axId val="4094209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21936"/>
        <c:crosses val="max"/>
        <c:crossBetween val="midCat"/>
      </c:valAx>
      <c:valAx>
        <c:axId val="409421936"/>
        <c:scaling>
          <c:orientation val="minMax"/>
        </c:scaling>
        <c:delete val="1"/>
        <c:axPos val="t"/>
        <c:majorTickMark val="out"/>
        <c:minorTickMark val="none"/>
        <c:tickLblPos val="nextTo"/>
        <c:crossAx val="409420952"/>
        <c:crosses val="max"/>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1E-2"/>
          <c:y val="0.1285225372057974"/>
          <c:w val="0.90620525695157672"/>
          <c:h val="0.71005752852322035"/>
        </c:manualLayout>
      </c:layout>
      <c:barChart>
        <c:barDir val="col"/>
        <c:grouping val="stacked"/>
        <c:varyColors val="0"/>
        <c:ser>
          <c:idx val="0"/>
          <c:order val="0"/>
          <c:tx>
            <c:strRef>
              <c:f>Аркуш1!$B$1</c:f>
              <c:strCache>
                <c:ptCount val="1"/>
                <c:pt idx="0">
                  <c:v>Нові випадки</c:v>
                </c:pt>
              </c:strCache>
            </c:strRef>
          </c:tx>
          <c:spPr>
            <a:solidFill>
              <a:schemeClr val="accent1"/>
            </a:solidFill>
            <a:ln w="31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23316</c:v>
                </c:pt>
                <c:pt idx="1">
                  <c:v>21899</c:v>
                </c:pt>
                <c:pt idx="2">
                  <c:v>21323</c:v>
                </c:pt>
                <c:pt idx="3">
                  <c:v>20632</c:v>
                </c:pt>
                <c:pt idx="4">
                  <c:v>14156</c:v>
                </c:pt>
                <c:pt idx="5">
                  <c:v>14667</c:v>
                </c:pt>
              </c:numCache>
            </c:numRef>
          </c:val>
          <c:extLst>
            <c:ext xmlns:c16="http://schemas.microsoft.com/office/drawing/2014/chart" uri="{C3380CC4-5D6E-409C-BE32-E72D297353CC}">
              <c16:uniqueId val="{00000000-43C3-4665-AA7B-B7BC3335C05F}"/>
            </c:ext>
          </c:extLst>
        </c:ser>
        <c:ser>
          <c:idx val="1"/>
          <c:order val="1"/>
          <c:tx>
            <c:strRef>
              <c:f>Аркуш1!$C$1</c:f>
              <c:strCache>
                <c:ptCount val="1"/>
                <c:pt idx="0">
                  <c:v>Повторні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10772</c:v>
                </c:pt>
                <c:pt idx="1">
                  <c:v>9685</c:v>
                </c:pt>
                <c:pt idx="2">
                  <c:v>9055</c:v>
                </c:pt>
                <c:pt idx="3">
                  <c:v>7907</c:v>
                </c:pt>
                <c:pt idx="4">
                  <c:v>5365</c:v>
                </c:pt>
                <c:pt idx="5">
                  <c:v>5126</c:v>
                </c:pt>
              </c:numCache>
            </c:numRef>
          </c:val>
          <c:extLst>
            <c:ext xmlns:c16="http://schemas.microsoft.com/office/drawing/2014/chart" uri="{C3380CC4-5D6E-409C-BE32-E72D297353CC}">
              <c16:uniqueId val="{00000001-43C3-4665-AA7B-B7BC3335C05F}"/>
            </c:ext>
          </c:extLst>
        </c:ser>
        <c:dLbls>
          <c:showLegendKey val="0"/>
          <c:showVal val="0"/>
          <c:showCatName val="0"/>
          <c:showSerName val="0"/>
          <c:showPercent val="0"/>
          <c:showBubbleSize val="0"/>
        </c:dLbls>
        <c:gapWidth val="89"/>
        <c:overlap val="100"/>
        <c:axId val="290426232"/>
        <c:axId val="290425248"/>
      </c:barChart>
      <c:lineChart>
        <c:grouping val="standard"/>
        <c:varyColors val="0"/>
        <c:ser>
          <c:idx val="2"/>
          <c:order val="2"/>
          <c:tx>
            <c:strRef>
              <c:f>Аркуш1!$D$1</c:f>
              <c:strCache>
                <c:ptCount val="1"/>
                <c:pt idx="0">
                  <c:v>Відсоток повторних</c:v>
                </c:pt>
              </c:strCache>
            </c:strRef>
          </c:tx>
          <c:spPr>
            <a:ln w="34925" cap="sq">
              <a:solidFill>
                <a:schemeClr val="accent3"/>
              </a:solidFill>
              <a:miter lim="800000"/>
              <a:headEnd type="none"/>
              <a:tailEnd type="none"/>
            </a:ln>
            <a:effectLst/>
          </c:spPr>
          <c:marker>
            <c:symbol val="circle"/>
            <c:size val="5"/>
            <c:spPr>
              <a:solidFill>
                <a:schemeClr val="accent3"/>
              </a:solidFill>
              <a:ln w="9525">
                <a:solidFill>
                  <a:schemeClr val="accent3"/>
                </a:solidFill>
                <a:headEnd type="diamond"/>
                <a:tailEnd type="diamond"/>
              </a:ln>
              <a:effectLst/>
            </c:spPr>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C3-4665-AA7B-B7BC3335C05F}"/>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C3-4665-AA7B-B7BC3335C05F}"/>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C3-4665-AA7B-B7BC3335C05F}"/>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C3-4665-AA7B-B7BC3335C05F}"/>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C3-4665-AA7B-B7BC3335C05F}"/>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C3-4665-AA7B-B7BC3335C05F}"/>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31.6</c:v>
                </c:pt>
                <c:pt idx="1">
                  <c:v>30.7</c:v>
                </c:pt>
                <c:pt idx="2">
                  <c:v>29.8</c:v>
                </c:pt>
                <c:pt idx="3">
                  <c:v>27.7</c:v>
                </c:pt>
                <c:pt idx="4">
                  <c:v>27.5</c:v>
                </c:pt>
                <c:pt idx="5">
                  <c:v>25.9</c:v>
                </c:pt>
              </c:numCache>
            </c:numRef>
          </c:val>
          <c:smooth val="0"/>
          <c:extLst>
            <c:ext xmlns:c16="http://schemas.microsoft.com/office/drawing/2014/chart" uri="{C3380CC4-5D6E-409C-BE32-E72D297353CC}">
              <c16:uniqueId val="{00000008-43C3-4665-AA7B-B7BC3335C05F}"/>
            </c:ext>
          </c:extLst>
        </c:ser>
        <c:dLbls>
          <c:showLegendKey val="0"/>
          <c:showVal val="0"/>
          <c:showCatName val="0"/>
          <c:showSerName val="0"/>
          <c:showPercent val="0"/>
          <c:showBubbleSize val="0"/>
        </c:dLbls>
        <c:marker val="1"/>
        <c:smooth val="0"/>
        <c:axId val="528732792"/>
        <c:axId val="528737712"/>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528737712"/>
        <c:scaling>
          <c:orientation val="minMax"/>
          <c:max val="3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528732792"/>
        <c:crosses val="max"/>
        <c:crossBetween val="between"/>
      </c:valAx>
      <c:catAx>
        <c:axId val="528732792"/>
        <c:scaling>
          <c:orientation val="minMax"/>
        </c:scaling>
        <c:delete val="1"/>
        <c:axPos val="b"/>
        <c:numFmt formatCode="General" sourceLinked="1"/>
        <c:majorTickMark val="out"/>
        <c:minorTickMark val="none"/>
        <c:tickLblPos val="nextTo"/>
        <c:crossAx val="528737712"/>
        <c:crosses val="autoZero"/>
        <c:auto val="1"/>
        <c:lblAlgn val="ctr"/>
        <c:lblOffset val="100"/>
        <c:noMultiLvlLbl val="0"/>
      </c:catAx>
      <c:spPr>
        <a:noFill/>
        <a:ln w="0">
          <a:solidFill>
            <a:schemeClr val="accent3"/>
          </a:solidFill>
        </a:ln>
        <a:effectLst/>
      </c:spPr>
    </c:plotArea>
    <c:legend>
      <c:legendPos val="b"/>
      <c:layout>
        <c:manualLayout>
          <c:xMode val="edge"/>
          <c:yMode val="edge"/>
          <c:x val="2.9511364270955492E-2"/>
          <c:y val="0.92459521131287159"/>
          <c:w val="0.9378250591016547"/>
          <c:h val="5.9078258074883497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90623454676862E-2"/>
          <c:y val="2.973292352834921E-2"/>
          <c:w val="0.84551813986056357"/>
          <c:h val="0.67886301446361763"/>
        </c:manualLayout>
      </c:layout>
      <c:barChart>
        <c:barDir val="col"/>
        <c:grouping val="clustered"/>
        <c:varyColors val="0"/>
        <c:ser>
          <c:idx val="0"/>
          <c:order val="0"/>
          <c:tx>
            <c:strRef>
              <c:f>Лист1!$A$214</c:f>
              <c:strCache>
                <c:ptCount val="1"/>
                <c:pt idx="0">
                  <c:v>Інтенсивний показник на 100 тис. населення</c:v>
                </c:pt>
              </c:strCache>
            </c:strRef>
          </c:tx>
          <c:spPr>
            <a:solidFill>
              <a:srgbClr val="FF9933"/>
            </a:solidFill>
            <a:ln>
              <a:noFill/>
            </a:ln>
            <a:effectLst/>
          </c:spPr>
          <c:invertIfNegative val="0"/>
          <c:dLbls>
            <c:dLbl>
              <c:idx val="0"/>
              <c:layout>
                <c:manualLayout>
                  <c:x val="-2.7778366269238801E-3"/>
                  <c:y val="0.44860699751980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73-424A-AA98-16D31263F0DA}"/>
                </c:ext>
              </c:extLst>
            </c:dLbl>
            <c:dLbl>
              <c:idx val="1"/>
              <c:layout>
                <c:manualLayout>
                  <c:x val="-2.77783662692391E-3"/>
                  <c:y val="0.390630162055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73-424A-AA98-16D31263F0DA}"/>
                </c:ext>
              </c:extLst>
            </c:dLbl>
            <c:dLbl>
              <c:idx val="2"/>
              <c:layout>
                <c:manualLayout>
                  <c:x val="-6.7638854560221002E-3"/>
                  <c:y val="0.390630162055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73-424A-AA98-16D31263F0DA}"/>
                </c:ext>
              </c:extLst>
            </c:dLbl>
            <c:dLbl>
              <c:idx val="3"/>
              <c:layout>
                <c:manualLayout>
                  <c:x val="-3.5624919082424102E-3"/>
                  <c:y val="0.36285262507324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73-424A-AA98-16D31263F0DA}"/>
                </c:ext>
              </c:extLst>
            </c:dLbl>
            <c:dLbl>
              <c:idx val="4"/>
              <c:layout>
                <c:manualLayout>
                  <c:x val="-1.4615343535664201E-16"/>
                  <c:y val="0.3302328493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73-424A-AA98-16D31263F0DA}"/>
                </c:ext>
              </c:extLst>
            </c:dLbl>
            <c:dLbl>
              <c:idx val="5"/>
              <c:layout>
                <c:manualLayout>
                  <c:x val="0"/>
                  <c:y val="0.31281851236485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73-424A-AA98-16D31263F0DA}"/>
                </c:ext>
              </c:extLst>
            </c:dLbl>
            <c:dLbl>
              <c:idx val="6"/>
              <c:layout>
                <c:manualLayout>
                  <c:x val="0"/>
                  <c:y val="0.2925531914893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73-424A-AA98-16D31263F0DA}"/>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Лист1!$B$213:$G$213</c:f>
              <c:numCache>
                <c:formatCode>General</c:formatCode>
                <c:ptCount val="6"/>
                <c:pt idx="0">
                  <c:v>2016</c:v>
                </c:pt>
                <c:pt idx="1">
                  <c:v>2017</c:v>
                </c:pt>
                <c:pt idx="2">
                  <c:v>2018</c:v>
                </c:pt>
                <c:pt idx="3">
                  <c:v>2019</c:v>
                </c:pt>
                <c:pt idx="4">
                  <c:v>2020</c:v>
                </c:pt>
                <c:pt idx="5">
                  <c:v>2021</c:v>
                </c:pt>
              </c:numCache>
            </c:numRef>
          </c:cat>
          <c:val>
            <c:numRef>
              <c:f>Лист1!$B$214:$G$214</c:f>
              <c:numCache>
                <c:formatCode>General</c:formatCode>
                <c:ptCount val="6"/>
                <c:pt idx="0">
                  <c:v>67.599999999999994</c:v>
                </c:pt>
                <c:pt idx="1">
                  <c:v>63.9</c:v>
                </c:pt>
                <c:pt idx="2">
                  <c:v>62.3</c:v>
                </c:pt>
                <c:pt idx="3">
                  <c:v>60.1</c:v>
                </c:pt>
                <c:pt idx="4">
                  <c:v>42.2</c:v>
                </c:pt>
                <c:pt idx="5">
                  <c:v>44</c:v>
                </c:pt>
              </c:numCache>
            </c:numRef>
          </c:val>
          <c:extLst>
            <c:ext xmlns:c16="http://schemas.microsoft.com/office/drawing/2014/chart" uri="{C3380CC4-5D6E-409C-BE32-E72D297353CC}">
              <c16:uniqueId val="{00000007-5373-424A-AA98-16D31263F0DA}"/>
            </c:ext>
          </c:extLst>
        </c:ser>
        <c:dLbls>
          <c:showLegendKey val="0"/>
          <c:showVal val="0"/>
          <c:showCatName val="0"/>
          <c:showSerName val="0"/>
          <c:showPercent val="0"/>
          <c:showBubbleSize val="0"/>
        </c:dLbls>
        <c:gapWidth val="150"/>
        <c:axId val="1862372720"/>
        <c:axId val="1861695984"/>
      </c:barChart>
      <c:lineChart>
        <c:grouping val="standard"/>
        <c:varyColors val="0"/>
        <c:ser>
          <c:idx val="1"/>
          <c:order val="1"/>
          <c:tx>
            <c:strRef>
              <c:f>Лист1!$A$215</c:f>
              <c:strCache>
                <c:ptCount val="1"/>
                <c:pt idx="0">
                  <c:v>темп росту/зниження</c:v>
                </c:pt>
              </c:strCache>
            </c:strRef>
          </c:tx>
          <c:spPr>
            <a:ln w="28575" cap="rnd">
              <a:solidFill>
                <a:srgbClr val="0070C0"/>
              </a:solidFill>
              <a:round/>
            </a:ln>
            <a:effectLst/>
          </c:spPr>
          <c:marker>
            <c:symbol val="none"/>
          </c:marker>
          <c:dLbls>
            <c:dLbl>
              <c:idx val="0"/>
              <c:layout>
                <c:manualLayout>
                  <c:x val="-1.2077294685990338E-3"/>
                  <c:y val="-3.5023709948526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73-424A-AA98-16D31263F0DA}"/>
                </c:ext>
              </c:extLst>
            </c:dLbl>
            <c:dLbl>
              <c:idx val="1"/>
              <c:layout>
                <c:manualLayout>
                  <c:x val="0"/>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73-424A-AA98-16D31263F0DA}"/>
                </c:ext>
              </c:extLst>
            </c:dLbl>
            <c:dLbl>
              <c:idx val="2"/>
              <c:layout>
                <c:manualLayout>
                  <c:x val="-8.856580457753038E-17"/>
                  <c:y val="-2.3349139965684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73-424A-AA98-16D31263F0DA}"/>
                </c:ext>
              </c:extLst>
            </c:dLbl>
            <c:dLbl>
              <c:idx val="3"/>
              <c:layout>
                <c:manualLayout>
                  <c:x val="-1.79372197309417E-2"/>
                  <c:y val="-2.038735983690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73-424A-AA98-16D31263F0DA}"/>
                </c:ext>
              </c:extLst>
            </c:dLbl>
            <c:dLbl>
              <c:idx val="4"/>
              <c:layout>
                <c:manualLayout>
                  <c:x val="-3.1888390632785403E-2"/>
                  <c:y val="-7.747196738022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73-424A-AA98-16D31263F0DA}"/>
                </c:ext>
              </c:extLst>
            </c:dLbl>
            <c:dLbl>
              <c:idx val="6"/>
              <c:layout>
                <c:manualLayout>
                  <c:x val="-4.2753313381787242E-2"/>
                  <c:y val="2.6595744680851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73-424A-AA98-16D31263F0D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Лист1!$B$213:$G$213</c:f>
              <c:numCache>
                <c:formatCode>General</c:formatCode>
                <c:ptCount val="6"/>
                <c:pt idx="0">
                  <c:v>2016</c:v>
                </c:pt>
                <c:pt idx="1">
                  <c:v>2017</c:v>
                </c:pt>
                <c:pt idx="2">
                  <c:v>2018</c:v>
                </c:pt>
                <c:pt idx="3">
                  <c:v>2019</c:v>
                </c:pt>
                <c:pt idx="4">
                  <c:v>2020</c:v>
                </c:pt>
                <c:pt idx="5">
                  <c:v>2021</c:v>
                </c:pt>
              </c:numCache>
            </c:numRef>
          </c:cat>
          <c:val>
            <c:numRef>
              <c:f>Лист1!$B$215:$G$215</c:f>
              <c:numCache>
                <c:formatCode>General</c:formatCode>
                <c:ptCount val="6"/>
                <c:pt idx="0">
                  <c:v>-4.0999999999999996</c:v>
                </c:pt>
                <c:pt idx="1">
                  <c:v>-5.5</c:v>
                </c:pt>
                <c:pt idx="2">
                  <c:v>-2.5</c:v>
                </c:pt>
                <c:pt idx="3">
                  <c:v>-3.6</c:v>
                </c:pt>
                <c:pt idx="4">
                  <c:v>-29.8</c:v>
                </c:pt>
                <c:pt idx="5">
                  <c:v>4.3</c:v>
                </c:pt>
              </c:numCache>
            </c:numRef>
          </c:val>
          <c:smooth val="0"/>
          <c:extLst>
            <c:ext xmlns:c16="http://schemas.microsoft.com/office/drawing/2014/chart" uri="{C3380CC4-5D6E-409C-BE32-E72D297353CC}">
              <c16:uniqueId val="{0000000E-5373-424A-AA98-16D31263F0DA}"/>
            </c:ext>
          </c:extLst>
        </c:ser>
        <c:dLbls>
          <c:showLegendKey val="0"/>
          <c:showVal val="0"/>
          <c:showCatName val="0"/>
          <c:showSerName val="0"/>
          <c:showPercent val="0"/>
          <c:showBubbleSize val="0"/>
        </c:dLbls>
        <c:marker val="1"/>
        <c:smooth val="0"/>
        <c:axId val="-2065185568"/>
        <c:axId val="1856527152"/>
      </c:lineChart>
      <c:catAx>
        <c:axId val="18623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1861695984"/>
        <c:crosses val="autoZero"/>
        <c:auto val="1"/>
        <c:lblAlgn val="ctr"/>
        <c:lblOffset val="100"/>
        <c:noMultiLvlLbl val="0"/>
      </c:catAx>
      <c:valAx>
        <c:axId val="186169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solidFill>
            <a:sysClr val="window" lastClr="FFFFFF"/>
          </a:solid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2372720"/>
        <c:crosses val="autoZero"/>
        <c:crossBetween val="between"/>
      </c:valAx>
      <c:valAx>
        <c:axId val="1856527152"/>
        <c:scaling>
          <c:orientation val="minMax"/>
        </c:scaling>
        <c:delete val="0"/>
        <c:axPos val="r"/>
        <c:numFmt formatCode="General" sourceLinked="1"/>
        <c:majorTickMark val="none"/>
        <c:minorTickMark val="none"/>
        <c:tickLblPos val="nextTo"/>
        <c:spPr>
          <a:solidFill>
            <a:sysClr val="window" lastClr="FFFFFF"/>
          </a:solidFill>
          <a:ln>
            <a:solidFill>
              <a:sysClr val="window" lastClr="FFFFF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65185568"/>
        <c:crosses val="max"/>
        <c:crossBetween val="between"/>
      </c:valAx>
      <c:catAx>
        <c:axId val="-2065185568"/>
        <c:scaling>
          <c:orientation val="minMax"/>
        </c:scaling>
        <c:delete val="1"/>
        <c:axPos val="b"/>
        <c:numFmt formatCode="General" sourceLinked="1"/>
        <c:majorTickMark val="none"/>
        <c:minorTickMark val="none"/>
        <c:tickLblPos val="nextTo"/>
        <c:crossAx val="1856527152"/>
        <c:crosses val="autoZero"/>
        <c:auto val="1"/>
        <c:lblAlgn val="ctr"/>
        <c:lblOffset val="100"/>
        <c:noMultiLvlLbl val="0"/>
      </c:catAx>
      <c:spPr>
        <a:noFill/>
        <a:ln>
          <a:noFill/>
        </a:ln>
        <a:effectLst/>
      </c:spPr>
    </c:plotArea>
    <c:legend>
      <c:legendPos val="b"/>
      <c:layout>
        <c:manualLayout>
          <c:xMode val="edge"/>
          <c:yMode val="edge"/>
          <c:x val="2.2273585574169561E-2"/>
          <c:y val="0.8178354355652746"/>
          <c:w val="0.95545282885166083"/>
          <c:h val="0.15048557816228622"/>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70C0"/>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8051-46BD-A918-05F4689DB8AB}"/>
            </c:ext>
          </c:extLst>
        </c:ser>
        <c:dLbls>
          <c:showLegendKey val="0"/>
          <c:showVal val="0"/>
          <c:showCatName val="0"/>
          <c:showSerName val="0"/>
          <c:showPercent val="0"/>
          <c:showBubbleSize val="0"/>
        </c:dLbls>
        <c:gapWidth val="219"/>
        <c:overlap val="-27"/>
        <c:axId val="409414720"/>
        <c:axId val="409415048"/>
      </c:barChart>
      <c:scatterChart>
        <c:scatterStyle val="lineMarker"/>
        <c:varyColors val="0"/>
        <c:ser>
          <c:idx val="1"/>
          <c:order val="1"/>
          <c:tx>
            <c:strRef>
              <c:f>Аркуш1!$C$1</c:f>
              <c:strCache>
                <c:ptCount val="1"/>
                <c:pt idx="0">
                  <c:v>2016</c:v>
                </c:pt>
              </c:strCache>
            </c:strRef>
          </c:tx>
          <c:spPr>
            <a:ln w="25400" cap="rnd">
              <a:noFill/>
              <a:round/>
            </a:ln>
            <a:effectLst/>
          </c:spPr>
          <c:marker>
            <c:symbol val="circle"/>
            <c:size val="5"/>
            <c:spPr>
              <a:solidFill>
                <a:schemeClr val="accent2">
                  <a:lumMod val="20000"/>
                  <a:lumOff val="80000"/>
                </a:schemeClr>
              </a:solidFill>
              <a:ln w="38100">
                <a:solidFill>
                  <a:schemeClr val="accent2"/>
                </a:solidFill>
              </a:ln>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Аркуш1!$C$2:$C$27</c:f>
              <c:numCache>
                <c:formatCode>0.0</c:formatCode>
                <c:ptCount val="26"/>
                <c:pt idx="0">
                  <c:v>26.254826254826252</c:v>
                </c:pt>
                <c:pt idx="1">
                  <c:v>28.896882494004792</c:v>
                </c:pt>
                <c:pt idx="2">
                  <c:v>49.235863474274069</c:v>
                </c:pt>
                <c:pt idx="3">
                  <c:v>29.804662885948328</c:v>
                </c:pt>
                <c:pt idx="4">
                  <c:v>31.895777178796049</c:v>
                </c:pt>
                <c:pt idx="5">
                  <c:v>31.165311653116529</c:v>
                </c:pt>
                <c:pt idx="6">
                  <c:v>30.584192439862544</c:v>
                </c:pt>
                <c:pt idx="7">
                  <c:v>34.040590405904055</c:v>
                </c:pt>
                <c:pt idx="8">
                  <c:v>21.514195583596216</c:v>
                </c:pt>
                <c:pt idx="9">
                  <c:v>31.663113006396586</c:v>
                </c:pt>
                <c:pt idx="10">
                  <c:v>34.022556390977442</c:v>
                </c:pt>
                <c:pt idx="11">
                  <c:v>28.226196230062833</c:v>
                </c:pt>
                <c:pt idx="12">
                  <c:v>40.094711917916335</c:v>
                </c:pt>
                <c:pt idx="13">
                  <c:v>24.145108534046983</c:v>
                </c:pt>
                <c:pt idx="14">
                  <c:v>27.959927140255008</c:v>
                </c:pt>
                <c:pt idx="15">
                  <c:v>24.907063197026023</c:v>
                </c:pt>
                <c:pt idx="16">
                  <c:v>28.775267538644471</c:v>
                </c:pt>
                <c:pt idx="17">
                  <c:v>25.320512820512818</c:v>
                </c:pt>
                <c:pt idx="18">
                  <c:v>27.100271002710024</c:v>
                </c:pt>
                <c:pt idx="19">
                  <c:v>30.675422138836772</c:v>
                </c:pt>
                <c:pt idx="20">
                  <c:v>30.358974358974361</c:v>
                </c:pt>
                <c:pt idx="21">
                  <c:v>29.50108459869848</c:v>
                </c:pt>
                <c:pt idx="22">
                  <c:v>33.890214797136039</c:v>
                </c:pt>
                <c:pt idx="23">
                  <c:v>32.033719704952581</c:v>
                </c:pt>
                <c:pt idx="24">
                  <c:v>23.977272727272727</c:v>
                </c:pt>
                <c:pt idx="25" formatCode="General">
                  <c:v>31.6</c:v>
                </c:pt>
              </c:numCache>
            </c:numRef>
          </c:yVal>
          <c:smooth val="0"/>
          <c:extLst>
            <c:ext xmlns:c16="http://schemas.microsoft.com/office/drawing/2014/chart" uri="{C3380CC4-5D6E-409C-BE32-E72D297353CC}">
              <c16:uniqueId val="{00000001-8051-46BD-A918-05F4689DB8AB}"/>
            </c:ext>
          </c:extLst>
        </c:ser>
        <c:dLbls>
          <c:showLegendKey val="0"/>
          <c:showVal val="0"/>
          <c:showCatName val="0"/>
          <c:showSerName val="0"/>
          <c:showPercent val="0"/>
          <c:showBubbleSize val="0"/>
        </c:dLbls>
        <c:axId val="409414720"/>
        <c:axId val="409415048"/>
      </c:scatterChart>
      <c:scatterChart>
        <c:scatterStyle val="lineMarker"/>
        <c:varyColors val="0"/>
        <c:ser>
          <c:idx val="2"/>
          <c:order val="2"/>
          <c:tx>
            <c:strRef>
              <c:f>Аркуш1!$D$1</c:f>
              <c:strCache>
                <c:ptCount val="1"/>
                <c:pt idx="0">
                  <c:v>2021</c:v>
                </c:pt>
              </c:strCache>
            </c:strRef>
          </c:tx>
          <c:spPr>
            <a:ln w="28575" cap="rnd">
              <a:noFill/>
              <a:round/>
            </a:ln>
            <a:effectLst>
              <a:glow>
                <a:schemeClr val="accent1"/>
              </a:glow>
              <a:outerShdw sx="1000" sy="1000" algn="ctr" rotWithShape="0">
                <a:srgbClr val="000000"/>
              </a:outerShdw>
            </a:effectLst>
          </c:spPr>
          <c:marker>
            <c:symbol val="circle"/>
            <c:size val="5"/>
            <c:spPr>
              <a:solidFill>
                <a:schemeClr val="accent1">
                  <a:lumMod val="20000"/>
                  <a:lumOff val="80000"/>
                </a:schemeClr>
              </a:solidFill>
              <a:ln w="38100">
                <a:solidFill>
                  <a:schemeClr val="accent1"/>
                </a:solidFill>
                <a:headEnd w="lg" len="med"/>
                <a:tailEnd w="lg" len="lg"/>
              </a:ln>
              <a:effectLst>
                <a:glow>
                  <a:schemeClr val="accent1"/>
                </a:glow>
                <a:outerShdw sx="1000" sy="1000" algn="ctr" rotWithShape="0">
                  <a:srgbClr val="000000"/>
                </a:outerShdw>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Аркуш1!$D$2:$D$27</c:f>
              <c:numCache>
                <c:formatCode>0.0</c:formatCode>
                <c:ptCount val="26"/>
                <c:pt idx="0">
                  <c:v>25.415676959619955</c:v>
                </c:pt>
                <c:pt idx="1">
                  <c:v>25.714285714285712</c:v>
                </c:pt>
                <c:pt idx="2">
                  <c:v>24.059492563429572</c:v>
                </c:pt>
                <c:pt idx="3">
                  <c:v>27.02429149797571</c:v>
                </c:pt>
                <c:pt idx="4">
                  <c:v>26.600985221674879</c:v>
                </c:pt>
                <c:pt idx="5">
                  <c:v>33.040614709110869</c:v>
                </c:pt>
                <c:pt idx="6">
                  <c:v>25.245441795231415</c:v>
                </c:pt>
                <c:pt idx="7">
                  <c:v>27.27272727272727</c:v>
                </c:pt>
                <c:pt idx="8">
                  <c:v>21.029082774049218</c:v>
                </c:pt>
                <c:pt idx="9">
                  <c:v>25</c:v>
                </c:pt>
                <c:pt idx="10">
                  <c:v>20.303030303030305</c:v>
                </c:pt>
                <c:pt idx="11">
                  <c:v>25.952380952380956</c:v>
                </c:pt>
                <c:pt idx="12">
                  <c:v>30.647709320695103</c:v>
                </c:pt>
                <c:pt idx="13">
                  <c:v>25.275980205557669</c:v>
                </c:pt>
                <c:pt idx="14">
                  <c:v>28.599605522682449</c:v>
                </c:pt>
                <c:pt idx="15">
                  <c:v>25.847457627118644</c:v>
                </c:pt>
                <c:pt idx="16">
                  <c:v>25.708061002178649</c:v>
                </c:pt>
                <c:pt idx="17">
                  <c:v>26.377952755905511</c:v>
                </c:pt>
                <c:pt idx="18">
                  <c:v>25.844004656577411</c:v>
                </c:pt>
                <c:pt idx="19">
                  <c:v>35.12544802867383</c:v>
                </c:pt>
                <c:pt idx="20">
                  <c:v>29.892473118279572</c:v>
                </c:pt>
                <c:pt idx="21">
                  <c:v>27.624309392265197</c:v>
                </c:pt>
                <c:pt idx="22">
                  <c:v>26.877470355731226</c:v>
                </c:pt>
                <c:pt idx="23">
                  <c:v>30.404217926186295</c:v>
                </c:pt>
                <c:pt idx="24">
                  <c:v>21.379310344827587</c:v>
                </c:pt>
                <c:pt idx="25" formatCode="General">
                  <c:v>25.9</c:v>
                </c:pt>
              </c:numCache>
            </c:numRef>
          </c:yVal>
          <c:smooth val="0"/>
          <c:extLst>
            <c:ext xmlns:c16="http://schemas.microsoft.com/office/drawing/2014/chart" uri="{C3380CC4-5D6E-409C-BE32-E72D297353CC}">
              <c16:uniqueId val="{00000002-8051-46BD-A918-05F4689DB8AB}"/>
            </c:ext>
          </c:extLst>
        </c:ser>
        <c:dLbls>
          <c:showLegendKey val="0"/>
          <c:showVal val="0"/>
          <c:showCatName val="0"/>
          <c:showSerName val="0"/>
          <c:showPercent val="0"/>
          <c:showBubbleSize val="0"/>
        </c:dLbls>
        <c:axId val="409421936"/>
        <c:axId val="409420952"/>
      </c:scatte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tickLblSkip val="1"/>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valAx>
        <c:axId val="4094209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21936"/>
        <c:crosses val="max"/>
        <c:crossBetween val="midCat"/>
      </c:valAx>
      <c:valAx>
        <c:axId val="409421936"/>
        <c:scaling>
          <c:orientation val="minMax"/>
        </c:scaling>
        <c:delete val="1"/>
        <c:axPos val="t"/>
        <c:majorTickMark val="out"/>
        <c:minorTickMark val="none"/>
        <c:tickLblPos val="nextTo"/>
        <c:crossAx val="409420952"/>
        <c:crosses val="max"/>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1E-2"/>
          <c:y val="0.1285225372057974"/>
          <c:w val="0.90620525695157672"/>
          <c:h val="0.64430868989126511"/>
        </c:manualLayout>
      </c:layout>
      <c:barChart>
        <c:barDir val="col"/>
        <c:grouping val="clustered"/>
        <c:varyColors val="0"/>
        <c:ser>
          <c:idx val="0"/>
          <c:order val="0"/>
          <c:tx>
            <c:strRef>
              <c:f>Аркуш1!$B$1</c:f>
              <c:strCache>
                <c:ptCount val="1"/>
                <c:pt idx="0">
                  <c:v>Діти</c:v>
                </c:pt>
              </c:strCache>
            </c:strRef>
          </c:tx>
          <c:spPr>
            <a:solidFill>
              <a:schemeClr val="accent1"/>
            </a:solidFill>
            <a:ln w="3175">
              <a:solidFill>
                <a:schemeClr val="accent3"/>
              </a:solidFill>
            </a:ln>
            <a:effectLst/>
          </c:spPr>
          <c:invertIfNegative val="0"/>
          <c:dLbls>
            <c:dLbl>
              <c:idx val="0"/>
              <c:layout>
                <c:manualLayout>
                  <c:x val="0"/>
                  <c:y val="0.11382705733271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6D-4586-9431-B2A62D238257}"/>
                </c:ext>
              </c:extLst>
            </c:dLbl>
            <c:dLbl>
              <c:idx val="1"/>
              <c:layout>
                <c:manualLayout>
                  <c:x val="-3.0372057706909645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6D-4586-9431-B2A62D238257}"/>
                </c:ext>
              </c:extLst>
            </c:dLbl>
            <c:dLbl>
              <c:idx val="2"/>
              <c:layout>
                <c:manualLayout>
                  <c:x val="-3.0372057706909645E-3"/>
                  <c:y val="0.11674569982842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D-4586-9431-B2A62D238257}"/>
                </c:ext>
              </c:extLst>
            </c:dLbl>
            <c:dLbl>
              <c:idx val="3"/>
              <c:layout>
                <c:manualLayout>
                  <c:x val="-1.5186028853455935E-3"/>
                  <c:y val="0.1196643423241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D-4586-9431-B2A62D238257}"/>
                </c:ext>
              </c:extLst>
            </c:dLbl>
            <c:dLbl>
              <c:idx val="4"/>
              <c:layout>
                <c:manualLayout>
                  <c:x val="1.5186028853454822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D-4586-9431-B2A62D238257}"/>
                </c:ext>
              </c:extLst>
            </c:dLbl>
            <c:dLbl>
              <c:idx val="5"/>
              <c:layout>
                <c:manualLayout>
                  <c:x val="-1.1136292511798809E-16"/>
                  <c:y val="0.1050711298455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6D-4586-9431-B2A62D23825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571</c:v>
                </c:pt>
                <c:pt idx="1">
                  <c:v>611</c:v>
                </c:pt>
                <c:pt idx="2">
                  <c:v>583</c:v>
                </c:pt>
                <c:pt idx="3">
                  <c:v>583</c:v>
                </c:pt>
                <c:pt idx="4">
                  <c:v>377</c:v>
                </c:pt>
                <c:pt idx="5">
                  <c:v>463</c:v>
                </c:pt>
              </c:numCache>
            </c:numRef>
          </c:val>
          <c:extLst>
            <c:ext xmlns:c16="http://schemas.microsoft.com/office/drawing/2014/chart" uri="{C3380CC4-5D6E-409C-BE32-E72D297353CC}">
              <c16:uniqueId val="{00000006-E76D-4586-9431-B2A62D238257}"/>
            </c:ext>
          </c:extLst>
        </c:ser>
        <c:ser>
          <c:idx val="1"/>
          <c:order val="1"/>
          <c:tx>
            <c:strRef>
              <c:f>Аркуш1!$C$1</c:f>
              <c:strCache>
                <c:ptCount val="1"/>
                <c:pt idx="0">
                  <c:v>Позалегеневий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Ref>
          </c:val>
          <c:extLst>
            <c:ext xmlns:c16="http://schemas.microsoft.com/office/drawing/2014/chart" uri="{C3380CC4-5D6E-409C-BE32-E72D297353CC}">
              <c16:uniqueId val="{00000007-E76D-4586-9431-B2A62D238257}"/>
            </c:ext>
          </c:extLst>
        </c:ser>
        <c:dLbls>
          <c:showLegendKey val="0"/>
          <c:showVal val="0"/>
          <c:showCatName val="0"/>
          <c:showSerName val="0"/>
          <c:showPercent val="0"/>
          <c:showBubbleSize val="0"/>
        </c:dLbls>
        <c:gapWidth val="89"/>
        <c:axId val="290426232"/>
        <c:axId val="290425248"/>
      </c:barChart>
      <c:lineChart>
        <c:grouping val="standard"/>
        <c:varyColors val="0"/>
        <c:ser>
          <c:idx val="2"/>
          <c:order val="2"/>
          <c:tx>
            <c:strRef>
              <c:f>Аркуш1!$D$1</c:f>
              <c:strCache>
                <c:ptCount val="1"/>
                <c:pt idx="0">
                  <c:v>% дитячого ТБ</c:v>
                </c:pt>
              </c:strCache>
            </c:strRef>
          </c:tx>
          <c:spPr>
            <a:ln w="50800" cap="sq">
              <a:solidFill>
                <a:schemeClr val="accent3"/>
              </a:solidFill>
              <a:miter lim="800000"/>
              <a:headEnd type="none"/>
              <a:tailEnd type="none"/>
            </a:ln>
            <a:effectLst/>
          </c:spPr>
          <c:marker>
            <c:symbol val="none"/>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6D-4586-9431-B2A62D238257}"/>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6D-4586-9431-B2A62D238257}"/>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D-4586-9431-B2A62D238257}"/>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6D-4586-9431-B2A62D238257}"/>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6D-4586-9431-B2A62D238257}"/>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6D-4586-9431-B2A62D23825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2</c:v>
                </c:pt>
                <c:pt idx="1">
                  <c:v>2.2000000000000002</c:v>
                </c:pt>
                <c:pt idx="2">
                  <c:v>2.2000000000000002</c:v>
                </c:pt>
                <c:pt idx="3">
                  <c:v>2.2999999999999998</c:v>
                </c:pt>
                <c:pt idx="4">
                  <c:v>2.1</c:v>
                </c:pt>
                <c:pt idx="5">
                  <c:v>2.5</c:v>
                </c:pt>
              </c:numCache>
            </c:numRef>
          </c:val>
          <c:smooth val="0"/>
          <c:extLst>
            <c:ext xmlns:c16="http://schemas.microsoft.com/office/drawing/2014/chart" uri="{C3380CC4-5D6E-409C-BE32-E72D297353CC}">
              <c16:uniqueId val="{0000000E-E76D-4586-9431-B2A62D238257}"/>
            </c:ext>
          </c:extLst>
        </c:ser>
        <c:dLbls>
          <c:showLegendKey val="0"/>
          <c:showVal val="0"/>
          <c:showCatName val="0"/>
          <c:showSerName val="0"/>
          <c:showPercent val="0"/>
          <c:showBubbleSize val="0"/>
        </c:dLbls>
        <c:marker val="1"/>
        <c:smooth val="0"/>
        <c:axId val="389511856"/>
        <c:axId val="389512184"/>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7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389512184"/>
        <c:scaling>
          <c:orientation val="minMax"/>
          <c:max val="2.7"/>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89511856"/>
        <c:crosses val="max"/>
        <c:crossBetween val="between"/>
      </c:valAx>
      <c:catAx>
        <c:axId val="389511856"/>
        <c:scaling>
          <c:orientation val="minMax"/>
        </c:scaling>
        <c:delete val="1"/>
        <c:axPos val="b"/>
        <c:numFmt formatCode="General" sourceLinked="1"/>
        <c:majorTickMark val="out"/>
        <c:minorTickMark val="none"/>
        <c:tickLblPos val="nextTo"/>
        <c:crossAx val="389512184"/>
        <c:crosses val="autoZero"/>
        <c:auto val="1"/>
        <c:lblAlgn val="ctr"/>
        <c:lblOffset val="100"/>
        <c:noMultiLvlLbl val="0"/>
      </c:catAx>
      <c:spPr>
        <a:noFill/>
        <a:ln w="0">
          <a:solidFill>
            <a:schemeClr val="accent3"/>
          </a:solidFill>
        </a:ln>
        <a:effectLst/>
      </c:spPr>
    </c:plotArea>
    <c:legend>
      <c:legendPos val="b"/>
      <c:layout>
        <c:manualLayout>
          <c:xMode val="edge"/>
          <c:yMode val="edge"/>
          <c:x val="0.26397926074312866"/>
          <c:y val="0.92751379001125644"/>
          <c:w val="0.56752134737834414"/>
          <c:h val="6.3367405611791133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A316-48F2-A9E1-10BEC3664BE4}"/>
            </c:ext>
          </c:extLst>
        </c:ser>
        <c:dLbls>
          <c:showLegendKey val="0"/>
          <c:showVal val="0"/>
          <c:showCatName val="0"/>
          <c:showSerName val="0"/>
          <c:showPercent val="0"/>
          <c:showBubbleSize val="0"/>
        </c:dLbls>
        <c:gapWidth val="219"/>
        <c:overlap val="-27"/>
        <c:axId val="409414720"/>
        <c:axId val="409415048"/>
      </c:barChart>
      <c:scatterChart>
        <c:scatterStyle val="lineMarker"/>
        <c:varyColors val="0"/>
        <c:ser>
          <c:idx val="1"/>
          <c:order val="1"/>
          <c:tx>
            <c:strRef>
              <c:f>Аркуш1!$C$1</c:f>
              <c:strCache>
                <c:ptCount val="1"/>
                <c:pt idx="0">
                  <c:v>2016</c:v>
                </c:pt>
              </c:strCache>
            </c:strRef>
          </c:tx>
          <c:spPr>
            <a:ln w="25400" cap="rnd">
              <a:noFill/>
              <a:round/>
            </a:ln>
            <a:effectLst/>
          </c:spPr>
          <c:marker>
            <c:symbol val="circle"/>
            <c:size val="5"/>
            <c:spPr>
              <a:solidFill>
                <a:schemeClr val="accent2">
                  <a:lumMod val="20000"/>
                  <a:lumOff val="80000"/>
                </a:schemeClr>
              </a:solidFill>
              <a:ln w="38100">
                <a:solidFill>
                  <a:schemeClr val="accent2"/>
                </a:solidFill>
              </a:ln>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Аркуш1!$C$2:$C$27</c:f>
              <c:numCache>
                <c:formatCode>0.0</c:formatCode>
                <c:ptCount val="26"/>
                <c:pt idx="0">
                  <c:v>1.3306038894575232</c:v>
                </c:pt>
                <c:pt idx="1">
                  <c:v>1.8337408312958436</c:v>
                </c:pt>
                <c:pt idx="2">
                  <c:v>3.1752104055087984</c:v>
                </c:pt>
                <c:pt idx="3">
                  <c:v>1.9815994338287333</c:v>
                </c:pt>
                <c:pt idx="4">
                  <c:v>2.2657054582904221</c:v>
                </c:pt>
                <c:pt idx="5">
                  <c:v>1.9428571428571426</c:v>
                </c:pt>
                <c:pt idx="6">
                  <c:v>4.4444444444444446</c:v>
                </c:pt>
                <c:pt idx="7">
                  <c:v>1.4223194748358863</c:v>
                </c:pt>
                <c:pt idx="8">
                  <c:v>1.8931710615280595</c:v>
                </c:pt>
                <c:pt idx="9">
                  <c:v>1.8229166666666667</c:v>
                </c:pt>
                <c:pt idx="10">
                  <c:v>3.0042918454935621</c:v>
                </c:pt>
                <c:pt idx="11">
                  <c:v>2.0874751491053676</c:v>
                </c:pt>
                <c:pt idx="12">
                  <c:v>1.0526315789473684</c:v>
                </c:pt>
                <c:pt idx="13">
                  <c:v>1.4157014157014158</c:v>
                </c:pt>
                <c:pt idx="14">
                  <c:v>1.0040160642570282</c:v>
                </c:pt>
                <c:pt idx="15">
                  <c:v>2.0725388601036272</c:v>
                </c:pt>
                <c:pt idx="16">
                  <c:v>2</c:v>
                </c:pt>
                <c:pt idx="17">
                  <c:v>0.6578947368421052</c:v>
                </c:pt>
                <c:pt idx="18">
                  <c:v>1.620859760394644</c:v>
                </c:pt>
                <c:pt idx="19">
                  <c:v>2.093244529019981</c:v>
                </c:pt>
                <c:pt idx="20">
                  <c:v>1.0215664018161181</c:v>
                </c:pt>
                <c:pt idx="21">
                  <c:v>2.5423728813559325</c:v>
                </c:pt>
                <c:pt idx="22">
                  <c:v>1.10803324099723</c:v>
                </c:pt>
                <c:pt idx="23">
                  <c:v>1.6184971098265895</c:v>
                </c:pt>
                <c:pt idx="24">
                  <c:v>1.9256308100929616</c:v>
                </c:pt>
                <c:pt idx="25" formatCode="General">
                  <c:v>2</c:v>
                </c:pt>
              </c:numCache>
            </c:numRef>
          </c:yVal>
          <c:smooth val="0"/>
          <c:extLst>
            <c:ext xmlns:c16="http://schemas.microsoft.com/office/drawing/2014/chart" uri="{C3380CC4-5D6E-409C-BE32-E72D297353CC}">
              <c16:uniqueId val="{00000001-A316-48F2-A9E1-10BEC3664BE4}"/>
            </c:ext>
          </c:extLst>
        </c:ser>
        <c:dLbls>
          <c:showLegendKey val="0"/>
          <c:showVal val="0"/>
          <c:showCatName val="0"/>
          <c:showSerName val="0"/>
          <c:showPercent val="0"/>
          <c:showBubbleSize val="0"/>
        </c:dLbls>
        <c:axId val="409414720"/>
        <c:axId val="409415048"/>
      </c:scatterChart>
      <c:scatterChart>
        <c:scatterStyle val="lineMarker"/>
        <c:varyColors val="0"/>
        <c:ser>
          <c:idx val="2"/>
          <c:order val="2"/>
          <c:tx>
            <c:strRef>
              <c:f>Аркуш1!$D$1</c:f>
              <c:strCache>
                <c:ptCount val="1"/>
                <c:pt idx="0">
                  <c:v>2021</c:v>
                </c:pt>
              </c:strCache>
            </c:strRef>
          </c:tx>
          <c:spPr>
            <a:ln w="28575" cap="rnd">
              <a:noFill/>
              <a:round/>
            </a:ln>
            <a:effectLst>
              <a:glow>
                <a:schemeClr val="accent1"/>
              </a:glow>
              <a:outerShdw sx="1000" sy="1000" algn="ctr" rotWithShape="0">
                <a:srgbClr val="000000"/>
              </a:outerShdw>
            </a:effectLst>
          </c:spPr>
          <c:marker>
            <c:symbol val="circle"/>
            <c:size val="5"/>
            <c:spPr>
              <a:solidFill>
                <a:schemeClr val="accent1">
                  <a:lumMod val="20000"/>
                  <a:lumOff val="80000"/>
                </a:schemeClr>
              </a:solidFill>
              <a:ln w="38100">
                <a:solidFill>
                  <a:schemeClr val="accent1"/>
                </a:solidFill>
                <a:headEnd w="lg" len="med"/>
                <a:tailEnd w="lg" len="lg"/>
              </a:ln>
              <a:effectLst>
                <a:glow>
                  <a:schemeClr val="accent1"/>
                </a:glow>
                <a:outerShdw sx="1000" sy="1000" algn="ctr" rotWithShape="0">
                  <a:srgbClr val="000000"/>
                </a:outerShdw>
              </a:effectLst>
            </c:spPr>
          </c:marker>
          <c:xVal>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xVal>
          <c:yVal>
            <c:numRef>
              <c:f>Аркуш1!$D$2:$D$27</c:f>
              <c:numCache>
                <c:formatCode>0.0</c:formatCode>
                <c:ptCount val="26"/>
                <c:pt idx="0">
                  <c:v>3.9603960396039604</c:v>
                </c:pt>
                <c:pt idx="1">
                  <c:v>3.9087947882736152</c:v>
                </c:pt>
                <c:pt idx="2">
                  <c:v>2.6810912511759173</c:v>
                </c:pt>
                <c:pt idx="3">
                  <c:v>0.51440329218106995</c:v>
                </c:pt>
                <c:pt idx="4">
                  <c:v>1.1705685618729096</c:v>
                </c:pt>
                <c:pt idx="5">
                  <c:v>3.4759358288770055</c:v>
                </c:pt>
                <c:pt idx="6">
                  <c:v>7.6099881093935782</c:v>
                </c:pt>
                <c:pt idx="7">
                  <c:v>5.8823529411764701</c:v>
                </c:pt>
                <c:pt idx="8">
                  <c:v>2.4110218140068884</c:v>
                </c:pt>
                <c:pt idx="9">
                  <c:v>7.5342465753424657</c:v>
                </c:pt>
                <c:pt idx="10">
                  <c:v>1.6556291390728477</c:v>
                </c:pt>
                <c:pt idx="11">
                  <c:v>0.4838709677419355</c:v>
                </c:pt>
                <c:pt idx="12">
                  <c:v>1.854974704890388</c:v>
                </c:pt>
                <c:pt idx="13">
                  <c:v>1.2014417300760913</c:v>
                </c:pt>
                <c:pt idx="14">
                  <c:v>1.2605042016806722</c:v>
                </c:pt>
                <c:pt idx="15">
                  <c:v>3.1390134529147984</c:v>
                </c:pt>
                <c:pt idx="16">
                  <c:v>2.6785714285714284</c:v>
                </c:pt>
                <c:pt idx="17">
                  <c:v>0</c:v>
                </c:pt>
                <c:pt idx="18">
                  <c:v>5.2798310454065467</c:v>
                </c:pt>
                <c:pt idx="19">
                  <c:v>1.4652014652014651</c:v>
                </c:pt>
                <c:pt idx="20">
                  <c:v>1.4962593516209477</c:v>
                </c:pt>
                <c:pt idx="21">
                  <c:v>5.2966101694915251</c:v>
                </c:pt>
                <c:pt idx="22">
                  <c:v>1.3274336283185841</c:v>
                </c:pt>
                <c:pt idx="23">
                  <c:v>1.4705882352941175</c:v>
                </c:pt>
                <c:pt idx="24">
                  <c:v>0.24038461538461539</c:v>
                </c:pt>
                <c:pt idx="25" formatCode="General">
                  <c:v>2.5</c:v>
                </c:pt>
              </c:numCache>
            </c:numRef>
          </c:yVal>
          <c:smooth val="0"/>
          <c:extLst>
            <c:ext xmlns:c16="http://schemas.microsoft.com/office/drawing/2014/chart" uri="{C3380CC4-5D6E-409C-BE32-E72D297353CC}">
              <c16:uniqueId val="{00000002-A316-48F2-A9E1-10BEC3664BE4}"/>
            </c:ext>
          </c:extLst>
        </c:ser>
        <c:dLbls>
          <c:showLegendKey val="0"/>
          <c:showVal val="0"/>
          <c:showCatName val="0"/>
          <c:showSerName val="0"/>
          <c:showPercent val="0"/>
          <c:showBubbleSize val="0"/>
        </c:dLbls>
        <c:axId val="409421936"/>
        <c:axId val="409420952"/>
      </c:scatte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tickLblSkip val="1"/>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valAx>
        <c:axId val="4094209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21936"/>
        <c:crosses val="max"/>
        <c:crossBetween val="midCat"/>
      </c:valAx>
      <c:valAx>
        <c:axId val="409421936"/>
        <c:scaling>
          <c:orientation val="minMax"/>
        </c:scaling>
        <c:delete val="1"/>
        <c:axPos val="t"/>
        <c:majorTickMark val="out"/>
        <c:minorTickMark val="none"/>
        <c:tickLblPos val="nextTo"/>
        <c:crossAx val="409420952"/>
        <c:crosses val="max"/>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Лист1!$A$661</c:f>
              <c:strCache>
                <c:ptCount val="1"/>
                <c:pt idx="0">
                  <c:v>коефіцієнт співідношення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Лист1!$B$660:$G$660</c:f>
              <c:numCache>
                <c:formatCode>General</c:formatCode>
                <c:ptCount val="6"/>
                <c:pt idx="0">
                  <c:v>2016</c:v>
                </c:pt>
                <c:pt idx="1">
                  <c:v>2017</c:v>
                </c:pt>
                <c:pt idx="2">
                  <c:v>2018</c:v>
                </c:pt>
                <c:pt idx="3">
                  <c:v>2019</c:v>
                </c:pt>
                <c:pt idx="4">
                  <c:v>2020</c:v>
                </c:pt>
                <c:pt idx="5">
                  <c:v>2021</c:v>
                </c:pt>
              </c:numCache>
            </c:numRef>
          </c:cat>
          <c:val>
            <c:numRef>
              <c:f>Лист1!$B$661:$G$661</c:f>
              <c:numCache>
                <c:formatCode>General</c:formatCode>
                <c:ptCount val="6"/>
                <c:pt idx="0">
                  <c:v>0.9</c:v>
                </c:pt>
                <c:pt idx="1">
                  <c:v>0.9</c:v>
                </c:pt>
                <c:pt idx="2">
                  <c:v>0.6</c:v>
                </c:pt>
                <c:pt idx="3">
                  <c:v>0.5</c:v>
                </c:pt>
                <c:pt idx="4">
                  <c:v>0.3</c:v>
                </c:pt>
                <c:pt idx="5">
                  <c:v>0.3</c:v>
                </c:pt>
              </c:numCache>
            </c:numRef>
          </c:val>
          <c:extLst>
            <c:ext xmlns:c16="http://schemas.microsoft.com/office/drawing/2014/chart" uri="{C3380CC4-5D6E-409C-BE32-E72D297353CC}">
              <c16:uniqueId val="{00000000-53E4-4895-8A44-7E987DB1DE1E}"/>
            </c:ext>
          </c:extLst>
        </c:ser>
        <c:dLbls>
          <c:showLegendKey val="0"/>
          <c:showVal val="0"/>
          <c:showCatName val="0"/>
          <c:showSerName val="0"/>
          <c:showPercent val="0"/>
          <c:showBubbleSize val="0"/>
        </c:dLbls>
        <c:gapWidth val="219"/>
        <c:overlap val="-27"/>
        <c:axId val="391170304"/>
        <c:axId val="391172096"/>
      </c:barChart>
      <c:lineChart>
        <c:grouping val="standard"/>
        <c:varyColors val="0"/>
        <c:ser>
          <c:idx val="1"/>
          <c:order val="1"/>
          <c:tx>
            <c:strRef>
              <c:f>Лист1!$A$662</c:f>
              <c:strCache>
                <c:ptCount val="1"/>
              </c:strCache>
            </c:strRef>
          </c:tx>
          <c:spPr>
            <a:ln w="28575" cap="rnd" cmpd="sng" algn="ctr">
              <a:solidFill>
                <a:schemeClr val="accent3">
                  <a:shade val="95000"/>
                  <a:satMod val="105000"/>
                </a:schemeClr>
              </a:solidFill>
              <a:prstDash val="solid"/>
              <a:round/>
            </a:ln>
            <a:effectLst/>
          </c:spPr>
          <c:marker>
            <c:symbol val="none"/>
          </c:marker>
          <c:cat>
            <c:numRef>
              <c:f>Лист1!$B$660:$G$660</c:f>
              <c:numCache>
                <c:formatCode>General</c:formatCode>
                <c:ptCount val="6"/>
                <c:pt idx="0">
                  <c:v>2016</c:v>
                </c:pt>
                <c:pt idx="1">
                  <c:v>2017</c:v>
                </c:pt>
                <c:pt idx="2">
                  <c:v>2018</c:v>
                </c:pt>
                <c:pt idx="3">
                  <c:v>2019</c:v>
                </c:pt>
                <c:pt idx="4">
                  <c:v>2020</c:v>
                </c:pt>
                <c:pt idx="5">
                  <c:v>2021</c:v>
                </c:pt>
              </c:numCache>
            </c:numRef>
          </c:cat>
          <c:val>
            <c:numRef>
              <c:f>Лист1!$B$662:$G$662</c:f>
              <c:numCache>
                <c:formatCode>General</c:formatCode>
                <c:ptCount val="6"/>
                <c:pt idx="0">
                  <c:v>1.5</c:v>
                </c:pt>
                <c:pt idx="1">
                  <c:v>1.5</c:v>
                </c:pt>
                <c:pt idx="2">
                  <c:v>1.5</c:v>
                </c:pt>
                <c:pt idx="3">
                  <c:v>1.5</c:v>
                </c:pt>
                <c:pt idx="4">
                  <c:v>1.5</c:v>
                </c:pt>
                <c:pt idx="5">
                  <c:v>1.5</c:v>
                </c:pt>
              </c:numCache>
            </c:numRef>
          </c:val>
          <c:smooth val="0"/>
          <c:extLst>
            <c:ext xmlns:c16="http://schemas.microsoft.com/office/drawing/2014/chart" uri="{C3380CC4-5D6E-409C-BE32-E72D297353CC}">
              <c16:uniqueId val="{00000001-53E4-4895-8A44-7E987DB1DE1E}"/>
            </c:ext>
          </c:extLst>
        </c:ser>
        <c:ser>
          <c:idx val="2"/>
          <c:order val="2"/>
          <c:tx>
            <c:strRef>
              <c:f>Лист1!$A$663</c:f>
              <c:strCache>
                <c:ptCount val="1"/>
              </c:strCache>
            </c:strRef>
          </c:tx>
          <c:spPr>
            <a:ln w="28575" cap="rnd" cmpd="sng" algn="ctr">
              <a:solidFill>
                <a:schemeClr val="accent5">
                  <a:shade val="95000"/>
                  <a:satMod val="105000"/>
                </a:schemeClr>
              </a:solidFill>
              <a:prstDash val="solid"/>
              <a:round/>
            </a:ln>
            <a:effectLst/>
          </c:spPr>
          <c:marker>
            <c:symbol val="none"/>
          </c:marker>
          <c:cat>
            <c:numRef>
              <c:f>Лист1!$B$660:$G$660</c:f>
              <c:numCache>
                <c:formatCode>General</c:formatCode>
                <c:ptCount val="6"/>
                <c:pt idx="0">
                  <c:v>2016</c:v>
                </c:pt>
                <c:pt idx="1">
                  <c:v>2017</c:v>
                </c:pt>
                <c:pt idx="2">
                  <c:v>2018</c:v>
                </c:pt>
                <c:pt idx="3">
                  <c:v>2019</c:v>
                </c:pt>
                <c:pt idx="4">
                  <c:v>2020</c:v>
                </c:pt>
                <c:pt idx="5">
                  <c:v>2021</c:v>
                </c:pt>
              </c:numCache>
            </c:numRef>
          </c:cat>
          <c:val>
            <c:numRef>
              <c:f>Лист1!$B$663:$G$663</c:f>
              <c:numCache>
                <c:formatCode>General</c:formatCode>
                <c:ptCount val="6"/>
                <c:pt idx="0">
                  <c:v>3</c:v>
                </c:pt>
                <c:pt idx="1">
                  <c:v>3</c:v>
                </c:pt>
                <c:pt idx="2">
                  <c:v>3</c:v>
                </c:pt>
                <c:pt idx="3">
                  <c:v>3</c:v>
                </c:pt>
                <c:pt idx="4">
                  <c:v>3</c:v>
                </c:pt>
                <c:pt idx="5">
                  <c:v>3</c:v>
                </c:pt>
              </c:numCache>
            </c:numRef>
          </c:val>
          <c:smooth val="0"/>
          <c:extLst>
            <c:ext xmlns:c16="http://schemas.microsoft.com/office/drawing/2014/chart" uri="{C3380CC4-5D6E-409C-BE32-E72D297353CC}">
              <c16:uniqueId val="{00000002-53E4-4895-8A44-7E987DB1DE1E}"/>
            </c:ext>
          </c:extLst>
        </c:ser>
        <c:dLbls>
          <c:showLegendKey val="0"/>
          <c:showVal val="0"/>
          <c:showCatName val="0"/>
          <c:showSerName val="0"/>
          <c:showPercent val="0"/>
          <c:showBubbleSize val="0"/>
        </c:dLbls>
        <c:marker val="1"/>
        <c:smooth val="0"/>
        <c:axId val="391170304"/>
        <c:axId val="391172096"/>
      </c:lineChart>
      <c:catAx>
        <c:axId val="3911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crossAx val="391172096"/>
        <c:crosses val="autoZero"/>
        <c:auto val="1"/>
        <c:lblAlgn val="ctr"/>
        <c:lblOffset val="100"/>
        <c:noMultiLvlLbl val="0"/>
      </c:catAx>
      <c:valAx>
        <c:axId val="391172096"/>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3911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prstDash val="solid"/>
      <a:round/>
    </a:ln>
    <a:effectLst/>
  </c:spPr>
  <c:txPr>
    <a:bodyPr/>
    <a:lstStyle/>
    <a:p>
      <a:pPr>
        <a:defRPr/>
      </a:pPr>
      <a:endParaRPr lang="uk-UA"/>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1E-2"/>
          <c:y val="0.1285225372057974"/>
          <c:w val="0.90620525695157672"/>
          <c:h val="0.71005752852322035"/>
        </c:manualLayout>
      </c:layout>
      <c:barChart>
        <c:barDir val="col"/>
        <c:grouping val="stacked"/>
        <c:varyColors val="0"/>
        <c:ser>
          <c:idx val="0"/>
          <c:order val="0"/>
          <c:tx>
            <c:strRef>
              <c:f>Аркуш1!$B$1</c:f>
              <c:strCache>
                <c:ptCount val="1"/>
                <c:pt idx="0">
                  <c:v>Жінки</c:v>
                </c:pt>
              </c:strCache>
            </c:strRef>
          </c:tx>
          <c:spPr>
            <a:solidFill>
              <a:schemeClr val="accent1"/>
            </a:solidFill>
            <a:ln w="31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21103</c:v>
                </c:pt>
                <c:pt idx="1">
                  <c:v>19054</c:v>
                </c:pt>
                <c:pt idx="2">
                  <c:v>18609</c:v>
                </c:pt>
                <c:pt idx="3">
                  <c:v>17870</c:v>
                </c:pt>
                <c:pt idx="4">
                  <c:v>12338</c:v>
                </c:pt>
                <c:pt idx="5">
                  <c:v>12989</c:v>
                </c:pt>
              </c:numCache>
            </c:numRef>
          </c:val>
          <c:extLst>
            <c:ext xmlns:c16="http://schemas.microsoft.com/office/drawing/2014/chart" uri="{C3380CC4-5D6E-409C-BE32-E72D297353CC}">
              <c16:uniqueId val="{00000000-41B9-4494-BFEC-3AFA86EB4EDE}"/>
            </c:ext>
          </c:extLst>
        </c:ser>
        <c:ser>
          <c:idx val="1"/>
          <c:order val="1"/>
          <c:tx>
            <c:strRef>
              <c:f>Аркуш1!$C$1</c:f>
              <c:strCache>
                <c:ptCount val="1"/>
                <c:pt idx="0">
                  <c:v>Чоловіки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7949</c:v>
                </c:pt>
                <c:pt idx="1">
                  <c:v>8175</c:v>
                </c:pt>
                <c:pt idx="2">
                  <c:v>7903</c:v>
                </c:pt>
                <c:pt idx="3">
                  <c:v>7523</c:v>
                </c:pt>
                <c:pt idx="4">
                  <c:v>5195</c:v>
                </c:pt>
                <c:pt idx="5">
                  <c:v>5318</c:v>
                </c:pt>
              </c:numCache>
            </c:numRef>
          </c:val>
          <c:extLst>
            <c:ext xmlns:c16="http://schemas.microsoft.com/office/drawing/2014/chart" uri="{C3380CC4-5D6E-409C-BE32-E72D297353CC}">
              <c16:uniqueId val="{00000001-41B9-4494-BFEC-3AFA86EB4EDE}"/>
            </c:ext>
          </c:extLst>
        </c:ser>
        <c:dLbls>
          <c:showLegendKey val="0"/>
          <c:showVal val="0"/>
          <c:showCatName val="0"/>
          <c:showSerName val="0"/>
          <c:showPercent val="0"/>
          <c:showBubbleSize val="0"/>
        </c:dLbls>
        <c:gapWidth val="89"/>
        <c:overlap val="100"/>
        <c:axId val="290426232"/>
        <c:axId val="290425248"/>
      </c:barChart>
      <c:lineChart>
        <c:grouping val="standard"/>
        <c:varyColors val="0"/>
        <c:ser>
          <c:idx val="2"/>
          <c:order val="2"/>
          <c:tx>
            <c:strRef>
              <c:f>Аркуш1!$D$1</c:f>
              <c:strCache>
                <c:ptCount val="1"/>
                <c:pt idx="0">
                  <c:v>Відсоток чоловіків</c:v>
                </c:pt>
              </c:strCache>
            </c:strRef>
          </c:tx>
          <c:spPr>
            <a:ln w="34925" cap="sq">
              <a:solidFill>
                <a:schemeClr val="accent3"/>
              </a:solidFill>
              <a:miter lim="800000"/>
              <a:headEnd type="none"/>
              <a:tailEnd type="none"/>
            </a:ln>
            <a:effectLst/>
          </c:spPr>
          <c:marker>
            <c:symbol val="circle"/>
            <c:size val="5"/>
            <c:spPr>
              <a:solidFill>
                <a:schemeClr val="accent3"/>
              </a:solidFill>
              <a:ln w="9525">
                <a:solidFill>
                  <a:schemeClr val="accent3"/>
                </a:solidFill>
                <a:headEnd type="diamond"/>
                <a:tailEnd type="diamond"/>
              </a:ln>
              <a:effectLst/>
            </c:spPr>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9-4494-BFEC-3AFA86EB4EDE}"/>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B9-4494-BFEC-3AFA86EB4EDE}"/>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B9-4494-BFEC-3AFA86EB4EDE}"/>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B9-4494-BFEC-3AFA86EB4EDE}"/>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B9-4494-BFEC-3AFA86EB4EDE}"/>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B9-4494-BFEC-3AFA86EB4EDE}"/>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72.599999999999994</c:v>
                </c:pt>
                <c:pt idx="1">
                  <c:v>70</c:v>
                </c:pt>
                <c:pt idx="2">
                  <c:v>70.2</c:v>
                </c:pt>
                <c:pt idx="3">
                  <c:v>70.400000000000006</c:v>
                </c:pt>
                <c:pt idx="4">
                  <c:v>70.400000000000006</c:v>
                </c:pt>
                <c:pt idx="5">
                  <c:v>71</c:v>
                </c:pt>
              </c:numCache>
            </c:numRef>
          </c:val>
          <c:smooth val="0"/>
          <c:extLst>
            <c:ext xmlns:c16="http://schemas.microsoft.com/office/drawing/2014/chart" uri="{C3380CC4-5D6E-409C-BE32-E72D297353CC}">
              <c16:uniqueId val="{00000008-41B9-4494-BFEC-3AFA86EB4EDE}"/>
            </c:ext>
          </c:extLst>
        </c:ser>
        <c:dLbls>
          <c:showLegendKey val="0"/>
          <c:showVal val="0"/>
          <c:showCatName val="0"/>
          <c:showSerName val="0"/>
          <c:showPercent val="0"/>
          <c:showBubbleSize val="0"/>
        </c:dLbls>
        <c:marker val="1"/>
        <c:smooth val="0"/>
        <c:axId val="528732792"/>
        <c:axId val="528737712"/>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528737712"/>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528732792"/>
        <c:crosses val="max"/>
        <c:crossBetween val="between"/>
      </c:valAx>
      <c:catAx>
        <c:axId val="528732792"/>
        <c:scaling>
          <c:orientation val="minMax"/>
        </c:scaling>
        <c:delete val="1"/>
        <c:axPos val="b"/>
        <c:numFmt formatCode="General" sourceLinked="1"/>
        <c:majorTickMark val="out"/>
        <c:minorTickMark val="none"/>
        <c:tickLblPos val="nextTo"/>
        <c:crossAx val="528737712"/>
        <c:crosses val="autoZero"/>
        <c:auto val="1"/>
        <c:lblAlgn val="ctr"/>
        <c:lblOffset val="100"/>
        <c:noMultiLvlLbl val="0"/>
      </c:catAx>
      <c:spPr>
        <a:noFill/>
        <a:ln w="0">
          <a:solidFill>
            <a:schemeClr val="accent3"/>
          </a:solidFill>
        </a:ln>
        <a:effectLst/>
      </c:spPr>
    </c:plotArea>
    <c:legend>
      <c:legendPos val="b"/>
      <c:layout>
        <c:manualLayout>
          <c:xMode val="edge"/>
          <c:yMode val="edge"/>
          <c:x val="2.9511364270955492E-2"/>
          <c:y val="0.92459521131287159"/>
          <c:w val="0.9378250591016547"/>
          <c:h val="5.907825807488349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uk-UA" dirty="0"/>
              <a:t>Нові випадки + рецидиви</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stacked"/>
        <c:varyColors val="0"/>
        <c:ser>
          <c:idx val="0"/>
          <c:order val="0"/>
          <c:tx>
            <c:strRef>
              <c:f>Аркуш1!$B$1</c:f>
              <c:strCache>
                <c:ptCount val="1"/>
                <c:pt idx="0">
                  <c:v>Чоловіки</c:v>
                </c:pt>
              </c:strCache>
            </c:strRef>
          </c:tx>
          <c:spPr>
            <a:solidFill>
              <a:schemeClr val="accent1"/>
            </a:solidFill>
            <a:ln>
              <a:noFill/>
            </a:ln>
            <a:effectLst/>
          </c:spPr>
          <c:invertIfNegative val="0"/>
          <c:cat>
            <c:strRef>
              <c:f>Аркуш1!$A$2:$A$9</c:f>
              <c:strCache>
                <c:ptCount val="8"/>
                <c:pt idx="0">
                  <c:v>0-4</c:v>
                </c:pt>
                <c:pt idx="1">
                  <c:v>5-14</c:v>
                </c:pt>
                <c:pt idx="2">
                  <c:v>15-24</c:v>
                </c:pt>
                <c:pt idx="3">
                  <c:v>25-34</c:v>
                </c:pt>
                <c:pt idx="4">
                  <c:v>35-44</c:v>
                </c:pt>
                <c:pt idx="5">
                  <c:v>45-54</c:v>
                </c:pt>
                <c:pt idx="6">
                  <c:v>55-64</c:v>
                </c:pt>
                <c:pt idx="7">
                  <c:v>65 плюс</c:v>
                </c:pt>
              </c:strCache>
            </c:strRef>
          </c:cat>
          <c:val>
            <c:numRef>
              <c:f>Аркуш1!$B$2:$B$9</c:f>
              <c:numCache>
                <c:formatCode>General</c:formatCode>
                <c:ptCount val="8"/>
                <c:pt idx="0">
                  <c:v>59</c:v>
                </c:pt>
                <c:pt idx="1">
                  <c:v>169</c:v>
                </c:pt>
                <c:pt idx="2">
                  <c:v>473</c:v>
                </c:pt>
                <c:pt idx="3">
                  <c:v>1936</c:v>
                </c:pt>
                <c:pt idx="4">
                  <c:v>4069</c:v>
                </c:pt>
                <c:pt idx="5">
                  <c:v>3219</c:v>
                </c:pt>
                <c:pt idx="6">
                  <c:v>2128</c:v>
                </c:pt>
                <c:pt idx="7">
                  <c:v>936</c:v>
                </c:pt>
              </c:numCache>
            </c:numRef>
          </c:val>
          <c:extLst>
            <c:ext xmlns:c16="http://schemas.microsoft.com/office/drawing/2014/chart" uri="{C3380CC4-5D6E-409C-BE32-E72D297353CC}">
              <c16:uniqueId val="{00000000-5072-47CC-A804-6998A4FE8B65}"/>
            </c:ext>
          </c:extLst>
        </c:ser>
        <c:ser>
          <c:idx val="1"/>
          <c:order val="1"/>
          <c:tx>
            <c:strRef>
              <c:f>Аркуш1!$C$1</c:f>
              <c:strCache>
                <c:ptCount val="1"/>
                <c:pt idx="0">
                  <c:v>Жінки</c:v>
                </c:pt>
              </c:strCache>
            </c:strRef>
          </c:tx>
          <c:spPr>
            <a:solidFill>
              <a:schemeClr val="accent2"/>
            </a:solidFill>
            <a:ln>
              <a:noFill/>
            </a:ln>
            <a:effectLst/>
          </c:spPr>
          <c:invertIfNegative val="0"/>
          <c:cat>
            <c:strRef>
              <c:f>Аркуш1!$A$2:$A$9</c:f>
              <c:strCache>
                <c:ptCount val="8"/>
                <c:pt idx="0">
                  <c:v>0-4</c:v>
                </c:pt>
                <c:pt idx="1">
                  <c:v>5-14</c:v>
                </c:pt>
                <c:pt idx="2">
                  <c:v>15-24</c:v>
                </c:pt>
                <c:pt idx="3">
                  <c:v>25-34</c:v>
                </c:pt>
                <c:pt idx="4">
                  <c:v>35-44</c:v>
                </c:pt>
                <c:pt idx="5">
                  <c:v>45-54</c:v>
                </c:pt>
                <c:pt idx="6">
                  <c:v>55-64</c:v>
                </c:pt>
                <c:pt idx="7">
                  <c:v>65 плюс</c:v>
                </c:pt>
              </c:strCache>
            </c:strRef>
          </c:cat>
          <c:val>
            <c:numRef>
              <c:f>Аркуш1!$C$2:$C$9</c:f>
              <c:numCache>
                <c:formatCode>General</c:formatCode>
                <c:ptCount val="8"/>
                <c:pt idx="0">
                  <c:v>58</c:v>
                </c:pt>
                <c:pt idx="1">
                  <c:v>177</c:v>
                </c:pt>
                <c:pt idx="2">
                  <c:v>300</c:v>
                </c:pt>
                <c:pt idx="3">
                  <c:v>993</c:v>
                </c:pt>
                <c:pt idx="4">
                  <c:v>1471</c:v>
                </c:pt>
                <c:pt idx="5">
                  <c:v>965</c:v>
                </c:pt>
                <c:pt idx="6">
                  <c:v>645</c:v>
                </c:pt>
                <c:pt idx="7">
                  <c:v>709</c:v>
                </c:pt>
              </c:numCache>
            </c:numRef>
          </c:val>
          <c:extLst>
            <c:ext xmlns:c16="http://schemas.microsoft.com/office/drawing/2014/chart" uri="{C3380CC4-5D6E-409C-BE32-E72D297353CC}">
              <c16:uniqueId val="{00000001-5072-47CC-A804-6998A4FE8B65}"/>
            </c:ext>
          </c:extLst>
        </c:ser>
        <c:dLbls>
          <c:showLegendKey val="0"/>
          <c:showVal val="0"/>
          <c:showCatName val="0"/>
          <c:showSerName val="0"/>
          <c:showPercent val="0"/>
          <c:showBubbleSize val="0"/>
        </c:dLbls>
        <c:gapWidth val="150"/>
        <c:overlap val="100"/>
        <c:axId val="395417408"/>
        <c:axId val="395419048"/>
      </c:barChart>
      <c:catAx>
        <c:axId val="395417408"/>
        <c:scaling>
          <c:orientation val="minMax"/>
        </c:scaling>
        <c:delete val="0"/>
        <c:axPos val="l"/>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395419048"/>
        <c:crosses val="autoZero"/>
        <c:auto val="1"/>
        <c:lblAlgn val="ctr"/>
        <c:lblOffset val="100"/>
        <c:noMultiLvlLbl val="0"/>
      </c:catAx>
      <c:valAx>
        <c:axId val="395419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954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94071131274282E-2"/>
          <c:y val="3.2233323775704509E-2"/>
          <c:w val="0.94719987447221277"/>
          <c:h val="0.77021107655660692"/>
        </c:manualLayout>
      </c:layout>
      <c:lineChart>
        <c:grouping val="standard"/>
        <c:varyColors val="0"/>
        <c:ser>
          <c:idx val="0"/>
          <c:order val="0"/>
          <c:tx>
            <c:strRef>
              <c:f>Аркуш1!$B$1</c:f>
              <c:strCache>
                <c:ptCount val="1"/>
                <c:pt idx="0">
                  <c:v>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262</c:v>
                </c:pt>
                <c:pt idx="1">
                  <c:v>279</c:v>
                </c:pt>
                <c:pt idx="2">
                  <c:v>211</c:v>
                </c:pt>
                <c:pt idx="3">
                  <c:v>198</c:v>
                </c:pt>
                <c:pt idx="4">
                  <c:v>85</c:v>
                </c:pt>
                <c:pt idx="5">
                  <c:v>113</c:v>
                </c:pt>
              </c:numCache>
            </c:numRef>
          </c:val>
          <c:smooth val="0"/>
          <c:extLst>
            <c:ext xmlns:c16="http://schemas.microsoft.com/office/drawing/2014/chart" uri="{C3380CC4-5D6E-409C-BE32-E72D297353CC}">
              <c16:uniqueId val="{00000000-6E0F-4E76-9857-29071FFA21F5}"/>
            </c:ext>
          </c:extLst>
        </c:ser>
        <c:ser>
          <c:idx val="1"/>
          <c:order val="1"/>
          <c:tx>
            <c:strRef>
              <c:f>Аркуш1!$C$1</c:f>
              <c:strCache>
                <c:ptCount val="1"/>
                <c:pt idx="0">
                  <c:v>від5 до 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309</c:v>
                </c:pt>
                <c:pt idx="1">
                  <c:v>332</c:v>
                </c:pt>
                <c:pt idx="2">
                  <c:v>372</c:v>
                </c:pt>
                <c:pt idx="3">
                  <c:v>385</c:v>
                </c:pt>
                <c:pt idx="4">
                  <c:v>292</c:v>
                </c:pt>
                <c:pt idx="5">
                  <c:v>350</c:v>
                </c:pt>
              </c:numCache>
            </c:numRef>
          </c:val>
          <c:smooth val="0"/>
          <c:extLst>
            <c:ext xmlns:c16="http://schemas.microsoft.com/office/drawing/2014/chart" uri="{C3380CC4-5D6E-409C-BE32-E72D297353CC}">
              <c16:uniqueId val="{00000001-6E0F-4E76-9857-29071FFA21F5}"/>
            </c:ext>
          </c:extLst>
        </c:ser>
        <c:ser>
          <c:idx val="2"/>
          <c:order val="2"/>
          <c:tx>
            <c:strRef>
              <c:f>Аркуш1!$D$1</c:f>
              <c:strCache>
                <c:ptCount val="1"/>
                <c:pt idx="0">
                  <c:v>15-24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1785</c:v>
                </c:pt>
                <c:pt idx="1">
                  <c:v>1550</c:v>
                </c:pt>
                <c:pt idx="2">
                  <c:v>1376</c:v>
                </c:pt>
                <c:pt idx="3">
                  <c:v>1312</c:v>
                </c:pt>
                <c:pt idx="4">
                  <c:v>868</c:v>
                </c:pt>
                <c:pt idx="5">
                  <c:v>749</c:v>
                </c:pt>
              </c:numCache>
            </c:numRef>
          </c:val>
          <c:smooth val="0"/>
          <c:extLst>
            <c:ext xmlns:c16="http://schemas.microsoft.com/office/drawing/2014/chart" uri="{C3380CC4-5D6E-409C-BE32-E72D297353CC}">
              <c16:uniqueId val="{00000002-6E0F-4E76-9857-29071FFA21F5}"/>
            </c:ext>
          </c:extLst>
        </c:ser>
        <c:ser>
          <c:idx val="3"/>
          <c:order val="3"/>
          <c:tx>
            <c:strRef>
              <c:f>Аркуш1!$E$1</c:f>
              <c:strCache>
                <c:ptCount val="1"/>
                <c:pt idx="0">
                  <c:v>25-34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Аркуш1!$E$2:$E$7</c:f>
              <c:numCache>
                <c:formatCode>General</c:formatCode>
                <c:ptCount val="6"/>
                <c:pt idx="0">
                  <c:v>6483</c:v>
                </c:pt>
                <c:pt idx="1">
                  <c:v>5819</c:v>
                </c:pt>
                <c:pt idx="2">
                  <c:v>5206</c:v>
                </c:pt>
                <c:pt idx="3">
                  <c:v>4725</c:v>
                </c:pt>
                <c:pt idx="4">
                  <c:v>3256</c:v>
                </c:pt>
                <c:pt idx="5">
                  <c:v>2811</c:v>
                </c:pt>
              </c:numCache>
            </c:numRef>
          </c:val>
          <c:smooth val="0"/>
          <c:extLst>
            <c:ext xmlns:c16="http://schemas.microsoft.com/office/drawing/2014/chart" uri="{C3380CC4-5D6E-409C-BE32-E72D297353CC}">
              <c16:uniqueId val="{00000003-6E0F-4E76-9857-29071FFA21F5}"/>
            </c:ext>
          </c:extLst>
        </c:ser>
        <c:ser>
          <c:idx val="4"/>
          <c:order val="4"/>
          <c:tx>
            <c:strRef>
              <c:f>Аркуш1!$F$1</c:f>
              <c:strCache>
                <c:ptCount val="1"/>
                <c:pt idx="0">
                  <c:v>35-44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Аркуш1!$F$2:$F$7</c:f>
              <c:numCache>
                <c:formatCode>General</c:formatCode>
                <c:ptCount val="6"/>
                <c:pt idx="0">
                  <c:v>8123</c:v>
                </c:pt>
                <c:pt idx="1">
                  <c:v>7775</c:v>
                </c:pt>
                <c:pt idx="2">
                  <c:v>7778</c:v>
                </c:pt>
                <c:pt idx="3">
                  <c:v>7475</c:v>
                </c:pt>
                <c:pt idx="4">
                  <c:v>5277</c:v>
                </c:pt>
                <c:pt idx="5">
                  <c:v>5471</c:v>
                </c:pt>
              </c:numCache>
            </c:numRef>
          </c:val>
          <c:smooth val="0"/>
          <c:extLst>
            <c:ext xmlns:c16="http://schemas.microsoft.com/office/drawing/2014/chart" uri="{C3380CC4-5D6E-409C-BE32-E72D297353CC}">
              <c16:uniqueId val="{00000004-6E0F-4E76-9857-29071FFA21F5}"/>
            </c:ext>
          </c:extLst>
        </c:ser>
        <c:ser>
          <c:idx val="5"/>
          <c:order val="5"/>
          <c:tx>
            <c:strRef>
              <c:f>Аркуш1!$G$1</c:f>
              <c:strCache>
                <c:ptCount val="1"/>
                <c:pt idx="0">
                  <c:v>45-54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Аркуш1!$G$2:$G$7</c:f>
              <c:numCache>
                <c:formatCode>General</c:formatCode>
                <c:ptCount val="6"/>
                <c:pt idx="0">
                  <c:v>5654</c:v>
                </c:pt>
                <c:pt idx="1">
                  <c:v>5429</c:v>
                </c:pt>
                <c:pt idx="2">
                  <c:v>5551</c:v>
                </c:pt>
                <c:pt idx="3">
                  <c:v>5563</c:v>
                </c:pt>
                <c:pt idx="4">
                  <c:v>3873</c:v>
                </c:pt>
                <c:pt idx="5">
                  <c:v>4249</c:v>
                </c:pt>
              </c:numCache>
            </c:numRef>
          </c:val>
          <c:smooth val="0"/>
          <c:extLst>
            <c:ext xmlns:c16="http://schemas.microsoft.com/office/drawing/2014/chart" uri="{C3380CC4-5D6E-409C-BE32-E72D297353CC}">
              <c16:uniqueId val="{00000005-6E0F-4E76-9857-29071FFA21F5}"/>
            </c:ext>
          </c:extLst>
        </c:ser>
        <c:ser>
          <c:idx val="6"/>
          <c:order val="6"/>
          <c:tx>
            <c:strRef>
              <c:f>Аркуш1!$H$1</c:f>
              <c:strCache>
                <c:ptCount val="1"/>
                <c:pt idx="0">
                  <c:v>55-64</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Аркуш1!$H$2:$H$7</c:f>
              <c:numCache>
                <c:formatCode>General</c:formatCode>
                <c:ptCount val="6"/>
                <c:pt idx="0">
                  <c:v>3788</c:v>
                </c:pt>
                <c:pt idx="1">
                  <c:v>3520</c:v>
                </c:pt>
                <c:pt idx="2">
                  <c:v>3562</c:v>
                </c:pt>
                <c:pt idx="3">
                  <c:v>3447</c:v>
                </c:pt>
                <c:pt idx="4">
                  <c:v>2469</c:v>
                </c:pt>
                <c:pt idx="5">
                  <c:v>2802</c:v>
                </c:pt>
              </c:numCache>
            </c:numRef>
          </c:val>
          <c:smooth val="0"/>
          <c:extLst>
            <c:ext xmlns:c16="http://schemas.microsoft.com/office/drawing/2014/chart" uri="{C3380CC4-5D6E-409C-BE32-E72D297353CC}">
              <c16:uniqueId val="{00000006-6E0F-4E76-9857-29071FFA21F5}"/>
            </c:ext>
          </c:extLst>
        </c:ser>
        <c:ser>
          <c:idx val="7"/>
          <c:order val="7"/>
          <c:tx>
            <c:strRef>
              <c:f>Аркуш1!$I$1</c:f>
              <c:strCache>
                <c:ptCount val="1"/>
                <c:pt idx="0">
                  <c:v>65+</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Аркуш1!$A$2:$A$7</c:f>
              <c:numCache>
                <c:formatCode>General</c:formatCode>
                <c:ptCount val="6"/>
                <c:pt idx="0">
                  <c:v>2016</c:v>
                </c:pt>
                <c:pt idx="1">
                  <c:v>2017</c:v>
                </c:pt>
                <c:pt idx="2">
                  <c:v>2018</c:v>
                </c:pt>
                <c:pt idx="3">
                  <c:v>2019</c:v>
                </c:pt>
                <c:pt idx="4">
                  <c:v>2020</c:v>
                </c:pt>
                <c:pt idx="5">
                  <c:v>2021</c:v>
                </c:pt>
              </c:numCache>
            </c:numRef>
          </c:cat>
          <c:val>
            <c:numRef>
              <c:f>Аркуш1!$I$2:$I$7</c:f>
              <c:numCache>
                <c:formatCode>General</c:formatCode>
                <c:ptCount val="6"/>
                <c:pt idx="0">
                  <c:v>2396</c:v>
                </c:pt>
                <c:pt idx="1">
                  <c:v>2417</c:v>
                </c:pt>
                <c:pt idx="2">
                  <c:v>2265</c:v>
                </c:pt>
                <c:pt idx="3">
                  <c:v>2123</c:v>
                </c:pt>
                <c:pt idx="4">
                  <c:v>1473</c:v>
                </c:pt>
                <c:pt idx="5">
                  <c:v>1697</c:v>
                </c:pt>
              </c:numCache>
            </c:numRef>
          </c:val>
          <c:smooth val="0"/>
          <c:extLst>
            <c:ext xmlns:c16="http://schemas.microsoft.com/office/drawing/2014/chart" uri="{C3380CC4-5D6E-409C-BE32-E72D297353CC}">
              <c16:uniqueId val="{00000007-6E0F-4E76-9857-29071FFA21F5}"/>
            </c:ext>
          </c:extLst>
        </c:ser>
        <c:dLbls>
          <c:showLegendKey val="0"/>
          <c:showVal val="0"/>
          <c:showCatName val="0"/>
          <c:showSerName val="0"/>
          <c:showPercent val="0"/>
          <c:showBubbleSize val="0"/>
        </c:dLbls>
        <c:marker val="1"/>
        <c:smooth val="0"/>
        <c:axId val="339661128"/>
        <c:axId val="339668016"/>
      </c:lineChart>
      <c:catAx>
        <c:axId val="33966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39668016"/>
        <c:crosses val="autoZero"/>
        <c:auto val="1"/>
        <c:lblAlgn val="ctr"/>
        <c:lblOffset val="100"/>
        <c:noMultiLvlLbl val="0"/>
      </c:catAx>
      <c:valAx>
        <c:axId val="339668016"/>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339661128"/>
        <c:crosses val="autoZero"/>
        <c:crossBetween val="between"/>
      </c:valAx>
      <c:spPr>
        <a:noFill/>
        <a:ln>
          <a:noFill/>
        </a:ln>
        <a:effectLst/>
      </c:spPr>
    </c:plotArea>
    <c:legend>
      <c:legendPos val="b"/>
      <c:layout>
        <c:manualLayout>
          <c:xMode val="edge"/>
          <c:yMode val="edge"/>
          <c:x val="4.9999957915469011E-2"/>
          <c:y val="0.91752413301278513"/>
          <c:w val="0.89999991583093797"/>
          <c:h val="6.753655793025871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userShapes r:id="rId5"/>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40769845314346E-2"/>
          <c:y val="0.1285225372057974"/>
          <c:w val="0.8751190155009213"/>
          <c:h val="0.71005752852322035"/>
        </c:manualLayout>
      </c:layout>
      <c:barChart>
        <c:barDir val="col"/>
        <c:grouping val="stacked"/>
        <c:varyColors val="0"/>
        <c:ser>
          <c:idx val="0"/>
          <c:order val="0"/>
          <c:tx>
            <c:strRef>
              <c:f>Аркуш1!$B$1</c:f>
              <c:strCache>
                <c:ptCount val="1"/>
                <c:pt idx="0">
                  <c:v>ВІЛ негативний</c:v>
                </c:pt>
              </c:strCache>
            </c:strRef>
          </c:tx>
          <c:spPr>
            <a:solidFill>
              <a:schemeClr val="accent1"/>
            </a:solidFill>
            <a:ln w="31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22560</c:v>
                </c:pt>
                <c:pt idx="1">
                  <c:v>20956</c:v>
                </c:pt>
                <c:pt idx="2">
                  <c:v>20256</c:v>
                </c:pt>
                <c:pt idx="3">
                  <c:v>19420</c:v>
                </c:pt>
                <c:pt idx="4">
                  <c:v>13581</c:v>
                </c:pt>
                <c:pt idx="5">
                  <c:v>14477</c:v>
                </c:pt>
              </c:numCache>
            </c:numRef>
          </c:val>
          <c:extLst>
            <c:ext xmlns:c16="http://schemas.microsoft.com/office/drawing/2014/chart" uri="{C3380CC4-5D6E-409C-BE32-E72D297353CC}">
              <c16:uniqueId val="{00000000-C89B-433C-A3B2-B9A75DBB9FD1}"/>
            </c:ext>
          </c:extLst>
        </c:ser>
        <c:ser>
          <c:idx val="1"/>
          <c:order val="1"/>
          <c:tx>
            <c:strRef>
              <c:f>Аркуш1!$C$1</c:f>
              <c:strCache>
                <c:ptCount val="1"/>
                <c:pt idx="0">
                  <c:v>ВІЛ позитивний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6051</c:v>
                </c:pt>
                <c:pt idx="1">
                  <c:v>6047</c:v>
                </c:pt>
                <c:pt idx="2">
                  <c:v>6052</c:v>
                </c:pt>
                <c:pt idx="3">
                  <c:v>5807</c:v>
                </c:pt>
                <c:pt idx="4">
                  <c:v>3794</c:v>
                </c:pt>
                <c:pt idx="5">
                  <c:v>3646</c:v>
                </c:pt>
              </c:numCache>
            </c:numRef>
          </c:val>
          <c:extLst>
            <c:ext xmlns:c16="http://schemas.microsoft.com/office/drawing/2014/chart" uri="{C3380CC4-5D6E-409C-BE32-E72D297353CC}">
              <c16:uniqueId val="{00000001-C89B-433C-A3B2-B9A75DBB9FD1}"/>
            </c:ext>
          </c:extLst>
        </c:ser>
        <c:dLbls>
          <c:showLegendKey val="0"/>
          <c:showVal val="0"/>
          <c:showCatName val="0"/>
          <c:showSerName val="0"/>
          <c:showPercent val="0"/>
          <c:showBubbleSize val="0"/>
        </c:dLbls>
        <c:gapWidth val="89"/>
        <c:overlap val="100"/>
        <c:axId val="290426232"/>
        <c:axId val="290425248"/>
      </c:barChart>
      <c:lineChart>
        <c:grouping val="standard"/>
        <c:varyColors val="0"/>
        <c:ser>
          <c:idx val="2"/>
          <c:order val="2"/>
          <c:tx>
            <c:strRef>
              <c:f>Аркуш1!$D$1</c:f>
              <c:strCache>
                <c:ptCount val="1"/>
                <c:pt idx="0">
                  <c:v>Відсоток ВІЛ позитивних</c:v>
                </c:pt>
              </c:strCache>
            </c:strRef>
          </c:tx>
          <c:spPr>
            <a:ln w="34925" cap="sq">
              <a:solidFill>
                <a:schemeClr val="accent3"/>
              </a:solidFill>
              <a:miter lim="800000"/>
              <a:headEnd type="none"/>
              <a:tailEnd type="none"/>
            </a:ln>
            <a:effectLst/>
          </c:spPr>
          <c:marker>
            <c:symbol val="circle"/>
            <c:size val="5"/>
            <c:spPr>
              <a:solidFill>
                <a:schemeClr val="accent3"/>
              </a:solidFill>
              <a:ln w="9525">
                <a:solidFill>
                  <a:schemeClr val="accent3"/>
                </a:solidFill>
                <a:headEnd type="diamond"/>
                <a:tailEnd type="diamond"/>
              </a:ln>
              <a:effectLst/>
            </c:spPr>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9B-433C-A3B2-B9A75DBB9FD1}"/>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9B-433C-A3B2-B9A75DBB9FD1}"/>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9B-433C-A3B2-B9A75DBB9FD1}"/>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9B-433C-A3B2-B9A75DBB9FD1}"/>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9B-433C-A3B2-B9A75DBB9FD1}"/>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9B-433C-A3B2-B9A75DBB9FD1}"/>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21.1</c:v>
                </c:pt>
                <c:pt idx="1">
                  <c:v>22.4</c:v>
                </c:pt>
                <c:pt idx="2">
                  <c:v>23</c:v>
                </c:pt>
                <c:pt idx="3">
                  <c:v>23</c:v>
                </c:pt>
                <c:pt idx="4">
                  <c:v>21.8</c:v>
                </c:pt>
                <c:pt idx="5">
                  <c:v>20.100000000000001</c:v>
                </c:pt>
              </c:numCache>
            </c:numRef>
          </c:val>
          <c:smooth val="0"/>
          <c:extLst>
            <c:ext xmlns:c16="http://schemas.microsoft.com/office/drawing/2014/chart" uri="{C3380CC4-5D6E-409C-BE32-E72D297353CC}">
              <c16:uniqueId val="{00000008-C89B-433C-A3B2-B9A75DBB9FD1}"/>
            </c:ext>
          </c:extLst>
        </c:ser>
        <c:dLbls>
          <c:showLegendKey val="0"/>
          <c:showVal val="0"/>
          <c:showCatName val="0"/>
          <c:showSerName val="0"/>
          <c:showPercent val="0"/>
          <c:showBubbleSize val="0"/>
        </c:dLbls>
        <c:marker val="1"/>
        <c:smooth val="0"/>
        <c:axId val="528732792"/>
        <c:axId val="528737712"/>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528737712"/>
        <c:scaling>
          <c:orientation val="minMax"/>
          <c:max val="25"/>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528732792"/>
        <c:crosses val="max"/>
        <c:crossBetween val="between"/>
      </c:valAx>
      <c:catAx>
        <c:axId val="528732792"/>
        <c:scaling>
          <c:orientation val="minMax"/>
        </c:scaling>
        <c:delete val="1"/>
        <c:axPos val="b"/>
        <c:numFmt formatCode="General" sourceLinked="1"/>
        <c:majorTickMark val="out"/>
        <c:minorTickMark val="none"/>
        <c:tickLblPos val="nextTo"/>
        <c:crossAx val="528737712"/>
        <c:crosses val="autoZero"/>
        <c:auto val="1"/>
        <c:lblAlgn val="ctr"/>
        <c:lblOffset val="100"/>
        <c:noMultiLvlLbl val="0"/>
      </c:catAx>
      <c:spPr>
        <a:noFill/>
        <a:ln w="0">
          <a:solidFill>
            <a:schemeClr val="accent3"/>
          </a:solidFill>
        </a:ln>
        <a:effectLst/>
      </c:spPr>
    </c:plotArea>
    <c:legend>
      <c:legendPos val="b"/>
      <c:layout>
        <c:manualLayout>
          <c:xMode val="edge"/>
          <c:yMode val="edge"/>
          <c:x val="2.9511364270955492E-2"/>
          <c:y val="0.92459521131287159"/>
          <c:w val="0.9378250591016547"/>
          <c:h val="5.907825807488349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Лист1!$C$1</c:f>
              <c:strCache>
                <c:ptCount val="1"/>
                <c:pt idx="0">
                  <c:v>туберкульоз/ВІЛ</c:v>
                </c:pt>
              </c:strCache>
            </c:strRef>
          </c:tx>
          <c:spPr>
            <a:solidFill>
              <a:srgbClr val="FF9933"/>
            </a:solidFill>
          </c:spPr>
          <c:invertIfNegative val="0"/>
          <c:dLbls>
            <c:spPr>
              <a:noFill/>
              <a:ln>
                <a:noFill/>
              </a:ln>
              <a:effectLst/>
            </c:spPr>
            <c:txPr>
              <a:bodyPr rot="-5400000" vert="horz"/>
              <a:lstStyle/>
              <a:p>
                <a:pPr>
                  <a:defRPr b="1">
                    <a:latin typeface="+mn-lt"/>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Одеська</c:v>
                </c:pt>
                <c:pt idx="1">
                  <c:v>Донецька</c:v>
                </c:pt>
                <c:pt idx="2">
                  <c:v>Дніпропетровська</c:v>
                </c:pt>
                <c:pt idx="3">
                  <c:v>Миколаївська</c:v>
                </c:pt>
                <c:pt idx="4">
                  <c:v>Київська</c:v>
                </c:pt>
                <c:pt idx="5">
                  <c:v>Херсонська</c:v>
                </c:pt>
                <c:pt idx="6">
                  <c:v>Кіровоградська</c:v>
                </c:pt>
                <c:pt idx="7">
                  <c:v>Луганська</c:v>
                </c:pt>
                <c:pt idx="8">
                  <c:v>Львівська</c:v>
                </c:pt>
                <c:pt idx="9">
                  <c:v>Чернігівська</c:v>
                </c:pt>
                <c:pt idx="10">
                  <c:v>Житомирська</c:v>
                </c:pt>
                <c:pt idx="11">
                  <c:v>Черкаська</c:v>
                </c:pt>
                <c:pt idx="12">
                  <c:v>Запорізька</c:v>
                </c:pt>
                <c:pt idx="13">
                  <c:v>м. Київ</c:v>
                </c:pt>
                <c:pt idx="14">
                  <c:v>Полтавська</c:v>
                </c:pt>
                <c:pt idx="15">
                  <c:v>Волинська</c:v>
                </c:pt>
                <c:pt idx="16">
                  <c:v>Рівненська</c:v>
                </c:pt>
                <c:pt idx="17">
                  <c:v>Хмельницька</c:v>
                </c:pt>
                <c:pt idx="18">
                  <c:v>Харківська</c:v>
                </c:pt>
                <c:pt idx="19">
                  <c:v>Сумська</c:v>
                </c:pt>
                <c:pt idx="20">
                  <c:v>Вінницька</c:v>
                </c:pt>
                <c:pt idx="21">
                  <c:v>Закарпатська</c:v>
                </c:pt>
                <c:pt idx="22">
                  <c:v>Чернівецька</c:v>
                </c:pt>
                <c:pt idx="23">
                  <c:v>Тернопільська</c:v>
                </c:pt>
                <c:pt idx="24">
                  <c:v>Івано-Франківська</c:v>
                </c:pt>
              </c:strCache>
            </c:strRef>
          </c:cat>
          <c:val>
            <c:numRef>
              <c:f>Лист1!$C$2:$C$26</c:f>
              <c:numCache>
                <c:formatCode>#\ ##0.0</c:formatCode>
                <c:ptCount val="25"/>
                <c:pt idx="0">
                  <c:v>33.1</c:v>
                </c:pt>
                <c:pt idx="1">
                  <c:v>16</c:v>
                </c:pt>
                <c:pt idx="2">
                  <c:v>13.2</c:v>
                </c:pt>
                <c:pt idx="3">
                  <c:v>12</c:v>
                </c:pt>
                <c:pt idx="4">
                  <c:v>11.4</c:v>
                </c:pt>
                <c:pt idx="5">
                  <c:v>10.8</c:v>
                </c:pt>
                <c:pt idx="6">
                  <c:v>10.6</c:v>
                </c:pt>
                <c:pt idx="7">
                  <c:v>10</c:v>
                </c:pt>
                <c:pt idx="8">
                  <c:v>9.9</c:v>
                </c:pt>
                <c:pt idx="9">
                  <c:v>9.6</c:v>
                </c:pt>
                <c:pt idx="10">
                  <c:v>8.5</c:v>
                </c:pt>
                <c:pt idx="11">
                  <c:v>8.1</c:v>
                </c:pt>
                <c:pt idx="12">
                  <c:v>7.3</c:v>
                </c:pt>
                <c:pt idx="13" formatCode="0.0">
                  <c:v>6.4</c:v>
                </c:pt>
                <c:pt idx="14">
                  <c:v>5.6</c:v>
                </c:pt>
                <c:pt idx="15">
                  <c:v>5.5</c:v>
                </c:pt>
                <c:pt idx="16">
                  <c:v>4.5999999999999996</c:v>
                </c:pt>
                <c:pt idx="17">
                  <c:v>4.5999999999999996</c:v>
                </c:pt>
                <c:pt idx="18">
                  <c:v>4.4000000000000004</c:v>
                </c:pt>
                <c:pt idx="19">
                  <c:v>4</c:v>
                </c:pt>
                <c:pt idx="20">
                  <c:v>3.6</c:v>
                </c:pt>
                <c:pt idx="21">
                  <c:v>2.7</c:v>
                </c:pt>
                <c:pt idx="22">
                  <c:v>1.8</c:v>
                </c:pt>
                <c:pt idx="23">
                  <c:v>1.7</c:v>
                </c:pt>
                <c:pt idx="24">
                  <c:v>1.2</c:v>
                </c:pt>
              </c:numCache>
            </c:numRef>
          </c:val>
          <c:extLst>
            <c:ext xmlns:c16="http://schemas.microsoft.com/office/drawing/2014/chart" uri="{C3380CC4-5D6E-409C-BE32-E72D297353CC}">
              <c16:uniqueId val="{00000000-ADF6-42D0-98F0-C75BCAD42132}"/>
            </c:ext>
          </c:extLst>
        </c:ser>
        <c:dLbls>
          <c:showLegendKey val="0"/>
          <c:showVal val="0"/>
          <c:showCatName val="0"/>
          <c:showSerName val="0"/>
          <c:showPercent val="0"/>
          <c:showBubbleSize val="0"/>
        </c:dLbls>
        <c:gapWidth val="75"/>
        <c:axId val="1862521584"/>
        <c:axId val="1854797712"/>
      </c:barChart>
      <c:lineChart>
        <c:grouping val="standard"/>
        <c:varyColors val="0"/>
        <c:ser>
          <c:idx val="0"/>
          <c:order val="0"/>
          <c:tx>
            <c:strRef>
              <c:f>Лист1!$B$1</c:f>
              <c:strCache>
                <c:ptCount val="1"/>
                <c:pt idx="0">
                  <c:v>Україна</c:v>
                </c:pt>
              </c:strCache>
            </c:strRef>
          </c:tx>
          <c:marker>
            <c:symbol val="none"/>
          </c:marker>
          <c:cat>
            <c:strRef>
              <c:f>Лист1!$A$2:$A$26</c:f>
              <c:strCache>
                <c:ptCount val="25"/>
                <c:pt idx="0">
                  <c:v>Одеська</c:v>
                </c:pt>
                <c:pt idx="1">
                  <c:v>Донецька</c:v>
                </c:pt>
                <c:pt idx="2">
                  <c:v>Дніпропетровська</c:v>
                </c:pt>
                <c:pt idx="3">
                  <c:v>Миколаївська</c:v>
                </c:pt>
                <c:pt idx="4">
                  <c:v>Київська</c:v>
                </c:pt>
                <c:pt idx="5">
                  <c:v>Херсонська</c:v>
                </c:pt>
                <c:pt idx="6">
                  <c:v>Кіровоградська</c:v>
                </c:pt>
                <c:pt idx="7">
                  <c:v>Луганська</c:v>
                </c:pt>
                <c:pt idx="8">
                  <c:v>Львівська</c:v>
                </c:pt>
                <c:pt idx="9">
                  <c:v>Чернігівська</c:v>
                </c:pt>
                <c:pt idx="10">
                  <c:v>Житомирська</c:v>
                </c:pt>
                <c:pt idx="11">
                  <c:v>Черкаська</c:v>
                </c:pt>
                <c:pt idx="12">
                  <c:v>Запорізька</c:v>
                </c:pt>
                <c:pt idx="13">
                  <c:v>м. Київ</c:v>
                </c:pt>
                <c:pt idx="14">
                  <c:v>Полтавська</c:v>
                </c:pt>
                <c:pt idx="15">
                  <c:v>Волинська</c:v>
                </c:pt>
                <c:pt idx="16">
                  <c:v>Рівненська</c:v>
                </c:pt>
                <c:pt idx="17">
                  <c:v>Хмельницька</c:v>
                </c:pt>
                <c:pt idx="18">
                  <c:v>Харківська</c:v>
                </c:pt>
                <c:pt idx="19">
                  <c:v>Сумська</c:v>
                </c:pt>
                <c:pt idx="20">
                  <c:v>Вінницька</c:v>
                </c:pt>
                <c:pt idx="21">
                  <c:v>Закарпатська</c:v>
                </c:pt>
                <c:pt idx="22">
                  <c:v>Чернівецька</c:v>
                </c:pt>
                <c:pt idx="23">
                  <c:v>Тернопільська</c:v>
                </c:pt>
                <c:pt idx="24">
                  <c:v>Івано-Франківська</c:v>
                </c:pt>
              </c:strCache>
            </c:strRef>
          </c:cat>
          <c:val>
            <c:numRef>
              <c:f>Лист1!$B$2:$B$26</c:f>
              <c:numCache>
                <c:formatCode>0.0</c:formatCode>
                <c:ptCount val="25"/>
                <c:pt idx="0">
                  <c:v>8.4</c:v>
                </c:pt>
                <c:pt idx="1">
                  <c:v>8.4</c:v>
                </c:pt>
                <c:pt idx="2">
                  <c:v>8.4</c:v>
                </c:pt>
                <c:pt idx="3">
                  <c:v>8.4</c:v>
                </c:pt>
                <c:pt idx="4">
                  <c:v>8.4</c:v>
                </c:pt>
                <c:pt idx="5">
                  <c:v>8.4</c:v>
                </c:pt>
                <c:pt idx="6">
                  <c:v>8.4</c:v>
                </c:pt>
                <c:pt idx="7">
                  <c:v>8.4</c:v>
                </c:pt>
                <c:pt idx="8">
                  <c:v>8.4</c:v>
                </c:pt>
                <c:pt idx="9">
                  <c:v>8.4</c:v>
                </c:pt>
                <c:pt idx="10">
                  <c:v>8.4</c:v>
                </c:pt>
                <c:pt idx="11">
                  <c:v>8.4</c:v>
                </c:pt>
                <c:pt idx="12">
                  <c:v>8.4</c:v>
                </c:pt>
                <c:pt idx="13">
                  <c:v>8.4</c:v>
                </c:pt>
                <c:pt idx="14">
                  <c:v>8.4</c:v>
                </c:pt>
                <c:pt idx="15">
                  <c:v>8.4</c:v>
                </c:pt>
                <c:pt idx="16">
                  <c:v>8.4</c:v>
                </c:pt>
                <c:pt idx="17">
                  <c:v>8.4</c:v>
                </c:pt>
                <c:pt idx="18">
                  <c:v>8.4</c:v>
                </c:pt>
                <c:pt idx="19">
                  <c:v>8.4</c:v>
                </c:pt>
                <c:pt idx="20">
                  <c:v>8.4</c:v>
                </c:pt>
                <c:pt idx="21">
                  <c:v>8.4</c:v>
                </c:pt>
                <c:pt idx="22">
                  <c:v>8.4</c:v>
                </c:pt>
                <c:pt idx="23">
                  <c:v>8.4</c:v>
                </c:pt>
                <c:pt idx="24">
                  <c:v>8.4</c:v>
                </c:pt>
              </c:numCache>
            </c:numRef>
          </c:val>
          <c:smooth val="0"/>
          <c:extLst>
            <c:ext xmlns:c16="http://schemas.microsoft.com/office/drawing/2014/chart" uri="{C3380CC4-5D6E-409C-BE32-E72D297353CC}">
              <c16:uniqueId val="{00000001-ADF6-42D0-98F0-C75BCAD42132}"/>
            </c:ext>
          </c:extLst>
        </c:ser>
        <c:dLbls>
          <c:showLegendKey val="0"/>
          <c:showVal val="0"/>
          <c:showCatName val="0"/>
          <c:showSerName val="0"/>
          <c:showPercent val="0"/>
          <c:showBubbleSize val="0"/>
        </c:dLbls>
        <c:marker val="1"/>
        <c:smooth val="0"/>
        <c:axId val="1862521584"/>
        <c:axId val="1854797712"/>
      </c:lineChart>
      <c:catAx>
        <c:axId val="1862521584"/>
        <c:scaling>
          <c:orientation val="minMax"/>
        </c:scaling>
        <c:delete val="0"/>
        <c:axPos val="b"/>
        <c:numFmt formatCode="General" sourceLinked="0"/>
        <c:majorTickMark val="none"/>
        <c:minorTickMark val="none"/>
        <c:tickLblPos val="nextTo"/>
        <c:txPr>
          <a:bodyPr/>
          <a:lstStyle/>
          <a:p>
            <a:pPr>
              <a:defRPr b="1">
                <a:solidFill>
                  <a:schemeClr val="tx1"/>
                </a:solidFill>
                <a:latin typeface="Calibri" panose="020F0502020204030204" pitchFamily="34" charset="0"/>
                <a:ea typeface="Cambria" panose="02040503050406030204" pitchFamily="18" charset="0"/>
                <a:cs typeface="Calibri" panose="020F0502020204030204" pitchFamily="34" charset="0"/>
              </a:defRPr>
            </a:pPr>
            <a:endParaRPr lang="uk-UA"/>
          </a:p>
        </c:txPr>
        <c:crossAx val="1854797712"/>
        <c:crosses val="autoZero"/>
        <c:auto val="1"/>
        <c:lblAlgn val="ctr"/>
        <c:lblOffset val="100"/>
        <c:noMultiLvlLbl val="0"/>
      </c:catAx>
      <c:valAx>
        <c:axId val="1854797712"/>
        <c:scaling>
          <c:orientation val="minMax"/>
        </c:scaling>
        <c:delete val="1"/>
        <c:axPos val="l"/>
        <c:majorGridlines/>
        <c:numFmt formatCode="#\ ##0.0" sourceLinked="1"/>
        <c:majorTickMark val="none"/>
        <c:minorTickMark val="none"/>
        <c:tickLblPos val="nextTo"/>
        <c:crossAx val="1862521584"/>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uk-UA"/>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Лист1!$C$1</c:f>
              <c:strCache>
                <c:ptCount val="1"/>
                <c:pt idx="0">
                  <c:v>туберкульоз/ВІЛ</c:v>
                </c:pt>
              </c:strCache>
            </c:strRef>
          </c:tx>
          <c:spPr>
            <a:solidFill>
              <a:srgbClr val="FF9933"/>
            </a:solidFill>
          </c:spPr>
          <c:invertIfNegative val="0"/>
          <c:dLbls>
            <c:spPr>
              <a:noFill/>
              <a:ln>
                <a:noFill/>
              </a:ln>
              <a:effectLst/>
            </c:spPr>
            <c:txPr>
              <a:bodyPr rot="-5400000" vert="horz"/>
              <a:lstStyle/>
              <a:p>
                <a:pPr>
                  <a:defRPr b="1">
                    <a:latin typeface="+mn-lt"/>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Донецька</c:v>
                </c:pt>
                <c:pt idx="1">
                  <c:v>Одеська</c:v>
                </c:pt>
                <c:pt idx="2">
                  <c:v>Київська</c:v>
                </c:pt>
                <c:pt idx="3">
                  <c:v>Миколаївська</c:v>
                </c:pt>
                <c:pt idx="4">
                  <c:v>м. Київ</c:v>
                </c:pt>
                <c:pt idx="5">
                  <c:v>Луганська</c:v>
                </c:pt>
                <c:pt idx="6">
                  <c:v>Кіровоградська</c:v>
                </c:pt>
                <c:pt idx="7">
                  <c:v>Дніпропетровська</c:v>
                </c:pt>
                <c:pt idx="8">
                  <c:v>Черкаська</c:v>
                </c:pt>
                <c:pt idx="9">
                  <c:v>Херсонська</c:v>
                </c:pt>
                <c:pt idx="10">
                  <c:v>Львівська</c:v>
                </c:pt>
                <c:pt idx="11">
                  <c:v>Чернігівська</c:v>
                </c:pt>
                <c:pt idx="12">
                  <c:v>Житомирська</c:v>
                </c:pt>
                <c:pt idx="13">
                  <c:v>Полтавська</c:v>
                </c:pt>
                <c:pt idx="14">
                  <c:v>Хмельницька</c:v>
                </c:pt>
                <c:pt idx="15">
                  <c:v>Запорізька</c:v>
                </c:pt>
                <c:pt idx="16">
                  <c:v>Харківська</c:v>
                </c:pt>
                <c:pt idx="17">
                  <c:v>Вінницька</c:v>
                </c:pt>
                <c:pt idx="18">
                  <c:v>Рівненська</c:v>
                </c:pt>
                <c:pt idx="19">
                  <c:v>Волинська</c:v>
                </c:pt>
                <c:pt idx="20">
                  <c:v>Сумська</c:v>
                </c:pt>
                <c:pt idx="21">
                  <c:v>Чернівецька</c:v>
                </c:pt>
                <c:pt idx="22">
                  <c:v>Тернопільська</c:v>
                </c:pt>
                <c:pt idx="23">
                  <c:v>Івано-Франківська</c:v>
                </c:pt>
                <c:pt idx="24">
                  <c:v>Закарпатська</c:v>
                </c:pt>
              </c:strCache>
            </c:strRef>
          </c:cat>
          <c:val>
            <c:numRef>
              <c:f>Лист1!$C$2:$C$26</c:f>
              <c:numCache>
                <c:formatCode>0.0</c:formatCode>
                <c:ptCount val="25"/>
                <c:pt idx="0">
                  <c:v>31.773667029379759</c:v>
                </c:pt>
                <c:pt idx="1">
                  <c:v>31.703341483292586</c:v>
                </c:pt>
                <c:pt idx="2">
                  <c:v>25.529411764705884</c:v>
                </c:pt>
                <c:pt idx="3">
                  <c:v>23.684210526315788</c:v>
                </c:pt>
                <c:pt idx="4">
                  <c:v>23.5</c:v>
                </c:pt>
                <c:pt idx="5">
                  <c:v>22.666666666666664</c:v>
                </c:pt>
                <c:pt idx="6">
                  <c:v>22.434367541766107</c:v>
                </c:pt>
                <c:pt idx="7">
                  <c:v>21.462945139557267</c:v>
                </c:pt>
                <c:pt idx="8">
                  <c:v>21.367521367521366</c:v>
                </c:pt>
                <c:pt idx="9">
                  <c:v>21.138211382113823</c:v>
                </c:pt>
                <c:pt idx="10">
                  <c:v>19.868095630667764</c:v>
                </c:pt>
                <c:pt idx="11">
                  <c:v>17.580340264650285</c:v>
                </c:pt>
                <c:pt idx="12">
                  <c:v>17.422867513611614</c:v>
                </c:pt>
                <c:pt idx="13">
                  <c:v>16.204690831556505</c:v>
                </c:pt>
                <c:pt idx="14">
                  <c:v>14.925373134328357</c:v>
                </c:pt>
                <c:pt idx="15">
                  <c:v>14.637681159420291</c:v>
                </c:pt>
                <c:pt idx="16">
                  <c:v>14.107365792759053</c:v>
                </c:pt>
                <c:pt idx="17">
                  <c:v>14.105793450881613</c:v>
                </c:pt>
                <c:pt idx="18">
                  <c:v>12.296983758700696</c:v>
                </c:pt>
                <c:pt idx="19">
                  <c:v>9.6610169491525433</c:v>
                </c:pt>
                <c:pt idx="20">
                  <c:v>9.6551724137931032</c:v>
                </c:pt>
                <c:pt idx="21">
                  <c:v>7.5221238938053103</c:v>
                </c:pt>
                <c:pt idx="22">
                  <c:v>6.9387755102040813</c:v>
                </c:pt>
                <c:pt idx="23">
                  <c:v>4.7146401985111659</c:v>
                </c:pt>
                <c:pt idx="24">
                  <c:v>4.3068640646029612</c:v>
                </c:pt>
              </c:numCache>
            </c:numRef>
          </c:val>
          <c:extLst>
            <c:ext xmlns:c16="http://schemas.microsoft.com/office/drawing/2014/chart" uri="{C3380CC4-5D6E-409C-BE32-E72D297353CC}">
              <c16:uniqueId val="{00000000-F917-4C24-9727-629D45436958}"/>
            </c:ext>
          </c:extLst>
        </c:ser>
        <c:dLbls>
          <c:showLegendKey val="0"/>
          <c:showVal val="0"/>
          <c:showCatName val="0"/>
          <c:showSerName val="0"/>
          <c:showPercent val="0"/>
          <c:showBubbleSize val="0"/>
        </c:dLbls>
        <c:gapWidth val="75"/>
        <c:axId val="1862521584"/>
        <c:axId val="1854797712"/>
      </c:barChart>
      <c:lineChart>
        <c:grouping val="standard"/>
        <c:varyColors val="0"/>
        <c:ser>
          <c:idx val="0"/>
          <c:order val="0"/>
          <c:tx>
            <c:strRef>
              <c:f>Лист1!$B$1</c:f>
              <c:strCache>
                <c:ptCount val="1"/>
                <c:pt idx="0">
                  <c:v>Україна</c:v>
                </c:pt>
              </c:strCache>
            </c:strRef>
          </c:tx>
          <c:marker>
            <c:symbol val="none"/>
          </c:marker>
          <c:cat>
            <c:strRef>
              <c:f>Лист1!$A$2:$A$26</c:f>
              <c:strCache>
                <c:ptCount val="25"/>
                <c:pt idx="0">
                  <c:v>Донецька</c:v>
                </c:pt>
                <c:pt idx="1">
                  <c:v>Одеська</c:v>
                </c:pt>
                <c:pt idx="2">
                  <c:v>Київська</c:v>
                </c:pt>
                <c:pt idx="3">
                  <c:v>Миколаївська</c:v>
                </c:pt>
                <c:pt idx="4">
                  <c:v>м. Київ</c:v>
                </c:pt>
                <c:pt idx="5">
                  <c:v>Луганська</c:v>
                </c:pt>
                <c:pt idx="6">
                  <c:v>Кіровоградська</c:v>
                </c:pt>
                <c:pt idx="7">
                  <c:v>Дніпропетровська</c:v>
                </c:pt>
                <c:pt idx="8">
                  <c:v>Черкаська</c:v>
                </c:pt>
                <c:pt idx="9">
                  <c:v>Херсонська</c:v>
                </c:pt>
                <c:pt idx="10">
                  <c:v>Львівська</c:v>
                </c:pt>
                <c:pt idx="11">
                  <c:v>Чернігівська</c:v>
                </c:pt>
                <c:pt idx="12">
                  <c:v>Житомирська</c:v>
                </c:pt>
                <c:pt idx="13">
                  <c:v>Полтавська</c:v>
                </c:pt>
                <c:pt idx="14">
                  <c:v>Хмельницька</c:v>
                </c:pt>
                <c:pt idx="15">
                  <c:v>Запорізька</c:v>
                </c:pt>
                <c:pt idx="16">
                  <c:v>Харківська</c:v>
                </c:pt>
                <c:pt idx="17">
                  <c:v>Вінницька</c:v>
                </c:pt>
                <c:pt idx="18">
                  <c:v>Рівненська</c:v>
                </c:pt>
                <c:pt idx="19">
                  <c:v>Волинська</c:v>
                </c:pt>
                <c:pt idx="20">
                  <c:v>Сумська</c:v>
                </c:pt>
                <c:pt idx="21">
                  <c:v>Чернівецька</c:v>
                </c:pt>
                <c:pt idx="22">
                  <c:v>Тернопільська</c:v>
                </c:pt>
                <c:pt idx="23">
                  <c:v>Івано-Франківська</c:v>
                </c:pt>
                <c:pt idx="24">
                  <c:v>Закарпатська</c:v>
                </c:pt>
              </c:strCache>
            </c:strRef>
          </c:cat>
          <c:val>
            <c:numRef>
              <c:f>Лист1!$B$2:$B$26</c:f>
              <c:numCache>
                <c:formatCode>0.0</c:formatCode>
                <c:ptCount val="25"/>
                <c:pt idx="0">
                  <c:v>20.100000000000001</c:v>
                </c:pt>
                <c:pt idx="1">
                  <c:v>20.100000000000001</c:v>
                </c:pt>
                <c:pt idx="2">
                  <c:v>20.100000000000001</c:v>
                </c:pt>
                <c:pt idx="3">
                  <c:v>20.100000000000001</c:v>
                </c:pt>
                <c:pt idx="4">
                  <c:v>20.100000000000001</c:v>
                </c:pt>
                <c:pt idx="5">
                  <c:v>20.100000000000001</c:v>
                </c:pt>
                <c:pt idx="6">
                  <c:v>20.100000000000001</c:v>
                </c:pt>
                <c:pt idx="7">
                  <c:v>20.100000000000001</c:v>
                </c:pt>
                <c:pt idx="8">
                  <c:v>20.100000000000001</c:v>
                </c:pt>
                <c:pt idx="9">
                  <c:v>20.100000000000001</c:v>
                </c:pt>
                <c:pt idx="10">
                  <c:v>20.100000000000001</c:v>
                </c:pt>
                <c:pt idx="11">
                  <c:v>20.100000000000001</c:v>
                </c:pt>
                <c:pt idx="12">
                  <c:v>20.100000000000001</c:v>
                </c:pt>
                <c:pt idx="13">
                  <c:v>20.100000000000001</c:v>
                </c:pt>
                <c:pt idx="14">
                  <c:v>20.100000000000001</c:v>
                </c:pt>
                <c:pt idx="15">
                  <c:v>20.100000000000001</c:v>
                </c:pt>
                <c:pt idx="16">
                  <c:v>20.100000000000001</c:v>
                </c:pt>
                <c:pt idx="17">
                  <c:v>20.100000000000001</c:v>
                </c:pt>
                <c:pt idx="18">
                  <c:v>20.100000000000001</c:v>
                </c:pt>
                <c:pt idx="19">
                  <c:v>20.100000000000001</c:v>
                </c:pt>
                <c:pt idx="20">
                  <c:v>20.100000000000001</c:v>
                </c:pt>
                <c:pt idx="21">
                  <c:v>20.100000000000001</c:v>
                </c:pt>
                <c:pt idx="22">
                  <c:v>20.100000000000001</c:v>
                </c:pt>
                <c:pt idx="23">
                  <c:v>20.100000000000001</c:v>
                </c:pt>
                <c:pt idx="24">
                  <c:v>20.100000000000001</c:v>
                </c:pt>
              </c:numCache>
            </c:numRef>
          </c:val>
          <c:smooth val="0"/>
          <c:extLst>
            <c:ext xmlns:c16="http://schemas.microsoft.com/office/drawing/2014/chart" uri="{C3380CC4-5D6E-409C-BE32-E72D297353CC}">
              <c16:uniqueId val="{00000001-F917-4C24-9727-629D45436958}"/>
            </c:ext>
          </c:extLst>
        </c:ser>
        <c:dLbls>
          <c:showLegendKey val="0"/>
          <c:showVal val="0"/>
          <c:showCatName val="0"/>
          <c:showSerName val="0"/>
          <c:showPercent val="0"/>
          <c:showBubbleSize val="0"/>
        </c:dLbls>
        <c:marker val="1"/>
        <c:smooth val="0"/>
        <c:axId val="1862521584"/>
        <c:axId val="1854797712"/>
      </c:lineChart>
      <c:catAx>
        <c:axId val="1862521584"/>
        <c:scaling>
          <c:orientation val="minMax"/>
        </c:scaling>
        <c:delete val="0"/>
        <c:axPos val="b"/>
        <c:numFmt formatCode="General" sourceLinked="0"/>
        <c:majorTickMark val="none"/>
        <c:minorTickMark val="none"/>
        <c:tickLblPos val="nextTo"/>
        <c:txPr>
          <a:bodyPr/>
          <a:lstStyle/>
          <a:p>
            <a:pPr>
              <a:defRPr b="1">
                <a:solidFill>
                  <a:schemeClr val="tx1"/>
                </a:solidFill>
                <a:latin typeface="Calibri" panose="020F0502020204030204" pitchFamily="34" charset="0"/>
                <a:ea typeface="Cambria" panose="02040503050406030204" pitchFamily="18" charset="0"/>
                <a:cs typeface="Calibri" panose="020F0502020204030204" pitchFamily="34" charset="0"/>
              </a:defRPr>
            </a:pPr>
            <a:endParaRPr lang="uk-UA"/>
          </a:p>
        </c:txPr>
        <c:crossAx val="1854797712"/>
        <c:crosses val="autoZero"/>
        <c:auto val="1"/>
        <c:lblAlgn val="ctr"/>
        <c:lblOffset val="100"/>
        <c:noMultiLvlLbl val="0"/>
      </c:catAx>
      <c:valAx>
        <c:axId val="1854797712"/>
        <c:scaling>
          <c:orientation val="minMax"/>
        </c:scaling>
        <c:delete val="1"/>
        <c:axPos val="l"/>
        <c:majorGridlines/>
        <c:numFmt formatCode="0.0" sourceLinked="1"/>
        <c:majorTickMark val="none"/>
        <c:minorTickMark val="none"/>
        <c:tickLblPos val="nextTo"/>
        <c:crossAx val="1862521584"/>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uk-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uk-UA" dirty="0"/>
              <a:t>Нові випадки ТБ</a:t>
            </a:r>
          </a:p>
        </c:rich>
      </c:tx>
      <c:layout>
        <c:manualLayout>
          <c:xMode val="edge"/>
          <c:yMode val="edge"/>
          <c:x val="0.41859599071855147"/>
          <c:y val="4.3779637435657721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5.1846114344402602E-2"/>
          <c:y val="4.758858079974481E-2"/>
          <c:w val="0.9361551409334703"/>
          <c:h val="0.71045388797652587"/>
        </c:manualLayout>
      </c:layout>
      <c:areaChart>
        <c:grouping val="stacked"/>
        <c:varyColors val="0"/>
        <c:ser>
          <c:idx val="0"/>
          <c:order val="0"/>
          <c:tx>
            <c:strRef>
              <c:f>Аркуш1!$B$1</c:f>
              <c:strCache>
                <c:ptCount val="1"/>
                <c:pt idx="0">
                  <c:v>Підтверджені бактеріологічно</c:v>
                </c:pt>
              </c:strCache>
            </c:strRef>
          </c:tx>
          <c:spPr>
            <a:solidFill>
              <a:schemeClr val="accent1"/>
            </a:solidFill>
            <a:ln>
              <a:noFill/>
            </a:ln>
            <a:effectLst/>
          </c:spPr>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Аркуш1!$B$2:$B$8</c:f>
              <c:numCache>
                <c:formatCode>General</c:formatCode>
                <c:ptCount val="7"/>
                <c:pt idx="0">
                  <c:v>14851</c:v>
                </c:pt>
                <c:pt idx="1">
                  <c:v>14371</c:v>
                </c:pt>
                <c:pt idx="2">
                  <c:v>13136</c:v>
                </c:pt>
                <c:pt idx="3">
                  <c:v>13225</c:v>
                </c:pt>
                <c:pt idx="4">
                  <c:v>13304</c:v>
                </c:pt>
                <c:pt idx="5">
                  <c:v>9226</c:v>
                </c:pt>
                <c:pt idx="6">
                  <c:v>9476</c:v>
                </c:pt>
              </c:numCache>
            </c:numRef>
          </c:val>
          <c:extLst>
            <c:ext xmlns:c16="http://schemas.microsoft.com/office/drawing/2014/chart" uri="{C3380CC4-5D6E-409C-BE32-E72D297353CC}">
              <c16:uniqueId val="{00000000-4BE8-42EE-A841-FE056FF77720}"/>
            </c:ext>
          </c:extLst>
        </c:ser>
        <c:ser>
          <c:idx val="1"/>
          <c:order val="1"/>
          <c:tx>
            <c:strRef>
              <c:f>Аркуш1!$C$1</c:f>
              <c:strCache>
                <c:ptCount val="1"/>
                <c:pt idx="0">
                  <c:v>Клінічно діагностовані</c:v>
                </c:pt>
              </c:strCache>
            </c:strRef>
          </c:tx>
          <c:spPr>
            <a:solidFill>
              <a:schemeClr val="accent2"/>
            </a:solidFill>
            <a:ln>
              <a:noFill/>
            </a:ln>
            <a:effectLst/>
          </c:spPr>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Аркуш1!$C$2:$C$8</c:f>
              <c:numCache>
                <c:formatCode>General</c:formatCode>
                <c:ptCount val="7"/>
                <c:pt idx="0">
                  <c:v>6843</c:v>
                </c:pt>
                <c:pt idx="1">
                  <c:v>6643</c:v>
                </c:pt>
                <c:pt idx="2">
                  <c:v>6654</c:v>
                </c:pt>
                <c:pt idx="3">
                  <c:v>6108</c:v>
                </c:pt>
                <c:pt idx="4">
                  <c:v>5184</c:v>
                </c:pt>
                <c:pt idx="5">
                  <c:v>3559</c:v>
                </c:pt>
                <c:pt idx="6">
                  <c:v>3646</c:v>
                </c:pt>
              </c:numCache>
            </c:numRef>
          </c:val>
          <c:extLst>
            <c:ext xmlns:c16="http://schemas.microsoft.com/office/drawing/2014/chart" uri="{C3380CC4-5D6E-409C-BE32-E72D297353CC}">
              <c16:uniqueId val="{00000001-4BE8-42EE-A841-FE056FF77720}"/>
            </c:ext>
          </c:extLst>
        </c:ser>
        <c:ser>
          <c:idx val="2"/>
          <c:order val="2"/>
          <c:tx>
            <c:strRef>
              <c:f>Аркуш1!$D$1</c:f>
              <c:strCache>
                <c:ptCount val="1"/>
                <c:pt idx="0">
                  <c:v>Позалегеневий ТБ</c:v>
                </c:pt>
              </c:strCache>
            </c:strRef>
          </c:tx>
          <c:spPr>
            <a:solidFill>
              <a:schemeClr val="accent3"/>
            </a:solidFill>
            <a:ln>
              <a:noFill/>
            </a:ln>
            <a:effectLst/>
          </c:spPr>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Аркуш1!$D$2:$D$8</c:f>
              <c:numCache>
                <c:formatCode>General</c:formatCode>
                <c:ptCount val="7"/>
                <c:pt idx="0">
                  <c:v>2449</c:v>
                </c:pt>
                <c:pt idx="1">
                  <c:v>2371</c:v>
                </c:pt>
                <c:pt idx="2">
                  <c:v>2202</c:v>
                </c:pt>
                <c:pt idx="3">
                  <c:v>2007</c:v>
                </c:pt>
                <c:pt idx="4">
                  <c:v>2153</c:v>
                </c:pt>
                <c:pt idx="5">
                  <c:v>1344</c:v>
                </c:pt>
                <c:pt idx="6">
                  <c:v>1361</c:v>
                </c:pt>
              </c:numCache>
            </c:numRef>
          </c:val>
          <c:extLst>
            <c:ext xmlns:c16="http://schemas.microsoft.com/office/drawing/2014/chart" uri="{C3380CC4-5D6E-409C-BE32-E72D297353CC}">
              <c16:uniqueId val="{00000002-4BE8-42EE-A841-FE056FF77720}"/>
            </c:ext>
          </c:extLst>
        </c:ser>
        <c:dLbls>
          <c:showLegendKey val="0"/>
          <c:showVal val="0"/>
          <c:showCatName val="0"/>
          <c:showSerName val="0"/>
          <c:showPercent val="0"/>
          <c:showBubbleSize val="0"/>
        </c:dLbls>
        <c:axId val="452341328"/>
        <c:axId val="452349856"/>
      </c:areaChart>
      <c:catAx>
        <c:axId val="45234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52349856"/>
        <c:crosses val="autoZero"/>
        <c:auto val="1"/>
        <c:lblAlgn val="ctr"/>
        <c:lblOffset val="100"/>
        <c:noMultiLvlLbl val="0"/>
      </c:catAx>
      <c:valAx>
        <c:axId val="45234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523413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91469517335385E-2"/>
          <c:y val="9.6417469752981724E-2"/>
          <c:w val="0.90620525695157672"/>
          <c:h val="0.71005752852322035"/>
        </c:manualLayout>
      </c:layout>
      <c:barChart>
        <c:barDir val="col"/>
        <c:grouping val="clustered"/>
        <c:varyColors val="0"/>
        <c:ser>
          <c:idx val="0"/>
          <c:order val="0"/>
          <c:tx>
            <c:strRef>
              <c:f>Аркуш1!$B$1</c:f>
              <c:strCache>
                <c:ptCount val="1"/>
                <c:pt idx="0">
                  <c:v>ШЛС/МЛС-ТБ</c:v>
                </c:pt>
              </c:strCache>
            </c:strRef>
          </c:tx>
          <c:spPr>
            <a:solidFill>
              <a:schemeClr val="accent1"/>
            </a:solidFill>
            <a:ln w="3175">
              <a:solidFill>
                <a:schemeClr val="accent3"/>
              </a:solidFill>
            </a:ln>
            <a:effectLst/>
          </c:spPr>
          <c:invertIfNegative val="0"/>
          <c:dLbls>
            <c:dLbl>
              <c:idx val="0"/>
              <c:layout>
                <c:manualLayout>
                  <c:x val="0"/>
                  <c:y val="0.11382705733271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66-4191-95F4-A6653933E91B}"/>
                </c:ext>
              </c:extLst>
            </c:dLbl>
            <c:dLbl>
              <c:idx val="1"/>
              <c:layout>
                <c:manualLayout>
                  <c:x val="-3.0372057706909645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66-4191-95F4-A6653933E91B}"/>
                </c:ext>
              </c:extLst>
            </c:dLbl>
            <c:dLbl>
              <c:idx val="2"/>
              <c:layout>
                <c:manualLayout>
                  <c:x val="-3.0372057706909645E-3"/>
                  <c:y val="0.11674569982842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66-4191-95F4-A6653933E91B}"/>
                </c:ext>
              </c:extLst>
            </c:dLbl>
            <c:dLbl>
              <c:idx val="3"/>
              <c:layout>
                <c:manualLayout>
                  <c:x val="-1.5186028853455935E-3"/>
                  <c:y val="0.1196643423241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66-4191-95F4-A6653933E91B}"/>
                </c:ext>
              </c:extLst>
            </c:dLbl>
            <c:dLbl>
              <c:idx val="4"/>
              <c:layout>
                <c:manualLayout>
                  <c:x val="1.5186028853454822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66-4191-95F4-A6653933E91B}"/>
                </c:ext>
              </c:extLst>
            </c:dLbl>
            <c:dLbl>
              <c:idx val="5"/>
              <c:layout>
                <c:manualLayout>
                  <c:x val="-1.1136292511798809E-16"/>
                  <c:y val="0.1050711298455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66-4191-95F4-A6653933E91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7778</c:v>
                </c:pt>
                <c:pt idx="1">
                  <c:v>6757</c:v>
                </c:pt>
                <c:pt idx="2">
                  <c:v>6336</c:v>
                </c:pt>
                <c:pt idx="3">
                  <c:v>5908</c:v>
                </c:pt>
                <c:pt idx="4">
                  <c:v>4083</c:v>
                </c:pt>
                <c:pt idx="5">
                  <c:v>3884</c:v>
                </c:pt>
              </c:numCache>
            </c:numRef>
          </c:val>
          <c:extLst>
            <c:ext xmlns:c16="http://schemas.microsoft.com/office/drawing/2014/chart" uri="{C3380CC4-5D6E-409C-BE32-E72D297353CC}">
              <c16:uniqueId val="{00000006-BE66-4191-95F4-A6653933E91B}"/>
            </c:ext>
          </c:extLst>
        </c:ser>
        <c:ser>
          <c:idx val="1"/>
          <c:order val="1"/>
          <c:tx>
            <c:strRef>
              <c:f>Аркуш1!$C$1</c:f>
              <c:strCache>
                <c:ptCount val="1"/>
                <c:pt idx="0">
                  <c:v>Позалегеневий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Ref>
          </c:val>
          <c:extLst>
            <c:ext xmlns:c16="http://schemas.microsoft.com/office/drawing/2014/chart" uri="{C3380CC4-5D6E-409C-BE32-E72D297353CC}">
              <c16:uniqueId val="{00000007-BE66-4191-95F4-A6653933E91B}"/>
            </c:ext>
          </c:extLst>
        </c:ser>
        <c:dLbls>
          <c:showLegendKey val="0"/>
          <c:showVal val="0"/>
          <c:showCatName val="0"/>
          <c:showSerName val="0"/>
          <c:showPercent val="0"/>
          <c:showBubbleSize val="0"/>
        </c:dLbls>
        <c:gapWidth val="89"/>
        <c:axId val="290426232"/>
        <c:axId val="290425248"/>
      </c:barChart>
      <c:lineChart>
        <c:grouping val="standard"/>
        <c:varyColors val="0"/>
        <c:ser>
          <c:idx val="2"/>
          <c:order val="2"/>
          <c:tx>
            <c:strRef>
              <c:f>Аркуш1!$D$1</c:f>
              <c:strCache>
                <c:ptCount val="1"/>
                <c:pt idx="0">
                  <c:v>на 100 тисяч населення</c:v>
                </c:pt>
              </c:strCache>
            </c:strRef>
          </c:tx>
          <c:spPr>
            <a:ln w="50800" cap="sq">
              <a:solidFill>
                <a:schemeClr val="accent3"/>
              </a:solidFill>
              <a:miter lim="800000"/>
              <a:headEnd type="none"/>
              <a:tailEnd type="none"/>
            </a:ln>
            <a:effectLst/>
          </c:spPr>
          <c:marker>
            <c:symbol val="none"/>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66-4191-95F4-A6653933E91B}"/>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66-4191-95F4-A6653933E91B}"/>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66-4191-95F4-A6653933E91B}"/>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66-4191-95F4-A6653933E91B}"/>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66-4191-95F4-A6653933E91B}"/>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66-4191-95F4-A6653933E91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18.3</c:v>
                </c:pt>
                <c:pt idx="1">
                  <c:v>15.9</c:v>
                </c:pt>
                <c:pt idx="2">
                  <c:v>15</c:v>
                </c:pt>
                <c:pt idx="3">
                  <c:v>14.1</c:v>
                </c:pt>
                <c:pt idx="4">
                  <c:v>9.8000000000000007</c:v>
                </c:pt>
                <c:pt idx="5">
                  <c:v>9.4</c:v>
                </c:pt>
              </c:numCache>
            </c:numRef>
          </c:val>
          <c:smooth val="0"/>
          <c:extLst>
            <c:ext xmlns:c16="http://schemas.microsoft.com/office/drawing/2014/chart" uri="{C3380CC4-5D6E-409C-BE32-E72D297353CC}">
              <c16:uniqueId val="{0000000E-BE66-4191-95F4-A6653933E91B}"/>
            </c:ext>
          </c:extLst>
        </c:ser>
        <c:dLbls>
          <c:showLegendKey val="0"/>
          <c:showVal val="0"/>
          <c:showCatName val="0"/>
          <c:showSerName val="0"/>
          <c:showPercent val="0"/>
          <c:showBubbleSize val="0"/>
        </c:dLbls>
        <c:marker val="1"/>
        <c:smooth val="0"/>
        <c:axId val="389511856"/>
        <c:axId val="389512184"/>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100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389512184"/>
        <c:scaling>
          <c:orientation val="minMax"/>
          <c:max val="22"/>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389511856"/>
        <c:crosses val="max"/>
        <c:crossBetween val="between"/>
      </c:valAx>
      <c:catAx>
        <c:axId val="389511856"/>
        <c:scaling>
          <c:orientation val="minMax"/>
        </c:scaling>
        <c:delete val="1"/>
        <c:axPos val="b"/>
        <c:numFmt formatCode="General" sourceLinked="1"/>
        <c:majorTickMark val="out"/>
        <c:minorTickMark val="none"/>
        <c:tickLblPos val="nextTo"/>
        <c:crossAx val="389512184"/>
        <c:crosses val="autoZero"/>
        <c:auto val="1"/>
        <c:lblAlgn val="ctr"/>
        <c:lblOffset val="100"/>
        <c:noMultiLvlLbl val="0"/>
      </c:catAx>
      <c:spPr>
        <a:noFill/>
        <a:ln w="0">
          <a:solidFill>
            <a:schemeClr val="accent3"/>
          </a:solidFill>
        </a:ln>
        <a:effectLst/>
      </c:spPr>
    </c:plotArea>
    <c:legend>
      <c:legendPos val="b"/>
      <c:layout>
        <c:manualLayout>
          <c:xMode val="edge"/>
          <c:yMode val="edge"/>
          <c:x val="3.3086689925384147E-2"/>
          <c:y val="0.92751379001125644"/>
          <c:w val="0.92730116111220995"/>
          <c:h val="6.3367405611791133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Лист1!$A$372</c:f>
              <c:strCache>
                <c:ptCount val="1"/>
                <c:pt idx="0">
                  <c:v>нові випадки</c:v>
                </c:pt>
              </c:strCache>
            </c:strRef>
          </c:tx>
          <c:spPr>
            <a:solidFill>
              <a:srgbClr val="FF993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Лист1!$B$371:$G$371</c:f>
              <c:numCache>
                <c:formatCode>General</c:formatCode>
                <c:ptCount val="6"/>
                <c:pt idx="0">
                  <c:v>2016</c:v>
                </c:pt>
                <c:pt idx="1">
                  <c:v>2017</c:v>
                </c:pt>
                <c:pt idx="2">
                  <c:v>2018</c:v>
                </c:pt>
                <c:pt idx="3">
                  <c:v>2019</c:v>
                </c:pt>
                <c:pt idx="4">
                  <c:v>2020</c:v>
                </c:pt>
                <c:pt idx="5">
                  <c:v>2021</c:v>
                </c:pt>
              </c:numCache>
            </c:numRef>
          </c:cat>
          <c:val>
            <c:numRef>
              <c:f>Лист1!$B$372:$G$372</c:f>
              <c:numCache>
                <c:formatCode>General</c:formatCode>
                <c:ptCount val="6"/>
                <c:pt idx="0">
                  <c:v>27.3</c:v>
                </c:pt>
                <c:pt idx="1">
                  <c:v>27.9</c:v>
                </c:pt>
                <c:pt idx="2">
                  <c:v>29</c:v>
                </c:pt>
                <c:pt idx="3">
                  <c:v>27.2</c:v>
                </c:pt>
                <c:pt idx="4">
                  <c:v>28.6</c:v>
                </c:pt>
                <c:pt idx="5">
                  <c:v>26.2</c:v>
                </c:pt>
              </c:numCache>
            </c:numRef>
          </c:val>
          <c:extLst>
            <c:ext xmlns:c16="http://schemas.microsoft.com/office/drawing/2014/chart" uri="{C3380CC4-5D6E-409C-BE32-E72D297353CC}">
              <c16:uniqueId val="{00000000-E15F-40E3-8C42-585226F68FFA}"/>
            </c:ext>
          </c:extLst>
        </c:ser>
        <c:ser>
          <c:idx val="1"/>
          <c:order val="1"/>
          <c:tx>
            <c:strRef>
              <c:f>Лист1!$A$373</c:f>
              <c:strCache>
                <c:ptCount val="1"/>
                <c:pt idx="0">
                  <c:v>повторні випадки</c:v>
                </c:pt>
              </c:strCache>
            </c:strRef>
          </c:tx>
          <c:spPr>
            <a:solidFill>
              <a:srgbClr val="007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Лист1!$B$371:$G$371</c:f>
              <c:numCache>
                <c:formatCode>General</c:formatCode>
                <c:ptCount val="6"/>
                <c:pt idx="0">
                  <c:v>2016</c:v>
                </c:pt>
                <c:pt idx="1">
                  <c:v>2017</c:v>
                </c:pt>
                <c:pt idx="2">
                  <c:v>2018</c:v>
                </c:pt>
                <c:pt idx="3">
                  <c:v>2019</c:v>
                </c:pt>
                <c:pt idx="4">
                  <c:v>2020</c:v>
                </c:pt>
                <c:pt idx="5">
                  <c:v>2021</c:v>
                </c:pt>
              </c:numCache>
            </c:numRef>
          </c:cat>
          <c:val>
            <c:numRef>
              <c:f>Лист1!$B$373:$G$373</c:f>
              <c:numCache>
                <c:formatCode>General</c:formatCode>
                <c:ptCount val="6"/>
                <c:pt idx="0">
                  <c:v>49.5</c:v>
                </c:pt>
                <c:pt idx="1">
                  <c:v>47.8</c:v>
                </c:pt>
                <c:pt idx="2">
                  <c:v>46.4</c:v>
                </c:pt>
                <c:pt idx="3">
                  <c:v>42.9</c:v>
                </c:pt>
                <c:pt idx="4">
                  <c:v>41.3</c:v>
                </c:pt>
                <c:pt idx="5">
                  <c:v>40.4</c:v>
                </c:pt>
              </c:numCache>
            </c:numRef>
          </c:val>
          <c:extLst>
            <c:ext xmlns:c16="http://schemas.microsoft.com/office/drawing/2014/chart" uri="{C3380CC4-5D6E-409C-BE32-E72D297353CC}">
              <c16:uniqueId val="{00000001-E15F-40E3-8C42-585226F68FFA}"/>
            </c:ext>
          </c:extLst>
        </c:ser>
        <c:dLbls>
          <c:showLegendKey val="0"/>
          <c:showVal val="0"/>
          <c:showCatName val="0"/>
          <c:showSerName val="0"/>
          <c:showPercent val="0"/>
          <c:showBubbleSize val="0"/>
        </c:dLbls>
        <c:gapWidth val="150"/>
        <c:axId val="-2112181696"/>
        <c:axId val="-2090445616"/>
      </c:barChart>
      <c:catAx>
        <c:axId val="-2112181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2090445616"/>
        <c:crosses val="autoZero"/>
        <c:auto val="1"/>
        <c:lblAlgn val="ctr"/>
        <c:lblOffset val="100"/>
        <c:noMultiLvlLbl val="0"/>
      </c:catAx>
      <c:valAx>
        <c:axId val="-2090445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1218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Лист1!$A$381</c:f>
              <c:strCache>
                <c:ptCount val="1"/>
                <c:pt idx="0">
                  <c:v>кількість зареєстрованих (абс. )</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Лист1!$B$380:$G$380</c:f>
              <c:numCache>
                <c:formatCode>General</c:formatCode>
                <c:ptCount val="6"/>
                <c:pt idx="0">
                  <c:v>2016</c:v>
                </c:pt>
                <c:pt idx="1">
                  <c:v>2017</c:v>
                </c:pt>
                <c:pt idx="2">
                  <c:v>2018</c:v>
                </c:pt>
                <c:pt idx="3">
                  <c:v>2019</c:v>
                </c:pt>
                <c:pt idx="4">
                  <c:v>2020</c:v>
                </c:pt>
                <c:pt idx="5">
                  <c:v>2021</c:v>
                </c:pt>
              </c:numCache>
            </c:numRef>
          </c:cat>
          <c:val>
            <c:numRef>
              <c:f>Лист1!$B$381:$G$381</c:f>
              <c:numCache>
                <c:formatCode>General</c:formatCode>
                <c:ptCount val="6"/>
                <c:pt idx="0">
                  <c:v>7778</c:v>
                </c:pt>
                <c:pt idx="1">
                  <c:v>6757</c:v>
                </c:pt>
                <c:pt idx="2">
                  <c:v>6336</c:v>
                </c:pt>
                <c:pt idx="3">
                  <c:v>5908</c:v>
                </c:pt>
                <c:pt idx="4">
                  <c:v>4083</c:v>
                </c:pt>
                <c:pt idx="5">
                  <c:v>3884</c:v>
                </c:pt>
              </c:numCache>
            </c:numRef>
          </c:val>
          <c:extLst>
            <c:ext xmlns:c16="http://schemas.microsoft.com/office/drawing/2014/chart" uri="{C3380CC4-5D6E-409C-BE32-E72D297353CC}">
              <c16:uniqueId val="{00000000-2778-49C8-9DAD-F77E46BC2406}"/>
            </c:ext>
          </c:extLst>
        </c:ser>
        <c:dLbls>
          <c:showLegendKey val="0"/>
          <c:showVal val="0"/>
          <c:showCatName val="0"/>
          <c:showSerName val="0"/>
          <c:showPercent val="0"/>
          <c:showBubbleSize val="0"/>
        </c:dLbls>
        <c:gapWidth val="219"/>
        <c:overlap val="-27"/>
        <c:axId val="1801905392"/>
        <c:axId val="2138188208"/>
      </c:barChart>
      <c:lineChart>
        <c:grouping val="standard"/>
        <c:varyColors val="0"/>
        <c:ser>
          <c:idx val="1"/>
          <c:order val="1"/>
          <c:tx>
            <c:strRef>
              <c:f>Лист1!$A$382</c:f>
              <c:strCache>
                <c:ptCount val="1"/>
                <c:pt idx="0">
                  <c:v>темп приросту/зниження (%)</c:v>
                </c:pt>
              </c:strCache>
            </c:strRef>
          </c:tx>
          <c:spPr>
            <a:ln w="28575" cap="rnd">
              <a:solidFill>
                <a:srgbClr val="0070C0"/>
              </a:solidFill>
              <a:round/>
            </a:ln>
            <a:effectLst/>
          </c:spPr>
          <c:marker>
            <c:symbol val="none"/>
          </c:marker>
          <c:dLbls>
            <c:dLbl>
              <c:idx val="3"/>
              <c:layout>
                <c:manualLayout>
                  <c:x val="-2.5651988029072252E-2"/>
                  <c:y val="3.367003367003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78-49C8-9DAD-F77E46BC2406}"/>
                </c:ext>
              </c:extLst>
            </c:dLbl>
            <c:dLbl>
              <c:idx val="4"/>
              <c:layout>
                <c:manualLayout>
                  <c:x val="-3.4202650705429827E-2"/>
                  <c:y val="5.0505050505050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78-49C8-9DAD-F77E46BC240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Лист1!$B$380:$G$380</c:f>
              <c:numCache>
                <c:formatCode>General</c:formatCode>
                <c:ptCount val="6"/>
                <c:pt idx="0">
                  <c:v>2016</c:v>
                </c:pt>
                <c:pt idx="1">
                  <c:v>2017</c:v>
                </c:pt>
                <c:pt idx="2">
                  <c:v>2018</c:v>
                </c:pt>
                <c:pt idx="3">
                  <c:v>2019</c:v>
                </c:pt>
                <c:pt idx="4">
                  <c:v>2020</c:v>
                </c:pt>
                <c:pt idx="5">
                  <c:v>2021</c:v>
                </c:pt>
              </c:numCache>
            </c:numRef>
          </c:cat>
          <c:val>
            <c:numRef>
              <c:f>Лист1!$B$382:$G$382</c:f>
              <c:numCache>
                <c:formatCode>General</c:formatCode>
                <c:ptCount val="6"/>
                <c:pt idx="0">
                  <c:v>-7.8</c:v>
                </c:pt>
                <c:pt idx="1">
                  <c:v>-13.1</c:v>
                </c:pt>
                <c:pt idx="2">
                  <c:v>-6.2</c:v>
                </c:pt>
                <c:pt idx="3">
                  <c:v>-6.8</c:v>
                </c:pt>
                <c:pt idx="4">
                  <c:v>-30.9</c:v>
                </c:pt>
                <c:pt idx="5">
                  <c:v>-4.9000000000000004</c:v>
                </c:pt>
              </c:numCache>
            </c:numRef>
          </c:val>
          <c:smooth val="0"/>
          <c:extLst>
            <c:ext xmlns:c16="http://schemas.microsoft.com/office/drawing/2014/chart" uri="{C3380CC4-5D6E-409C-BE32-E72D297353CC}">
              <c16:uniqueId val="{00000003-2778-49C8-9DAD-F77E46BC2406}"/>
            </c:ext>
          </c:extLst>
        </c:ser>
        <c:dLbls>
          <c:showLegendKey val="0"/>
          <c:showVal val="0"/>
          <c:showCatName val="0"/>
          <c:showSerName val="0"/>
          <c:showPercent val="0"/>
          <c:showBubbleSize val="0"/>
        </c:dLbls>
        <c:marker val="1"/>
        <c:smooth val="0"/>
        <c:axId val="2138949328"/>
        <c:axId val="1800610496"/>
      </c:lineChart>
      <c:catAx>
        <c:axId val="180190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crossAx val="2138188208"/>
        <c:crosses val="autoZero"/>
        <c:auto val="1"/>
        <c:lblAlgn val="ctr"/>
        <c:lblOffset val="100"/>
        <c:noMultiLvlLbl val="0"/>
      </c:catAx>
      <c:valAx>
        <c:axId val="213818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1905392"/>
        <c:crosses val="autoZero"/>
        <c:crossBetween val="between"/>
      </c:valAx>
      <c:valAx>
        <c:axId val="1800610496"/>
        <c:scaling>
          <c:orientation val="minMax"/>
          <c:min val="-3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38949328"/>
        <c:crosses val="max"/>
        <c:crossBetween val="between"/>
      </c:valAx>
      <c:catAx>
        <c:axId val="2138949328"/>
        <c:scaling>
          <c:orientation val="minMax"/>
        </c:scaling>
        <c:delete val="1"/>
        <c:axPos val="b"/>
        <c:numFmt formatCode="General" sourceLinked="1"/>
        <c:majorTickMark val="out"/>
        <c:minorTickMark val="none"/>
        <c:tickLblPos val="nextTo"/>
        <c:crossAx val="1800610496"/>
        <c:crosses val="autoZero"/>
        <c:auto val="1"/>
        <c:lblAlgn val="ctr"/>
        <c:lblOffset val="100"/>
        <c:noMultiLvlLbl val="0"/>
      </c:catAx>
      <c:spPr>
        <a:noFill/>
        <a:ln>
          <a:noFill/>
        </a:ln>
        <a:effectLst/>
      </c:spPr>
    </c:plotArea>
    <c:legend>
      <c:legendPos val="b"/>
      <c:layout>
        <c:manualLayout>
          <c:xMode val="edge"/>
          <c:yMode val="edge"/>
          <c:x val="3.9414673698410868E-2"/>
          <c:y val="0.93076473374344759"/>
          <c:w val="0.92603751964632697"/>
          <c:h val="5.656099249742872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14547301821866E-2"/>
          <c:y val="5.7452659880929534E-2"/>
          <c:w val="0.94075907666966896"/>
          <c:h val="0.56975964368090404"/>
        </c:manualLayout>
      </c:layout>
      <c:barChart>
        <c:barDir val="col"/>
        <c:grouping val="clustered"/>
        <c:varyColors val="0"/>
        <c:ser>
          <c:idx val="0"/>
          <c:order val="0"/>
          <c:tx>
            <c:strRef>
              <c:f>Лист1!$B$112</c:f>
              <c:strCache>
                <c:ptCount val="1"/>
                <c:pt idx="0">
                  <c:v>Зареєстровано</c:v>
                </c:pt>
              </c:strCache>
            </c:strRef>
          </c:tx>
          <c:spPr>
            <a:solidFill>
              <a:srgbClr val="FF993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Лист1!$A$113:$A$137</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Лист1!$B$113:$B$137</c:f>
              <c:numCache>
                <c:formatCode>General</c:formatCode>
                <c:ptCount val="25"/>
                <c:pt idx="0">
                  <c:v>79</c:v>
                </c:pt>
                <c:pt idx="1">
                  <c:v>108</c:v>
                </c:pt>
                <c:pt idx="2">
                  <c:v>475</c:v>
                </c:pt>
                <c:pt idx="3">
                  <c:v>227</c:v>
                </c:pt>
                <c:pt idx="4">
                  <c:v>112</c:v>
                </c:pt>
                <c:pt idx="5">
                  <c:v>115</c:v>
                </c:pt>
                <c:pt idx="6">
                  <c:v>189</c:v>
                </c:pt>
                <c:pt idx="7">
                  <c:v>81</c:v>
                </c:pt>
                <c:pt idx="8">
                  <c:v>176</c:v>
                </c:pt>
                <c:pt idx="9">
                  <c:v>101</c:v>
                </c:pt>
                <c:pt idx="10">
                  <c:v>92</c:v>
                </c:pt>
                <c:pt idx="11">
                  <c:v>198</c:v>
                </c:pt>
                <c:pt idx="12">
                  <c:v>208</c:v>
                </c:pt>
                <c:pt idx="13">
                  <c:v>399</c:v>
                </c:pt>
                <c:pt idx="14">
                  <c:v>142</c:v>
                </c:pt>
                <c:pt idx="15">
                  <c:v>53</c:v>
                </c:pt>
                <c:pt idx="16">
                  <c:v>92</c:v>
                </c:pt>
                <c:pt idx="17">
                  <c:v>38</c:v>
                </c:pt>
                <c:pt idx="18">
                  <c:v>204</c:v>
                </c:pt>
                <c:pt idx="19">
                  <c:v>141</c:v>
                </c:pt>
                <c:pt idx="20">
                  <c:v>63</c:v>
                </c:pt>
                <c:pt idx="21">
                  <c:v>105</c:v>
                </c:pt>
                <c:pt idx="22">
                  <c:v>42</c:v>
                </c:pt>
                <c:pt idx="23">
                  <c:v>72</c:v>
                </c:pt>
                <c:pt idx="24">
                  <c:v>154</c:v>
                </c:pt>
              </c:numCache>
            </c:numRef>
          </c:val>
          <c:extLst>
            <c:ext xmlns:c16="http://schemas.microsoft.com/office/drawing/2014/chart" uri="{C3380CC4-5D6E-409C-BE32-E72D297353CC}">
              <c16:uniqueId val="{00000000-3E8C-4F65-B3FF-2C6462082467}"/>
            </c:ext>
          </c:extLst>
        </c:ser>
        <c:ser>
          <c:idx val="1"/>
          <c:order val="1"/>
          <c:tx>
            <c:strRef>
              <c:f>Лист1!$C$112</c:f>
              <c:strCache>
                <c:ptCount val="1"/>
                <c:pt idx="0">
                  <c:v>Розпочали лікування</c:v>
                </c:pt>
              </c:strCache>
            </c:strRef>
          </c:tx>
          <c:spPr>
            <a:solidFill>
              <a:srgbClr val="00B0F0"/>
            </a:solidFill>
            <a:ln>
              <a:noFill/>
            </a:ln>
            <a:effectLst/>
          </c:spPr>
          <c:invertIfNegative val="0"/>
          <c:dLbls>
            <c:dLbl>
              <c:idx val="24"/>
              <c:delete val="1"/>
              <c:extLst>
                <c:ext xmlns:c15="http://schemas.microsoft.com/office/drawing/2012/chart" uri="{CE6537A1-D6FC-4f65-9D91-7224C49458BB}"/>
                <c:ext xmlns:c16="http://schemas.microsoft.com/office/drawing/2014/chart" uri="{C3380CC4-5D6E-409C-BE32-E72D297353CC}">
                  <c16:uniqueId val="{00000001-3E8C-4F65-B3FF-2C6462082467}"/>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Лист1!$A$113:$A$137</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Лист1!$C$113:$C$137</c:f>
              <c:numCache>
                <c:formatCode>General</c:formatCode>
                <c:ptCount val="25"/>
                <c:pt idx="0">
                  <c:v>74</c:v>
                </c:pt>
                <c:pt idx="1">
                  <c:v>104</c:v>
                </c:pt>
                <c:pt idx="2">
                  <c:v>423</c:v>
                </c:pt>
                <c:pt idx="3">
                  <c:v>207</c:v>
                </c:pt>
                <c:pt idx="4">
                  <c:v>111</c:v>
                </c:pt>
                <c:pt idx="5">
                  <c:v>93</c:v>
                </c:pt>
                <c:pt idx="6">
                  <c:v>177</c:v>
                </c:pt>
                <c:pt idx="7">
                  <c:v>74</c:v>
                </c:pt>
                <c:pt idx="8">
                  <c:v>173</c:v>
                </c:pt>
                <c:pt idx="9">
                  <c:v>81</c:v>
                </c:pt>
                <c:pt idx="10">
                  <c:v>92</c:v>
                </c:pt>
                <c:pt idx="11">
                  <c:v>190</c:v>
                </c:pt>
                <c:pt idx="12">
                  <c:v>181</c:v>
                </c:pt>
                <c:pt idx="13">
                  <c:v>368</c:v>
                </c:pt>
                <c:pt idx="14">
                  <c:v>113</c:v>
                </c:pt>
                <c:pt idx="15">
                  <c:v>50</c:v>
                </c:pt>
                <c:pt idx="16">
                  <c:v>90</c:v>
                </c:pt>
                <c:pt idx="17">
                  <c:v>36</c:v>
                </c:pt>
                <c:pt idx="18">
                  <c:v>190</c:v>
                </c:pt>
                <c:pt idx="19">
                  <c:v>138</c:v>
                </c:pt>
                <c:pt idx="20">
                  <c:v>63</c:v>
                </c:pt>
                <c:pt idx="21">
                  <c:v>101</c:v>
                </c:pt>
                <c:pt idx="22">
                  <c:v>41</c:v>
                </c:pt>
                <c:pt idx="23">
                  <c:v>64</c:v>
                </c:pt>
                <c:pt idx="24">
                  <c:v>147</c:v>
                </c:pt>
              </c:numCache>
            </c:numRef>
          </c:val>
          <c:extLst>
            <c:ext xmlns:c16="http://schemas.microsoft.com/office/drawing/2014/chart" uri="{C3380CC4-5D6E-409C-BE32-E72D297353CC}">
              <c16:uniqueId val="{00000002-3E8C-4F65-B3FF-2C6462082467}"/>
            </c:ext>
          </c:extLst>
        </c:ser>
        <c:dLbls>
          <c:showLegendKey val="0"/>
          <c:showVal val="0"/>
          <c:showCatName val="0"/>
          <c:showSerName val="0"/>
          <c:showPercent val="0"/>
          <c:showBubbleSize val="0"/>
        </c:dLbls>
        <c:gapWidth val="219"/>
        <c:axId val="1856137136"/>
        <c:axId val="1832928704"/>
      </c:barChart>
      <c:lineChart>
        <c:grouping val="standard"/>
        <c:varyColors val="0"/>
        <c:ser>
          <c:idx val="2"/>
          <c:order val="2"/>
          <c:tx>
            <c:strRef>
              <c:f>Лист1!$D$112</c:f>
              <c:strCache>
                <c:ptCount val="1"/>
                <c:pt idx="0">
                  <c:v>% охоплення</c:v>
                </c:pt>
              </c:strCache>
            </c:strRef>
          </c:tx>
          <c:spPr>
            <a:ln>
              <a:solidFill>
                <a:sysClr val="window" lastClr="FFFFFF">
                  <a:lumMod val="65000"/>
                </a:sysClr>
              </a:solidFill>
            </a:ln>
          </c:spPr>
          <c:marker>
            <c:symbol val="none"/>
          </c:marker>
          <c:dLbls>
            <c:spPr>
              <a:noFill/>
              <a:ln>
                <a:noFill/>
              </a:ln>
              <a:effectLst/>
            </c:spPr>
            <c:txPr>
              <a:bodyPr wrap="square" lIns="38100" tIns="19050" rIns="38100" bIns="19050" anchor="ctr">
                <a:spAutoFit/>
              </a:bodyPr>
              <a:lstStyle/>
              <a:p>
                <a:pPr>
                  <a:defRPr sz="800" baseline="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Лист1!$A$113:$A$137</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Лист1!$D$113:$D$137</c:f>
              <c:numCache>
                <c:formatCode>0.0</c:formatCode>
                <c:ptCount val="25"/>
                <c:pt idx="0">
                  <c:v>93.670886075949369</c:v>
                </c:pt>
                <c:pt idx="1">
                  <c:v>96.296296296296291</c:v>
                </c:pt>
                <c:pt idx="2">
                  <c:v>89.05263157894737</c:v>
                </c:pt>
                <c:pt idx="3">
                  <c:v>91.189427312775322</c:v>
                </c:pt>
                <c:pt idx="4">
                  <c:v>99.107142857142861</c:v>
                </c:pt>
                <c:pt idx="5">
                  <c:v>80.869565217391298</c:v>
                </c:pt>
                <c:pt idx="6">
                  <c:v>93.650793650793645</c:v>
                </c:pt>
                <c:pt idx="7">
                  <c:v>91.358024691358025</c:v>
                </c:pt>
                <c:pt idx="8">
                  <c:v>98.295454545454547</c:v>
                </c:pt>
                <c:pt idx="9">
                  <c:v>80.198019801980209</c:v>
                </c:pt>
                <c:pt idx="10">
                  <c:v>100</c:v>
                </c:pt>
                <c:pt idx="11">
                  <c:v>95.959595959595958</c:v>
                </c:pt>
                <c:pt idx="12">
                  <c:v>87.019230769230774</c:v>
                </c:pt>
                <c:pt idx="13">
                  <c:v>92.230576441102755</c:v>
                </c:pt>
                <c:pt idx="14">
                  <c:v>79.577464788732399</c:v>
                </c:pt>
                <c:pt idx="15">
                  <c:v>94.339622641509436</c:v>
                </c:pt>
                <c:pt idx="16">
                  <c:v>97.826086956521735</c:v>
                </c:pt>
                <c:pt idx="17">
                  <c:v>94.73684210526315</c:v>
                </c:pt>
                <c:pt idx="18">
                  <c:v>93.137254901960787</c:v>
                </c:pt>
                <c:pt idx="19">
                  <c:v>97.872340425531917</c:v>
                </c:pt>
                <c:pt idx="20">
                  <c:v>100</c:v>
                </c:pt>
                <c:pt idx="21">
                  <c:v>96.19047619047619</c:v>
                </c:pt>
                <c:pt idx="22">
                  <c:v>97.61904761904762</c:v>
                </c:pt>
                <c:pt idx="23">
                  <c:v>88.888888888888886</c:v>
                </c:pt>
                <c:pt idx="24">
                  <c:v>95.454545454545453</c:v>
                </c:pt>
              </c:numCache>
            </c:numRef>
          </c:val>
          <c:smooth val="0"/>
          <c:extLst>
            <c:ext xmlns:c16="http://schemas.microsoft.com/office/drawing/2014/chart" uri="{C3380CC4-5D6E-409C-BE32-E72D297353CC}">
              <c16:uniqueId val="{00000003-3E8C-4F65-B3FF-2C6462082467}"/>
            </c:ext>
          </c:extLst>
        </c:ser>
        <c:dLbls>
          <c:showLegendKey val="0"/>
          <c:showVal val="0"/>
          <c:showCatName val="0"/>
          <c:showSerName val="0"/>
          <c:showPercent val="0"/>
          <c:showBubbleSize val="0"/>
        </c:dLbls>
        <c:marker val="1"/>
        <c:smooth val="0"/>
        <c:axId val="389907656"/>
        <c:axId val="389905032"/>
      </c:lineChart>
      <c:catAx>
        <c:axId val="18561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1832928704"/>
        <c:crosses val="autoZero"/>
        <c:auto val="1"/>
        <c:lblAlgn val="ctr"/>
        <c:lblOffset val="100"/>
        <c:noMultiLvlLbl val="0"/>
      </c:catAx>
      <c:valAx>
        <c:axId val="183292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56137136"/>
        <c:crosses val="autoZero"/>
        <c:crossBetween val="between"/>
      </c:valAx>
      <c:valAx>
        <c:axId val="389905032"/>
        <c:scaling>
          <c:orientation val="minMax"/>
        </c:scaling>
        <c:delete val="0"/>
        <c:axPos val="r"/>
        <c:numFmt formatCode="0.0" sourceLinked="1"/>
        <c:majorTickMark val="out"/>
        <c:minorTickMark val="none"/>
        <c:tickLblPos val="nextTo"/>
        <c:crossAx val="389907656"/>
        <c:crosses val="max"/>
        <c:crossBetween val="between"/>
      </c:valAx>
      <c:catAx>
        <c:axId val="389907656"/>
        <c:scaling>
          <c:orientation val="minMax"/>
        </c:scaling>
        <c:delete val="1"/>
        <c:axPos val="b"/>
        <c:numFmt formatCode="General" sourceLinked="1"/>
        <c:majorTickMark val="out"/>
        <c:minorTickMark val="none"/>
        <c:tickLblPos val="nextTo"/>
        <c:crossAx val="389905032"/>
        <c:crosses val="autoZero"/>
        <c:auto val="1"/>
        <c:lblAlgn val="ctr"/>
        <c:lblOffset val="100"/>
        <c:noMultiLvlLbl val="0"/>
      </c:catAx>
    </c:plotArea>
    <c:legend>
      <c:legendPos val="b"/>
      <c:layout>
        <c:manualLayout>
          <c:xMode val="edge"/>
          <c:yMode val="edge"/>
          <c:x val="0.12919374081172405"/>
          <c:y val="0.92168158248511622"/>
          <c:w val="0.75334256971544244"/>
          <c:h val="5.880622239293258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981083230199874E-2"/>
          <c:y val="0.10809203973582381"/>
          <c:w val="0.90620525695157672"/>
          <c:h val="0.71005752852322035"/>
        </c:manualLayout>
      </c:layout>
      <c:barChart>
        <c:barDir val="col"/>
        <c:grouping val="clustered"/>
        <c:varyColors val="0"/>
        <c:ser>
          <c:idx val="0"/>
          <c:order val="0"/>
          <c:tx>
            <c:strRef>
              <c:f>Аркуш1!$B$1</c:f>
              <c:strCache>
                <c:ptCount val="1"/>
                <c:pt idx="0">
                  <c:v>Нові + РТБ</c:v>
                </c:pt>
              </c:strCache>
            </c:strRef>
          </c:tx>
          <c:spPr>
            <a:solidFill>
              <a:schemeClr val="accent1"/>
            </a:solidFill>
            <a:ln w="3175">
              <a:solidFill>
                <a:schemeClr val="accent3"/>
              </a:solidFill>
            </a:ln>
            <a:effectLst/>
          </c:spPr>
          <c:invertIfNegative val="0"/>
          <c:dLbls>
            <c:dLbl>
              <c:idx val="0"/>
              <c:layout>
                <c:manualLayout>
                  <c:x val="0"/>
                  <c:y val="0.11382705733271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5D-47AE-BF57-7218DDDEAE77}"/>
                </c:ext>
              </c:extLst>
            </c:dLbl>
            <c:dLbl>
              <c:idx val="1"/>
              <c:layout>
                <c:manualLayout>
                  <c:x val="-3.0372057706909645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5D-47AE-BF57-7218DDDEAE77}"/>
                </c:ext>
              </c:extLst>
            </c:dLbl>
            <c:dLbl>
              <c:idx val="2"/>
              <c:layout>
                <c:manualLayout>
                  <c:x val="-3.0372057706909645E-3"/>
                  <c:y val="0.11674569982842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5D-47AE-BF57-7218DDDEAE77}"/>
                </c:ext>
              </c:extLst>
            </c:dLbl>
            <c:dLbl>
              <c:idx val="3"/>
              <c:layout>
                <c:manualLayout>
                  <c:x val="-1.5186028853455935E-3"/>
                  <c:y val="0.1196643423241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5D-47AE-BF57-7218DDDEAE77}"/>
                </c:ext>
              </c:extLst>
            </c:dLbl>
            <c:dLbl>
              <c:idx val="4"/>
              <c:layout>
                <c:manualLayout>
                  <c:x val="1.5186028853454822E-3"/>
                  <c:y val="0.12842026981126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5D-47AE-BF57-7218DDDEAE77}"/>
                </c:ext>
              </c:extLst>
            </c:dLbl>
            <c:dLbl>
              <c:idx val="5"/>
              <c:layout>
                <c:manualLayout>
                  <c:x val="-1.1136292511798809E-16"/>
                  <c:y val="0.1050711298455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5D-47AE-BF57-7218DDDEAE7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919</c:v>
                </c:pt>
                <c:pt idx="1">
                  <c:v>744</c:v>
                </c:pt>
                <c:pt idx="2">
                  <c:v>767</c:v>
                </c:pt>
                <c:pt idx="3">
                  <c:v>720</c:v>
                </c:pt>
                <c:pt idx="4">
                  <c:v>555</c:v>
                </c:pt>
                <c:pt idx="5">
                  <c:v>547</c:v>
                </c:pt>
              </c:numCache>
            </c:numRef>
          </c:val>
          <c:extLst>
            <c:ext xmlns:c16="http://schemas.microsoft.com/office/drawing/2014/chart" uri="{C3380CC4-5D6E-409C-BE32-E72D297353CC}">
              <c16:uniqueId val="{00000006-795D-47AE-BF57-7218DDDEAE77}"/>
            </c:ext>
          </c:extLst>
        </c:ser>
        <c:ser>
          <c:idx val="1"/>
          <c:order val="1"/>
          <c:tx>
            <c:strRef>
              <c:f>Аркуш1!$C$1</c:f>
              <c:strCache>
                <c:ptCount val="1"/>
                <c:pt idx="0">
                  <c:v>Позалегеневий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Ref>
          </c:val>
          <c:extLst>
            <c:ext xmlns:c16="http://schemas.microsoft.com/office/drawing/2014/chart" uri="{C3380CC4-5D6E-409C-BE32-E72D297353CC}">
              <c16:uniqueId val="{00000007-795D-47AE-BF57-7218DDDEAE77}"/>
            </c:ext>
          </c:extLst>
        </c:ser>
        <c:dLbls>
          <c:showLegendKey val="0"/>
          <c:showVal val="0"/>
          <c:showCatName val="0"/>
          <c:showSerName val="0"/>
          <c:showPercent val="0"/>
          <c:showBubbleSize val="0"/>
        </c:dLbls>
        <c:gapWidth val="89"/>
        <c:axId val="290426232"/>
        <c:axId val="290425248"/>
      </c:barChart>
      <c:lineChart>
        <c:grouping val="standard"/>
        <c:varyColors val="0"/>
        <c:ser>
          <c:idx val="2"/>
          <c:order val="2"/>
          <c:tx>
            <c:strRef>
              <c:f>Аркуш1!$D$1</c:f>
              <c:strCache>
                <c:ptCount val="1"/>
                <c:pt idx="0">
                  <c:v>Показник реєстрації ТБ на 100 тис. відп. населення</c:v>
                </c:pt>
              </c:strCache>
            </c:strRef>
          </c:tx>
          <c:spPr>
            <a:ln w="50800" cap="sq">
              <a:solidFill>
                <a:schemeClr val="accent3"/>
              </a:solidFill>
              <a:miter lim="800000"/>
              <a:headEnd type="none"/>
              <a:tailEnd type="none"/>
            </a:ln>
            <a:effectLst/>
          </c:spPr>
          <c:marker>
            <c:symbol val="none"/>
          </c:marker>
          <c:dLbls>
            <c:dLbl>
              <c:idx val="0"/>
              <c:layout>
                <c:manualLayout>
                  <c:x val="-1.6908212560386496E-2"/>
                  <c:y val="-4.086099493994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5D-47AE-BF57-7218DDDEAE77}"/>
                </c:ext>
              </c:extLst>
            </c:dLbl>
            <c:dLbl>
              <c:idx val="1"/>
              <c:layout>
                <c:manualLayout>
                  <c:x val="-2.1739130434782608E-2"/>
                  <c:y val="-3.502370994852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5D-47AE-BF57-7218DDDEAE77}"/>
                </c:ext>
              </c:extLst>
            </c:dLbl>
            <c:dLbl>
              <c:idx val="2"/>
              <c:layout>
                <c:manualLayout>
                  <c:x val="-2.2946859903381644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5D-47AE-BF57-7218DDDEAE77}"/>
                </c:ext>
              </c:extLst>
            </c:dLbl>
            <c:dLbl>
              <c:idx val="3"/>
              <c:layout>
                <c:manualLayout>
                  <c:x val="-2.0531400966183663E-2"/>
                  <c:y val="-3.5023709948526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5D-47AE-BF57-7218DDDEAE77}"/>
                </c:ext>
              </c:extLst>
            </c:dLbl>
            <c:dLbl>
              <c:idx val="4"/>
              <c:layout>
                <c:manualLayout>
                  <c:x val="-2.5362318840579798E-2"/>
                  <c:y val="-3.79423524442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5D-47AE-BF57-7218DDDEAE77}"/>
                </c:ext>
              </c:extLst>
            </c:dLbl>
            <c:dLbl>
              <c:idx val="5"/>
              <c:layout>
                <c:manualLayout>
                  <c:x val="-2.0531400966183576E-2"/>
                  <c:y val="-3.502370994852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5D-47AE-BF57-7218DDDEAE7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Аркуш1!$D$2:$D$7</c:f>
              <c:numCache>
                <c:formatCode>General</c:formatCode>
                <c:ptCount val="6"/>
                <c:pt idx="0">
                  <c:v>1.405</c:v>
                </c:pt>
                <c:pt idx="1">
                  <c:v>1.222</c:v>
                </c:pt>
                <c:pt idx="2">
                  <c:v>1.4239999999999999</c:v>
                </c:pt>
                <c:pt idx="3">
                  <c:v>1.4339999999999999</c:v>
                </c:pt>
                <c:pt idx="4">
                  <c:v>1.1060000000000001</c:v>
                </c:pt>
                <c:pt idx="5">
                  <c:v>1.143</c:v>
                </c:pt>
              </c:numCache>
            </c:numRef>
          </c:val>
          <c:smooth val="0"/>
          <c:extLst>
            <c:ext xmlns:c16="http://schemas.microsoft.com/office/drawing/2014/chart" uri="{C3380CC4-5D6E-409C-BE32-E72D297353CC}">
              <c16:uniqueId val="{0000000E-795D-47AE-BF57-7218DDDEAE77}"/>
            </c:ext>
          </c:extLst>
        </c:ser>
        <c:dLbls>
          <c:showLegendKey val="0"/>
          <c:showVal val="0"/>
          <c:showCatName val="0"/>
          <c:showSerName val="0"/>
          <c:showPercent val="0"/>
          <c:showBubbleSize val="0"/>
        </c:dLbls>
        <c:marker val="1"/>
        <c:smooth val="0"/>
        <c:axId val="389511856"/>
        <c:axId val="389512184"/>
      </c:lineChart>
      <c:catAx>
        <c:axId val="2904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crossAx val="290425248"/>
        <c:crosses val="autoZero"/>
        <c:auto val="1"/>
        <c:lblAlgn val="ctr"/>
        <c:lblOffset val="100"/>
        <c:noMultiLvlLbl val="0"/>
      </c:catAx>
      <c:valAx>
        <c:axId val="290425248"/>
        <c:scaling>
          <c:orientation val="minMax"/>
          <c:max val="12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290426232"/>
        <c:crosses val="autoZero"/>
        <c:crossBetween val="between"/>
      </c:valAx>
      <c:valAx>
        <c:axId val="389512184"/>
        <c:scaling>
          <c:orientation val="minMax"/>
          <c:max val="1.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89511856"/>
        <c:crosses val="max"/>
        <c:crossBetween val="between"/>
      </c:valAx>
      <c:catAx>
        <c:axId val="389511856"/>
        <c:scaling>
          <c:orientation val="minMax"/>
        </c:scaling>
        <c:delete val="1"/>
        <c:axPos val="b"/>
        <c:numFmt formatCode="General" sourceLinked="1"/>
        <c:majorTickMark val="out"/>
        <c:minorTickMark val="none"/>
        <c:tickLblPos val="nextTo"/>
        <c:crossAx val="389512184"/>
        <c:crosses val="autoZero"/>
        <c:auto val="1"/>
        <c:lblAlgn val="ctr"/>
        <c:lblOffset val="100"/>
        <c:noMultiLvlLbl val="0"/>
      </c:catAx>
      <c:spPr>
        <a:noFill/>
        <a:ln w="0">
          <a:solidFill>
            <a:schemeClr val="accent3"/>
          </a:solidFill>
        </a:ln>
        <a:effectLst/>
      </c:spPr>
    </c:plotArea>
    <c:legend>
      <c:legendPos val="b"/>
      <c:layout>
        <c:manualLayout>
          <c:xMode val="edge"/>
          <c:yMode val="edge"/>
          <c:x val="1.9984933737905951E-2"/>
          <c:y val="0.92751379001125644"/>
          <c:w val="0.95079611307271783"/>
          <c:h val="6.3367405611791133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baseline="0" dirty="0"/>
              <a:t>Охоплення ТМЧ до ПТП 1 ряду</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91.8</c:v>
                </c:pt>
                <c:pt idx="1">
                  <c:v>92.9</c:v>
                </c:pt>
                <c:pt idx="2">
                  <c:v>94.2</c:v>
                </c:pt>
                <c:pt idx="3">
                  <c:v>96.5</c:v>
                </c:pt>
                <c:pt idx="4">
                  <c:v>97.3</c:v>
                </c:pt>
                <c:pt idx="5">
                  <c:v>97.4</c:v>
                </c:pt>
              </c:numCache>
            </c:numRef>
          </c:val>
          <c:extLst>
            <c:ext xmlns:c16="http://schemas.microsoft.com/office/drawing/2014/chart" uri="{C3380CC4-5D6E-409C-BE32-E72D297353CC}">
              <c16:uniqueId val="{00000000-01B6-45CF-8F0A-C618294F4E08}"/>
            </c:ext>
          </c:extLst>
        </c:ser>
        <c:dLbls>
          <c:showLegendKey val="0"/>
          <c:showVal val="0"/>
          <c:showCatName val="0"/>
          <c:showSerName val="0"/>
          <c:showPercent val="0"/>
          <c:showBubbleSize val="0"/>
        </c:dLbls>
        <c:gapWidth val="219"/>
        <c:overlap val="-27"/>
        <c:axId val="758102832"/>
        <c:axId val="758103160"/>
      </c:barChart>
      <c:catAx>
        <c:axId val="75810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758103160"/>
        <c:crosses val="autoZero"/>
        <c:auto val="1"/>
        <c:lblAlgn val="ctr"/>
        <c:lblOffset val="100"/>
        <c:noMultiLvlLbl val="0"/>
      </c:catAx>
      <c:valAx>
        <c:axId val="758103160"/>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75810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uk-UA" sz="1200" b="0" i="0" baseline="0" dirty="0">
                <a:solidFill>
                  <a:schemeClr val="tx1"/>
                </a:solidFill>
              </a:rPr>
              <a:t>Відсоток зареєстрованих випадків ТБ, що протестовані методом</a:t>
            </a:r>
            <a:r>
              <a:rPr lang="en-US" sz="1200" b="0" i="0" baseline="0" dirty="0">
                <a:solidFill>
                  <a:schemeClr val="tx1"/>
                </a:solidFill>
              </a:rPr>
              <a:t> GeneXpert MTB/Rif</a:t>
            </a:r>
            <a:r>
              <a:rPr lang="uk-UA" sz="1200" b="0" i="0" baseline="0" dirty="0">
                <a:solidFill>
                  <a:schemeClr val="tx1"/>
                </a:solidFill>
              </a:rPr>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Нові випадки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86.8</c:v>
                </c:pt>
                <c:pt idx="1">
                  <c:v>93</c:v>
                </c:pt>
                <c:pt idx="2">
                  <c:v>96.3</c:v>
                </c:pt>
                <c:pt idx="3">
                  <c:v>98.4</c:v>
                </c:pt>
                <c:pt idx="4">
                  <c:v>98.2</c:v>
                </c:pt>
                <c:pt idx="5">
                  <c:v>98.1</c:v>
                </c:pt>
              </c:numCache>
            </c:numRef>
          </c:val>
          <c:extLst>
            <c:ext xmlns:c16="http://schemas.microsoft.com/office/drawing/2014/chart" uri="{C3380CC4-5D6E-409C-BE32-E72D297353CC}">
              <c16:uniqueId val="{00000000-EC01-4932-AB16-FBE540389368}"/>
            </c:ext>
          </c:extLst>
        </c:ser>
        <c:ser>
          <c:idx val="1"/>
          <c:order val="1"/>
          <c:tx>
            <c:strRef>
              <c:f>Аркуш1!$C$1</c:f>
              <c:strCache>
                <c:ptCount val="1"/>
                <c:pt idx="0">
                  <c:v>Повторні випадки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2016</c:v>
                </c:pt>
                <c:pt idx="1">
                  <c:v>2017</c:v>
                </c:pt>
                <c:pt idx="2">
                  <c:v>2018</c:v>
                </c:pt>
                <c:pt idx="3">
                  <c:v>2019</c:v>
                </c:pt>
                <c:pt idx="4">
                  <c:v>2020</c:v>
                </c:pt>
                <c:pt idx="5">
                  <c:v>2021</c:v>
                </c:pt>
              </c:numCache>
            </c:numRef>
          </c:cat>
          <c:val>
            <c:numRef>
              <c:f>Аркуш1!$C$2:$C$7</c:f>
              <c:numCache>
                <c:formatCode>General</c:formatCode>
                <c:ptCount val="6"/>
                <c:pt idx="0">
                  <c:v>78.7</c:v>
                </c:pt>
                <c:pt idx="1">
                  <c:v>85.4</c:v>
                </c:pt>
                <c:pt idx="2">
                  <c:v>91.7</c:v>
                </c:pt>
                <c:pt idx="3">
                  <c:v>97.1</c:v>
                </c:pt>
                <c:pt idx="4">
                  <c:v>96</c:v>
                </c:pt>
                <c:pt idx="5">
                  <c:v>97.2</c:v>
                </c:pt>
              </c:numCache>
            </c:numRef>
          </c:val>
          <c:extLst>
            <c:ext xmlns:c16="http://schemas.microsoft.com/office/drawing/2014/chart" uri="{C3380CC4-5D6E-409C-BE32-E72D297353CC}">
              <c16:uniqueId val="{00000001-EC01-4932-AB16-FBE540389368}"/>
            </c:ext>
          </c:extLst>
        </c:ser>
        <c:dLbls>
          <c:showLegendKey val="0"/>
          <c:showVal val="0"/>
          <c:showCatName val="0"/>
          <c:showSerName val="0"/>
          <c:showPercent val="0"/>
          <c:showBubbleSize val="0"/>
        </c:dLbls>
        <c:gapWidth val="219"/>
        <c:overlap val="-27"/>
        <c:axId val="362926208"/>
        <c:axId val="362923584"/>
      </c:barChart>
      <c:catAx>
        <c:axId val="3629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62923584"/>
        <c:crosses val="autoZero"/>
        <c:auto val="1"/>
        <c:lblAlgn val="ctr"/>
        <c:lblOffset val="100"/>
        <c:noMultiLvlLbl val="0"/>
      </c:catAx>
      <c:valAx>
        <c:axId val="3629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3629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Аркуш1!$A$2:$A$7</c:f>
              <c:strCache>
                <c:ptCount val="6"/>
                <c:pt idx="0">
                  <c:v>Діти і дорослі, які живуть з ВІЛ</c:v>
                </c:pt>
                <c:pt idx="1">
                  <c:v>Особи, які працюють або працювали в минулому у виробничих умовах із впливом діоксиду силіціуму</c:v>
                </c:pt>
                <c:pt idx="2">
                  <c:v>Медичні працівники</c:v>
                </c:pt>
                <c:pt idx="3">
                  <c:v>Особи з вперше виявленими фіброзними залишковими змінами в легенях, які не отримували лікування від ТБ</c:v>
                </c:pt>
                <c:pt idx="4">
                  <c:v>Діти і дорослі з захворюванням на цукровий діабет</c:v>
                </c:pt>
                <c:pt idx="5">
                  <c:v>Особи, що зловживають алкоголем чи вживають наркотики</c:v>
                </c:pt>
              </c:strCache>
            </c:strRef>
          </c:cat>
          <c:val>
            <c:numRef>
              <c:f>Аркуш1!$B$2:$B$7</c:f>
              <c:numCache>
                <c:formatCode>General</c:formatCode>
                <c:ptCount val="6"/>
                <c:pt idx="0">
                  <c:v>85.2</c:v>
                </c:pt>
                <c:pt idx="1">
                  <c:v>89.7</c:v>
                </c:pt>
                <c:pt idx="2">
                  <c:v>85.1</c:v>
                </c:pt>
                <c:pt idx="3">
                  <c:v>63.5</c:v>
                </c:pt>
                <c:pt idx="4">
                  <c:v>67.8</c:v>
                </c:pt>
                <c:pt idx="5">
                  <c:v>50.1</c:v>
                </c:pt>
              </c:numCache>
            </c:numRef>
          </c:val>
          <c:extLst>
            <c:ext xmlns:c16="http://schemas.microsoft.com/office/drawing/2014/chart" uri="{C3380CC4-5D6E-409C-BE32-E72D297353CC}">
              <c16:uniqueId val="{00000000-1170-462A-B5DB-AF93B14ECAA8}"/>
            </c:ext>
          </c:extLst>
        </c:ser>
        <c:dLbls>
          <c:showLegendKey val="0"/>
          <c:showVal val="0"/>
          <c:showCatName val="0"/>
          <c:showSerName val="0"/>
          <c:showPercent val="0"/>
          <c:showBubbleSize val="0"/>
        </c:dLbls>
        <c:gapWidth val="124"/>
        <c:overlap val="-27"/>
        <c:axId val="380595512"/>
        <c:axId val="380588296"/>
      </c:barChart>
      <c:catAx>
        <c:axId val="380595512"/>
        <c:scaling>
          <c:orientation val="minMax"/>
        </c:scaling>
        <c:delete val="0"/>
        <c:axPos val="b"/>
        <c:numFmt formatCode="General" sourceLinked="1"/>
        <c:majorTickMark val="out"/>
        <c:minorTickMark val="out"/>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0588296"/>
        <c:crosses val="autoZero"/>
        <c:auto val="0"/>
        <c:lblAlgn val="ctr"/>
        <c:lblOffset val="100"/>
        <c:tickLblSkip val="1"/>
        <c:noMultiLvlLbl val="0"/>
      </c:catAx>
      <c:valAx>
        <c:axId val="380588296"/>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crossAx val="380595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Всього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lumMod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87.5</c:v>
                </c:pt>
                <c:pt idx="1">
                  <c:v>83.9</c:v>
                </c:pt>
                <c:pt idx="2">
                  <c:v>80.2</c:v>
                </c:pt>
                <c:pt idx="3">
                  <c:v>78.3</c:v>
                </c:pt>
                <c:pt idx="4">
                  <c:v>74.099999999999994</c:v>
                </c:pt>
              </c:numCache>
            </c:numRef>
          </c:val>
          <c:extLst>
            <c:ext xmlns:c16="http://schemas.microsoft.com/office/drawing/2014/chart" uri="{C3380CC4-5D6E-409C-BE32-E72D297353CC}">
              <c16:uniqueId val="{00000000-102C-4122-A40A-3FA6335C1444}"/>
            </c:ext>
          </c:extLst>
        </c:ser>
        <c:ser>
          <c:idx val="1"/>
          <c:order val="1"/>
          <c:tx>
            <c:strRef>
              <c:f>Лист1!$C$1</c:f>
              <c:strCache>
                <c:ptCount val="1"/>
                <c:pt idx="0">
                  <c:v>0–14 років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lumMod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92.8</c:v>
                </c:pt>
                <c:pt idx="1">
                  <c:v>89.7</c:v>
                </c:pt>
                <c:pt idx="2">
                  <c:v>84.4</c:v>
                </c:pt>
                <c:pt idx="3">
                  <c:v>74.5</c:v>
                </c:pt>
                <c:pt idx="4">
                  <c:v>80.900000000000006</c:v>
                </c:pt>
              </c:numCache>
            </c:numRef>
          </c:val>
          <c:extLst>
            <c:ext xmlns:c16="http://schemas.microsoft.com/office/drawing/2014/chart" uri="{C3380CC4-5D6E-409C-BE32-E72D297353CC}">
              <c16:uniqueId val="{00000001-102C-4122-A40A-3FA6335C1444}"/>
            </c:ext>
          </c:extLst>
        </c:ser>
        <c:ser>
          <c:idx val="2"/>
          <c:order val="2"/>
          <c:tx>
            <c:strRef>
              <c:f>Лист1!$D$1</c:f>
              <c:strCache>
                <c:ptCount val="1"/>
                <c:pt idx="0">
                  <c:v>15–17 років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lumMod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94.3</c:v>
                </c:pt>
                <c:pt idx="1">
                  <c:v>91.4</c:v>
                </c:pt>
                <c:pt idx="2">
                  <c:v>83.9</c:v>
                </c:pt>
                <c:pt idx="3">
                  <c:v>76.099999999999994</c:v>
                </c:pt>
                <c:pt idx="4">
                  <c:v>69.599999999999994</c:v>
                </c:pt>
              </c:numCache>
            </c:numRef>
          </c:val>
          <c:extLst>
            <c:ext xmlns:c16="http://schemas.microsoft.com/office/drawing/2014/chart" uri="{C3380CC4-5D6E-409C-BE32-E72D297353CC}">
              <c16:uniqueId val="{00000002-102C-4122-A40A-3FA6335C1444}"/>
            </c:ext>
          </c:extLst>
        </c:ser>
        <c:ser>
          <c:idx val="3"/>
          <c:order val="3"/>
          <c:tx>
            <c:strRef>
              <c:f>Лист1!$E$1</c:f>
              <c:strCache>
                <c:ptCount val="1"/>
                <c:pt idx="0">
                  <c:v>18 років і старше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lumMod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82.6</c:v>
                </c:pt>
                <c:pt idx="1">
                  <c:v>78.400000000000006</c:v>
                </c:pt>
                <c:pt idx="2">
                  <c:v>76.599999999999994</c:v>
                </c:pt>
                <c:pt idx="3">
                  <c:v>79.5</c:v>
                </c:pt>
                <c:pt idx="4">
                  <c:v>71.8</c:v>
                </c:pt>
              </c:numCache>
            </c:numRef>
          </c:val>
          <c:extLst>
            <c:ext xmlns:c16="http://schemas.microsoft.com/office/drawing/2014/chart" uri="{C3380CC4-5D6E-409C-BE32-E72D297353CC}">
              <c16:uniqueId val="{00000003-102C-4122-A40A-3FA6335C1444}"/>
            </c:ext>
          </c:extLst>
        </c:ser>
        <c:dLbls>
          <c:showLegendKey val="0"/>
          <c:showVal val="0"/>
          <c:showCatName val="0"/>
          <c:showSerName val="0"/>
          <c:showPercent val="0"/>
          <c:showBubbleSize val="0"/>
        </c:dLbls>
        <c:gapWidth val="219"/>
        <c:overlap val="-27"/>
        <c:axId val="366950656"/>
        <c:axId val="366956544"/>
      </c:barChart>
      <c:catAx>
        <c:axId val="36695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50000"/>
                  </a:schemeClr>
                </a:solidFill>
                <a:latin typeface="+mn-lt"/>
                <a:ea typeface="+mn-ea"/>
                <a:cs typeface="+mn-cs"/>
              </a:defRPr>
            </a:pPr>
            <a:endParaRPr lang="uk-UA"/>
          </a:p>
        </c:txPr>
        <c:crossAx val="366956544"/>
        <c:crosses val="autoZero"/>
        <c:auto val="1"/>
        <c:lblAlgn val="ctr"/>
        <c:lblOffset val="100"/>
        <c:noMultiLvlLbl val="0"/>
      </c:catAx>
      <c:valAx>
        <c:axId val="366956544"/>
        <c:scaling>
          <c:orientation val="minMax"/>
        </c:scaling>
        <c:delete val="1"/>
        <c:axPos val="l"/>
        <c:numFmt formatCode="General" sourceLinked="1"/>
        <c:majorTickMark val="none"/>
        <c:minorTickMark val="none"/>
        <c:tickLblPos val="nextTo"/>
        <c:crossAx val="36695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lumMod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04486376139904E-3"/>
          <c:y val="4.8100307615802779E-2"/>
          <c:w val="0.99403955136238598"/>
          <c:h val="0.72198508419506013"/>
        </c:manualLayout>
      </c:layout>
      <c:barChart>
        <c:barDir val="col"/>
        <c:grouping val="clustered"/>
        <c:varyColors val="0"/>
        <c:ser>
          <c:idx val="0"/>
          <c:order val="0"/>
          <c:tx>
            <c:strRef>
              <c:f>Лист1!$A$91:$B$91</c:f>
              <c:strCache>
                <c:ptCount val="2"/>
                <c:pt idx="0">
                  <c:v>нові + рецидиви</c:v>
                </c:pt>
              </c:strCache>
            </c:strRef>
          </c:tx>
          <c:spPr>
            <a:solidFill>
              <a:srgbClr val="FF99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Лист1!$C$90:$F$90</c:f>
              <c:strCache>
                <c:ptCount val="4"/>
                <c:pt idx="0">
                  <c:v>ефективне лікування</c:v>
                </c:pt>
                <c:pt idx="1">
                  <c:v>Невдале лікування</c:v>
                </c:pt>
                <c:pt idx="2">
                  <c:v>Померли</c:v>
                </c:pt>
                <c:pt idx="3">
                  <c:v>Втрачені для подальшого спостереження </c:v>
                </c:pt>
              </c:strCache>
            </c:strRef>
          </c:cat>
          <c:val>
            <c:numRef>
              <c:f>Лист1!$C$91:$F$91</c:f>
              <c:numCache>
                <c:formatCode>General</c:formatCode>
                <c:ptCount val="4"/>
                <c:pt idx="0">
                  <c:v>77.400000000000006</c:v>
                </c:pt>
                <c:pt idx="1">
                  <c:v>6.5</c:v>
                </c:pt>
                <c:pt idx="2">
                  <c:v>10.4</c:v>
                </c:pt>
                <c:pt idx="3">
                  <c:v>5.6</c:v>
                </c:pt>
              </c:numCache>
            </c:numRef>
          </c:val>
          <c:extLst>
            <c:ext xmlns:c16="http://schemas.microsoft.com/office/drawing/2014/chart" uri="{C3380CC4-5D6E-409C-BE32-E72D297353CC}">
              <c16:uniqueId val="{00000000-FED2-45CA-9D78-BF743A9CC184}"/>
            </c:ext>
          </c:extLst>
        </c:ser>
        <c:ser>
          <c:idx val="1"/>
          <c:order val="1"/>
          <c:tx>
            <c:strRef>
              <c:f>Лист1!$A$92:$B$92</c:f>
              <c:strCache>
                <c:ptCount val="2"/>
                <c:pt idx="0">
                  <c:v>випадки повторного лікування (окрім рецидивів)</c:v>
                </c:pt>
              </c:strCache>
            </c:strRef>
          </c:tx>
          <c:spPr>
            <a:solidFill>
              <a:srgbClr val="0070C0"/>
            </a:solidFill>
            <a:ln>
              <a:noFill/>
            </a:ln>
            <a:effectLst/>
          </c:spPr>
          <c:invertIfNegative val="0"/>
          <c:dPt>
            <c:idx val="0"/>
            <c:invertIfNegative val="0"/>
            <c:bubble3D val="0"/>
            <c:extLst>
              <c:ext xmlns:c16="http://schemas.microsoft.com/office/drawing/2014/chart" uri="{C3380CC4-5D6E-409C-BE32-E72D297353CC}">
                <c16:uniqueId val="{00000001-FED2-45CA-9D78-BF743A9CC184}"/>
              </c:ext>
            </c:extLst>
          </c:dPt>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Лист1!$C$90:$F$90</c:f>
              <c:strCache>
                <c:ptCount val="4"/>
                <c:pt idx="0">
                  <c:v>ефективне лікування</c:v>
                </c:pt>
                <c:pt idx="1">
                  <c:v>Невдале лікування</c:v>
                </c:pt>
                <c:pt idx="2">
                  <c:v>Померли</c:v>
                </c:pt>
                <c:pt idx="3">
                  <c:v>Втрачені для подальшого спостереження </c:v>
                </c:pt>
              </c:strCache>
            </c:strRef>
          </c:cat>
          <c:val>
            <c:numRef>
              <c:f>Лист1!$C$92:$F$92</c:f>
              <c:numCache>
                <c:formatCode>General</c:formatCode>
                <c:ptCount val="4"/>
                <c:pt idx="0">
                  <c:v>67.599999999999994</c:v>
                </c:pt>
                <c:pt idx="1">
                  <c:v>10.1</c:v>
                </c:pt>
                <c:pt idx="2">
                  <c:v>9.5</c:v>
                </c:pt>
                <c:pt idx="3">
                  <c:v>12.7</c:v>
                </c:pt>
              </c:numCache>
            </c:numRef>
          </c:val>
          <c:extLst>
            <c:ext xmlns:c16="http://schemas.microsoft.com/office/drawing/2014/chart" uri="{C3380CC4-5D6E-409C-BE32-E72D297353CC}">
              <c16:uniqueId val="{00000002-FED2-45CA-9D78-BF743A9CC184}"/>
            </c:ext>
          </c:extLst>
        </c:ser>
        <c:ser>
          <c:idx val="2"/>
          <c:order val="2"/>
          <c:tx>
            <c:strRef>
              <c:f>Лист1!$A$93:$B$93</c:f>
              <c:strCache>
                <c:ptCount val="2"/>
                <c:pt idx="0">
                  <c:v>ТБ/ВІЛ (нові + рецидиви)</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Лист1!$C$90:$F$90</c:f>
              <c:strCache>
                <c:ptCount val="4"/>
                <c:pt idx="0">
                  <c:v>ефективне лікування</c:v>
                </c:pt>
                <c:pt idx="1">
                  <c:v>Невдале лікування</c:v>
                </c:pt>
                <c:pt idx="2">
                  <c:v>Померли</c:v>
                </c:pt>
                <c:pt idx="3">
                  <c:v>Втрачені для подальшого спостереження </c:v>
                </c:pt>
              </c:strCache>
            </c:strRef>
          </c:cat>
          <c:val>
            <c:numRef>
              <c:f>Лист1!$C$93:$F$93</c:f>
              <c:numCache>
                <c:formatCode>General</c:formatCode>
                <c:ptCount val="4"/>
                <c:pt idx="0">
                  <c:v>67.3</c:v>
                </c:pt>
                <c:pt idx="1">
                  <c:v>4.8</c:v>
                </c:pt>
                <c:pt idx="2">
                  <c:v>19.8</c:v>
                </c:pt>
                <c:pt idx="3">
                  <c:v>8</c:v>
                </c:pt>
              </c:numCache>
            </c:numRef>
          </c:val>
          <c:extLst>
            <c:ext xmlns:c16="http://schemas.microsoft.com/office/drawing/2014/chart" uri="{C3380CC4-5D6E-409C-BE32-E72D297353CC}">
              <c16:uniqueId val="{00000003-FED2-45CA-9D78-BF743A9CC184}"/>
            </c:ext>
          </c:extLst>
        </c:ser>
        <c:dLbls>
          <c:showLegendKey val="0"/>
          <c:showVal val="0"/>
          <c:showCatName val="0"/>
          <c:showSerName val="0"/>
          <c:showPercent val="0"/>
          <c:showBubbleSize val="0"/>
        </c:dLbls>
        <c:gapWidth val="219"/>
        <c:overlap val="-27"/>
        <c:axId val="1859487536"/>
        <c:axId val="1862586544"/>
      </c:barChart>
      <c:catAx>
        <c:axId val="18594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1862586544"/>
        <c:crosses val="autoZero"/>
        <c:auto val="1"/>
        <c:lblAlgn val="ctr"/>
        <c:lblOffset val="100"/>
        <c:noMultiLvlLbl val="0"/>
      </c:catAx>
      <c:valAx>
        <c:axId val="1862586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59487536"/>
        <c:crosses val="autoZero"/>
        <c:crossBetween val="between"/>
      </c:valAx>
      <c:spPr>
        <a:noFill/>
        <a:ln>
          <a:noFill/>
        </a:ln>
        <a:effectLst/>
      </c:spPr>
    </c:plotArea>
    <c:legend>
      <c:legendPos val="b"/>
      <c:layout>
        <c:manualLayout>
          <c:xMode val="edge"/>
          <c:yMode val="edge"/>
          <c:x val="2.1971893152995501E-2"/>
          <c:y val="0.88568642461359004"/>
          <c:w val="0.97607607607607605"/>
          <c:h val="8.653579760863219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85024154589372E-2"/>
          <c:y val="2.6649088174324247E-2"/>
          <c:w val="0.97342995169082125"/>
          <c:h val="0.59578098599428198"/>
        </c:manualLayout>
      </c:layout>
      <c:barChart>
        <c:barDir val="col"/>
        <c:grouping val="clustered"/>
        <c:varyColors val="0"/>
        <c:ser>
          <c:idx val="0"/>
          <c:order val="0"/>
          <c:tx>
            <c:strRef>
              <c:f>Аркуш1!$B$1</c:f>
              <c:strCache>
                <c:ptCount val="1"/>
                <c:pt idx="0">
                  <c:v>Стовпець1</c:v>
                </c:pt>
              </c:strCache>
            </c:strRef>
          </c:tx>
          <c:spPr>
            <a:solidFill>
              <a:schemeClr val="accent1"/>
            </a:solidFill>
            <a:ln>
              <a:noFill/>
            </a:ln>
            <a:effectLst/>
          </c:spPr>
          <c:invertIfNegative val="0"/>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numCache>
            </c:numRef>
          </c:val>
          <c:extLst>
            <c:ext xmlns:c16="http://schemas.microsoft.com/office/drawing/2014/chart" uri="{C3380CC4-5D6E-409C-BE32-E72D297353CC}">
              <c16:uniqueId val="{00000000-9BFC-417B-883A-F16E9EFFEE22}"/>
            </c:ext>
          </c:extLst>
        </c:ser>
        <c:ser>
          <c:idx val="1"/>
          <c:order val="1"/>
          <c:tx>
            <c:strRef>
              <c:f>Аркуш1!$C$1</c:f>
              <c:strCache>
                <c:ptCount val="1"/>
                <c:pt idx="0">
                  <c:v>2016</c:v>
                </c:pt>
              </c:strCache>
            </c:strRef>
          </c:tx>
          <c:spPr>
            <a:solidFill>
              <a:schemeClr val="accent2"/>
            </a:solidFill>
            <a:ln w="25400">
              <a:noFill/>
            </a:ln>
            <a:effectLst/>
          </c:spPr>
          <c:invertIfNegative val="0"/>
          <c:dLbls>
            <c:dLbl>
              <c:idx val="13"/>
              <c:layout>
                <c:manualLayout>
                  <c:x val="1.2077294685990338E-3"/>
                  <c:y val="2.79151616474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C-417B-883A-F16E9EFFEE2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Аркуш1!$C$2:$C$27</c:f>
              <c:numCache>
                <c:formatCode>General</c:formatCode>
                <c:ptCount val="26"/>
                <c:pt idx="0">
                  <c:v>61.3</c:v>
                </c:pt>
                <c:pt idx="1">
                  <c:v>78.7</c:v>
                </c:pt>
                <c:pt idx="2">
                  <c:v>80.400000000000006</c:v>
                </c:pt>
                <c:pt idx="3">
                  <c:v>71.900000000000006</c:v>
                </c:pt>
                <c:pt idx="4">
                  <c:v>77.8</c:v>
                </c:pt>
                <c:pt idx="5">
                  <c:v>69.599999999999994</c:v>
                </c:pt>
                <c:pt idx="6">
                  <c:v>77</c:v>
                </c:pt>
                <c:pt idx="7">
                  <c:v>66.2</c:v>
                </c:pt>
                <c:pt idx="8">
                  <c:v>85.7</c:v>
                </c:pt>
                <c:pt idx="9">
                  <c:v>79.400000000000006</c:v>
                </c:pt>
                <c:pt idx="10">
                  <c:v>65.400000000000006</c:v>
                </c:pt>
                <c:pt idx="11">
                  <c:v>80</c:v>
                </c:pt>
                <c:pt idx="12">
                  <c:v>82.1</c:v>
                </c:pt>
                <c:pt idx="13">
                  <c:v>130.6</c:v>
                </c:pt>
                <c:pt idx="14">
                  <c:v>69.599999999999994</c:v>
                </c:pt>
                <c:pt idx="15">
                  <c:v>66.5</c:v>
                </c:pt>
                <c:pt idx="16">
                  <c:v>72</c:v>
                </c:pt>
                <c:pt idx="17">
                  <c:v>57.2</c:v>
                </c:pt>
                <c:pt idx="18">
                  <c:v>52.5</c:v>
                </c:pt>
                <c:pt idx="19">
                  <c:v>99.1</c:v>
                </c:pt>
                <c:pt idx="20">
                  <c:v>68.2</c:v>
                </c:pt>
                <c:pt idx="21">
                  <c:v>66.599999999999994</c:v>
                </c:pt>
                <c:pt idx="22">
                  <c:v>63.1</c:v>
                </c:pt>
                <c:pt idx="23">
                  <c:v>73.2</c:v>
                </c:pt>
                <c:pt idx="24">
                  <c:v>57.8</c:v>
                </c:pt>
                <c:pt idx="25">
                  <c:v>67.599999999999994</c:v>
                </c:pt>
              </c:numCache>
            </c:numRef>
          </c:val>
          <c:extLst>
            <c:ext xmlns:c16="http://schemas.microsoft.com/office/drawing/2014/chart" uri="{C3380CC4-5D6E-409C-BE32-E72D297353CC}">
              <c16:uniqueId val="{00000002-9BFC-417B-883A-F16E9EFFEE22}"/>
            </c:ext>
          </c:extLst>
        </c:ser>
        <c:ser>
          <c:idx val="2"/>
          <c:order val="2"/>
          <c:tx>
            <c:strRef>
              <c:f>Аркуш1!$D$1</c:f>
              <c:strCache>
                <c:ptCount val="1"/>
                <c:pt idx="0">
                  <c:v>2021</c:v>
                </c:pt>
              </c:strCache>
            </c:strRef>
          </c:tx>
          <c:spPr>
            <a:solidFill>
              <a:schemeClr val="accent1"/>
            </a:solidFill>
            <a:ln>
              <a:noFill/>
            </a:ln>
            <a:effectLst>
              <a:glow>
                <a:schemeClr val="accent1"/>
              </a:glow>
              <a:outerShdw sx="1000" sy="1000" algn="ctr" rotWithShape="0">
                <a:srgbClr val="000000"/>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Аркуш1!$D$2:$D$27</c:f>
              <c:numCache>
                <c:formatCode>General</c:formatCode>
                <c:ptCount val="26"/>
                <c:pt idx="0">
                  <c:v>26.5</c:v>
                </c:pt>
                <c:pt idx="1">
                  <c:v>59.9</c:v>
                </c:pt>
                <c:pt idx="2">
                  <c:v>67.7</c:v>
                </c:pt>
                <c:pt idx="3">
                  <c:v>51.6</c:v>
                </c:pt>
                <c:pt idx="4">
                  <c:v>50</c:v>
                </c:pt>
                <c:pt idx="5">
                  <c:v>60</c:v>
                </c:pt>
                <c:pt idx="6">
                  <c:v>50.5</c:v>
                </c:pt>
                <c:pt idx="7">
                  <c:v>30</c:v>
                </c:pt>
                <c:pt idx="8">
                  <c:v>48.9</c:v>
                </c:pt>
                <c:pt idx="9">
                  <c:v>47.9</c:v>
                </c:pt>
                <c:pt idx="10">
                  <c:v>45.3</c:v>
                </c:pt>
                <c:pt idx="11">
                  <c:v>50</c:v>
                </c:pt>
                <c:pt idx="12">
                  <c:v>53.5</c:v>
                </c:pt>
                <c:pt idx="13">
                  <c:v>105.9</c:v>
                </c:pt>
                <c:pt idx="14">
                  <c:v>34.9</c:v>
                </c:pt>
                <c:pt idx="15">
                  <c:v>38.9</c:v>
                </c:pt>
                <c:pt idx="16">
                  <c:v>42.6</c:v>
                </c:pt>
                <c:pt idx="17">
                  <c:v>24.4</c:v>
                </c:pt>
                <c:pt idx="18">
                  <c:v>36.200000000000003</c:v>
                </c:pt>
                <c:pt idx="19">
                  <c:v>53.8</c:v>
                </c:pt>
                <c:pt idx="20">
                  <c:v>32.299999999999997</c:v>
                </c:pt>
                <c:pt idx="21">
                  <c:v>40.200000000000003</c:v>
                </c:pt>
                <c:pt idx="22">
                  <c:v>25.3</c:v>
                </c:pt>
                <c:pt idx="23">
                  <c:v>56.2</c:v>
                </c:pt>
                <c:pt idx="24">
                  <c:v>28.5</c:v>
                </c:pt>
                <c:pt idx="25">
                  <c:v>44</c:v>
                </c:pt>
              </c:numCache>
            </c:numRef>
          </c:val>
          <c:extLst>
            <c:ext xmlns:c16="http://schemas.microsoft.com/office/drawing/2014/chart" uri="{C3380CC4-5D6E-409C-BE32-E72D297353CC}">
              <c16:uniqueId val="{00000003-9BFC-417B-883A-F16E9EFFEE22}"/>
            </c:ext>
          </c:extLst>
        </c:ser>
        <c:dLbls>
          <c:showLegendKey val="0"/>
          <c:showVal val="0"/>
          <c:showCatName val="0"/>
          <c:showSerName val="0"/>
          <c:showPercent val="0"/>
          <c:showBubbleSize val="0"/>
        </c:dLbls>
        <c:gapWidth val="219"/>
        <c:axId val="409414720"/>
        <c:axId val="409415048"/>
      </c:barChart>
      <c:catAx>
        <c:axId val="409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09415048"/>
        <c:crosses val="autoZero"/>
        <c:auto val="1"/>
        <c:lblAlgn val="ctr"/>
        <c:lblOffset val="100"/>
        <c:noMultiLvlLbl val="0"/>
      </c:catAx>
      <c:valAx>
        <c:axId val="409415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41472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Аркуш1!$B$2:$B$6</c:f>
              <c:numCache>
                <c:formatCode>0.00%</c:formatCode>
                <c:ptCount val="5"/>
                <c:pt idx="0">
                  <c:v>0.76200000000000001</c:v>
                </c:pt>
                <c:pt idx="1">
                  <c:v>0.76500000000000001</c:v>
                </c:pt>
                <c:pt idx="2">
                  <c:v>0.77200000000000002</c:v>
                </c:pt>
                <c:pt idx="3">
                  <c:v>0.79200000000000004</c:v>
                </c:pt>
                <c:pt idx="4">
                  <c:v>0.77400000000000002</c:v>
                </c:pt>
              </c:numCache>
            </c:numRef>
          </c:val>
          <c:extLst>
            <c:ext xmlns:c16="http://schemas.microsoft.com/office/drawing/2014/chart" uri="{C3380CC4-5D6E-409C-BE32-E72D297353CC}">
              <c16:uniqueId val="{00000000-0DC3-41D3-BADA-2A42E73D3EE5}"/>
            </c:ext>
          </c:extLst>
        </c:ser>
        <c:ser>
          <c:idx val="1"/>
          <c:order val="1"/>
          <c:tx>
            <c:strRef>
              <c:f>Аркуш1!$C$1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Аркуш1!$C$2:$C$6</c:f>
              <c:numCache>
                <c:formatCode>0%</c:formatCode>
                <c:ptCount val="5"/>
                <c:pt idx="0" formatCode="0.00%">
                  <c:v>9.4E-2</c:v>
                </c:pt>
                <c:pt idx="1">
                  <c:v>9.7000000000000003E-2</c:v>
                </c:pt>
                <c:pt idx="2" formatCode="0.00%">
                  <c:v>9.9000000000000005E-2</c:v>
                </c:pt>
                <c:pt idx="3" formatCode="0.00%">
                  <c:v>9.2999999999999999E-2</c:v>
                </c:pt>
                <c:pt idx="4" formatCode="0.00%">
                  <c:v>0.104</c:v>
                </c:pt>
              </c:numCache>
            </c:numRef>
          </c:val>
          <c:extLst>
            <c:ext xmlns:c16="http://schemas.microsoft.com/office/drawing/2014/chart" uri="{C3380CC4-5D6E-409C-BE32-E72D297353CC}">
              <c16:uniqueId val="{00000001-0DC3-41D3-BADA-2A42E73D3EE5}"/>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Аркуш1!$D$2:$D$6</c:f>
              <c:numCache>
                <c:formatCode>0.00%</c:formatCode>
                <c:ptCount val="5"/>
                <c:pt idx="0">
                  <c:v>7.8E-2</c:v>
                </c:pt>
                <c:pt idx="1">
                  <c:v>7.3999999999999996E-2</c:v>
                </c:pt>
                <c:pt idx="2">
                  <c:v>7.0999999999999994E-2</c:v>
                </c:pt>
                <c:pt idx="3">
                  <c:v>6.0999999999999999E-2</c:v>
                </c:pt>
                <c:pt idx="4">
                  <c:v>6.5000000000000002E-2</c:v>
                </c:pt>
              </c:numCache>
            </c:numRef>
          </c:val>
          <c:extLst>
            <c:ext xmlns:c16="http://schemas.microsoft.com/office/drawing/2014/chart" uri="{C3380CC4-5D6E-409C-BE32-E72D297353CC}">
              <c16:uniqueId val="{00000002-0DC3-41D3-BADA-2A42E73D3EE5}"/>
            </c:ext>
          </c:extLst>
        </c:ser>
        <c:ser>
          <c:idx val="3"/>
          <c:order val="3"/>
          <c:tx>
            <c:strRef>
              <c:f>Аркуш1!$E$1</c:f>
              <c:strCache>
                <c:ptCount val="1"/>
                <c:pt idx="0">
                  <c:v>Втрачено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Аркуш1!$E$2:$E$6</c:f>
              <c:numCache>
                <c:formatCode>0.00%</c:formatCode>
                <c:ptCount val="5"/>
                <c:pt idx="0">
                  <c:v>6.2E-2</c:v>
                </c:pt>
                <c:pt idx="1">
                  <c:v>6.0999999999999999E-2</c:v>
                </c:pt>
                <c:pt idx="2">
                  <c:v>5.5E-2</c:v>
                </c:pt>
                <c:pt idx="3">
                  <c:v>5.2999999999999999E-2</c:v>
                </c:pt>
                <c:pt idx="4">
                  <c:v>5.6000000000000001E-2</c:v>
                </c:pt>
              </c:numCache>
            </c:numRef>
          </c:val>
          <c:extLst>
            <c:ext xmlns:c16="http://schemas.microsoft.com/office/drawing/2014/chart" uri="{C3380CC4-5D6E-409C-BE32-E72D297353CC}">
              <c16:uniqueId val="{00000003-0DC3-41D3-BADA-2A42E73D3EE5}"/>
            </c:ext>
          </c:extLst>
        </c:ser>
        <c:ser>
          <c:idx val="4"/>
          <c:order val="4"/>
          <c:tx>
            <c:strRef>
              <c:f>Аркуш1!$F$1</c:f>
              <c:strCache>
                <c:ptCount val="1"/>
                <c:pt idx="0">
                  <c:v>Не оцінено</c:v>
                </c:pt>
              </c:strCache>
            </c:strRef>
          </c:tx>
          <c:spPr>
            <a:solidFill>
              <a:schemeClr val="accent5"/>
            </a:solidFill>
            <a:ln>
              <a:noFill/>
            </a:ln>
            <a:effectLst/>
          </c:spPr>
          <c:invertIfNegative val="0"/>
          <c:cat>
            <c:numRef>
              <c:f>Аркуш1!$A$2:$A$6</c:f>
              <c:numCache>
                <c:formatCode>General</c:formatCode>
                <c:ptCount val="5"/>
                <c:pt idx="0">
                  <c:v>2016</c:v>
                </c:pt>
                <c:pt idx="1">
                  <c:v>2017</c:v>
                </c:pt>
                <c:pt idx="2">
                  <c:v>2018</c:v>
                </c:pt>
                <c:pt idx="3">
                  <c:v>2019</c:v>
                </c:pt>
                <c:pt idx="4">
                  <c:v>2020</c:v>
                </c:pt>
              </c:numCache>
            </c:numRef>
          </c:cat>
          <c:val>
            <c:numRef>
              <c:f>Аркуш1!$F$2:$F$6</c:f>
              <c:numCache>
                <c:formatCode>0.00%</c:formatCode>
                <c:ptCount val="5"/>
                <c:pt idx="0">
                  <c:v>4.0000000000000001E-3</c:v>
                </c:pt>
                <c:pt idx="1">
                  <c:v>3.0000000000000001E-3</c:v>
                </c:pt>
                <c:pt idx="2">
                  <c:v>3.0000000000000001E-3</c:v>
                </c:pt>
                <c:pt idx="3">
                  <c:v>1E-3</c:v>
                </c:pt>
                <c:pt idx="4">
                  <c:v>1E-3</c:v>
                </c:pt>
              </c:numCache>
            </c:numRef>
          </c:val>
          <c:extLst>
            <c:ext xmlns:c16="http://schemas.microsoft.com/office/drawing/2014/chart" uri="{C3380CC4-5D6E-409C-BE32-E72D297353CC}">
              <c16:uniqueId val="{00000004-0DC3-41D3-BADA-2A42E73D3EE5}"/>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Аркуш1!$B$2:$B$6</c:f>
              <c:numCache>
                <c:formatCode>0.00%</c:formatCode>
                <c:ptCount val="5"/>
                <c:pt idx="0">
                  <c:v>0.60199999999999998</c:v>
                </c:pt>
                <c:pt idx="1">
                  <c:v>0.59299999999999997</c:v>
                </c:pt>
                <c:pt idx="2">
                  <c:v>0.61799999999999999</c:v>
                </c:pt>
                <c:pt idx="3">
                  <c:v>0.64</c:v>
                </c:pt>
                <c:pt idx="4">
                  <c:v>0.67600000000000005</c:v>
                </c:pt>
              </c:numCache>
            </c:numRef>
          </c:val>
          <c:extLst>
            <c:ext xmlns:c16="http://schemas.microsoft.com/office/drawing/2014/chart" uri="{C3380CC4-5D6E-409C-BE32-E72D297353CC}">
              <c16:uniqueId val="{00000000-829A-477F-947E-5B01F57B65CF}"/>
            </c:ext>
          </c:extLst>
        </c:ser>
        <c:ser>
          <c:idx val="1"/>
          <c:order val="1"/>
          <c:tx>
            <c:strRef>
              <c:f>Аркуш1!$C$1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Аркуш1!$C$2:$C$6</c:f>
              <c:numCache>
                <c:formatCode>0.00%</c:formatCode>
                <c:ptCount val="5"/>
                <c:pt idx="0" formatCode="0.0%">
                  <c:v>0.14099999999999999</c:v>
                </c:pt>
                <c:pt idx="1">
                  <c:v>0.13200000000000001</c:v>
                </c:pt>
                <c:pt idx="2">
                  <c:v>0.128</c:v>
                </c:pt>
                <c:pt idx="3">
                  <c:v>0.114</c:v>
                </c:pt>
                <c:pt idx="4">
                  <c:v>9.5000000000000001E-2</c:v>
                </c:pt>
              </c:numCache>
            </c:numRef>
          </c:val>
          <c:extLst>
            <c:ext xmlns:c16="http://schemas.microsoft.com/office/drawing/2014/chart" uri="{C3380CC4-5D6E-409C-BE32-E72D297353CC}">
              <c16:uniqueId val="{00000001-829A-477F-947E-5B01F57B65CF}"/>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Аркуш1!$D$2:$D$6</c:f>
              <c:numCache>
                <c:formatCode>0.00%</c:formatCode>
                <c:ptCount val="5"/>
                <c:pt idx="0">
                  <c:v>0.115</c:v>
                </c:pt>
                <c:pt idx="1">
                  <c:v>0.13700000000000001</c:v>
                </c:pt>
                <c:pt idx="2">
                  <c:v>0.121</c:v>
                </c:pt>
                <c:pt idx="3">
                  <c:v>0.105</c:v>
                </c:pt>
                <c:pt idx="4">
                  <c:v>0.10100000000000001</c:v>
                </c:pt>
              </c:numCache>
            </c:numRef>
          </c:val>
          <c:extLst>
            <c:ext xmlns:c16="http://schemas.microsoft.com/office/drawing/2014/chart" uri="{C3380CC4-5D6E-409C-BE32-E72D297353CC}">
              <c16:uniqueId val="{00000002-829A-477F-947E-5B01F57B65CF}"/>
            </c:ext>
          </c:extLst>
        </c:ser>
        <c:ser>
          <c:idx val="3"/>
          <c:order val="3"/>
          <c:tx>
            <c:strRef>
              <c:f>Аркуш1!$E$1</c:f>
              <c:strCache>
                <c:ptCount val="1"/>
                <c:pt idx="0">
                  <c:v>Втрачено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Аркуш1!$E$2:$E$6</c:f>
              <c:numCache>
                <c:formatCode>0.00%</c:formatCode>
                <c:ptCount val="5"/>
                <c:pt idx="0">
                  <c:v>0.13600000000000001</c:v>
                </c:pt>
                <c:pt idx="1">
                  <c:v>0.13500000000000001</c:v>
                </c:pt>
                <c:pt idx="2">
                  <c:v>0.13200000000000001</c:v>
                </c:pt>
                <c:pt idx="3">
                  <c:v>0.14099999999999999</c:v>
                </c:pt>
                <c:pt idx="4">
                  <c:v>0.127</c:v>
                </c:pt>
              </c:numCache>
            </c:numRef>
          </c:val>
          <c:extLst>
            <c:ext xmlns:c16="http://schemas.microsoft.com/office/drawing/2014/chart" uri="{C3380CC4-5D6E-409C-BE32-E72D297353CC}">
              <c16:uniqueId val="{00000003-829A-477F-947E-5B01F57B65CF}"/>
            </c:ext>
          </c:extLst>
        </c:ser>
        <c:ser>
          <c:idx val="4"/>
          <c:order val="4"/>
          <c:tx>
            <c:strRef>
              <c:f>Аркуш1!$F$1</c:f>
              <c:strCache>
                <c:ptCount val="1"/>
                <c:pt idx="0">
                  <c:v>Не оцінено</c:v>
                </c:pt>
              </c:strCache>
            </c:strRef>
          </c:tx>
          <c:spPr>
            <a:solidFill>
              <a:schemeClr val="accent5"/>
            </a:solidFill>
            <a:ln>
              <a:noFill/>
            </a:ln>
            <a:effectLst/>
          </c:spPr>
          <c:invertIfNegative val="0"/>
          <c:cat>
            <c:numRef>
              <c:f>Аркуш1!$A$2:$A$6</c:f>
              <c:numCache>
                <c:formatCode>General</c:formatCode>
                <c:ptCount val="5"/>
                <c:pt idx="0">
                  <c:v>2016</c:v>
                </c:pt>
                <c:pt idx="1">
                  <c:v>2017</c:v>
                </c:pt>
                <c:pt idx="2">
                  <c:v>2018</c:v>
                </c:pt>
                <c:pt idx="3">
                  <c:v>2019</c:v>
                </c:pt>
                <c:pt idx="4">
                  <c:v>2020</c:v>
                </c:pt>
              </c:numCache>
            </c:numRef>
          </c:cat>
          <c:val>
            <c:numRef>
              <c:f>Аркуш1!$F$2:$F$6</c:f>
              <c:numCache>
                <c:formatCode>0.00%</c:formatCode>
                <c:ptCount val="5"/>
                <c:pt idx="0">
                  <c:v>6.0000000000000001E-3</c:v>
                </c:pt>
                <c:pt idx="1">
                  <c:v>3.0000000000000001E-3</c:v>
                </c:pt>
                <c:pt idx="2">
                  <c:v>1E-3</c:v>
                </c:pt>
                <c:pt idx="3">
                  <c:v>0</c:v>
                </c:pt>
                <c:pt idx="4">
                  <c:v>1E-3</c:v>
                </c:pt>
              </c:numCache>
            </c:numRef>
          </c:val>
          <c:extLst>
            <c:ext xmlns:c16="http://schemas.microsoft.com/office/drawing/2014/chart" uri="{C3380CC4-5D6E-409C-BE32-E72D297353CC}">
              <c16:uniqueId val="{00000004-829A-477F-947E-5B01F57B65CF}"/>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2017</c:v>
                </c:pt>
                <c:pt idx="1">
                  <c:v>2018</c:v>
                </c:pt>
                <c:pt idx="2">
                  <c:v>2019</c:v>
                </c:pt>
              </c:numCache>
            </c:numRef>
          </c:cat>
          <c:val>
            <c:numRef>
              <c:f>Аркуш1!$B$2:$B$4</c:f>
              <c:numCache>
                <c:formatCode>0.00%</c:formatCode>
                <c:ptCount val="3"/>
                <c:pt idx="0">
                  <c:v>0.48099999999999998</c:v>
                </c:pt>
                <c:pt idx="1">
                  <c:v>0.47299999999999998</c:v>
                </c:pt>
                <c:pt idx="2">
                  <c:v>0.61399999999999999</c:v>
                </c:pt>
              </c:numCache>
            </c:numRef>
          </c:val>
          <c:extLst>
            <c:ext xmlns:c16="http://schemas.microsoft.com/office/drawing/2014/chart" uri="{C3380CC4-5D6E-409C-BE32-E72D297353CC}">
              <c16:uniqueId val="{00000000-ECFF-4898-9AAB-C80DE041644D}"/>
            </c:ext>
          </c:extLst>
        </c:ser>
        <c:ser>
          <c:idx val="1"/>
          <c:order val="1"/>
          <c:tx>
            <c:strRef>
              <c:f>Аркуш1!$C$1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2017</c:v>
                </c:pt>
                <c:pt idx="1">
                  <c:v>2018</c:v>
                </c:pt>
                <c:pt idx="2">
                  <c:v>2019</c:v>
                </c:pt>
              </c:numCache>
            </c:numRef>
          </c:cat>
          <c:val>
            <c:numRef>
              <c:f>Аркуш1!$C$2:$C$4</c:f>
              <c:numCache>
                <c:formatCode>0.00%</c:formatCode>
                <c:ptCount val="3"/>
                <c:pt idx="0">
                  <c:v>0.156</c:v>
                </c:pt>
                <c:pt idx="1">
                  <c:v>0.156</c:v>
                </c:pt>
                <c:pt idx="2">
                  <c:v>0.13400000000000001</c:v>
                </c:pt>
              </c:numCache>
            </c:numRef>
          </c:val>
          <c:extLst>
            <c:ext xmlns:c16="http://schemas.microsoft.com/office/drawing/2014/chart" uri="{C3380CC4-5D6E-409C-BE32-E72D297353CC}">
              <c16:uniqueId val="{00000001-ECFF-4898-9AAB-C80DE041644D}"/>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2017</c:v>
                </c:pt>
                <c:pt idx="1">
                  <c:v>2018</c:v>
                </c:pt>
                <c:pt idx="2">
                  <c:v>2019</c:v>
                </c:pt>
              </c:numCache>
            </c:numRef>
          </c:cat>
          <c:val>
            <c:numRef>
              <c:f>Аркуш1!$D$2:$D$4</c:f>
              <c:numCache>
                <c:formatCode>0.00%</c:formatCode>
                <c:ptCount val="3"/>
                <c:pt idx="0">
                  <c:v>0.21299999999999999</c:v>
                </c:pt>
                <c:pt idx="1">
                  <c:v>0.223</c:v>
                </c:pt>
                <c:pt idx="2">
                  <c:v>0.125</c:v>
                </c:pt>
              </c:numCache>
            </c:numRef>
          </c:val>
          <c:extLst>
            <c:ext xmlns:c16="http://schemas.microsoft.com/office/drawing/2014/chart" uri="{C3380CC4-5D6E-409C-BE32-E72D297353CC}">
              <c16:uniqueId val="{00000002-ECFF-4898-9AAB-C80DE041644D}"/>
            </c:ext>
          </c:extLst>
        </c:ser>
        <c:ser>
          <c:idx val="3"/>
          <c:order val="3"/>
          <c:tx>
            <c:strRef>
              <c:f>Аркуш1!$E$1</c:f>
              <c:strCache>
                <c:ptCount val="1"/>
                <c:pt idx="0">
                  <c:v>Втрачено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Аркуш1!$A$2:$A$4</c:f>
              <c:numCache>
                <c:formatCode>General</c:formatCode>
                <c:ptCount val="3"/>
                <c:pt idx="0">
                  <c:v>2017</c:v>
                </c:pt>
                <c:pt idx="1">
                  <c:v>2018</c:v>
                </c:pt>
                <c:pt idx="2">
                  <c:v>2019</c:v>
                </c:pt>
              </c:numCache>
            </c:numRef>
          </c:cat>
          <c:val>
            <c:numRef>
              <c:f>Аркуш1!$E$2:$E$4</c:f>
              <c:numCache>
                <c:formatCode>0.00%</c:formatCode>
                <c:ptCount val="3"/>
                <c:pt idx="0">
                  <c:v>0.14599999999999999</c:v>
                </c:pt>
                <c:pt idx="1">
                  <c:v>0.14599999999999999</c:v>
                </c:pt>
                <c:pt idx="2">
                  <c:v>0.126</c:v>
                </c:pt>
              </c:numCache>
            </c:numRef>
          </c:val>
          <c:extLst>
            <c:ext xmlns:c16="http://schemas.microsoft.com/office/drawing/2014/chart" uri="{C3380CC4-5D6E-409C-BE32-E72D297353CC}">
              <c16:uniqueId val="{00000003-ECFF-4898-9AAB-C80DE041644D}"/>
            </c:ext>
          </c:extLst>
        </c:ser>
        <c:ser>
          <c:idx val="4"/>
          <c:order val="4"/>
          <c:tx>
            <c:strRef>
              <c:f>Аркуш1!$F$1</c:f>
              <c:strCache>
                <c:ptCount val="1"/>
                <c:pt idx="0">
                  <c:v>Не оцінено</c:v>
                </c:pt>
              </c:strCache>
            </c:strRef>
          </c:tx>
          <c:spPr>
            <a:solidFill>
              <a:schemeClr val="accent5"/>
            </a:solidFill>
            <a:ln>
              <a:noFill/>
            </a:ln>
            <a:effectLst/>
          </c:spPr>
          <c:invertIfNegative val="0"/>
          <c:cat>
            <c:numRef>
              <c:f>Аркуш1!$A$2:$A$4</c:f>
              <c:numCache>
                <c:formatCode>General</c:formatCode>
                <c:ptCount val="3"/>
                <c:pt idx="0">
                  <c:v>2017</c:v>
                </c:pt>
                <c:pt idx="1">
                  <c:v>2018</c:v>
                </c:pt>
                <c:pt idx="2">
                  <c:v>2019</c:v>
                </c:pt>
              </c:numCache>
            </c:numRef>
          </c:cat>
          <c:val>
            <c:numRef>
              <c:f>Аркуш1!$F$2:$F$4</c:f>
              <c:numCache>
                <c:formatCode>0.00%</c:formatCode>
                <c:ptCount val="3"/>
                <c:pt idx="0">
                  <c:v>4.0000000000000001E-3</c:v>
                </c:pt>
                <c:pt idx="1">
                  <c:v>2E-3</c:v>
                </c:pt>
                <c:pt idx="2">
                  <c:v>1E-3</c:v>
                </c:pt>
              </c:numCache>
            </c:numRef>
          </c:val>
          <c:extLst>
            <c:ext xmlns:c16="http://schemas.microsoft.com/office/drawing/2014/chart" uri="{C3380CC4-5D6E-409C-BE32-E72D297353CC}">
              <c16:uniqueId val="{00000004-ECFF-4898-9AAB-C80DE041644D}"/>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Аркуш1!$B$2:$B$6</c:f>
              <c:numCache>
                <c:formatCode>0.00%</c:formatCode>
                <c:ptCount val="5"/>
                <c:pt idx="0">
                  <c:v>0.90800000000000003</c:v>
                </c:pt>
                <c:pt idx="1">
                  <c:v>0.92600000000000005</c:v>
                </c:pt>
                <c:pt idx="2">
                  <c:v>0.95399999999999996</c:v>
                </c:pt>
                <c:pt idx="3">
                  <c:v>0.96700000000000008</c:v>
                </c:pt>
                <c:pt idx="4">
                  <c:v>0.95799999999999996</c:v>
                </c:pt>
              </c:numCache>
            </c:numRef>
          </c:val>
          <c:extLst>
            <c:ext xmlns:c16="http://schemas.microsoft.com/office/drawing/2014/chart" uri="{C3380CC4-5D6E-409C-BE32-E72D297353CC}">
              <c16:uniqueId val="{00000000-9F8B-4F7C-8BB0-6D6AD425BD63}"/>
            </c:ext>
          </c:extLst>
        </c:ser>
        <c:ser>
          <c:idx val="1"/>
          <c:order val="1"/>
          <c:tx>
            <c:strRef>
              <c:f>Аркуш1!$C$1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Аркуш1!$C$2:$C$6</c:f>
              <c:numCache>
                <c:formatCode>0.00%</c:formatCode>
                <c:ptCount val="5"/>
                <c:pt idx="0">
                  <c:v>1.2E-2</c:v>
                </c:pt>
                <c:pt idx="1">
                  <c:v>1.6E-2</c:v>
                </c:pt>
                <c:pt idx="2">
                  <c:v>1.7999999999999999E-2</c:v>
                </c:pt>
                <c:pt idx="3">
                  <c:v>1.9E-2</c:v>
                </c:pt>
                <c:pt idx="4">
                  <c:v>1.7000000000000001E-2</c:v>
                </c:pt>
              </c:numCache>
            </c:numRef>
          </c:val>
          <c:extLst>
            <c:ext xmlns:c16="http://schemas.microsoft.com/office/drawing/2014/chart" uri="{C3380CC4-5D6E-409C-BE32-E72D297353CC}">
              <c16:uniqueId val="{00000001-9F8B-4F7C-8BB0-6D6AD425BD63}"/>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Аркуш1!$D$2:$D$6</c:f>
              <c:numCache>
                <c:formatCode>0.00%</c:formatCode>
                <c:ptCount val="5"/>
                <c:pt idx="0">
                  <c:v>6.4000000000000001E-2</c:v>
                </c:pt>
                <c:pt idx="1">
                  <c:v>4.2999999999999997E-2</c:v>
                </c:pt>
                <c:pt idx="2">
                  <c:v>0.02</c:v>
                </c:pt>
                <c:pt idx="3">
                  <c:v>1.2E-2</c:v>
                </c:pt>
                <c:pt idx="4">
                  <c:v>2.4E-2</c:v>
                </c:pt>
              </c:numCache>
            </c:numRef>
          </c:val>
          <c:extLst>
            <c:ext xmlns:c16="http://schemas.microsoft.com/office/drawing/2014/chart" uri="{C3380CC4-5D6E-409C-BE32-E72D297353CC}">
              <c16:uniqueId val="{00000002-9F8B-4F7C-8BB0-6D6AD425BD63}"/>
            </c:ext>
          </c:extLst>
        </c:ser>
        <c:ser>
          <c:idx val="3"/>
          <c:order val="3"/>
          <c:tx>
            <c:strRef>
              <c:f>Аркуш1!$E$1</c:f>
              <c:strCache>
                <c:ptCount val="1"/>
                <c:pt idx="0">
                  <c:v>Втрачено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Аркуш1!$E$2:$E$6</c:f>
              <c:numCache>
                <c:formatCode>0.00%</c:formatCode>
                <c:ptCount val="5"/>
                <c:pt idx="0">
                  <c:v>1.3999999999999999E-2</c:v>
                </c:pt>
                <c:pt idx="1">
                  <c:v>1.4999999999999999E-2</c:v>
                </c:pt>
                <c:pt idx="2">
                  <c:v>8.0000000000000002E-3</c:v>
                </c:pt>
                <c:pt idx="3">
                  <c:v>2E-3</c:v>
                </c:pt>
                <c:pt idx="4">
                  <c:v>1.4E-2</c:v>
                </c:pt>
              </c:numCache>
            </c:numRef>
          </c:val>
          <c:extLst>
            <c:ext xmlns:c16="http://schemas.microsoft.com/office/drawing/2014/chart" uri="{C3380CC4-5D6E-409C-BE32-E72D297353CC}">
              <c16:uniqueId val="{00000003-9F8B-4F7C-8BB0-6D6AD425BD63}"/>
            </c:ext>
          </c:extLst>
        </c:ser>
        <c:ser>
          <c:idx val="4"/>
          <c:order val="4"/>
          <c:tx>
            <c:strRef>
              <c:f>Аркуш1!$F$1</c:f>
              <c:strCache>
                <c:ptCount val="1"/>
                <c:pt idx="0">
                  <c:v>Не оцінено</c:v>
                </c:pt>
              </c:strCache>
            </c:strRef>
          </c:tx>
          <c:spPr>
            <a:solidFill>
              <a:schemeClr val="accent5"/>
            </a:solidFill>
            <a:ln>
              <a:noFill/>
            </a:ln>
            <a:effectLst/>
          </c:spPr>
          <c:invertIfNegative val="0"/>
          <c:cat>
            <c:numRef>
              <c:f>Аркуш1!$A$2:$A$6</c:f>
              <c:numCache>
                <c:formatCode>General</c:formatCode>
                <c:ptCount val="5"/>
                <c:pt idx="0">
                  <c:v>2016</c:v>
                </c:pt>
                <c:pt idx="1">
                  <c:v>2017</c:v>
                </c:pt>
                <c:pt idx="2">
                  <c:v>2018</c:v>
                </c:pt>
                <c:pt idx="3">
                  <c:v>2019</c:v>
                </c:pt>
                <c:pt idx="4">
                  <c:v>2020</c:v>
                </c:pt>
              </c:numCache>
            </c:numRef>
          </c:cat>
          <c:val>
            <c:numRef>
              <c:f>Аркуш1!$F$2:$F$6</c:f>
              <c:numCache>
                <c:formatCode>0.00%</c:formatCode>
                <c:ptCount val="5"/>
                <c:pt idx="0">
                  <c:v>2E-3</c:v>
                </c:pt>
                <c:pt idx="1">
                  <c:v>0</c:v>
                </c:pt>
                <c:pt idx="2">
                  <c:v>0</c:v>
                </c:pt>
                <c:pt idx="3">
                  <c:v>0</c:v>
                </c:pt>
                <c:pt idx="4">
                  <c:v>2E-3</c:v>
                </c:pt>
              </c:numCache>
            </c:numRef>
          </c:val>
          <c:extLst>
            <c:ext xmlns:c16="http://schemas.microsoft.com/office/drawing/2014/chart" uri="{C3380CC4-5D6E-409C-BE32-E72D297353CC}">
              <c16:uniqueId val="{00000004-9F8B-4F7C-8BB0-6D6AD425BD63}"/>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Аркуш1!$B$2:$B$6</c:f>
              <c:numCache>
                <c:formatCode>0.00%</c:formatCode>
                <c:ptCount val="5"/>
                <c:pt idx="0">
                  <c:v>0.7390000000000001</c:v>
                </c:pt>
                <c:pt idx="1">
                  <c:v>0.76300000000000001</c:v>
                </c:pt>
                <c:pt idx="2">
                  <c:v>0.76200000000000001</c:v>
                </c:pt>
                <c:pt idx="3">
                  <c:v>0.75700000000000001</c:v>
                </c:pt>
                <c:pt idx="4">
                  <c:v>0.79400000000000004</c:v>
                </c:pt>
              </c:numCache>
            </c:numRef>
          </c:val>
          <c:extLst>
            <c:ext xmlns:c16="http://schemas.microsoft.com/office/drawing/2014/chart" uri="{C3380CC4-5D6E-409C-BE32-E72D297353CC}">
              <c16:uniqueId val="{00000000-E163-4517-89FC-E6816E7B0D61}"/>
            </c:ext>
          </c:extLst>
        </c:ser>
        <c:ser>
          <c:idx val="1"/>
          <c:order val="1"/>
          <c:tx>
            <c:strRef>
              <c:f>Аркуш1!$C$1</c:f>
              <c:strCache>
                <c:ptCount val="1"/>
                <c:pt idx="0">
                  <c:v>Померло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Аркуш1!$C$2:$C$6</c:f>
              <c:numCache>
                <c:formatCode>0.00%</c:formatCode>
                <c:ptCount val="5"/>
                <c:pt idx="0">
                  <c:v>4.0999999999999995E-2</c:v>
                </c:pt>
                <c:pt idx="1">
                  <c:v>5.5E-2</c:v>
                </c:pt>
                <c:pt idx="2">
                  <c:v>4.2000000000000003E-2</c:v>
                </c:pt>
                <c:pt idx="3">
                  <c:v>5.7000000000000002E-2</c:v>
                </c:pt>
                <c:pt idx="4">
                  <c:v>3.5000000000000003E-2</c:v>
                </c:pt>
              </c:numCache>
            </c:numRef>
          </c:val>
          <c:extLst>
            <c:ext xmlns:c16="http://schemas.microsoft.com/office/drawing/2014/chart" uri="{C3380CC4-5D6E-409C-BE32-E72D297353CC}">
              <c16:uniqueId val="{00000001-E163-4517-89FC-E6816E7B0D61}"/>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Аркуш1!$D$2:$D$6</c:f>
              <c:numCache>
                <c:formatCode>0.00%</c:formatCode>
                <c:ptCount val="5"/>
                <c:pt idx="0">
                  <c:v>0.128</c:v>
                </c:pt>
                <c:pt idx="1">
                  <c:v>8.3000000000000004E-2</c:v>
                </c:pt>
                <c:pt idx="2">
                  <c:v>9.5000000000000001E-2</c:v>
                </c:pt>
                <c:pt idx="3">
                  <c:v>7.4999999999999997E-2</c:v>
                </c:pt>
                <c:pt idx="4">
                  <c:v>7.6999999999999999E-2</c:v>
                </c:pt>
              </c:numCache>
            </c:numRef>
          </c:val>
          <c:extLst>
            <c:ext xmlns:c16="http://schemas.microsoft.com/office/drawing/2014/chart" uri="{C3380CC4-5D6E-409C-BE32-E72D297353CC}">
              <c16:uniqueId val="{00000002-E163-4517-89FC-E6816E7B0D61}"/>
            </c:ext>
          </c:extLst>
        </c:ser>
        <c:ser>
          <c:idx val="3"/>
          <c:order val="3"/>
          <c:tx>
            <c:strRef>
              <c:f>Аркуш1!$E$1</c:f>
              <c:strCache>
                <c:ptCount val="1"/>
                <c:pt idx="0">
                  <c:v>Втрачено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Аркуш1!$E$2:$E$6</c:f>
              <c:numCache>
                <c:formatCode>0.00%</c:formatCode>
                <c:ptCount val="5"/>
                <c:pt idx="0">
                  <c:v>7.6999999999999999E-2</c:v>
                </c:pt>
                <c:pt idx="1">
                  <c:v>8.1000000000000003E-2</c:v>
                </c:pt>
                <c:pt idx="2">
                  <c:v>9.6999999999999989E-2</c:v>
                </c:pt>
                <c:pt idx="3">
                  <c:v>0.11</c:v>
                </c:pt>
                <c:pt idx="4">
                  <c:v>9.4E-2</c:v>
                </c:pt>
              </c:numCache>
            </c:numRef>
          </c:val>
          <c:extLst>
            <c:ext xmlns:c16="http://schemas.microsoft.com/office/drawing/2014/chart" uri="{C3380CC4-5D6E-409C-BE32-E72D297353CC}">
              <c16:uniqueId val="{00000003-E163-4517-89FC-E6816E7B0D61}"/>
            </c:ext>
          </c:extLst>
        </c:ser>
        <c:ser>
          <c:idx val="4"/>
          <c:order val="4"/>
          <c:tx>
            <c:strRef>
              <c:f>Аркуш1!$F$1</c:f>
              <c:strCache>
                <c:ptCount val="1"/>
                <c:pt idx="0">
                  <c:v>Не оцінено</c:v>
                </c:pt>
              </c:strCache>
            </c:strRef>
          </c:tx>
          <c:spPr>
            <a:solidFill>
              <a:schemeClr val="accent5"/>
            </a:solidFill>
            <a:ln>
              <a:noFill/>
            </a:ln>
            <a:effectLst/>
          </c:spPr>
          <c:invertIfNegative val="0"/>
          <c:cat>
            <c:numRef>
              <c:f>Аркуш1!$A$2:$A$6</c:f>
              <c:numCache>
                <c:formatCode>General</c:formatCode>
                <c:ptCount val="5"/>
                <c:pt idx="0">
                  <c:v>2016</c:v>
                </c:pt>
                <c:pt idx="1">
                  <c:v>2017</c:v>
                </c:pt>
                <c:pt idx="2">
                  <c:v>2018</c:v>
                </c:pt>
                <c:pt idx="3">
                  <c:v>2019</c:v>
                </c:pt>
                <c:pt idx="4">
                  <c:v>2020</c:v>
                </c:pt>
              </c:numCache>
            </c:numRef>
          </c:cat>
          <c:val>
            <c:numRef>
              <c:f>Аркуш1!$F$2:$F$6</c:f>
              <c:numCache>
                <c:formatCode>0.00%</c:formatCode>
                <c:ptCount val="5"/>
                <c:pt idx="0">
                  <c:v>1.4999999999999999E-2</c:v>
                </c:pt>
                <c:pt idx="1">
                  <c:v>1.8000000000000002E-2</c:v>
                </c:pt>
                <c:pt idx="2">
                  <c:v>4.0000000000000001E-3</c:v>
                </c:pt>
                <c:pt idx="3">
                  <c:v>0</c:v>
                </c:pt>
                <c:pt idx="4">
                  <c:v>0</c:v>
                </c:pt>
              </c:numCache>
            </c:numRef>
          </c:val>
          <c:extLst>
            <c:ext xmlns:c16="http://schemas.microsoft.com/office/drawing/2014/chart" uri="{C3380CC4-5D6E-409C-BE32-E72D297353CC}">
              <c16:uniqueId val="{00000004-E163-4517-89FC-E6816E7B0D61}"/>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Аркуш1!$B$1</c:f>
              <c:strCache>
                <c:ptCount val="1"/>
                <c:pt idx="0">
                  <c:v>Ефективне лікування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Аркуш1!$B$2:$B$6</c:f>
              <c:numCache>
                <c:formatCode>0.00%</c:formatCode>
                <c:ptCount val="5"/>
                <c:pt idx="0">
                  <c:v>0.65500000000000003</c:v>
                </c:pt>
                <c:pt idx="1">
                  <c:v>0.66500000000000004</c:v>
                </c:pt>
                <c:pt idx="2">
                  <c:v>0.67900000000000005</c:v>
                </c:pt>
                <c:pt idx="3">
                  <c:v>0.71099999999999997</c:v>
                </c:pt>
                <c:pt idx="4">
                  <c:v>0.67300000000000004</c:v>
                </c:pt>
              </c:numCache>
            </c:numRef>
          </c:val>
          <c:extLst>
            <c:ext xmlns:c16="http://schemas.microsoft.com/office/drawing/2014/chart" uri="{C3380CC4-5D6E-409C-BE32-E72D297353CC}">
              <c16:uniqueId val="{00000000-59D3-491F-AE68-56208CCA822E}"/>
            </c:ext>
          </c:extLst>
        </c:ser>
        <c:ser>
          <c:idx val="1"/>
          <c:order val="1"/>
          <c:tx>
            <c:strRef>
              <c:f>Аркуш1!$C$1</c:f>
              <c:strCache>
                <c:ptCount val="1"/>
                <c:pt idx="0">
                  <c:v>Помер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Аркуш1!$C$2:$C$6</c:f>
              <c:numCache>
                <c:formatCode>0.00%</c:formatCode>
                <c:ptCount val="5"/>
                <c:pt idx="0">
                  <c:v>0.19800000000000001</c:v>
                </c:pt>
                <c:pt idx="1">
                  <c:v>0.18899999999999997</c:v>
                </c:pt>
                <c:pt idx="2">
                  <c:v>0.193</c:v>
                </c:pt>
                <c:pt idx="3">
                  <c:v>0.182</c:v>
                </c:pt>
                <c:pt idx="4">
                  <c:v>0.19800000000000001</c:v>
                </c:pt>
              </c:numCache>
            </c:numRef>
          </c:val>
          <c:extLst>
            <c:ext xmlns:c16="http://schemas.microsoft.com/office/drawing/2014/chart" uri="{C3380CC4-5D6E-409C-BE32-E72D297353CC}">
              <c16:uniqueId val="{00000001-59D3-491F-AE68-56208CCA822E}"/>
            </c:ext>
          </c:extLst>
        </c:ser>
        <c:ser>
          <c:idx val="2"/>
          <c:order val="2"/>
          <c:tx>
            <c:strRef>
              <c:f>Аркуш1!$D$1</c:f>
              <c:strCache>
                <c:ptCount val="1"/>
                <c:pt idx="0">
                  <c:v>Невдале лікування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Аркуш1!$D$2:$D$6</c:f>
              <c:numCache>
                <c:formatCode>0.00%</c:formatCode>
                <c:ptCount val="5"/>
                <c:pt idx="0">
                  <c:v>6.2E-2</c:v>
                </c:pt>
                <c:pt idx="1">
                  <c:v>5.9000000000000004E-2</c:v>
                </c:pt>
                <c:pt idx="2">
                  <c:v>0.05</c:v>
                </c:pt>
                <c:pt idx="3">
                  <c:v>4.2000000000000003E-2</c:v>
                </c:pt>
                <c:pt idx="4">
                  <c:v>4.8000000000000001E-2</c:v>
                </c:pt>
              </c:numCache>
            </c:numRef>
          </c:val>
          <c:extLst>
            <c:ext xmlns:c16="http://schemas.microsoft.com/office/drawing/2014/chart" uri="{C3380CC4-5D6E-409C-BE32-E72D297353CC}">
              <c16:uniqueId val="{00000002-59D3-491F-AE68-56208CCA822E}"/>
            </c:ext>
          </c:extLst>
        </c:ser>
        <c:ser>
          <c:idx val="3"/>
          <c:order val="3"/>
          <c:tx>
            <c:strRef>
              <c:f>Аркуш1!$E$1</c:f>
              <c:strCache>
                <c:ptCount val="1"/>
                <c:pt idx="0">
                  <c:v>перерва лікування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Аркуш1!$A$2:$A$6</c:f>
              <c:numCache>
                <c:formatCode>General</c:formatCode>
                <c:ptCount val="5"/>
                <c:pt idx="0">
                  <c:v>2016</c:v>
                </c:pt>
                <c:pt idx="1">
                  <c:v>2017</c:v>
                </c:pt>
                <c:pt idx="2">
                  <c:v>2018</c:v>
                </c:pt>
                <c:pt idx="3">
                  <c:v>2019</c:v>
                </c:pt>
                <c:pt idx="4">
                  <c:v>2020</c:v>
                </c:pt>
              </c:numCache>
            </c:numRef>
          </c:cat>
          <c:val>
            <c:numRef>
              <c:f>Аркуш1!$E$2:$E$6</c:f>
              <c:numCache>
                <c:formatCode>0.00%</c:formatCode>
                <c:ptCount val="5"/>
                <c:pt idx="0">
                  <c:v>0.08</c:v>
                </c:pt>
                <c:pt idx="1">
                  <c:v>8.4000000000000005E-2</c:v>
                </c:pt>
                <c:pt idx="2">
                  <c:v>7.6999999999999999E-2</c:v>
                </c:pt>
                <c:pt idx="3">
                  <c:v>6.5000000000000002E-2</c:v>
                </c:pt>
                <c:pt idx="4">
                  <c:v>0.08</c:v>
                </c:pt>
              </c:numCache>
            </c:numRef>
          </c:val>
          <c:extLst>
            <c:ext xmlns:c16="http://schemas.microsoft.com/office/drawing/2014/chart" uri="{C3380CC4-5D6E-409C-BE32-E72D297353CC}">
              <c16:uniqueId val="{00000003-59D3-491F-AE68-56208CCA822E}"/>
            </c:ext>
          </c:extLst>
        </c:ser>
        <c:ser>
          <c:idx val="4"/>
          <c:order val="4"/>
          <c:tx>
            <c:strRef>
              <c:f>Аркуш1!$F$1</c:f>
              <c:strCache>
                <c:ptCount val="1"/>
                <c:pt idx="0">
                  <c:v>Не оцінений</c:v>
                </c:pt>
              </c:strCache>
            </c:strRef>
          </c:tx>
          <c:spPr>
            <a:solidFill>
              <a:schemeClr val="accent5"/>
            </a:solidFill>
            <a:ln>
              <a:noFill/>
            </a:ln>
            <a:effectLst/>
          </c:spPr>
          <c:invertIfNegative val="0"/>
          <c:cat>
            <c:numRef>
              <c:f>Аркуш1!$A$2:$A$6</c:f>
              <c:numCache>
                <c:formatCode>General</c:formatCode>
                <c:ptCount val="5"/>
                <c:pt idx="0">
                  <c:v>2016</c:v>
                </c:pt>
                <c:pt idx="1">
                  <c:v>2017</c:v>
                </c:pt>
                <c:pt idx="2">
                  <c:v>2018</c:v>
                </c:pt>
                <c:pt idx="3">
                  <c:v>2019</c:v>
                </c:pt>
                <c:pt idx="4">
                  <c:v>2020</c:v>
                </c:pt>
              </c:numCache>
            </c:numRef>
          </c:cat>
          <c:val>
            <c:numRef>
              <c:f>Аркуш1!$F$2:$F$6</c:f>
              <c:numCache>
                <c:formatCode>0.00%</c:formatCode>
                <c:ptCount val="5"/>
                <c:pt idx="0">
                  <c:v>5.0000000000000001E-3</c:v>
                </c:pt>
                <c:pt idx="1">
                  <c:v>3.0000000000000001E-3</c:v>
                </c:pt>
                <c:pt idx="2">
                  <c:v>1E-3</c:v>
                </c:pt>
                <c:pt idx="3">
                  <c:v>0</c:v>
                </c:pt>
                <c:pt idx="4">
                  <c:v>1E-3</c:v>
                </c:pt>
              </c:numCache>
            </c:numRef>
          </c:val>
          <c:extLst>
            <c:ext xmlns:c16="http://schemas.microsoft.com/office/drawing/2014/chart" uri="{C3380CC4-5D6E-409C-BE32-E72D297353CC}">
              <c16:uniqueId val="{00000004-59D3-491F-AE68-56208CCA822E}"/>
            </c:ext>
          </c:extLst>
        </c:ser>
        <c:dLbls>
          <c:showLegendKey val="0"/>
          <c:showVal val="0"/>
          <c:showCatName val="0"/>
          <c:showSerName val="0"/>
          <c:showPercent val="0"/>
          <c:showBubbleSize val="0"/>
        </c:dLbls>
        <c:gapWidth val="65"/>
        <c:overlap val="100"/>
        <c:axId val="415245280"/>
        <c:axId val="415250856"/>
      </c:barChart>
      <c:catAx>
        <c:axId val="4152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250856"/>
        <c:crosses val="autoZero"/>
        <c:auto val="1"/>
        <c:lblAlgn val="ctr"/>
        <c:lblOffset val="100"/>
        <c:noMultiLvlLbl val="0"/>
      </c:catAx>
      <c:valAx>
        <c:axId val="415250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5245280"/>
        <c:crosses val="autoZero"/>
        <c:crossBetween val="between"/>
      </c:valAx>
      <c:spPr>
        <a:noFill/>
        <a:ln>
          <a:noFill/>
        </a:ln>
        <a:effectLst/>
      </c:spPr>
    </c:plotArea>
    <c:legend>
      <c:legendPos val="b"/>
      <c:layout>
        <c:manualLayout>
          <c:xMode val="edge"/>
          <c:yMode val="edge"/>
          <c:x val="5.5945155439215209E-2"/>
          <c:y val="0.88181287465649072"/>
          <c:w val="0.8987991599927615"/>
          <c:h val="8.71873836746898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63448666912182E-2"/>
          <c:y val="8.3765288448255704E-2"/>
          <c:w val="0.87568361304502862"/>
          <c:h val="0.71614120097336009"/>
        </c:manualLayout>
      </c:layout>
      <c:barChart>
        <c:barDir val="col"/>
        <c:grouping val="clustered"/>
        <c:varyColors val="0"/>
        <c:ser>
          <c:idx val="0"/>
          <c:order val="0"/>
          <c:tx>
            <c:strRef>
              <c:f>Аркуш1!$B$1</c:f>
              <c:strCache>
                <c:ptCount val="1"/>
                <c:pt idx="0">
                  <c:v>Кількість ВІЛ-позитивних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Аркуш1!$B$2:$B$12</c:f>
              <c:numCache>
                <c:formatCode>General</c:formatCode>
                <c:ptCount val="11"/>
                <c:pt idx="0">
                  <c:v>4157</c:v>
                </c:pt>
                <c:pt idx="1">
                  <c:v>4726</c:v>
                </c:pt>
                <c:pt idx="2">
                  <c:v>8290</c:v>
                </c:pt>
                <c:pt idx="3">
                  <c:v>7640</c:v>
                </c:pt>
                <c:pt idx="4">
                  <c:v>6637</c:v>
                </c:pt>
                <c:pt idx="5">
                  <c:v>5832</c:v>
                </c:pt>
                <c:pt idx="6">
                  <c:v>5955</c:v>
                </c:pt>
                <c:pt idx="7">
                  <c:v>6053</c:v>
                </c:pt>
                <c:pt idx="8">
                  <c:v>5806</c:v>
                </c:pt>
                <c:pt idx="9">
                  <c:v>3798</c:v>
                </c:pt>
                <c:pt idx="10">
                  <c:v>3646</c:v>
                </c:pt>
              </c:numCache>
            </c:numRef>
          </c:val>
          <c:extLst>
            <c:ext xmlns:c16="http://schemas.microsoft.com/office/drawing/2014/chart" uri="{C3380CC4-5D6E-409C-BE32-E72D297353CC}">
              <c16:uniqueId val="{00000000-4845-4CF5-96C7-549437F953D8}"/>
            </c:ext>
          </c:extLst>
        </c:ser>
        <c:dLbls>
          <c:showLegendKey val="0"/>
          <c:showVal val="0"/>
          <c:showCatName val="0"/>
          <c:showSerName val="0"/>
          <c:showPercent val="0"/>
          <c:showBubbleSize val="0"/>
        </c:dLbls>
        <c:gapWidth val="61"/>
        <c:overlap val="-47"/>
        <c:axId val="448232584"/>
        <c:axId val="448239800"/>
      </c:barChart>
      <c:lineChart>
        <c:grouping val="stacked"/>
        <c:varyColors val="0"/>
        <c:ser>
          <c:idx val="1"/>
          <c:order val="1"/>
          <c:tx>
            <c:strRef>
              <c:f>Аркуш1!$C$1</c:f>
              <c:strCache>
                <c:ptCount val="1"/>
                <c:pt idx="0">
                  <c:v>Відсоток ТБ/ВІЛ серед усіх хворих</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Аркуш1!$C$2:$C$12</c:f>
              <c:numCache>
                <c:formatCode>General</c:formatCode>
                <c:ptCount val="11"/>
                <c:pt idx="0">
                  <c:v>13.1</c:v>
                </c:pt>
                <c:pt idx="1">
                  <c:v>13.8</c:v>
                </c:pt>
                <c:pt idx="2">
                  <c:v>19.600000000000001</c:v>
                </c:pt>
                <c:pt idx="3">
                  <c:v>19.600000000000001</c:v>
                </c:pt>
                <c:pt idx="4">
                  <c:v>22.3</c:v>
                </c:pt>
                <c:pt idx="5">
                  <c:v>20.7</c:v>
                </c:pt>
                <c:pt idx="6">
                  <c:v>22.4</c:v>
                </c:pt>
                <c:pt idx="7">
                  <c:v>23</c:v>
                </c:pt>
                <c:pt idx="8">
                  <c:v>23</c:v>
                </c:pt>
                <c:pt idx="9">
                  <c:v>21.7</c:v>
                </c:pt>
                <c:pt idx="10">
                  <c:v>20.100000000000001</c:v>
                </c:pt>
              </c:numCache>
            </c:numRef>
          </c:val>
          <c:smooth val="0"/>
          <c:extLst>
            <c:ext xmlns:c16="http://schemas.microsoft.com/office/drawing/2014/chart" uri="{C3380CC4-5D6E-409C-BE32-E72D297353CC}">
              <c16:uniqueId val="{00000001-4845-4CF5-96C7-549437F953D8}"/>
            </c:ext>
          </c:extLst>
        </c:ser>
        <c:ser>
          <c:idx val="2"/>
          <c:order val="2"/>
          <c:tx>
            <c:strRef>
              <c:f>Аркуш1!$D$1</c:f>
              <c:strCache>
                <c:ptCount val="1"/>
                <c:pt idx="0">
                  <c:v>Отримують АРТ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Аркуш1!$D$2:$D$12</c:f>
              <c:numCache>
                <c:formatCode>General</c:formatCode>
                <c:ptCount val="11"/>
                <c:pt idx="0">
                  <c:v>62.6</c:v>
                </c:pt>
                <c:pt idx="1">
                  <c:v>70.599999999999994</c:v>
                </c:pt>
                <c:pt idx="2">
                  <c:v>47.6</c:v>
                </c:pt>
                <c:pt idx="3">
                  <c:v>55.9</c:v>
                </c:pt>
                <c:pt idx="4">
                  <c:v>58.9</c:v>
                </c:pt>
                <c:pt idx="5">
                  <c:v>67.599999999999994</c:v>
                </c:pt>
                <c:pt idx="6">
                  <c:v>74.3</c:v>
                </c:pt>
                <c:pt idx="7">
                  <c:v>79.400000000000006</c:v>
                </c:pt>
                <c:pt idx="8">
                  <c:v>86.1</c:v>
                </c:pt>
                <c:pt idx="9">
                  <c:v>91.2</c:v>
                </c:pt>
                <c:pt idx="10">
                  <c:v>92.5</c:v>
                </c:pt>
              </c:numCache>
            </c:numRef>
          </c:val>
          <c:smooth val="0"/>
          <c:extLst>
            <c:ext xmlns:c16="http://schemas.microsoft.com/office/drawing/2014/chart" uri="{C3380CC4-5D6E-409C-BE32-E72D297353CC}">
              <c16:uniqueId val="{00000002-4845-4CF5-96C7-549437F953D8}"/>
            </c:ext>
          </c:extLst>
        </c:ser>
        <c:ser>
          <c:idx val="3"/>
          <c:order val="3"/>
          <c:tx>
            <c:strRef>
              <c:f>Аркуш1!$E$1</c:f>
              <c:strCache>
                <c:ptCount val="1"/>
                <c:pt idx="0">
                  <c:v>Охоплення тестуванням на ВІЛ</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Аркуш1!$E$2:$E$12</c:f>
              <c:numCache>
                <c:formatCode>General</c:formatCode>
                <c:ptCount val="11"/>
                <c:pt idx="0">
                  <c:v>74.5</c:v>
                </c:pt>
                <c:pt idx="1">
                  <c:v>75</c:v>
                </c:pt>
                <c:pt idx="2">
                  <c:v>87.7</c:v>
                </c:pt>
                <c:pt idx="3">
                  <c:v>96.9</c:v>
                </c:pt>
                <c:pt idx="4">
                  <c:v>98.7</c:v>
                </c:pt>
                <c:pt idx="5">
                  <c:v>97</c:v>
                </c:pt>
                <c:pt idx="6">
                  <c:v>97.8</c:v>
                </c:pt>
                <c:pt idx="7">
                  <c:v>99.2</c:v>
                </c:pt>
                <c:pt idx="8">
                  <c:v>99.3</c:v>
                </c:pt>
                <c:pt idx="9">
                  <c:v>99.1</c:v>
                </c:pt>
                <c:pt idx="10">
                  <c:v>99.1</c:v>
                </c:pt>
              </c:numCache>
            </c:numRef>
          </c:val>
          <c:smooth val="0"/>
          <c:extLst>
            <c:ext xmlns:c16="http://schemas.microsoft.com/office/drawing/2014/chart" uri="{C3380CC4-5D6E-409C-BE32-E72D297353CC}">
              <c16:uniqueId val="{00000003-4845-4CF5-96C7-549437F953D8}"/>
            </c:ext>
          </c:extLst>
        </c:ser>
        <c:dLbls>
          <c:showLegendKey val="0"/>
          <c:showVal val="0"/>
          <c:showCatName val="0"/>
          <c:showSerName val="0"/>
          <c:showPercent val="0"/>
          <c:showBubbleSize val="0"/>
        </c:dLbls>
        <c:marker val="1"/>
        <c:smooth val="0"/>
        <c:axId val="419650448"/>
        <c:axId val="419648152"/>
      </c:lineChart>
      <c:catAx>
        <c:axId val="44823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8239800"/>
        <c:crosses val="autoZero"/>
        <c:auto val="1"/>
        <c:lblAlgn val="ctr"/>
        <c:lblOffset val="100"/>
        <c:noMultiLvlLbl val="0"/>
      </c:catAx>
      <c:valAx>
        <c:axId val="448239800"/>
        <c:scaling>
          <c:logBase val="10"/>
          <c:orientation val="minMax"/>
          <c:max val="1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48232584"/>
        <c:crosses val="autoZero"/>
        <c:crossBetween val="between"/>
      </c:valAx>
      <c:valAx>
        <c:axId val="419648152"/>
        <c:scaling>
          <c:orientation val="minMax"/>
          <c:max val="25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19650448"/>
        <c:crosses val="max"/>
        <c:crossBetween val="between"/>
      </c:valAx>
      <c:catAx>
        <c:axId val="419650448"/>
        <c:scaling>
          <c:orientation val="minMax"/>
        </c:scaling>
        <c:delete val="1"/>
        <c:axPos val="b"/>
        <c:numFmt formatCode="General" sourceLinked="1"/>
        <c:majorTickMark val="out"/>
        <c:minorTickMark val="none"/>
        <c:tickLblPos val="nextTo"/>
        <c:crossAx val="419648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531954334082434E-2"/>
          <c:y val="5.4093926727317436E-2"/>
          <c:w val="0.90071917634908827"/>
          <c:h val="0.62904770294418877"/>
        </c:manualLayout>
      </c:layout>
      <c:barChart>
        <c:barDir val="col"/>
        <c:grouping val="clustered"/>
        <c:varyColors val="0"/>
        <c:ser>
          <c:idx val="1"/>
          <c:order val="1"/>
          <c:tx>
            <c:strRef>
              <c:f>Лист1!$C$1</c:f>
              <c:strCache>
                <c:ptCount val="1"/>
                <c:pt idx="0">
                  <c:v>ВІЛ-інфіковані особи, остежені на ТБ</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anchor="ctr" anchorCtr="1"/>
              <a:lstStyle/>
              <a:p>
                <a:pPr>
                  <a:defRPr sz="700" b="1" i="0" u="none" strike="noStrike" kern="1200" baseline="0">
                    <a:solidFill>
                      <a:schemeClr val="tx1"/>
                    </a:solidFill>
                    <a:latin typeface="+mn-lt"/>
                    <a:ea typeface="+mn-ea"/>
                    <a:cs typeface="Times New Roman"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Лист1!$A$2:$A$26</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Лист1!$C$2:$C$26</c:f>
              <c:numCache>
                <c:formatCode>#\ ##0.0</c:formatCode>
                <c:ptCount val="25"/>
                <c:pt idx="0">
                  <c:v>87.1</c:v>
                </c:pt>
                <c:pt idx="1">
                  <c:v>73.569999999999993</c:v>
                </c:pt>
                <c:pt idx="2">
                  <c:v>96.7</c:v>
                </c:pt>
                <c:pt idx="3">
                  <c:v>97.6</c:v>
                </c:pt>
                <c:pt idx="4">
                  <c:v>81.7</c:v>
                </c:pt>
                <c:pt idx="5">
                  <c:v>88.4</c:v>
                </c:pt>
                <c:pt idx="6">
                  <c:v>70.900000000000006</c:v>
                </c:pt>
                <c:pt idx="7">
                  <c:v>91.5</c:v>
                </c:pt>
                <c:pt idx="8">
                  <c:v>83</c:v>
                </c:pt>
                <c:pt idx="9">
                  <c:v>86.3</c:v>
                </c:pt>
                <c:pt idx="10">
                  <c:v>88.8</c:v>
                </c:pt>
                <c:pt idx="11">
                  <c:v>50</c:v>
                </c:pt>
                <c:pt idx="12">
                  <c:v>86.1</c:v>
                </c:pt>
                <c:pt idx="13">
                  <c:v>81.099999999999994</c:v>
                </c:pt>
                <c:pt idx="14">
                  <c:v>95.9</c:v>
                </c:pt>
                <c:pt idx="15">
                  <c:v>84.7</c:v>
                </c:pt>
                <c:pt idx="16">
                  <c:v>86.1</c:v>
                </c:pt>
                <c:pt idx="17">
                  <c:v>78.400000000000006</c:v>
                </c:pt>
                <c:pt idx="18">
                  <c:v>56</c:v>
                </c:pt>
                <c:pt idx="19">
                  <c:v>90.3</c:v>
                </c:pt>
                <c:pt idx="20">
                  <c:v>96.9</c:v>
                </c:pt>
                <c:pt idx="21">
                  <c:v>53.7</c:v>
                </c:pt>
                <c:pt idx="22">
                  <c:v>100</c:v>
                </c:pt>
                <c:pt idx="23">
                  <c:v>95.6</c:v>
                </c:pt>
                <c:pt idx="24" formatCode="0.0">
                  <c:v>84.6</c:v>
                </c:pt>
              </c:numCache>
            </c:numRef>
          </c:val>
          <c:extLst>
            <c:ext xmlns:c16="http://schemas.microsoft.com/office/drawing/2014/chart" uri="{C3380CC4-5D6E-409C-BE32-E72D297353CC}">
              <c16:uniqueId val="{00000000-8504-425D-964F-DA512BED2725}"/>
            </c:ext>
          </c:extLst>
        </c:ser>
        <c:dLbls>
          <c:showLegendKey val="0"/>
          <c:showVal val="0"/>
          <c:showCatName val="0"/>
          <c:showSerName val="0"/>
          <c:showPercent val="0"/>
          <c:showBubbleSize val="0"/>
        </c:dLbls>
        <c:gapWidth val="75"/>
        <c:axId val="374707712"/>
        <c:axId val="374709248"/>
      </c:barChart>
      <c:lineChart>
        <c:grouping val="standard"/>
        <c:varyColors val="0"/>
        <c:ser>
          <c:idx val="0"/>
          <c:order val="0"/>
          <c:tx>
            <c:strRef>
              <c:f>Лист1!$B$1</c:f>
              <c:strCache>
                <c:ptCount val="1"/>
                <c:pt idx="0">
                  <c:v>Україна</c:v>
                </c:pt>
              </c:strCache>
            </c:strRef>
          </c:tx>
          <c:spPr>
            <a:ln w="28575" cap="rnd" cmpd="sng" algn="ctr">
              <a:solidFill>
                <a:schemeClr val="accent1">
                  <a:shade val="76000"/>
                  <a:shade val="95000"/>
                  <a:satMod val="105000"/>
                </a:schemeClr>
              </a:solidFill>
              <a:prstDash val="solid"/>
              <a:round/>
            </a:ln>
            <a:effectLst/>
          </c:spPr>
          <c:marker>
            <c:symbol val="none"/>
          </c:marker>
          <c:cat>
            <c:strRef>
              <c:f>Лист1!$A$2:$A$26</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Лист1!$B$2:$B$26</c:f>
              <c:numCache>
                <c:formatCode>0.0</c:formatCode>
                <c:ptCount val="25"/>
                <c:pt idx="0">
                  <c:v>85.2</c:v>
                </c:pt>
                <c:pt idx="1">
                  <c:v>85.2</c:v>
                </c:pt>
                <c:pt idx="2">
                  <c:v>85.2</c:v>
                </c:pt>
                <c:pt idx="3">
                  <c:v>85.2</c:v>
                </c:pt>
                <c:pt idx="4">
                  <c:v>85.2</c:v>
                </c:pt>
                <c:pt idx="5">
                  <c:v>85.2</c:v>
                </c:pt>
                <c:pt idx="6">
                  <c:v>85.2</c:v>
                </c:pt>
                <c:pt idx="7">
                  <c:v>85.2</c:v>
                </c:pt>
                <c:pt idx="8">
                  <c:v>85.2</c:v>
                </c:pt>
                <c:pt idx="9">
                  <c:v>85.2</c:v>
                </c:pt>
                <c:pt idx="10">
                  <c:v>85.2</c:v>
                </c:pt>
                <c:pt idx="11">
                  <c:v>85.2</c:v>
                </c:pt>
                <c:pt idx="12">
                  <c:v>85.2</c:v>
                </c:pt>
                <c:pt idx="13">
                  <c:v>85.2</c:v>
                </c:pt>
                <c:pt idx="14">
                  <c:v>85.2</c:v>
                </c:pt>
                <c:pt idx="15">
                  <c:v>85.2</c:v>
                </c:pt>
                <c:pt idx="16">
                  <c:v>85.2</c:v>
                </c:pt>
                <c:pt idx="17">
                  <c:v>85.2</c:v>
                </c:pt>
                <c:pt idx="18">
                  <c:v>85.2</c:v>
                </c:pt>
                <c:pt idx="19">
                  <c:v>85.2</c:v>
                </c:pt>
                <c:pt idx="20">
                  <c:v>85.2</c:v>
                </c:pt>
                <c:pt idx="21">
                  <c:v>85.2</c:v>
                </c:pt>
                <c:pt idx="22">
                  <c:v>85.2</c:v>
                </c:pt>
                <c:pt idx="23">
                  <c:v>85.2</c:v>
                </c:pt>
                <c:pt idx="24">
                  <c:v>85.2</c:v>
                </c:pt>
              </c:numCache>
            </c:numRef>
          </c:val>
          <c:smooth val="0"/>
          <c:extLst>
            <c:ext xmlns:c16="http://schemas.microsoft.com/office/drawing/2014/chart" uri="{C3380CC4-5D6E-409C-BE32-E72D297353CC}">
              <c16:uniqueId val="{00000001-8504-425D-964F-DA512BED2725}"/>
            </c:ext>
          </c:extLst>
        </c:ser>
        <c:dLbls>
          <c:showLegendKey val="0"/>
          <c:showVal val="0"/>
          <c:showCatName val="0"/>
          <c:showSerName val="0"/>
          <c:showPercent val="0"/>
          <c:showBubbleSize val="0"/>
        </c:dLbls>
        <c:marker val="1"/>
        <c:smooth val="0"/>
        <c:axId val="374707712"/>
        <c:axId val="374709248"/>
      </c:lineChart>
      <c:catAx>
        <c:axId val="37470771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500" b="1" i="0" u="none" strike="noStrike" kern="1200" baseline="0">
                <a:solidFill>
                  <a:schemeClr val="tx1"/>
                </a:solidFill>
                <a:latin typeface="Calibri" panose="020F0502020204030204" pitchFamily="34" charset="0"/>
                <a:ea typeface="Cambria" panose="02040503050406030204" pitchFamily="18" charset="0"/>
                <a:cs typeface="Calibri" panose="020F0502020204030204" pitchFamily="34" charset="0"/>
              </a:defRPr>
            </a:pPr>
            <a:endParaRPr lang="uk-UA"/>
          </a:p>
        </c:txPr>
        <c:crossAx val="374709248"/>
        <c:crosses val="autoZero"/>
        <c:auto val="1"/>
        <c:lblAlgn val="ctr"/>
        <c:lblOffset val="100"/>
        <c:noMultiLvlLbl val="0"/>
      </c:catAx>
      <c:valAx>
        <c:axId val="374709248"/>
        <c:scaling>
          <c:orientation val="minMax"/>
        </c:scaling>
        <c:delete val="1"/>
        <c:axPos val="l"/>
        <c:numFmt formatCode="#\ ##0.0" sourceLinked="1"/>
        <c:majorTickMark val="none"/>
        <c:minorTickMark val="none"/>
        <c:tickLblPos val="nextTo"/>
        <c:crossAx val="37470771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uk-UA"/>
        </a:p>
      </c:txPr>
    </c:legend>
    <c:plotVisOnly val="1"/>
    <c:dispBlanksAs val="gap"/>
    <c:showDLblsOverMax val="0"/>
  </c:chart>
  <c:spPr>
    <a:solidFill>
      <a:schemeClr val="bg1"/>
    </a:solidFill>
    <a:ln w="9525" cap="flat" cmpd="sng" algn="ctr">
      <a:noFill/>
      <a:prstDash val="solid"/>
      <a:round/>
    </a:ln>
    <a:effectLst/>
  </c:spPr>
  <c:txPr>
    <a:bodyPr/>
    <a:lstStyle/>
    <a:p>
      <a:pPr>
        <a:defRPr sz="900">
          <a:latin typeface="Times New Roman" pitchFamily="18" charset="0"/>
          <a:cs typeface="Times New Roman" pitchFamily="18" charset="0"/>
        </a:defRPr>
      </a:pPr>
      <a:endParaRPr lang="uk-UA"/>
    </a:p>
  </c:tx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80472440944884E-2"/>
          <c:y val="2.0114210681695003E-2"/>
          <c:w val="0.93239265091863521"/>
          <c:h val="0.53298670626440303"/>
        </c:manualLayout>
      </c:layout>
      <c:barChart>
        <c:barDir val="col"/>
        <c:grouping val="clustered"/>
        <c:varyColors val="0"/>
        <c:ser>
          <c:idx val="0"/>
          <c:order val="0"/>
          <c:tx>
            <c:strRef>
              <c:f>Лист1!$B$1</c:f>
              <c:strCache>
                <c:ptCount val="1"/>
                <c:pt idx="0">
                  <c:v> Середній розмір домогосподарства (Державний комітет статистики України, 2021 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1"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м.Київ</c:v>
                </c:pt>
                <c:pt idx="25">
                  <c:v>Україна</c:v>
                </c:pt>
              </c:strCache>
            </c:strRef>
          </c:cat>
          <c:val>
            <c:numRef>
              <c:f>Лист1!$B$2:$B$27</c:f>
              <c:numCache>
                <c:formatCode>General</c:formatCode>
                <c:ptCount val="26"/>
                <c:pt idx="0">
                  <c:v>2.46</c:v>
                </c:pt>
                <c:pt idx="1">
                  <c:v>3.03</c:v>
                </c:pt>
                <c:pt idx="2">
                  <c:v>2.36</c:v>
                </c:pt>
                <c:pt idx="3">
                  <c:v>2.3199999999999998</c:v>
                </c:pt>
                <c:pt idx="4">
                  <c:v>2.4900000000000002</c:v>
                </c:pt>
                <c:pt idx="5">
                  <c:v>3.49</c:v>
                </c:pt>
                <c:pt idx="6">
                  <c:v>2.4500000000000002</c:v>
                </c:pt>
                <c:pt idx="7">
                  <c:v>2.99</c:v>
                </c:pt>
                <c:pt idx="8">
                  <c:v>2.63</c:v>
                </c:pt>
                <c:pt idx="9">
                  <c:v>2.27</c:v>
                </c:pt>
                <c:pt idx="10">
                  <c:v>2.2999999999999998</c:v>
                </c:pt>
                <c:pt idx="11">
                  <c:v>3.01</c:v>
                </c:pt>
                <c:pt idx="12">
                  <c:v>2.54</c:v>
                </c:pt>
                <c:pt idx="13">
                  <c:v>2.63</c:v>
                </c:pt>
                <c:pt idx="14">
                  <c:v>2.35</c:v>
                </c:pt>
                <c:pt idx="15">
                  <c:v>3.03</c:v>
                </c:pt>
                <c:pt idx="16">
                  <c:v>2.42</c:v>
                </c:pt>
                <c:pt idx="17">
                  <c:v>2.91</c:v>
                </c:pt>
                <c:pt idx="18">
                  <c:v>2.42</c:v>
                </c:pt>
                <c:pt idx="19">
                  <c:v>2.58</c:v>
                </c:pt>
                <c:pt idx="20">
                  <c:v>2.63</c:v>
                </c:pt>
                <c:pt idx="21">
                  <c:v>2.34</c:v>
                </c:pt>
                <c:pt idx="22">
                  <c:v>2.89</c:v>
                </c:pt>
                <c:pt idx="23">
                  <c:v>2.29</c:v>
                </c:pt>
                <c:pt idx="24">
                  <c:v>2.63</c:v>
                </c:pt>
                <c:pt idx="25">
                  <c:v>2.58</c:v>
                </c:pt>
              </c:numCache>
            </c:numRef>
          </c:val>
          <c:extLst>
            <c:ext xmlns:c16="http://schemas.microsoft.com/office/drawing/2014/chart" uri="{C3380CC4-5D6E-409C-BE32-E72D297353CC}">
              <c16:uniqueId val="{00000000-A607-4005-A1FA-B4F0C39D4594}"/>
            </c:ext>
          </c:extLst>
        </c:ser>
        <c:ser>
          <c:idx val="1"/>
          <c:order val="1"/>
          <c:tx>
            <c:strRef>
              <c:f>Лист1!$C$1</c:f>
              <c:strCache>
                <c:ptCount val="1"/>
                <c:pt idx="0">
                  <c:v>Індекс виявлених та обстежених контактів на 1 індексний випадок (паспортні анкети регіонів, 2021 р.)</c:v>
                </c:pt>
              </c:strCache>
            </c:strRef>
          </c:tx>
          <c:spPr>
            <a:solidFill>
              <a:schemeClr val="accent3"/>
            </a:solidFill>
            <a:ln>
              <a:noFill/>
            </a:ln>
            <a:effectLst/>
          </c:spPr>
          <c:invertIfNegative val="0"/>
          <c:dLbls>
            <c:dLbl>
              <c:idx val="3"/>
              <c:layout>
                <c:manualLayout>
                  <c:x val="1.5625000000000001E-3"/>
                  <c:y val="-1.640624899075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07-4005-A1FA-B4F0C39D4594}"/>
                </c:ext>
              </c:extLst>
            </c:dLbl>
            <c:dLbl>
              <c:idx val="4"/>
              <c:layout>
                <c:manualLayout>
                  <c:x val="3.4031415015517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07-4005-A1FA-B4F0C39D4594}"/>
                </c:ext>
              </c:extLst>
            </c:dLbl>
            <c:dLbl>
              <c:idx val="6"/>
              <c:layout>
                <c:manualLayout>
                  <c:x val="5.10471225232760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07-4005-A1FA-B4F0C39D4594}"/>
                </c:ext>
              </c:extLst>
            </c:dLbl>
            <c:dLbl>
              <c:idx val="10"/>
              <c:layout>
                <c:manualLayout>
                  <c:x val="5.10471225232766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07-4005-A1FA-B4F0C39D4594}"/>
                </c:ext>
              </c:extLst>
            </c:dLbl>
            <c:dLbl>
              <c:idx val="25"/>
              <c:layout>
                <c:manualLayout>
                  <c:x val="4.68749999999988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07-4005-A1FA-B4F0C39D4594}"/>
                </c:ext>
              </c:extLst>
            </c:dLbl>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rgbClr val="0070C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м.Київ</c:v>
                </c:pt>
                <c:pt idx="25">
                  <c:v>Україна</c:v>
                </c:pt>
              </c:strCache>
            </c:strRef>
          </c:cat>
          <c:val>
            <c:numRef>
              <c:f>Лист1!$C$2:$C$27</c:f>
              <c:numCache>
                <c:formatCode>General</c:formatCode>
                <c:ptCount val="26"/>
                <c:pt idx="0">
                  <c:v>1.36</c:v>
                </c:pt>
                <c:pt idx="1">
                  <c:v>1.3</c:v>
                </c:pt>
                <c:pt idx="2">
                  <c:v>2.46</c:v>
                </c:pt>
                <c:pt idx="3">
                  <c:v>2.0299999999999998</c:v>
                </c:pt>
                <c:pt idx="4">
                  <c:v>1.01</c:v>
                </c:pt>
                <c:pt idx="5">
                  <c:v>2.71</c:v>
                </c:pt>
                <c:pt idx="6">
                  <c:v>2.79</c:v>
                </c:pt>
                <c:pt idx="7">
                  <c:v>1.04</c:v>
                </c:pt>
                <c:pt idx="8">
                  <c:v>1.48</c:v>
                </c:pt>
                <c:pt idx="9">
                  <c:v>3.17</c:v>
                </c:pt>
                <c:pt idx="10">
                  <c:v>1.5</c:v>
                </c:pt>
                <c:pt idx="11">
                  <c:v>1.97</c:v>
                </c:pt>
                <c:pt idx="12">
                  <c:v>1.72</c:v>
                </c:pt>
                <c:pt idx="13">
                  <c:v>2.56</c:v>
                </c:pt>
                <c:pt idx="14">
                  <c:v>4.38</c:v>
                </c:pt>
                <c:pt idx="15">
                  <c:v>1.99</c:v>
                </c:pt>
                <c:pt idx="16">
                  <c:v>0.79</c:v>
                </c:pt>
                <c:pt idx="17">
                  <c:v>2.5299999999999998</c:v>
                </c:pt>
                <c:pt idx="18">
                  <c:v>4.18</c:v>
                </c:pt>
                <c:pt idx="19">
                  <c:v>1.96</c:v>
                </c:pt>
                <c:pt idx="20">
                  <c:v>5</c:v>
                </c:pt>
                <c:pt idx="21">
                  <c:v>0.36</c:v>
                </c:pt>
                <c:pt idx="22">
                  <c:v>1.06</c:v>
                </c:pt>
                <c:pt idx="23">
                  <c:v>1.72</c:v>
                </c:pt>
                <c:pt idx="24">
                  <c:v>2.5</c:v>
                </c:pt>
                <c:pt idx="25">
                  <c:v>2.1800000000000002</c:v>
                </c:pt>
              </c:numCache>
            </c:numRef>
          </c:val>
          <c:extLst>
            <c:ext xmlns:c16="http://schemas.microsoft.com/office/drawing/2014/chart" uri="{C3380CC4-5D6E-409C-BE32-E72D297353CC}">
              <c16:uniqueId val="{00000006-A607-4005-A1FA-B4F0C39D4594}"/>
            </c:ext>
          </c:extLst>
        </c:ser>
        <c:dLbls>
          <c:showLegendKey val="0"/>
          <c:showVal val="0"/>
          <c:showCatName val="0"/>
          <c:showSerName val="0"/>
          <c:showPercent val="0"/>
          <c:showBubbleSize val="0"/>
        </c:dLbls>
        <c:gapWidth val="219"/>
        <c:overlap val="-27"/>
        <c:axId val="379994112"/>
        <c:axId val="379995648"/>
      </c:barChart>
      <c:catAx>
        <c:axId val="3799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uk-UA"/>
          </a:p>
        </c:txPr>
        <c:crossAx val="379995648"/>
        <c:crosses val="autoZero"/>
        <c:auto val="1"/>
        <c:lblAlgn val="ctr"/>
        <c:lblOffset val="100"/>
        <c:noMultiLvlLbl val="0"/>
      </c:catAx>
      <c:valAx>
        <c:axId val="379995648"/>
        <c:scaling>
          <c:orientation val="minMax"/>
        </c:scaling>
        <c:delete val="1"/>
        <c:axPos val="l"/>
        <c:numFmt formatCode="General" sourceLinked="1"/>
        <c:majorTickMark val="none"/>
        <c:minorTickMark val="none"/>
        <c:tickLblPos val="nextTo"/>
        <c:crossAx val="379994112"/>
        <c:crosses val="autoZero"/>
        <c:crossBetween val="between"/>
      </c:valAx>
      <c:spPr>
        <a:noFill/>
        <a:ln>
          <a:noFill/>
        </a:ln>
        <a:effectLst/>
      </c:spPr>
    </c:plotArea>
    <c:legend>
      <c:legendPos val="b"/>
      <c:layout>
        <c:manualLayout>
          <c:xMode val="edge"/>
          <c:yMode val="edge"/>
          <c:x val="7.3502265515308307E-2"/>
          <c:y val="0.86628171478565186"/>
          <c:w val="0.85597679454013387"/>
          <c:h val="9.13307086614173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Діти віком до 5 років</c:v>
                </c:pt>
              </c:strCache>
            </c:strRef>
          </c:tx>
          <c:spPr>
            <a:solidFill>
              <a:schemeClr val="accent1"/>
            </a:solidFill>
            <a:ln>
              <a:noFill/>
            </a:ln>
            <a:effectLst/>
          </c:spPr>
          <c:invertIfNegative val="0"/>
          <c:dLbls>
            <c:dLbl>
              <c:idx val="0"/>
              <c:layout>
                <c:manualLayout>
                  <c:x val="-2.4154589371980675E-3"/>
                  <c:y val="4.3779637435657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87-4149-82DC-48E5053AB151}"/>
                </c:ext>
              </c:extLst>
            </c:dLbl>
            <c:dLbl>
              <c:idx val="3"/>
              <c:layout>
                <c:manualLayout>
                  <c:x val="4.8309178743961134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87-4149-82DC-48E5053AB151}"/>
                </c:ext>
              </c:extLst>
            </c:dLbl>
            <c:dLbl>
              <c:idx val="6"/>
              <c:layout>
                <c:manualLayout>
                  <c:x val="6.0386473429951248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87-4149-82DC-48E5053AB151}"/>
                </c:ext>
              </c:extLst>
            </c:dLbl>
            <c:dLbl>
              <c:idx val="7"/>
              <c:layout>
                <c:manualLayout>
                  <c:x val="3.6231884057970573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87-4149-82DC-48E5053AB151}"/>
                </c:ext>
              </c:extLst>
            </c:dLbl>
            <c:dLbl>
              <c:idx val="9"/>
              <c:layout>
                <c:manualLayout>
                  <c:x val="3.6231884057971015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87-4149-82DC-48E5053AB151}"/>
                </c:ext>
              </c:extLst>
            </c:dLbl>
            <c:dLbl>
              <c:idx val="11"/>
              <c:layout>
                <c:manualLayout>
                  <c:x val="3.6231884057971015E-3"/>
                  <c:y val="2.91864249571048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87-4149-82DC-48E5053AB151}"/>
                </c:ext>
              </c:extLst>
            </c:dLbl>
            <c:dLbl>
              <c:idx val="12"/>
              <c:layout>
                <c:manualLayout>
                  <c:x val="8.4541062801931476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87-4149-82DC-48E5053AB151}"/>
                </c:ext>
              </c:extLst>
            </c:dLbl>
            <c:dLbl>
              <c:idx val="13"/>
              <c:layout>
                <c:manualLayout>
                  <c:x val="4.830917874396135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87-4149-82DC-48E5053AB151}"/>
                </c:ext>
              </c:extLst>
            </c:dLbl>
            <c:dLbl>
              <c:idx val="15"/>
              <c:layout>
                <c:manualLayout>
                  <c:x val="7.246376811594203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87-4149-82DC-48E5053AB151}"/>
                </c:ext>
              </c:extLst>
            </c:dLbl>
            <c:dLbl>
              <c:idx val="20"/>
              <c:layout>
                <c:manualLayout>
                  <c:x val="1.2077294685990338E-3"/>
                  <c:y val="-2.0430497469973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87-4149-82DC-48E5053AB151}"/>
                </c:ext>
              </c:extLst>
            </c:dLbl>
            <c:dLbl>
              <c:idx val="21"/>
              <c:layout>
                <c:manualLayout>
                  <c:x val="4.830917874396135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87-4149-82DC-48E5053AB151}"/>
                </c:ext>
              </c:extLst>
            </c:dLbl>
            <c:dLbl>
              <c:idx val="23"/>
              <c:layout>
                <c:manualLayout>
                  <c:x val="3.6231884057971015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87-4149-82DC-48E5053AB151}"/>
                </c:ext>
              </c:extLst>
            </c:dLbl>
            <c:dLbl>
              <c:idx val="24"/>
              <c:layout>
                <c:manualLayout>
                  <c:x val="3.6231884057969241E-3"/>
                  <c:y val="-1.33769569069255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87-4149-82DC-48E5053AB151}"/>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General</c:formatCode>
                <c:ptCount val="26"/>
                <c:pt idx="0">
                  <c:v>100</c:v>
                </c:pt>
                <c:pt idx="1">
                  <c:v>100</c:v>
                </c:pt>
                <c:pt idx="2">
                  <c:v>99.3</c:v>
                </c:pt>
                <c:pt idx="3">
                  <c:v>100</c:v>
                </c:pt>
                <c:pt idx="4">
                  <c:v>100</c:v>
                </c:pt>
                <c:pt idx="5">
                  <c:v>100</c:v>
                </c:pt>
                <c:pt idx="6">
                  <c:v>100</c:v>
                </c:pt>
                <c:pt idx="7">
                  <c:v>100</c:v>
                </c:pt>
                <c:pt idx="8">
                  <c:v>87.3</c:v>
                </c:pt>
                <c:pt idx="9">
                  <c:v>100</c:v>
                </c:pt>
                <c:pt idx="10">
                  <c:v>100</c:v>
                </c:pt>
                <c:pt idx="11">
                  <c:v>72.400000000000006</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98.3</c:v>
                </c:pt>
              </c:numCache>
            </c:numRef>
          </c:val>
          <c:extLst>
            <c:ext xmlns:c16="http://schemas.microsoft.com/office/drawing/2014/chart" uri="{C3380CC4-5D6E-409C-BE32-E72D297353CC}">
              <c16:uniqueId val="{0000000D-D787-4149-82DC-48E5053AB151}"/>
            </c:ext>
          </c:extLst>
        </c:ser>
        <c:ser>
          <c:idx val="1"/>
          <c:order val="1"/>
          <c:tx>
            <c:strRef>
              <c:f>Аркуш1!$C$1</c:f>
              <c:strCache>
                <c:ptCount val="1"/>
                <c:pt idx="0">
                  <c:v>Усі вікові групи</c:v>
                </c:pt>
              </c:strCache>
            </c:strRef>
          </c:tx>
          <c:spPr>
            <a:solidFill>
              <a:schemeClr val="accent3"/>
            </a:solidFill>
            <a:ln>
              <a:noFill/>
            </a:ln>
            <a:effectLst/>
          </c:spPr>
          <c:invertIfNegative val="0"/>
          <c:dLbls>
            <c:dLbl>
              <c:idx val="1"/>
              <c:layout>
                <c:manualLayout>
                  <c:x val="-1.1070725572191297E-17"/>
                  <c:y val="2.9186424957105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87-4149-82DC-48E5053AB151}"/>
                </c:ext>
              </c:extLst>
            </c:dLbl>
            <c:dLbl>
              <c:idx val="2"/>
              <c:layout>
                <c:manualLayout>
                  <c:x val="2.4154589371980454E-3"/>
                  <c:y val="2.6267782461394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87-4149-82DC-48E5053AB151}"/>
                </c:ext>
              </c:extLst>
            </c:dLbl>
            <c:dLbl>
              <c:idx val="3"/>
              <c:delete val="1"/>
              <c:extLst>
                <c:ext xmlns:c15="http://schemas.microsoft.com/office/drawing/2012/chart" uri="{CE6537A1-D6FC-4f65-9D91-7224C49458BB}"/>
                <c:ext xmlns:c16="http://schemas.microsoft.com/office/drawing/2014/chart" uri="{C3380CC4-5D6E-409C-BE32-E72D297353CC}">
                  <c16:uniqueId val="{00000010-D787-4149-82DC-48E5053AB151}"/>
                </c:ext>
              </c:extLst>
            </c:dLbl>
            <c:dLbl>
              <c:idx val="4"/>
              <c:layout>
                <c:manualLayout>
                  <c:x val="0"/>
                  <c:y val="2.6267782461394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87-4149-82DC-48E5053AB151}"/>
                </c:ext>
              </c:extLst>
            </c:dLbl>
            <c:dLbl>
              <c:idx val="5"/>
              <c:layout>
                <c:manualLayout>
                  <c:x val="2.4154589371980675E-3"/>
                  <c:y val="2.6267782461394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787-4149-82DC-48E5053AB151}"/>
                </c:ext>
              </c:extLst>
            </c:dLbl>
            <c:dLbl>
              <c:idx val="6"/>
              <c:delete val="1"/>
              <c:extLst>
                <c:ext xmlns:c15="http://schemas.microsoft.com/office/drawing/2012/chart" uri="{CE6537A1-D6FC-4f65-9D91-7224C49458BB}"/>
                <c:ext xmlns:c16="http://schemas.microsoft.com/office/drawing/2014/chart" uri="{C3380CC4-5D6E-409C-BE32-E72D297353CC}">
                  <c16:uniqueId val="{00000013-D787-4149-82DC-48E5053AB151}"/>
                </c:ext>
              </c:extLst>
            </c:dLbl>
            <c:dLbl>
              <c:idx val="7"/>
              <c:delete val="1"/>
              <c:extLst>
                <c:ext xmlns:c15="http://schemas.microsoft.com/office/drawing/2012/chart" uri="{CE6537A1-D6FC-4f65-9D91-7224C49458BB}"/>
                <c:ext xmlns:c16="http://schemas.microsoft.com/office/drawing/2014/chart" uri="{C3380CC4-5D6E-409C-BE32-E72D297353CC}">
                  <c16:uniqueId val="{00000014-D787-4149-82DC-48E5053AB151}"/>
                </c:ext>
              </c:extLst>
            </c:dLbl>
            <c:dLbl>
              <c:idx val="9"/>
              <c:delete val="1"/>
              <c:extLst>
                <c:ext xmlns:c15="http://schemas.microsoft.com/office/drawing/2012/chart" uri="{CE6537A1-D6FC-4f65-9D91-7224C49458BB}"/>
                <c:ext xmlns:c16="http://schemas.microsoft.com/office/drawing/2014/chart" uri="{C3380CC4-5D6E-409C-BE32-E72D297353CC}">
                  <c16:uniqueId val="{00000015-D787-4149-82DC-48E5053AB151}"/>
                </c:ext>
              </c:extLst>
            </c:dLbl>
            <c:dLbl>
              <c:idx val="10"/>
              <c:layout>
                <c:manualLayout>
                  <c:x val="0"/>
                  <c:y val="2.9186424957105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787-4149-82DC-48E5053AB151}"/>
                </c:ext>
              </c:extLst>
            </c:dLbl>
            <c:dLbl>
              <c:idx val="12"/>
              <c:delete val="1"/>
              <c:extLst>
                <c:ext xmlns:c15="http://schemas.microsoft.com/office/drawing/2012/chart" uri="{CE6537A1-D6FC-4f65-9D91-7224C49458BB}"/>
                <c:ext xmlns:c16="http://schemas.microsoft.com/office/drawing/2014/chart" uri="{C3380CC4-5D6E-409C-BE32-E72D297353CC}">
                  <c16:uniqueId val="{00000017-D787-4149-82DC-48E5053AB151}"/>
                </c:ext>
              </c:extLst>
            </c:dLbl>
            <c:dLbl>
              <c:idx val="13"/>
              <c:delete val="1"/>
              <c:extLst>
                <c:ext xmlns:c15="http://schemas.microsoft.com/office/drawing/2012/chart" uri="{CE6537A1-D6FC-4f65-9D91-7224C49458BB}"/>
                <c:ext xmlns:c16="http://schemas.microsoft.com/office/drawing/2014/chart" uri="{C3380CC4-5D6E-409C-BE32-E72D297353CC}">
                  <c16:uniqueId val="{00000018-D787-4149-82DC-48E5053AB151}"/>
                </c:ext>
              </c:extLst>
            </c:dLbl>
            <c:dLbl>
              <c:idx val="14"/>
              <c:layout>
                <c:manualLayout>
                  <c:x val="1.2077294685989453E-3"/>
                  <c:y val="4.086099493994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787-4149-82DC-48E5053AB151}"/>
                </c:ext>
              </c:extLst>
            </c:dLbl>
            <c:dLbl>
              <c:idx val="15"/>
              <c:delete val="1"/>
              <c:extLst>
                <c:ext xmlns:c15="http://schemas.microsoft.com/office/drawing/2012/chart" uri="{CE6537A1-D6FC-4f65-9D91-7224C49458BB}"/>
                <c:ext xmlns:c16="http://schemas.microsoft.com/office/drawing/2014/chart" uri="{C3380CC4-5D6E-409C-BE32-E72D297353CC}">
                  <c16:uniqueId val="{0000001A-D787-4149-82DC-48E5053AB151}"/>
                </c:ext>
              </c:extLst>
            </c:dLbl>
            <c:dLbl>
              <c:idx val="16"/>
              <c:layout>
                <c:manualLayout>
                  <c:x val="2.4154589371980675E-3"/>
                  <c:y val="1.7511854974263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787-4149-82DC-48E5053AB151}"/>
                </c:ext>
              </c:extLst>
            </c:dLbl>
            <c:dLbl>
              <c:idx val="19"/>
              <c:layout>
                <c:manualLayout>
                  <c:x val="2.415458937197979E-3"/>
                  <c:y val="2.6267782461394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787-4149-82DC-48E5053AB151}"/>
                </c:ext>
              </c:extLst>
            </c:dLbl>
            <c:dLbl>
              <c:idx val="20"/>
              <c:layout>
                <c:manualLayout>
                  <c:x val="2.4154589371980675E-3"/>
                  <c:y val="2.0430497469973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787-4149-82DC-48E5053AB151}"/>
                </c:ext>
              </c:extLst>
            </c:dLbl>
            <c:dLbl>
              <c:idx val="21"/>
              <c:delete val="1"/>
              <c:extLst>
                <c:ext xmlns:c15="http://schemas.microsoft.com/office/drawing/2012/chart" uri="{CE6537A1-D6FC-4f65-9D91-7224C49458BB}"/>
                <c:ext xmlns:c16="http://schemas.microsoft.com/office/drawing/2014/chart" uri="{C3380CC4-5D6E-409C-BE32-E72D297353CC}">
                  <c16:uniqueId val="{0000001E-D787-4149-82DC-48E5053AB151}"/>
                </c:ext>
              </c:extLst>
            </c:dLbl>
            <c:dLbl>
              <c:idx val="23"/>
              <c:delete val="1"/>
              <c:extLst>
                <c:ext xmlns:c15="http://schemas.microsoft.com/office/drawing/2012/chart" uri="{CE6537A1-D6FC-4f65-9D91-7224C49458BB}"/>
                <c:ext xmlns:c16="http://schemas.microsoft.com/office/drawing/2014/chart" uri="{C3380CC4-5D6E-409C-BE32-E72D297353CC}">
                  <c16:uniqueId val="{0000001F-D787-4149-82DC-48E5053AB151}"/>
                </c:ext>
              </c:extLst>
            </c:dLbl>
            <c:dLbl>
              <c:idx val="24"/>
              <c:delete val="1"/>
              <c:extLst>
                <c:ext xmlns:c15="http://schemas.microsoft.com/office/drawing/2012/chart" uri="{CE6537A1-D6FC-4f65-9D91-7224C49458BB}"/>
                <c:ext xmlns:c16="http://schemas.microsoft.com/office/drawing/2014/chart" uri="{C3380CC4-5D6E-409C-BE32-E72D297353CC}">
                  <c16:uniqueId val="{00000020-D787-4149-82DC-48E5053AB151}"/>
                </c:ext>
              </c:extLst>
            </c:dLbl>
            <c:dLbl>
              <c:idx val="25"/>
              <c:layout>
                <c:manualLayout>
                  <c:x val="2.4154589371980675E-3"/>
                  <c:y val="1.7511854974263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787-4149-82DC-48E5053AB151}"/>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Аркуш1!$C$2:$C$27</c:f>
              <c:numCache>
                <c:formatCode>General</c:formatCode>
                <c:ptCount val="26"/>
                <c:pt idx="0">
                  <c:v>99.6</c:v>
                </c:pt>
                <c:pt idx="1">
                  <c:v>99</c:v>
                </c:pt>
                <c:pt idx="2">
                  <c:v>88</c:v>
                </c:pt>
                <c:pt idx="3">
                  <c:v>95.2</c:v>
                </c:pt>
                <c:pt idx="4">
                  <c:v>100</c:v>
                </c:pt>
                <c:pt idx="5">
                  <c:v>98.7</c:v>
                </c:pt>
                <c:pt idx="6">
                  <c:v>85.6</c:v>
                </c:pt>
                <c:pt idx="7">
                  <c:v>92.5</c:v>
                </c:pt>
                <c:pt idx="8">
                  <c:v>99.4</c:v>
                </c:pt>
                <c:pt idx="9">
                  <c:v>100</c:v>
                </c:pt>
                <c:pt idx="10">
                  <c:v>96.6</c:v>
                </c:pt>
                <c:pt idx="11">
                  <c:v>95.2</c:v>
                </c:pt>
                <c:pt idx="12">
                  <c:v>98.5</c:v>
                </c:pt>
                <c:pt idx="13">
                  <c:v>97.6</c:v>
                </c:pt>
                <c:pt idx="14">
                  <c:v>78</c:v>
                </c:pt>
                <c:pt idx="15">
                  <c:v>100</c:v>
                </c:pt>
                <c:pt idx="16">
                  <c:v>100</c:v>
                </c:pt>
                <c:pt idx="17">
                  <c:v>94.2</c:v>
                </c:pt>
                <c:pt idx="18">
                  <c:v>98.5</c:v>
                </c:pt>
                <c:pt idx="19">
                  <c:v>97.4</c:v>
                </c:pt>
                <c:pt idx="20">
                  <c:v>99.2</c:v>
                </c:pt>
                <c:pt idx="21">
                  <c:v>93.5</c:v>
                </c:pt>
                <c:pt idx="22">
                  <c:v>100</c:v>
                </c:pt>
                <c:pt idx="23">
                  <c:v>95.6</c:v>
                </c:pt>
                <c:pt idx="24">
                  <c:v>100</c:v>
                </c:pt>
                <c:pt idx="25">
                  <c:v>94.7</c:v>
                </c:pt>
              </c:numCache>
            </c:numRef>
          </c:val>
          <c:extLst>
            <c:ext xmlns:c16="http://schemas.microsoft.com/office/drawing/2014/chart" uri="{C3380CC4-5D6E-409C-BE32-E72D297353CC}">
              <c16:uniqueId val="{00000022-D787-4149-82DC-48E5053AB151}"/>
            </c:ext>
          </c:extLst>
        </c:ser>
        <c:dLbls>
          <c:showLegendKey val="0"/>
          <c:showVal val="0"/>
          <c:showCatName val="0"/>
          <c:showSerName val="0"/>
          <c:showPercent val="0"/>
          <c:showBubbleSize val="0"/>
        </c:dLbls>
        <c:gapWidth val="169"/>
        <c:overlap val="-27"/>
        <c:axId val="377177216"/>
        <c:axId val="377178752"/>
      </c:barChart>
      <c:catAx>
        <c:axId val="3771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uk-UA"/>
          </a:p>
        </c:txPr>
        <c:crossAx val="377178752"/>
        <c:crosses val="autoZero"/>
        <c:auto val="1"/>
        <c:lblAlgn val="ctr"/>
        <c:lblOffset val="100"/>
        <c:noMultiLvlLbl val="0"/>
      </c:catAx>
      <c:valAx>
        <c:axId val="377178752"/>
        <c:scaling>
          <c:orientation val="minMax"/>
        </c:scaling>
        <c:delete val="1"/>
        <c:axPos val="l"/>
        <c:numFmt formatCode="General" sourceLinked="1"/>
        <c:majorTickMark val="none"/>
        <c:minorTickMark val="none"/>
        <c:tickLblPos val="nextTo"/>
        <c:crossAx val="377177216"/>
        <c:crosses val="autoZero"/>
        <c:crossBetween val="between"/>
      </c:valAx>
      <c:spPr>
        <a:noFill/>
        <a:ln>
          <a:noFill/>
        </a:ln>
        <a:effectLst/>
      </c:spPr>
    </c:plotArea>
    <c:legend>
      <c:legendPos val="b"/>
      <c:layout>
        <c:manualLayout>
          <c:xMode val="edge"/>
          <c:yMode val="edge"/>
          <c:x val="0.15197752155004568"/>
          <c:y val="0.88242079742558066"/>
          <c:w val="0.68821643910856789"/>
          <c:h val="8.102220993530140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Вінницька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61.3</c:v>
                </c:pt>
                <c:pt idx="1">
                  <c:v>50.2</c:v>
                </c:pt>
                <c:pt idx="2">
                  <c:v>52.7</c:v>
                </c:pt>
                <c:pt idx="3">
                  <c:v>55.9</c:v>
                </c:pt>
                <c:pt idx="4">
                  <c:v>33.9</c:v>
                </c:pt>
                <c:pt idx="5">
                  <c:v>26.5</c:v>
                </c:pt>
              </c:numCache>
            </c:numRef>
          </c:val>
          <c:smooth val="0"/>
          <c:extLst>
            <c:ext xmlns:c16="http://schemas.microsoft.com/office/drawing/2014/chart" uri="{C3380CC4-5D6E-409C-BE32-E72D297353CC}">
              <c16:uniqueId val="{00000000-D280-4EDB-B9BF-6DE8331CD9F0}"/>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Нові випадки</c:v>
                </c:pt>
              </c:strCache>
            </c:strRef>
          </c:tx>
          <c:spPr>
            <a:solidFill>
              <a:schemeClr val="accent1">
                <a:lumMod val="60000"/>
                <a:lumOff val="40000"/>
              </a:schemeClr>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67</c:v>
                </c:pt>
                <c:pt idx="1">
                  <c:v>65</c:v>
                </c:pt>
                <c:pt idx="2">
                  <c:v>61</c:v>
                </c:pt>
                <c:pt idx="3">
                  <c:v>67</c:v>
                </c:pt>
                <c:pt idx="4">
                  <c:v>70</c:v>
                </c:pt>
                <c:pt idx="5">
                  <c:v>71</c:v>
                </c:pt>
              </c:numCache>
            </c:numRef>
          </c:val>
          <c:extLst>
            <c:ext xmlns:c16="http://schemas.microsoft.com/office/drawing/2014/chart" uri="{C3380CC4-5D6E-409C-BE32-E72D297353CC}">
              <c16:uniqueId val="{00000000-8EBF-4388-99A5-94F80DED85E5}"/>
            </c:ext>
          </c:extLst>
        </c:ser>
        <c:ser>
          <c:idx val="1"/>
          <c:order val="1"/>
          <c:tx>
            <c:strRef>
              <c:f>Лист1!$C$1</c:f>
              <c:strCache>
                <c:ptCount val="1"/>
                <c:pt idx="0">
                  <c:v>Повторні випадки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77</c:v>
                </c:pt>
                <c:pt idx="1">
                  <c:v>78</c:v>
                </c:pt>
                <c:pt idx="2">
                  <c:v>78</c:v>
                </c:pt>
                <c:pt idx="3">
                  <c:v>81</c:v>
                </c:pt>
                <c:pt idx="4">
                  <c:v>80</c:v>
                </c:pt>
                <c:pt idx="5">
                  <c:v>81</c:v>
                </c:pt>
              </c:numCache>
            </c:numRef>
          </c:val>
          <c:extLst>
            <c:ext xmlns:c16="http://schemas.microsoft.com/office/drawing/2014/chart" uri="{C3380CC4-5D6E-409C-BE32-E72D297353CC}">
              <c16:uniqueId val="{00000001-8EBF-4388-99A5-94F80DED85E5}"/>
            </c:ext>
          </c:extLst>
        </c:ser>
        <c:dLbls>
          <c:showLegendKey val="0"/>
          <c:showVal val="0"/>
          <c:showCatName val="0"/>
          <c:showSerName val="0"/>
          <c:showPercent val="0"/>
          <c:showBubbleSize val="0"/>
        </c:dLbls>
        <c:gapWidth val="219"/>
        <c:overlap val="-27"/>
        <c:axId val="461216176"/>
        <c:axId val="461215848"/>
      </c:barChart>
      <c:catAx>
        <c:axId val="46121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61215848"/>
        <c:crosses val="autoZero"/>
        <c:auto val="1"/>
        <c:lblAlgn val="ctr"/>
        <c:lblOffset val="100"/>
        <c:noMultiLvlLbl val="0"/>
      </c:catAx>
      <c:valAx>
        <c:axId val="461215848"/>
        <c:scaling>
          <c:orientation val="minMax"/>
        </c:scaling>
        <c:delete val="1"/>
        <c:axPos val="l"/>
        <c:numFmt formatCode="General" sourceLinked="1"/>
        <c:majorTickMark val="none"/>
        <c:minorTickMark val="none"/>
        <c:tickLblPos val="nextTo"/>
        <c:crossAx val="46121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Аркуш1!$B$2:$B$8</c:f>
              <c:numCache>
                <c:formatCode>General</c:formatCode>
                <c:ptCount val="7"/>
                <c:pt idx="0">
                  <c:v>88.7</c:v>
                </c:pt>
                <c:pt idx="1">
                  <c:v>91.9</c:v>
                </c:pt>
                <c:pt idx="2">
                  <c:v>92.1</c:v>
                </c:pt>
                <c:pt idx="3">
                  <c:v>82.7</c:v>
                </c:pt>
                <c:pt idx="4">
                  <c:v>85.6</c:v>
                </c:pt>
                <c:pt idx="5">
                  <c:v>75.5</c:v>
                </c:pt>
                <c:pt idx="6">
                  <c:v>62.5</c:v>
                </c:pt>
              </c:numCache>
            </c:numRef>
          </c:val>
          <c:smooth val="0"/>
          <c:extLst>
            <c:ext xmlns:c16="http://schemas.microsoft.com/office/drawing/2014/chart" uri="{C3380CC4-5D6E-409C-BE32-E72D297353CC}">
              <c16:uniqueId val="{00000000-D08E-4826-80D6-948C95309141}"/>
            </c:ext>
          </c:extLst>
        </c:ser>
        <c:dLbls>
          <c:showLegendKey val="0"/>
          <c:showVal val="0"/>
          <c:showCatName val="0"/>
          <c:showSerName val="0"/>
          <c:showPercent val="0"/>
          <c:showBubbleSize val="0"/>
        </c:dLbls>
        <c:marker val="1"/>
        <c:smooth val="0"/>
        <c:axId val="442081872"/>
        <c:axId val="442085480"/>
      </c:lineChart>
      <c:catAx>
        <c:axId val="4420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2085480"/>
        <c:crosses val="autoZero"/>
        <c:auto val="1"/>
        <c:lblAlgn val="ctr"/>
        <c:lblOffset val="100"/>
        <c:noMultiLvlLbl val="0"/>
      </c:catAx>
      <c:valAx>
        <c:axId val="442085480"/>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208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Аркуш1!$B$1</c:f>
              <c:strCache>
                <c:ptCount val="1"/>
                <c:pt idx="0">
                  <c:v>Кількість місць для госпіталізації (ф. №47-здоров "Звіт про мережу та діяльність медичних закладів")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Аркуш1!$B$2:$B$8</c:f>
              <c:numCache>
                <c:formatCode>General</c:formatCode>
                <c:ptCount val="7"/>
                <c:pt idx="0">
                  <c:v>15199</c:v>
                </c:pt>
                <c:pt idx="1">
                  <c:v>14548</c:v>
                </c:pt>
                <c:pt idx="2">
                  <c:v>13848</c:v>
                </c:pt>
                <c:pt idx="3">
                  <c:v>12133</c:v>
                </c:pt>
                <c:pt idx="4">
                  <c:v>11111</c:v>
                </c:pt>
                <c:pt idx="5">
                  <c:v>6494</c:v>
                </c:pt>
                <c:pt idx="6">
                  <c:v>4694</c:v>
                </c:pt>
              </c:numCache>
            </c:numRef>
          </c:val>
          <c:smooth val="0"/>
          <c:extLst>
            <c:ext xmlns:c16="http://schemas.microsoft.com/office/drawing/2014/chart" uri="{C3380CC4-5D6E-409C-BE32-E72D297353CC}">
              <c16:uniqueId val="{00000000-9552-4C24-827F-BB9E6AB6072A}"/>
            </c:ext>
          </c:extLst>
        </c:ser>
        <c:ser>
          <c:idx val="1"/>
          <c:order val="1"/>
          <c:tx>
            <c:strRef>
              <c:f>Аркуш1!$C$1</c:f>
              <c:strCache>
                <c:ptCount val="1"/>
                <c:pt idx="0">
                  <c:v>Кількість лікарів фтизіатрів (ф. №17 "звіт про медичні кадри")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Аркуш1!$A$2:$A$8</c:f>
              <c:numCache>
                <c:formatCode>General</c:formatCode>
                <c:ptCount val="7"/>
                <c:pt idx="0">
                  <c:v>2015</c:v>
                </c:pt>
                <c:pt idx="1">
                  <c:v>2016</c:v>
                </c:pt>
                <c:pt idx="2">
                  <c:v>2017</c:v>
                </c:pt>
                <c:pt idx="3">
                  <c:v>2018</c:v>
                </c:pt>
                <c:pt idx="4">
                  <c:v>2019</c:v>
                </c:pt>
                <c:pt idx="5">
                  <c:v>2020</c:v>
                </c:pt>
                <c:pt idx="6">
                  <c:v>2021</c:v>
                </c:pt>
              </c:numCache>
            </c:numRef>
          </c:cat>
          <c:val>
            <c:numRef>
              <c:f>Аркуш1!$C$2:$C$8</c:f>
              <c:numCache>
                <c:formatCode>General</c:formatCode>
                <c:ptCount val="7"/>
                <c:pt idx="0">
                  <c:v>2243</c:v>
                </c:pt>
                <c:pt idx="1">
                  <c:v>2188</c:v>
                </c:pt>
                <c:pt idx="2">
                  <c:v>2186</c:v>
                </c:pt>
                <c:pt idx="3">
                  <c:v>2142</c:v>
                </c:pt>
                <c:pt idx="4">
                  <c:v>2131</c:v>
                </c:pt>
                <c:pt idx="5">
                  <c:v>1541</c:v>
                </c:pt>
                <c:pt idx="6">
                  <c:v>1235</c:v>
                </c:pt>
              </c:numCache>
            </c:numRef>
          </c:val>
          <c:smooth val="0"/>
          <c:extLst>
            <c:ext xmlns:c16="http://schemas.microsoft.com/office/drawing/2014/chart" uri="{C3380CC4-5D6E-409C-BE32-E72D297353CC}">
              <c16:uniqueId val="{00000001-9552-4C24-827F-BB9E6AB6072A}"/>
            </c:ext>
          </c:extLst>
        </c:ser>
        <c:dLbls>
          <c:showLegendKey val="0"/>
          <c:showVal val="0"/>
          <c:showCatName val="0"/>
          <c:showSerName val="0"/>
          <c:showPercent val="0"/>
          <c:showBubbleSize val="0"/>
        </c:dLbls>
        <c:marker val="1"/>
        <c:smooth val="0"/>
        <c:axId val="441247784"/>
        <c:axId val="441240896"/>
      </c:lineChart>
      <c:catAx>
        <c:axId val="44124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1240896"/>
        <c:crosses val="autoZero"/>
        <c:auto val="1"/>
        <c:lblAlgn val="ctr"/>
        <c:lblOffset val="100"/>
        <c:noMultiLvlLbl val="0"/>
      </c:catAx>
      <c:valAx>
        <c:axId val="44124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124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513614569128581E-2"/>
          <c:y val="5.7281188839834324E-2"/>
          <c:w val="0.96341751277800802"/>
          <c:h val="0.61872847541456155"/>
        </c:manualLayout>
      </c:layout>
      <c:barChart>
        <c:barDir val="col"/>
        <c:grouping val="clustered"/>
        <c:varyColors val="0"/>
        <c:ser>
          <c:idx val="0"/>
          <c:order val="0"/>
          <c:tx>
            <c:strRef>
              <c:f>Аркуш1!$B$1</c:f>
              <c:strCache>
                <c:ptCount val="1"/>
                <c:pt idx="0">
                  <c:v>питома вага випадків ТБ, які розпочали лікування амбулаторно з 1-го дня,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0.00%</c:formatCode>
                <c:ptCount val="26"/>
                <c:pt idx="0">
                  <c:v>0.33700000000000002</c:v>
                </c:pt>
                <c:pt idx="1">
                  <c:v>0.371</c:v>
                </c:pt>
                <c:pt idx="2">
                  <c:v>0.62</c:v>
                </c:pt>
                <c:pt idx="3">
                  <c:v>0.624</c:v>
                </c:pt>
                <c:pt idx="4">
                  <c:v>0.27100000000000002</c:v>
                </c:pt>
                <c:pt idx="5">
                  <c:v>0.45800000000000002</c:v>
                </c:pt>
                <c:pt idx="6">
                  <c:v>0.35299999999999998</c:v>
                </c:pt>
                <c:pt idx="7">
                  <c:v>0.29399999999999998</c:v>
                </c:pt>
                <c:pt idx="8">
                  <c:v>0.434</c:v>
                </c:pt>
                <c:pt idx="9">
                  <c:v>0.41899999999999998</c:v>
                </c:pt>
                <c:pt idx="10">
                  <c:v>0.60399999999999998</c:v>
                </c:pt>
                <c:pt idx="11">
                  <c:v>0.38700000000000001</c:v>
                </c:pt>
                <c:pt idx="12">
                  <c:v>0.40200000000000002</c:v>
                </c:pt>
                <c:pt idx="13">
                  <c:v>0.77100000000000002</c:v>
                </c:pt>
                <c:pt idx="14">
                  <c:v>0.57199999999999995</c:v>
                </c:pt>
                <c:pt idx="15">
                  <c:v>0.23799999999999999</c:v>
                </c:pt>
                <c:pt idx="16">
                  <c:v>0.86699999999999999</c:v>
                </c:pt>
                <c:pt idx="17">
                  <c:v>0.219</c:v>
                </c:pt>
                <c:pt idx="18">
                  <c:v>0.35199999999999998</c:v>
                </c:pt>
                <c:pt idx="19">
                  <c:v>0.35899999999999999</c:v>
                </c:pt>
                <c:pt idx="20">
                  <c:v>0.372</c:v>
                </c:pt>
                <c:pt idx="21">
                  <c:v>0.19900000000000001</c:v>
                </c:pt>
                <c:pt idx="22">
                  <c:v>0.245</c:v>
                </c:pt>
                <c:pt idx="23">
                  <c:v>0.59499999999999997</c:v>
                </c:pt>
                <c:pt idx="24">
                  <c:v>0.67800000000000005</c:v>
                </c:pt>
                <c:pt idx="25">
                  <c:v>0.51</c:v>
                </c:pt>
              </c:numCache>
            </c:numRef>
          </c:val>
          <c:extLst>
            <c:ext xmlns:c16="http://schemas.microsoft.com/office/drawing/2014/chart" uri="{C3380CC4-5D6E-409C-BE32-E72D297353CC}">
              <c16:uniqueId val="{00000000-C8A3-4A18-B4BE-B5EC2FFB6D17}"/>
            </c:ext>
          </c:extLst>
        </c:ser>
        <c:ser>
          <c:idx val="1"/>
          <c:order val="1"/>
          <c:tx>
            <c:strRef>
              <c:f>Аркуш1!$C$1</c:f>
              <c:strCache>
                <c:ptCount val="1"/>
                <c:pt idx="0">
                  <c:v>питома вага випадків Риф/МЛС-ТБ, які розпочали лікування амбулаторно з 1-го дня,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3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Аркуш1!$C$2:$C$27</c:f>
              <c:numCache>
                <c:formatCode>0.00%</c:formatCode>
                <c:ptCount val="26"/>
                <c:pt idx="0">
                  <c:v>5.8000000000000003E-2</c:v>
                </c:pt>
                <c:pt idx="1">
                  <c:v>9.7000000000000003E-2</c:v>
                </c:pt>
                <c:pt idx="2">
                  <c:v>0.121</c:v>
                </c:pt>
                <c:pt idx="3">
                  <c:v>0.29299999999999998</c:v>
                </c:pt>
                <c:pt idx="4">
                  <c:v>2.1000000000000001E-2</c:v>
                </c:pt>
                <c:pt idx="5">
                  <c:v>0.16400000000000001</c:v>
                </c:pt>
                <c:pt idx="6">
                  <c:v>0.217</c:v>
                </c:pt>
                <c:pt idx="7">
                  <c:v>5.3999999999999999E-2</c:v>
                </c:pt>
                <c:pt idx="8">
                  <c:v>0.251</c:v>
                </c:pt>
                <c:pt idx="9">
                  <c:v>0.29599999999999999</c:v>
                </c:pt>
                <c:pt idx="10">
                  <c:v>0.69899999999999995</c:v>
                </c:pt>
                <c:pt idx="11">
                  <c:v>0.16700000000000001</c:v>
                </c:pt>
                <c:pt idx="12">
                  <c:v>0.16800000000000001</c:v>
                </c:pt>
                <c:pt idx="13">
                  <c:v>0.54400000000000004</c:v>
                </c:pt>
                <c:pt idx="14">
                  <c:v>0.32500000000000001</c:v>
                </c:pt>
                <c:pt idx="15">
                  <c:v>0.08</c:v>
                </c:pt>
                <c:pt idx="16">
                  <c:v>0.67800000000000005</c:v>
                </c:pt>
                <c:pt idx="17">
                  <c:v>0</c:v>
                </c:pt>
                <c:pt idx="18">
                  <c:v>3.7999999999999999E-2</c:v>
                </c:pt>
                <c:pt idx="19">
                  <c:v>9.9000000000000005E-2</c:v>
                </c:pt>
                <c:pt idx="20">
                  <c:v>0.05</c:v>
                </c:pt>
                <c:pt idx="21">
                  <c:v>9.4E-2</c:v>
                </c:pt>
                <c:pt idx="22">
                  <c:v>8.2000000000000003E-2</c:v>
                </c:pt>
                <c:pt idx="23">
                  <c:v>0.129</c:v>
                </c:pt>
                <c:pt idx="24">
                  <c:v>0.47199999999999998</c:v>
                </c:pt>
                <c:pt idx="25">
                  <c:v>0.23699999999999999</c:v>
                </c:pt>
              </c:numCache>
            </c:numRef>
          </c:val>
          <c:extLst>
            <c:ext xmlns:c16="http://schemas.microsoft.com/office/drawing/2014/chart" uri="{C3380CC4-5D6E-409C-BE32-E72D297353CC}">
              <c16:uniqueId val="{00000001-C8A3-4A18-B4BE-B5EC2FFB6D17}"/>
            </c:ext>
          </c:extLst>
        </c:ser>
        <c:dLbls>
          <c:showLegendKey val="0"/>
          <c:showVal val="0"/>
          <c:showCatName val="0"/>
          <c:showSerName val="0"/>
          <c:showPercent val="0"/>
          <c:showBubbleSize val="0"/>
        </c:dLbls>
        <c:gapWidth val="219"/>
        <c:overlap val="-27"/>
        <c:axId val="379848576"/>
        <c:axId val="379850112"/>
      </c:barChart>
      <c:catAx>
        <c:axId val="3798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uk-UA"/>
          </a:p>
        </c:txPr>
        <c:crossAx val="379850112"/>
        <c:crosses val="autoZero"/>
        <c:auto val="1"/>
        <c:lblAlgn val="ctr"/>
        <c:lblOffset val="100"/>
        <c:noMultiLvlLbl val="0"/>
      </c:catAx>
      <c:valAx>
        <c:axId val="379850112"/>
        <c:scaling>
          <c:orientation val="minMax"/>
        </c:scaling>
        <c:delete val="1"/>
        <c:axPos val="l"/>
        <c:numFmt formatCode="0.00%" sourceLinked="1"/>
        <c:majorTickMark val="none"/>
        <c:minorTickMark val="none"/>
        <c:tickLblPos val="nextTo"/>
        <c:crossAx val="379848576"/>
        <c:crosses val="autoZero"/>
        <c:crossBetween val="between"/>
      </c:valAx>
      <c:spPr>
        <a:noFill/>
        <a:ln>
          <a:noFill/>
        </a:ln>
        <a:effectLst/>
      </c:spPr>
    </c:plotArea>
    <c:legend>
      <c:legendPos val="b"/>
      <c:layout>
        <c:manualLayout>
          <c:xMode val="edge"/>
          <c:yMode val="edge"/>
          <c:x val="8.2089437427679685E-2"/>
          <c:y val="0.84665392259493577"/>
          <c:w val="0.74228547767010311"/>
          <c:h val="0.143712166037048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404974683951769E-2"/>
          <c:y val="4.4138893755870295E-2"/>
          <c:w val="0.98321437641393483"/>
          <c:h val="0.65263635606389181"/>
        </c:manualLayout>
      </c:layout>
      <c:barChart>
        <c:barDir val="col"/>
        <c:grouping val="clustered"/>
        <c:varyColors val="0"/>
        <c:ser>
          <c:idx val="0"/>
          <c:order val="0"/>
          <c:tx>
            <c:strRef>
              <c:f>Аркуш1!$B$1</c:f>
              <c:strCache>
                <c:ptCount val="1"/>
                <c:pt idx="0">
                  <c:v>Частка пацієнтів з ТБ, які отримували VOT,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Аркуш1!$B$2:$B$27</c:f>
              <c:numCache>
                <c:formatCode>0.00%</c:formatCode>
                <c:ptCount val="26"/>
                <c:pt idx="0">
                  <c:v>0.13900000000000001</c:v>
                </c:pt>
                <c:pt idx="1">
                  <c:v>0.38100000000000001</c:v>
                </c:pt>
                <c:pt idx="2">
                  <c:v>0.26900000000000002</c:v>
                </c:pt>
                <c:pt idx="3">
                  <c:v>0.49299999999999999</c:v>
                </c:pt>
                <c:pt idx="4">
                  <c:v>0.151</c:v>
                </c:pt>
                <c:pt idx="5">
                  <c:v>3.1E-2</c:v>
                </c:pt>
                <c:pt idx="6">
                  <c:v>9.0999999999999998E-2</c:v>
                </c:pt>
                <c:pt idx="7">
                  <c:v>0.158</c:v>
                </c:pt>
                <c:pt idx="8">
                  <c:v>0.62</c:v>
                </c:pt>
                <c:pt idx="9">
                  <c:v>0.17699999999999999</c:v>
                </c:pt>
                <c:pt idx="10">
                  <c:v>5.2999999999999999E-2</c:v>
                </c:pt>
                <c:pt idx="11">
                  <c:v>0.73</c:v>
                </c:pt>
                <c:pt idx="12">
                  <c:v>4.2999999999999997E-2</c:v>
                </c:pt>
                <c:pt idx="13">
                  <c:v>0.753</c:v>
                </c:pt>
                <c:pt idx="14">
                  <c:v>0.16700000000000001</c:v>
                </c:pt>
                <c:pt idx="15">
                  <c:v>0.05</c:v>
                </c:pt>
                <c:pt idx="16">
                  <c:v>0.12</c:v>
                </c:pt>
                <c:pt idx="17">
                  <c:v>0.59399999999999997</c:v>
                </c:pt>
                <c:pt idx="18">
                  <c:v>0.64600000000000002</c:v>
                </c:pt>
                <c:pt idx="19">
                  <c:v>0.43099999999999999</c:v>
                </c:pt>
                <c:pt idx="20">
                  <c:v>0.26800000000000002</c:v>
                </c:pt>
                <c:pt idx="21">
                  <c:v>4.2000000000000003E-2</c:v>
                </c:pt>
                <c:pt idx="22">
                  <c:v>3.5999999999999997E-2</c:v>
                </c:pt>
                <c:pt idx="23">
                  <c:v>0.28100000000000003</c:v>
                </c:pt>
                <c:pt idx="24">
                  <c:v>0.54700000000000004</c:v>
                </c:pt>
                <c:pt idx="25">
                  <c:v>0.38200000000000001</c:v>
                </c:pt>
              </c:numCache>
            </c:numRef>
          </c:val>
          <c:extLst>
            <c:ext xmlns:c16="http://schemas.microsoft.com/office/drawing/2014/chart" uri="{C3380CC4-5D6E-409C-BE32-E72D297353CC}">
              <c16:uniqueId val="{00000000-FA62-4323-A657-90BF5E35DF10}"/>
            </c:ext>
          </c:extLst>
        </c:ser>
        <c:ser>
          <c:idx val="1"/>
          <c:order val="1"/>
          <c:tx>
            <c:strRef>
              <c:f>Аркуш1!$C$1</c:f>
              <c:strCache>
                <c:ptCount val="1"/>
                <c:pt idx="0">
                  <c:v>Частка пацієнтів з Риф/МЛС-ТБ, які отримували VOT,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3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Аркуш1!$A$2:$A$27</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Аркуш1!$C$2:$C$27</c:f>
              <c:numCache>
                <c:formatCode>0.00%</c:formatCode>
                <c:ptCount val="26"/>
                <c:pt idx="0">
                  <c:v>7.8E-2</c:v>
                </c:pt>
                <c:pt idx="1">
                  <c:v>0.59399999999999997</c:v>
                </c:pt>
                <c:pt idx="2">
                  <c:v>0.38</c:v>
                </c:pt>
                <c:pt idx="3">
                  <c:v>0.61</c:v>
                </c:pt>
                <c:pt idx="4">
                  <c:v>0.34799999999999998</c:v>
                </c:pt>
                <c:pt idx="5">
                  <c:v>4.8000000000000001E-2</c:v>
                </c:pt>
                <c:pt idx="6">
                  <c:v>0.14599999999999999</c:v>
                </c:pt>
                <c:pt idx="7">
                  <c:v>0.188</c:v>
                </c:pt>
                <c:pt idx="8">
                  <c:v>0.60299999999999998</c:v>
                </c:pt>
                <c:pt idx="9">
                  <c:v>0.47799999999999998</c:v>
                </c:pt>
                <c:pt idx="10">
                  <c:v>0.129</c:v>
                </c:pt>
                <c:pt idx="11">
                  <c:v>0.85699999999999998</c:v>
                </c:pt>
                <c:pt idx="12">
                  <c:v>0.127</c:v>
                </c:pt>
                <c:pt idx="13">
                  <c:v>0.64</c:v>
                </c:pt>
                <c:pt idx="14">
                  <c:v>0.22500000000000001</c:v>
                </c:pt>
                <c:pt idx="15">
                  <c:v>0.107</c:v>
                </c:pt>
                <c:pt idx="16">
                  <c:v>0.2</c:v>
                </c:pt>
                <c:pt idx="17">
                  <c:v>0.3</c:v>
                </c:pt>
                <c:pt idx="18">
                  <c:v>0.40300000000000002</c:v>
                </c:pt>
                <c:pt idx="19">
                  <c:v>0.39600000000000002</c:v>
                </c:pt>
                <c:pt idx="20">
                  <c:v>0.15</c:v>
                </c:pt>
                <c:pt idx="21">
                  <c:v>7.1999999999999995E-2</c:v>
                </c:pt>
                <c:pt idx="22">
                  <c:v>0.184</c:v>
                </c:pt>
                <c:pt idx="23">
                  <c:v>0.57399999999999995</c:v>
                </c:pt>
                <c:pt idx="24">
                  <c:v>0.39</c:v>
                </c:pt>
                <c:pt idx="25">
                  <c:v>0.39600000000000002</c:v>
                </c:pt>
              </c:numCache>
            </c:numRef>
          </c:val>
          <c:extLst>
            <c:ext xmlns:c16="http://schemas.microsoft.com/office/drawing/2014/chart" uri="{C3380CC4-5D6E-409C-BE32-E72D297353CC}">
              <c16:uniqueId val="{00000001-FA62-4323-A657-90BF5E35DF10}"/>
            </c:ext>
          </c:extLst>
        </c:ser>
        <c:dLbls>
          <c:showLegendKey val="0"/>
          <c:showVal val="0"/>
          <c:showCatName val="0"/>
          <c:showSerName val="0"/>
          <c:showPercent val="0"/>
          <c:showBubbleSize val="0"/>
        </c:dLbls>
        <c:gapWidth val="219"/>
        <c:overlap val="-27"/>
        <c:axId val="379910016"/>
        <c:axId val="379911552"/>
      </c:barChart>
      <c:catAx>
        <c:axId val="3799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uk-UA"/>
          </a:p>
        </c:txPr>
        <c:crossAx val="379911552"/>
        <c:crosses val="autoZero"/>
        <c:auto val="1"/>
        <c:lblAlgn val="ctr"/>
        <c:lblOffset val="100"/>
        <c:noMultiLvlLbl val="0"/>
      </c:catAx>
      <c:valAx>
        <c:axId val="379911552"/>
        <c:scaling>
          <c:orientation val="minMax"/>
        </c:scaling>
        <c:delete val="1"/>
        <c:axPos val="l"/>
        <c:numFmt formatCode="0.00%" sourceLinked="1"/>
        <c:majorTickMark val="none"/>
        <c:minorTickMark val="none"/>
        <c:tickLblPos val="nextTo"/>
        <c:crossAx val="379910016"/>
        <c:crosses val="autoZero"/>
        <c:crossBetween val="between"/>
      </c:valAx>
      <c:spPr>
        <a:noFill/>
        <a:ln>
          <a:noFill/>
        </a:ln>
        <a:effectLst/>
      </c:spPr>
    </c:plotArea>
    <c:legend>
      <c:legendPos val="b"/>
      <c:layout>
        <c:manualLayout>
          <c:xMode val="edge"/>
          <c:yMode val="edge"/>
          <c:x val="0.1146249957189515"/>
          <c:y val="0.86989574219889176"/>
          <c:w val="0.7522971846787242"/>
          <c:h val="0.1023264800233304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88401924104751E-2"/>
          <c:y val="1.9770660340055358E-2"/>
          <c:w val="0.86039209098862701"/>
          <c:h val="0.61909000299013295"/>
        </c:manualLayout>
      </c:layout>
      <c:barChart>
        <c:barDir val="col"/>
        <c:grouping val="stacked"/>
        <c:varyColors val="0"/>
        <c:ser>
          <c:idx val="0"/>
          <c:order val="0"/>
          <c:tx>
            <c:strRef>
              <c:f>Лист1!$A$395</c:f>
              <c:strCache>
                <c:ptCount val="1"/>
                <c:pt idx="0">
                  <c:v>з числа вперше зареєстрованих випадків</c:v>
                </c:pt>
              </c:strCache>
            </c:strRef>
          </c:tx>
          <c:spPr>
            <a:solidFill>
              <a:srgbClr val="FF99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Лист1!$B$394:$G$394</c:f>
              <c:numCache>
                <c:formatCode>General</c:formatCode>
                <c:ptCount val="6"/>
                <c:pt idx="0">
                  <c:v>2016</c:v>
                </c:pt>
                <c:pt idx="1">
                  <c:v>2017</c:v>
                </c:pt>
                <c:pt idx="2">
                  <c:v>2018</c:v>
                </c:pt>
                <c:pt idx="3">
                  <c:v>2019</c:v>
                </c:pt>
                <c:pt idx="4">
                  <c:v>2020</c:v>
                </c:pt>
                <c:pt idx="5">
                  <c:v>2021</c:v>
                </c:pt>
              </c:numCache>
            </c:numRef>
          </c:cat>
          <c:val>
            <c:numRef>
              <c:f>Лист1!$B$395:$G$395</c:f>
              <c:numCache>
                <c:formatCode>General</c:formatCode>
                <c:ptCount val="6"/>
                <c:pt idx="0">
                  <c:v>7500</c:v>
                </c:pt>
                <c:pt idx="1">
                  <c:v>6554</c:v>
                </c:pt>
                <c:pt idx="2">
                  <c:v>6093</c:v>
                </c:pt>
                <c:pt idx="3">
                  <c:v>5586</c:v>
                </c:pt>
                <c:pt idx="4">
                  <c:v>3497</c:v>
                </c:pt>
                <c:pt idx="5">
                  <c:v>3592</c:v>
                </c:pt>
              </c:numCache>
            </c:numRef>
          </c:val>
          <c:extLst>
            <c:ext xmlns:c16="http://schemas.microsoft.com/office/drawing/2014/chart" uri="{C3380CC4-5D6E-409C-BE32-E72D297353CC}">
              <c16:uniqueId val="{00000000-3D3A-4345-97FA-405C98CD7FB6}"/>
            </c:ext>
          </c:extLst>
        </c:ser>
        <c:ser>
          <c:idx val="1"/>
          <c:order val="1"/>
          <c:tx>
            <c:strRef>
              <c:f>Лист1!$A$396</c:f>
              <c:strCache>
                <c:ptCount val="1"/>
                <c:pt idx="0">
                  <c:v>з числа підтведжених раніше</c:v>
                </c:pt>
              </c:strCache>
            </c:strRef>
          </c:tx>
          <c:spPr>
            <a:solidFill>
              <a:srgbClr val="00B0F0"/>
            </a:solidFill>
            <a:ln>
              <a:noFill/>
            </a:ln>
            <a:effectLst/>
          </c:spPr>
          <c:invertIfNegative val="0"/>
          <c:dLbls>
            <c:dLbl>
              <c:idx val="0"/>
              <c:layout>
                <c:manualLayout>
                  <c:x val="0"/>
                  <c:y val="-2.1436227224008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A-4345-97FA-405C98CD7FB6}"/>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Лист1!$B$394:$G$394</c:f>
              <c:numCache>
                <c:formatCode>General</c:formatCode>
                <c:ptCount val="6"/>
                <c:pt idx="0">
                  <c:v>2016</c:v>
                </c:pt>
                <c:pt idx="1">
                  <c:v>2017</c:v>
                </c:pt>
                <c:pt idx="2">
                  <c:v>2018</c:v>
                </c:pt>
                <c:pt idx="3">
                  <c:v>2019</c:v>
                </c:pt>
                <c:pt idx="4">
                  <c:v>2020</c:v>
                </c:pt>
                <c:pt idx="5">
                  <c:v>2021</c:v>
                </c:pt>
              </c:numCache>
            </c:numRef>
          </c:cat>
          <c:val>
            <c:numRef>
              <c:f>Лист1!$B$396:$G$396</c:f>
              <c:numCache>
                <c:formatCode>General</c:formatCode>
                <c:ptCount val="6"/>
                <c:pt idx="0">
                  <c:v>1081</c:v>
                </c:pt>
                <c:pt idx="1">
                  <c:v>1513</c:v>
                </c:pt>
                <c:pt idx="2">
                  <c:v>1334</c:v>
                </c:pt>
                <c:pt idx="3">
                  <c:v>1649</c:v>
                </c:pt>
                <c:pt idx="4">
                  <c:v>1380</c:v>
                </c:pt>
                <c:pt idx="5">
                  <c:v>1295</c:v>
                </c:pt>
              </c:numCache>
            </c:numRef>
          </c:val>
          <c:extLst>
            <c:ext xmlns:c16="http://schemas.microsoft.com/office/drawing/2014/chart" uri="{C3380CC4-5D6E-409C-BE32-E72D297353CC}">
              <c16:uniqueId val="{00000002-3D3A-4345-97FA-405C98CD7FB6}"/>
            </c:ext>
          </c:extLst>
        </c:ser>
        <c:dLbls>
          <c:showLegendKey val="0"/>
          <c:showVal val="0"/>
          <c:showCatName val="0"/>
          <c:showSerName val="0"/>
          <c:showPercent val="0"/>
          <c:showBubbleSize val="0"/>
        </c:dLbls>
        <c:gapWidth val="150"/>
        <c:overlap val="100"/>
        <c:axId val="1860940352"/>
        <c:axId val="1822994400"/>
      </c:barChart>
      <c:catAx>
        <c:axId val="18609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crossAx val="1822994400"/>
        <c:crosses val="autoZero"/>
        <c:auto val="1"/>
        <c:lblAlgn val="ctr"/>
        <c:lblOffset val="100"/>
        <c:noMultiLvlLbl val="0"/>
      </c:catAx>
      <c:valAx>
        <c:axId val="1822994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60940352"/>
        <c:crosses val="autoZero"/>
        <c:crossBetween val="between"/>
      </c:valAx>
      <c:spPr>
        <a:noFill/>
        <a:ln>
          <a:noFill/>
        </a:ln>
        <a:effectLst/>
      </c:spPr>
    </c:plotArea>
    <c:legend>
      <c:legendPos val="b"/>
      <c:layout>
        <c:manualLayout>
          <c:xMode val="edge"/>
          <c:yMode val="edge"/>
          <c:x val="3.2841589616904511E-2"/>
          <c:y val="0.75037754896022613"/>
          <c:w val="0.89164990376203002"/>
          <c:h val="0.136076946077942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8454440599769299E-2"/>
          <c:w val="1"/>
          <c:h val="0.7531629582913405"/>
        </c:manualLayout>
      </c:layout>
      <c:barChart>
        <c:barDir val="col"/>
        <c:grouping val="stacked"/>
        <c:varyColors val="0"/>
        <c:ser>
          <c:idx val="0"/>
          <c:order val="0"/>
          <c:tx>
            <c:strRef>
              <c:f>Лист1!$A$2</c:f>
              <c:strCache>
                <c:ptCount val="1"/>
                <c:pt idx="0">
                  <c:v>Помер</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Лист1!$B$2:$G$2</c:f>
              <c:numCache>
                <c:formatCode>General</c:formatCode>
                <c:ptCount val="6"/>
                <c:pt idx="0">
                  <c:v>24.4</c:v>
                </c:pt>
                <c:pt idx="1">
                  <c:v>20.7</c:v>
                </c:pt>
                <c:pt idx="2">
                  <c:v>9.9</c:v>
                </c:pt>
                <c:pt idx="3">
                  <c:v>20.5</c:v>
                </c:pt>
                <c:pt idx="4">
                  <c:v>18.399999999999999</c:v>
                </c:pt>
                <c:pt idx="5">
                  <c:v>28.1</c:v>
                </c:pt>
              </c:numCache>
            </c:numRef>
          </c:val>
          <c:extLst>
            <c:ext xmlns:c16="http://schemas.microsoft.com/office/drawing/2014/chart" uri="{C3380CC4-5D6E-409C-BE32-E72D297353CC}">
              <c16:uniqueId val="{00000000-BB5B-4542-A72F-817291A6E227}"/>
            </c:ext>
          </c:extLst>
        </c:ser>
        <c:ser>
          <c:idx val="1"/>
          <c:order val="1"/>
          <c:tx>
            <c:strRef>
              <c:f>Лист1!$A$3</c:f>
              <c:strCache>
                <c:ptCount val="1"/>
                <c:pt idx="0">
                  <c:v>Відсутність препаратів</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Лист1!$B$3:$G$3</c:f>
              <c:numCache>
                <c:formatCode>General</c:formatCode>
                <c:ptCount val="6"/>
                <c:pt idx="0">
                  <c:v>0.9</c:v>
                </c:pt>
                <c:pt idx="1">
                  <c:v>0</c:v>
                </c:pt>
                <c:pt idx="2">
                  <c:v>9.9</c:v>
                </c:pt>
                <c:pt idx="3">
                  <c:v>2.2000000000000002</c:v>
                </c:pt>
                <c:pt idx="4">
                  <c:v>22.1</c:v>
                </c:pt>
                <c:pt idx="5">
                  <c:v>3.1</c:v>
                </c:pt>
              </c:numCache>
            </c:numRef>
          </c:val>
          <c:extLst>
            <c:ext xmlns:c16="http://schemas.microsoft.com/office/drawing/2014/chart" uri="{C3380CC4-5D6E-409C-BE32-E72D297353CC}">
              <c16:uniqueId val="{00000001-BB5B-4542-A72F-817291A6E227}"/>
            </c:ext>
          </c:extLst>
        </c:ser>
        <c:ser>
          <c:idx val="2"/>
          <c:order val="2"/>
          <c:tx>
            <c:strRef>
              <c:f>Лист1!$A$4</c:f>
              <c:strCache>
                <c:ptCount val="1"/>
                <c:pt idx="0">
                  <c:v>Відмова</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Лист1!$B$4:$G$4</c:f>
              <c:numCache>
                <c:formatCode>General</c:formatCode>
                <c:ptCount val="6"/>
                <c:pt idx="0">
                  <c:v>46.4</c:v>
                </c:pt>
                <c:pt idx="1">
                  <c:v>47.3</c:v>
                </c:pt>
                <c:pt idx="2">
                  <c:v>36</c:v>
                </c:pt>
                <c:pt idx="3">
                  <c:v>29.5</c:v>
                </c:pt>
                <c:pt idx="4">
                  <c:v>13.2</c:v>
                </c:pt>
                <c:pt idx="5">
                  <c:v>19.5</c:v>
                </c:pt>
              </c:numCache>
            </c:numRef>
          </c:val>
          <c:extLst>
            <c:ext xmlns:c16="http://schemas.microsoft.com/office/drawing/2014/chart" uri="{C3380CC4-5D6E-409C-BE32-E72D297353CC}">
              <c16:uniqueId val="{00000002-BB5B-4542-A72F-817291A6E227}"/>
            </c:ext>
          </c:extLst>
        </c:ser>
        <c:ser>
          <c:idx val="3"/>
          <c:order val="3"/>
          <c:tx>
            <c:strRef>
              <c:f>Лист1!$A$5</c:f>
              <c:strCache>
                <c:ptCount val="1"/>
                <c:pt idx="0">
                  <c:v>Не підлягав по профілю резистентності</c:v>
                </c:pt>
              </c:strCache>
            </c:strRef>
          </c:tx>
          <c:spPr>
            <a:solidFill>
              <a:schemeClr val="accent4"/>
            </a:solidFill>
            <a:ln>
              <a:noFill/>
            </a:ln>
            <a:effectLst/>
          </c:spPr>
          <c:invertIfNegative val="0"/>
          <c:cat>
            <c:numRef>
              <c:f>Лист1!$B$1:$G$1</c:f>
              <c:numCache>
                <c:formatCode>General</c:formatCode>
                <c:ptCount val="6"/>
                <c:pt idx="0">
                  <c:v>2016</c:v>
                </c:pt>
                <c:pt idx="1">
                  <c:v>2017</c:v>
                </c:pt>
                <c:pt idx="2">
                  <c:v>2018</c:v>
                </c:pt>
                <c:pt idx="3">
                  <c:v>2019</c:v>
                </c:pt>
                <c:pt idx="4">
                  <c:v>2020</c:v>
                </c:pt>
                <c:pt idx="5">
                  <c:v>2021</c:v>
                </c:pt>
              </c:numCache>
            </c:numRef>
          </c:cat>
          <c:val>
            <c:numRef>
              <c:f>Лист1!$B$5:$G$5</c:f>
              <c:numCache>
                <c:formatCode>General</c:formatCode>
                <c:ptCount val="6"/>
                <c:pt idx="0">
                  <c:v>1.4</c:v>
                </c:pt>
                <c:pt idx="1">
                  <c:v>1</c:v>
                </c:pt>
                <c:pt idx="2">
                  <c:v>10</c:v>
                </c:pt>
                <c:pt idx="3">
                  <c:v>1.9</c:v>
                </c:pt>
                <c:pt idx="4">
                  <c:v>2.4</c:v>
                </c:pt>
                <c:pt idx="5">
                  <c:v>0.3</c:v>
                </c:pt>
              </c:numCache>
            </c:numRef>
          </c:val>
          <c:extLst>
            <c:ext xmlns:c16="http://schemas.microsoft.com/office/drawing/2014/chart" uri="{C3380CC4-5D6E-409C-BE32-E72D297353CC}">
              <c16:uniqueId val="{00000003-BB5B-4542-A72F-817291A6E227}"/>
            </c:ext>
          </c:extLst>
        </c:ser>
        <c:ser>
          <c:idx val="4"/>
          <c:order val="4"/>
          <c:tx>
            <c:strRef>
              <c:f>Лист1!$A$6</c:f>
              <c:strCache>
                <c:ptCount val="1"/>
                <c:pt idx="0">
                  <c:v>Некурабельність захворювання</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Лист1!$B$6:$G$6</c:f>
              <c:numCache>
                <c:formatCode>General</c:formatCode>
                <c:ptCount val="6"/>
                <c:pt idx="0">
                  <c:v>25.1</c:v>
                </c:pt>
                <c:pt idx="1">
                  <c:v>23.2</c:v>
                </c:pt>
                <c:pt idx="2">
                  <c:v>20.2</c:v>
                </c:pt>
                <c:pt idx="3">
                  <c:v>20.2</c:v>
                </c:pt>
                <c:pt idx="4">
                  <c:v>11.4</c:v>
                </c:pt>
                <c:pt idx="5">
                  <c:v>14.4</c:v>
                </c:pt>
              </c:numCache>
            </c:numRef>
          </c:val>
          <c:extLst>
            <c:ext xmlns:c16="http://schemas.microsoft.com/office/drawing/2014/chart" uri="{C3380CC4-5D6E-409C-BE32-E72D297353CC}">
              <c16:uniqueId val="{00000004-BB5B-4542-A72F-817291A6E227}"/>
            </c:ext>
          </c:extLst>
        </c:ser>
        <c:ser>
          <c:idx val="5"/>
          <c:order val="5"/>
          <c:tx>
            <c:strRef>
              <c:f>Лист1!$A$7</c:f>
              <c:strCache>
                <c:ptCount val="1"/>
                <c:pt idx="0">
                  <c:v>Інше</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Лист1!$B$7:$G$7</c:f>
              <c:numCache>
                <c:formatCode>General</c:formatCode>
                <c:ptCount val="6"/>
                <c:pt idx="0">
                  <c:v>1.8</c:v>
                </c:pt>
                <c:pt idx="1">
                  <c:v>7.8</c:v>
                </c:pt>
                <c:pt idx="2">
                  <c:v>14</c:v>
                </c:pt>
                <c:pt idx="3">
                  <c:v>25.7</c:v>
                </c:pt>
                <c:pt idx="4">
                  <c:v>32.4</c:v>
                </c:pt>
                <c:pt idx="5">
                  <c:v>34.6</c:v>
                </c:pt>
              </c:numCache>
            </c:numRef>
          </c:val>
          <c:extLst>
            <c:ext xmlns:c16="http://schemas.microsoft.com/office/drawing/2014/chart" uri="{C3380CC4-5D6E-409C-BE32-E72D297353CC}">
              <c16:uniqueId val="{00000005-BB5B-4542-A72F-817291A6E227}"/>
            </c:ext>
          </c:extLst>
        </c:ser>
        <c:dLbls>
          <c:showLegendKey val="0"/>
          <c:showVal val="0"/>
          <c:showCatName val="0"/>
          <c:showSerName val="0"/>
          <c:showPercent val="0"/>
          <c:showBubbleSize val="0"/>
        </c:dLbls>
        <c:gapWidth val="150"/>
        <c:overlap val="100"/>
        <c:axId val="1830827472"/>
        <c:axId val="-2071100688"/>
      </c:barChart>
      <c:catAx>
        <c:axId val="183082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crossAx val="-2071100688"/>
        <c:crosses val="autoZero"/>
        <c:auto val="1"/>
        <c:lblAlgn val="ctr"/>
        <c:lblOffset val="100"/>
        <c:noMultiLvlLbl val="0"/>
      </c:catAx>
      <c:valAx>
        <c:axId val="-2071100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0827472"/>
        <c:crosses val="autoZero"/>
        <c:crossBetween val="between"/>
      </c:valAx>
      <c:spPr>
        <a:noFill/>
        <a:ln>
          <a:noFill/>
        </a:ln>
        <a:effectLst/>
      </c:spPr>
    </c:plotArea>
    <c:legend>
      <c:legendPos val="b"/>
      <c:layout>
        <c:manualLayout>
          <c:xMode val="edge"/>
          <c:yMode val="edge"/>
          <c:x val="0"/>
          <c:y val="0.84204031906925325"/>
          <c:w val="1"/>
          <c:h val="0.1463270378976578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088082739657502E-2"/>
          <c:y val="0"/>
          <c:w val="0.91908652043494499"/>
          <c:h val="0.56315522057069101"/>
        </c:manualLayout>
      </c:layout>
      <c:barChart>
        <c:barDir val="col"/>
        <c:grouping val="stacked"/>
        <c:varyColors val="0"/>
        <c:ser>
          <c:idx val="0"/>
          <c:order val="0"/>
          <c:tx>
            <c:strRef>
              <c:f>Лист1!$B$287</c:f>
              <c:strCache>
                <c:ptCount val="1"/>
                <c:pt idx="0">
                  <c:v>Ефективне лікування</c:v>
                </c:pt>
              </c:strCache>
            </c:strRef>
          </c:tx>
          <c:spPr>
            <a:solidFill>
              <a:srgbClr val="6FDE42"/>
            </a:solidFill>
            <a:ln>
              <a:noFill/>
            </a:ln>
            <a:effectLst/>
          </c:spPr>
          <c:invertIfNegative val="0"/>
          <c:dLbls>
            <c:dLbl>
              <c:idx val="27"/>
              <c:spPr>
                <a:noFill/>
                <a:ln>
                  <a:noFill/>
                </a:ln>
                <a:effectLst/>
              </c:spPr>
              <c:txPr>
                <a:bodyPr rot="-5400000" spcFirstLastPara="1" vertOverflow="ellipsis"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0-0846-4444-8533-C0D0FCB5076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Лист1!$A$288:$A$315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Лист1!$B$288:$B$315</c:f>
              <c:numCache>
                <c:formatCode>0.0</c:formatCode>
                <c:ptCount val="28"/>
                <c:pt idx="0">
                  <c:v>78.773584905660371</c:v>
                </c:pt>
                <c:pt idx="1">
                  <c:v>75.490196078431367</c:v>
                </c:pt>
                <c:pt idx="2">
                  <c:v>78.205128205128204</c:v>
                </c:pt>
                <c:pt idx="3">
                  <c:v>80.440414507772019</c:v>
                </c:pt>
                <c:pt idx="4">
                  <c:v>74.418604651162795</c:v>
                </c:pt>
                <c:pt idx="5">
                  <c:v>71.36363636363636</c:v>
                </c:pt>
                <c:pt idx="6">
                  <c:v>81.138790035587192</c:v>
                </c:pt>
                <c:pt idx="7">
                  <c:v>74.747474747474755</c:v>
                </c:pt>
                <c:pt idx="8">
                  <c:v>76.923076923076934</c:v>
                </c:pt>
                <c:pt idx="9">
                  <c:v>76.980198019801975</c:v>
                </c:pt>
                <c:pt idx="10">
                  <c:v>65.789473684210535</c:v>
                </c:pt>
                <c:pt idx="11">
                  <c:v>81.681034482758619</c:v>
                </c:pt>
                <c:pt idx="12">
                  <c:v>80.738786279683367</c:v>
                </c:pt>
                <c:pt idx="13">
                  <c:v>68.93687707641196</c:v>
                </c:pt>
                <c:pt idx="14">
                  <c:v>76.442307692307693</c:v>
                </c:pt>
                <c:pt idx="15">
                  <c:v>77.443609022556387</c:v>
                </c:pt>
                <c:pt idx="16">
                  <c:v>82.404692082111438</c:v>
                </c:pt>
                <c:pt idx="17">
                  <c:v>81.122448979591837</c:v>
                </c:pt>
                <c:pt idx="18">
                  <c:v>78.452200303490145</c:v>
                </c:pt>
                <c:pt idx="19">
                  <c:v>70.951156812339335</c:v>
                </c:pt>
                <c:pt idx="20">
                  <c:v>70.474137931034491</c:v>
                </c:pt>
                <c:pt idx="21">
                  <c:v>74.606741573033702</c:v>
                </c:pt>
                <c:pt idx="22">
                  <c:v>74.285714285714292</c:v>
                </c:pt>
                <c:pt idx="23">
                  <c:v>75.37537537537537</c:v>
                </c:pt>
                <c:pt idx="24">
                  <c:v>80.08298755186722</c:v>
                </c:pt>
                <c:pt idx="25">
                  <c:v>77.525252525252526</c:v>
                </c:pt>
                <c:pt idx="26">
                  <c:v>90.566037735849065</c:v>
                </c:pt>
                <c:pt idx="27">
                  <c:v>76.3</c:v>
                </c:pt>
              </c:numCache>
            </c:numRef>
          </c:val>
          <c:extLst>
            <c:ext xmlns:c16="http://schemas.microsoft.com/office/drawing/2014/chart" uri="{C3380CC4-5D6E-409C-BE32-E72D297353CC}">
              <c16:uniqueId val="{00000001-0846-4444-8533-C0D0FCB50761}"/>
            </c:ext>
          </c:extLst>
        </c:ser>
        <c:ser>
          <c:idx val="1"/>
          <c:order val="1"/>
          <c:tx>
            <c:strRef>
              <c:f>Лист1!$C$287</c:f>
              <c:strCache>
                <c:ptCount val="1"/>
                <c:pt idx="0">
                  <c:v>Невдале лікування</c:v>
                </c:pt>
              </c:strCache>
            </c:strRef>
          </c:tx>
          <c:spPr>
            <a:solidFill>
              <a:schemeClr val="accent2"/>
            </a:solidFill>
            <a:ln>
              <a:noFill/>
            </a:ln>
            <a:effectLst/>
          </c:spPr>
          <c:invertIfNegative val="0"/>
          <c:dLbls>
            <c:dLbl>
              <c:idx val="26"/>
              <c:delete val="1"/>
              <c:extLst>
                <c:ext xmlns:c15="http://schemas.microsoft.com/office/drawing/2012/chart" uri="{CE6537A1-D6FC-4f65-9D91-7224C49458BB}"/>
                <c:ext xmlns:c16="http://schemas.microsoft.com/office/drawing/2014/chart" uri="{C3380CC4-5D6E-409C-BE32-E72D297353CC}">
                  <c16:uniqueId val="{00000002-0846-4444-8533-C0D0FCB5076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Лист1!$A$288:$A$315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Лист1!$C$288:$C$315</c:f>
              <c:numCache>
                <c:formatCode>0.0</c:formatCode>
                <c:ptCount val="28"/>
                <c:pt idx="0">
                  <c:v>5.1886792452830193</c:v>
                </c:pt>
                <c:pt idx="1">
                  <c:v>9.3137254901960791</c:v>
                </c:pt>
                <c:pt idx="2">
                  <c:v>5.6526806526806528</c:v>
                </c:pt>
                <c:pt idx="3">
                  <c:v>5.0518134715025909</c:v>
                </c:pt>
                <c:pt idx="4">
                  <c:v>8.6046511627906987</c:v>
                </c:pt>
                <c:pt idx="5">
                  <c:v>10.151515151515152</c:v>
                </c:pt>
                <c:pt idx="6">
                  <c:v>4.4483985765124556</c:v>
                </c:pt>
                <c:pt idx="7">
                  <c:v>13.131313131313133</c:v>
                </c:pt>
                <c:pt idx="8">
                  <c:v>5.2790346907993966</c:v>
                </c:pt>
                <c:pt idx="9">
                  <c:v>4.2079207920792081</c:v>
                </c:pt>
                <c:pt idx="10">
                  <c:v>9.6491228070175428</c:v>
                </c:pt>
                <c:pt idx="11">
                  <c:v>2.478448275862069</c:v>
                </c:pt>
                <c:pt idx="12">
                  <c:v>4.4854881266490763</c:v>
                </c:pt>
                <c:pt idx="13">
                  <c:v>7.0321151716500552</c:v>
                </c:pt>
                <c:pt idx="14">
                  <c:v>9.6153846153846168</c:v>
                </c:pt>
                <c:pt idx="15">
                  <c:v>9.7744360902255636</c:v>
                </c:pt>
                <c:pt idx="16">
                  <c:v>4.3988269794721413</c:v>
                </c:pt>
                <c:pt idx="17">
                  <c:v>4.591836734693878</c:v>
                </c:pt>
                <c:pt idx="18">
                  <c:v>8.0424886191198777</c:v>
                </c:pt>
                <c:pt idx="19">
                  <c:v>6.9408740359897179</c:v>
                </c:pt>
                <c:pt idx="20">
                  <c:v>13.36206896551724</c:v>
                </c:pt>
                <c:pt idx="21">
                  <c:v>11.235955056179774</c:v>
                </c:pt>
                <c:pt idx="22">
                  <c:v>7.6190476190476195</c:v>
                </c:pt>
                <c:pt idx="23">
                  <c:v>5.1051051051051051</c:v>
                </c:pt>
                <c:pt idx="24">
                  <c:v>5.6708160442600279</c:v>
                </c:pt>
                <c:pt idx="25">
                  <c:v>7.8282828282828287</c:v>
                </c:pt>
                <c:pt idx="26">
                  <c:v>0.94339622641509435</c:v>
                </c:pt>
                <c:pt idx="27">
                  <c:v>6.8775695073514038</c:v>
                </c:pt>
              </c:numCache>
            </c:numRef>
          </c:val>
          <c:extLst>
            <c:ext xmlns:c16="http://schemas.microsoft.com/office/drawing/2014/chart" uri="{C3380CC4-5D6E-409C-BE32-E72D297353CC}">
              <c16:uniqueId val="{00000003-0846-4444-8533-C0D0FCB50761}"/>
            </c:ext>
          </c:extLst>
        </c:ser>
        <c:ser>
          <c:idx val="2"/>
          <c:order val="2"/>
          <c:tx>
            <c:strRef>
              <c:f>Лист1!$D$287</c:f>
              <c:strCache>
                <c:ptCount val="1"/>
                <c:pt idx="0">
                  <c:v>Померло</c:v>
                </c:pt>
              </c:strCache>
            </c:strRef>
          </c:tx>
          <c:spPr>
            <a:solidFill>
              <a:schemeClr val="accent3"/>
            </a:solidFill>
            <a:ln>
              <a:noFill/>
            </a:ln>
            <a:effectLst/>
          </c:spPr>
          <c:invertIfNegative val="0"/>
          <c:cat>
            <c:strRef>
              <c:f>Лист1!$A$288:$A$315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Лист1!$D$288:$D$315</c:f>
              <c:numCache>
                <c:formatCode>0.0</c:formatCode>
                <c:ptCount val="28"/>
                <c:pt idx="0">
                  <c:v>11.320754716981133</c:v>
                </c:pt>
                <c:pt idx="1">
                  <c:v>10.294117647058822</c:v>
                </c:pt>
                <c:pt idx="2">
                  <c:v>11.713286713286713</c:v>
                </c:pt>
                <c:pt idx="3">
                  <c:v>11.269430051813471</c:v>
                </c:pt>
                <c:pt idx="4">
                  <c:v>12.325581395348838</c:v>
                </c:pt>
                <c:pt idx="5">
                  <c:v>5.7575757575757578</c:v>
                </c:pt>
                <c:pt idx="6">
                  <c:v>7.6512455516014235</c:v>
                </c:pt>
                <c:pt idx="7">
                  <c:v>6.5656565656565666</c:v>
                </c:pt>
                <c:pt idx="8">
                  <c:v>11.91553544494721</c:v>
                </c:pt>
                <c:pt idx="9">
                  <c:v>14.356435643564355</c:v>
                </c:pt>
                <c:pt idx="10">
                  <c:v>13.596491228070176</c:v>
                </c:pt>
                <c:pt idx="11">
                  <c:v>13.685344827586206</c:v>
                </c:pt>
                <c:pt idx="12">
                  <c:v>8.9709762532981525</c:v>
                </c:pt>
                <c:pt idx="13">
                  <c:v>10.465116279069768</c:v>
                </c:pt>
                <c:pt idx="14">
                  <c:v>9.1346153846153832</c:v>
                </c:pt>
                <c:pt idx="15">
                  <c:v>9.7744360902255636</c:v>
                </c:pt>
                <c:pt idx="16">
                  <c:v>10.850439882697946</c:v>
                </c:pt>
                <c:pt idx="17">
                  <c:v>9.6938775510204085</c:v>
                </c:pt>
                <c:pt idx="18">
                  <c:v>6.9802731411229137</c:v>
                </c:pt>
                <c:pt idx="19">
                  <c:v>13.881748071979436</c:v>
                </c:pt>
                <c:pt idx="20">
                  <c:v>10.775862068965516</c:v>
                </c:pt>
                <c:pt idx="21">
                  <c:v>9.8876404494382015</c:v>
                </c:pt>
                <c:pt idx="22">
                  <c:v>13.333333333333334</c:v>
                </c:pt>
                <c:pt idx="23">
                  <c:v>10.810810810810811</c:v>
                </c:pt>
                <c:pt idx="24">
                  <c:v>9.5435684647302903</c:v>
                </c:pt>
                <c:pt idx="25">
                  <c:v>3.7878787878787881</c:v>
                </c:pt>
                <c:pt idx="26">
                  <c:v>0.94339622641509435</c:v>
                </c:pt>
                <c:pt idx="27">
                  <c:v>10.3</c:v>
                </c:pt>
              </c:numCache>
            </c:numRef>
          </c:val>
          <c:extLst>
            <c:ext xmlns:c16="http://schemas.microsoft.com/office/drawing/2014/chart" uri="{C3380CC4-5D6E-409C-BE32-E72D297353CC}">
              <c16:uniqueId val="{00000004-0846-4444-8533-C0D0FCB50761}"/>
            </c:ext>
          </c:extLst>
        </c:ser>
        <c:ser>
          <c:idx val="3"/>
          <c:order val="3"/>
          <c:tx>
            <c:strRef>
              <c:f>Лист1!$E$287</c:f>
              <c:strCache>
                <c:ptCount val="1"/>
                <c:pt idx="0">
                  <c:v>Втрачено для подальшого спостереження</c:v>
                </c:pt>
              </c:strCache>
            </c:strRef>
          </c:tx>
          <c:spPr>
            <a:solidFill>
              <a:schemeClr val="accent4"/>
            </a:solidFill>
            <a:ln>
              <a:noFill/>
            </a:ln>
            <a:effectLst/>
          </c:spPr>
          <c:invertIfNegative val="0"/>
          <c:cat>
            <c:strRef>
              <c:f>Лист1!$A$288:$A$315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Лист1!$E$288:$E$315</c:f>
              <c:numCache>
                <c:formatCode>0.0</c:formatCode>
                <c:ptCount val="28"/>
                <c:pt idx="0">
                  <c:v>4.716981132075472</c:v>
                </c:pt>
                <c:pt idx="1">
                  <c:v>4.9019607843137258</c:v>
                </c:pt>
                <c:pt idx="2">
                  <c:v>4.4289044289044286</c:v>
                </c:pt>
                <c:pt idx="3">
                  <c:v>3.2383419689119166</c:v>
                </c:pt>
                <c:pt idx="4">
                  <c:v>4.4186046511627906</c:v>
                </c:pt>
                <c:pt idx="5">
                  <c:v>12.727272727272727</c:v>
                </c:pt>
                <c:pt idx="6">
                  <c:v>6.2277580071174379</c:v>
                </c:pt>
                <c:pt idx="7">
                  <c:v>5.5555555555555554</c:v>
                </c:pt>
                <c:pt idx="8">
                  <c:v>5.8823529411764701</c:v>
                </c:pt>
                <c:pt idx="9">
                  <c:v>4.455445544554455</c:v>
                </c:pt>
                <c:pt idx="10">
                  <c:v>9.6491228070175428</c:v>
                </c:pt>
                <c:pt idx="11">
                  <c:v>2.1551724137931036</c:v>
                </c:pt>
                <c:pt idx="12">
                  <c:v>5.8047493403693933</c:v>
                </c:pt>
                <c:pt idx="13">
                  <c:v>13.510520487264674</c:v>
                </c:pt>
                <c:pt idx="14">
                  <c:v>4.8076923076923084</c:v>
                </c:pt>
                <c:pt idx="15">
                  <c:v>3.007518796992481</c:v>
                </c:pt>
                <c:pt idx="16">
                  <c:v>1.7595307917888565</c:v>
                </c:pt>
                <c:pt idx="17">
                  <c:v>4.591836734693878</c:v>
                </c:pt>
                <c:pt idx="18">
                  <c:v>6.5250379362670712</c:v>
                </c:pt>
                <c:pt idx="19">
                  <c:v>8.2262210796915163</c:v>
                </c:pt>
                <c:pt idx="20">
                  <c:v>5.387931034482758</c:v>
                </c:pt>
                <c:pt idx="21">
                  <c:v>4.2696629213483144</c:v>
                </c:pt>
                <c:pt idx="22">
                  <c:v>4.7619047619047619</c:v>
                </c:pt>
                <c:pt idx="23">
                  <c:v>8.408408408408409</c:v>
                </c:pt>
                <c:pt idx="24">
                  <c:v>4.2876901798063622</c:v>
                </c:pt>
                <c:pt idx="25">
                  <c:v>10.85858585858586</c:v>
                </c:pt>
                <c:pt idx="26">
                  <c:v>7.5471698113207548</c:v>
                </c:pt>
                <c:pt idx="27">
                  <c:v>6.4</c:v>
                </c:pt>
              </c:numCache>
            </c:numRef>
          </c:val>
          <c:extLst>
            <c:ext xmlns:c16="http://schemas.microsoft.com/office/drawing/2014/chart" uri="{C3380CC4-5D6E-409C-BE32-E72D297353CC}">
              <c16:uniqueId val="{00000005-0846-4444-8533-C0D0FCB50761}"/>
            </c:ext>
          </c:extLst>
        </c:ser>
        <c:ser>
          <c:idx val="4"/>
          <c:order val="4"/>
          <c:tx>
            <c:strRef>
              <c:f>Лист1!$F$287</c:f>
              <c:strCache>
                <c:ptCount val="1"/>
                <c:pt idx="0">
                  <c:v>Не оцінено</c:v>
                </c:pt>
              </c:strCache>
            </c:strRef>
          </c:tx>
          <c:spPr>
            <a:solidFill>
              <a:schemeClr val="accent5"/>
            </a:solidFill>
            <a:ln>
              <a:noFill/>
            </a:ln>
            <a:effectLst/>
          </c:spPr>
          <c:invertIfNegative val="0"/>
          <c:cat>
            <c:strRef>
              <c:f>Лист1!$A$288:$A$315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Лист1!$F$288:$F$315</c:f>
              <c:numCache>
                <c:formatCode>0.0</c:formatCode>
                <c:ptCount val="28"/>
                <c:pt idx="0">
                  <c:v>0</c:v>
                </c:pt>
                <c:pt idx="1">
                  <c:v>0</c:v>
                </c:pt>
                <c:pt idx="2">
                  <c:v>0</c:v>
                </c:pt>
                <c:pt idx="3">
                  <c:v>0</c:v>
                </c:pt>
                <c:pt idx="4">
                  <c:v>0.23255813953488372</c:v>
                </c:pt>
                <c:pt idx="5">
                  <c:v>0</c:v>
                </c:pt>
                <c:pt idx="6">
                  <c:v>0.53380782918149472</c:v>
                </c:pt>
                <c:pt idx="7">
                  <c:v>0</c:v>
                </c:pt>
                <c:pt idx="8">
                  <c:v>0</c:v>
                </c:pt>
                <c:pt idx="9">
                  <c:v>0</c:v>
                </c:pt>
                <c:pt idx="10">
                  <c:v>1.3157894736842104</c:v>
                </c:pt>
                <c:pt idx="11">
                  <c:v>0</c:v>
                </c:pt>
                <c:pt idx="12">
                  <c:v>0</c:v>
                </c:pt>
                <c:pt idx="13">
                  <c:v>5.537098560354374E-2</c:v>
                </c:pt>
                <c:pt idx="14">
                  <c:v>0</c:v>
                </c:pt>
                <c:pt idx="15">
                  <c:v>0</c:v>
                </c:pt>
                <c:pt idx="16">
                  <c:v>0.5865102639296188</c:v>
                </c:pt>
                <c:pt idx="17">
                  <c:v>0</c:v>
                </c:pt>
                <c:pt idx="18">
                  <c:v>0</c:v>
                </c:pt>
                <c:pt idx="19">
                  <c:v>0</c:v>
                </c:pt>
                <c:pt idx="20">
                  <c:v>0</c:v>
                </c:pt>
                <c:pt idx="21">
                  <c:v>0</c:v>
                </c:pt>
                <c:pt idx="22">
                  <c:v>0</c:v>
                </c:pt>
                <c:pt idx="23">
                  <c:v>0.3003003003003003</c:v>
                </c:pt>
                <c:pt idx="24">
                  <c:v>0.41493775933609961</c:v>
                </c:pt>
                <c:pt idx="25">
                  <c:v>0</c:v>
                </c:pt>
                <c:pt idx="26">
                  <c:v>0</c:v>
                </c:pt>
                <c:pt idx="27">
                  <c:v>0.1</c:v>
                </c:pt>
              </c:numCache>
            </c:numRef>
          </c:val>
          <c:extLst>
            <c:ext xmlns:c16="http://schemas.microsoft.com/office/drawing/2014/chart" uri="{C3380CC4-5D6E-409C-BE32-E72D297353CC}">
              <c16:uniqueId val="{00000006-0846-4444-8533-C0D0FCB50761}"/>
            </c:ext>
          </c:extLst>
        </c:ser>
        <c:dLbls>
          <c:showLegendKey val="0"/>
          <c:showVal val="0"/>
          <c:showCatName val="0"/>
          <c:showSerName val="0"/>
          <c:showPercent val="0"/>
          <c:showBubbleSize val="0"/>
        </c:dLbls>
        <c:gapWidth val="150"/>
        <c:overlap val="100"/>
        <c:axId val="1870596448"/>
        <c:axId val="1836578672"/>
      </c:barChart>
      <c:catAx>
        <c:axId val="18705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1836578672"/>
        <c:crosses val="autoZero"/>
        <c:auto val="1"/>
        <c:lblAlgn val="ctr"/>
        <c:lblOffset val="100"/>
        <c:noMultiLvlLbl val="0"/>
      </c:catAx>
      <c:valAx>
        <c:axId val="1836578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70596448"/>
        <c:crosses val="autoZero"/>
        <c:crossBetween val="between"/>
      </c:valAx>
      <c:spPr>
        <a:noFill/>
        <a:ln>
          <a:noFill/>
        </a:ln>
        <a:effectLst/>
      </c:spPr>
    </c:plotArea>
    <c:legend>
      <c:legendPos val="b"/>
      <c:layout>
        <c:manualLayout>
          <c:xMode val="edge"/>
          <c:yMode val="edge"/>
          <c:x val="9.3272787721417252E-3"/>
          <c:y val="0.82373987424233797"/>
          <c:w val="0.98425213684206092"/>
          <c:h val="0.15707547347948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57924609497697E-2"/>
          <c:y val="0"/>
          <c:w val="0.93468529136959799"/>
          <c:h val="0.63817920683986851"/>
        </c:manualLayout>
      </c:layout>
      <c:barChart>
        <c:barDir val="col"/>
        <c:grouping val="stacked"/>
        <c:varyColors val="0"/>
        <c:ser>
          <c:idx val="0"/>
          <c:order val="0"/>
          <c:tx>
            <c:strRef>
              <c:f>Лист1!$B$33</c:f>
              <c:strCache>
                <c:ptCount val="1"/>
                <c:pt idx="0">
                  <c:v>Ефективне лікування</c:v>
                </c:pt>
              </c:strCache>
            </c:strRef>
          </c:tx>
          <c:spPr>
            <a:solidFill>
              <a:srgbClr val="6FDE42"/>
            </a:solidFill>
          </c:spPr>
          <c:invertIfNegative val="0"/>
          <c:dLbls>
            <c:dLbl>
              <c:idx val="27"/>
              <c:spPr>
                <a:noFill/>
                <a:ln>
                  <a:noFill/>
                </a:ln>
                <a:effectLst/>
              </c:spPr>
              <c:txPr>
                <a:bodyPr rot="-5400000" vert="horz"/>
                <a:lstStyle/>
                <a:p>
                  <a:pPr>
                    <a:defRPr sz="1400" b="1">
                      <a:solidFill>
                        <a:sysClr val="windowText" lastClr="000000"/>
                      </a:solidFill>
                    </a:defRPr>
                  </a:pPr>
                  <a:endParaRPr lang="uk-UA"/>
                </a:p>
              </c:txPr>
              <c:showLegendKey val="0"/>
              <c:showVal val="1"/>
              <c:showCatName val="0"/>
              <c:showSerName val="0"/>
              <c:showPercent val="0"/>
              <c:showBubbleSize val="0"/>
              <c:extLst>
                <c:ext xmlns:c16="http://schemas.microsoft.com/office/drawing/2014/chart" uri="{C3380CC4-5D6E-409C-BE32-E72D297353CC}">
                  <c16:uniqueId val="{00000000-C3BB-44FB-A846-9CA6454A0600}"/>
                </c:ext>
              </c:extLst>
            </c:dLbl>
            <c:spPr>
              <a:noFill/>
              <a:ln>
                <a:noFill/>
              </a:ln>
              <a:effectLst/>
            </c:spPr>
            <c:txPr>
              <a:bodyPr rot="-5400000" vert="horz"/>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Лист1!$B$34:$B$61</c:f>
              <c:numCache>
                <c:formatCode>0.0</c:formatCode>
                <c:ptCount val="28"/>
                <c:pt idx="0">
                  <c:v>77.411167512690355</c:v>
                </c:pt>
                <c:pt idx="1">
                  <c:v>75.206611570247944</c:v>
                </c:pt>
                <c:pt idx="2">
                  <c:v>79.788732394366207</c:v>
                </c:pt>
                <c:pt idx="3">
                  <c:v>80.574555403556772</c:v>
                </c:pt>
                <c:pt idx="4">
                  <c:v>75</c:v>
                </c:pt>
                <c:pt idx="5">
                  <c:v>74.339622641509422</c:v>
                </c:pt>
                <c:pt idx="6">
                  <c:v>81.747572815533971</c:v>
                </c:pt>
                <c:pt idx="7">
                  <c:v>77.286135693215343</c:v>
                </c:pt>
                <c:pt idx="8">
                  <c:v>76.885245901639337</c:v>
                </c:pt>
                <c:pt idx="9">
                  <c:v>78.813559322033896</c:v>
                </c:pt>
                <c:pt idx="10">
                  <c:v>67.5</c:v>
                </c:pt>
                <c:pt idx="11">
                  <c:v>81.920903954802256</c:v>
                </c:pt>
                <c:pt idx="12">
                  <c:v>82.898550724637673</c:v>
                </c:pt>
                <c:pt idx="13">
                  <c:v>70.2075702075702</c:v>
                </c:pt>
                <c:pt idx="14">
                  <c:v>77.071823204419886</c:v>
                </c:pt>
                <c:pt idx="15">
                  <c:v>78.38616714697406</c:v>
                </c:pt>
                <c:pt idx="16">
                  <c:v>83.177570093457945</c:v>
                </c:pt>
                <c:pt idx="17">
                  <c:v>80.434782608695656</c:v>
                </c:pt>
                <c:pt idx="18">
                  <c:v>79.862306368330465</c:v>
                </c:pt>
                <c:pt idx="19">
                  <c:v>72.206303724928361</c:v>
                </c:pt>
                <c:pt idx="20">
                  <c:v>73.107049608355084</c:v>
                </c:pt>
                <c:pt idx="21">
                  <c:v>74.168797953964187</c:v>
                </c:pt>
                <c:pt idx="22">
                  <c:v>74.860335195530723</c:v>
                </c:pt>
                <c:pt idx="23">
                  <c:v>76.54723127035831</c:v>
                </c:pt>
                <c:pt idx="24">
                  <c:v>81.521739130434781</c:v>
                </c:pt>
                <c:pt idx="25">
                  <c:v>79.35103244837758</c:v>
                </c:pt>
                <c:pt idx="26">
                  <c:v>90.291262135922338</c:v>
                </c:pt>
                <c:pt idx="27">
                  <c:v>77.400000000000006</c:v>
                </c:pt>
              </c:numCache>
            </c:numRef>
          </c:val>
          <c:extLst>
            <c:ext xmlns:c16="http://schemas.microsoft.com/office/drawing/2014/chart" uri="{C3380CC4-5D6E-409C-BE32-E72D297353CC}">
              <c16:uniqueId val="{00000001-C3BB-44FB-A846-9CA6454A0600}"/>
            </c:ext>
          </c:extLst>
        </c:ser>
        <c:ser>
          <c:idx val="1"/>
          <c:order val="1"/>
          <c:tx>
            <c:strRef>
              <c:f>Лист1!#REF!</c:f>
              <c:strCache>
                <c:ptCount val="1"/>
                <c:pt idx="0">
                  <c:v>#REF!</c:v>
                </c:pt>
              </c:strCache>
            </c:strRef>
          </c:tx>
          <c:invertIfNegative val="0"/>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2-C3BB-44FB-A846-9CA6454A0600}"/>
            </c:ext>
          </c:extLst>
        </c:ser>
        <c:ser>
          <c:idx val="2"/>
          <c:order val="2"/>
          <c:tx>
            <c:strRef>
              <c:f>Лист1!$C$33</c:f>
              <c:strCache>
                <c:ptCount val="1"/>
                <c:pt idx="0">
                  <c:v>Померло</c:v>
                </c:pt>
              </c:strCache>
            </c:strRef>
          </c:tx>
          <c:spPr>
            <a:solidFill>
              <a:srgbClr val="3399FF"/>
            </a:solidFill>
          </c:spPr>
          <c:invertIfNegative val="0"/>
          <c:dLbls>
            <c:dLbl>
              <c:idx val="5"/>
              <c:layout>
                <c:manualLayout>
                  <c:x val="0"/>
                  <c:y val="1.1786373374675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BB-44FB-A846-9CA6454A0600}"/>
                </c:ext>
              </c:extLst>
            </c:dLbl>
            <c:dLbl>
              <c:idx val="26"/>
              <c:delete val="1"/>
              <c:extLst>
                <c:ext xmlns:c15="http://schemas.microsoft.com/office/drawing/2012/chart" uri="{CE6537A1-D6FC-4f65-9D91-7224C49458BB}"/>
                <c:ext xmlns:c16="http://schemas.microsoft.com/office/drawing/2014/chart" uri="{C3380CC4-5D6E-409C-BE32-E72D297353CC}">
                  <c16:uniqueId val="{00000004-C3BB-44FB-A846-9CA6454A0600}"/>
                </c:ext>
              </c:extLst>
            </c:dLbl>
            <c:spPr>
              <a:noFill/>
              <a:ln>
                <a:noFill/>
              </a:ln>
              <a:effectLst/>
            </c:spPr>
            <c:txPr>
              <a:bodyPr rot="-5400000" vert="horz"/>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Лист1!$C$34:$C$61</c:f>
              <c:numCache>
                <c:formatCode>0.0</c:formatCode>
                <c:ptCount val="28"/>
                <c:pt idx="0">
                  <c:v>12.18274111675127</c:v>
                </c:pt>
                <c:pt idx="1">
                  <c:v>11.019283746556475</c:v>
                </c:pt>
                <c:pt idx="2">
                  <c:v>11.549295774647888</c:v>
                </c:pt>
                <c:pt idx="3">
                  <c:v>11.901504787961697</c:v>
                </c:pt>
                <c:pt idx="4">
                  <c:v>12.871287128712872</c:v>
                </c:pt>
                <c:pt idx="5">
                  <c:v>5.4716981132075473</c:v>
                </c:pt>
                <c:pt idx="6">
                  <c:v>7.3786407766990285</c:v>
                </c:pt>
                <c:pt idx="7">
                  <c:v>6.7846607669616521</c:v>
                </c:pt>
                <c:pt idx="8">
                  <c:v>11.967213114754099</c:v>
                </c:pt>
                <c:pt idx="9">
                  <c:v>13.559322033898304</c:v>
                </c:pt>
                <c:pt idx="10">
                  <c:v>14.000000000000002</c:v>
                </c:pt>
                <c:pt idx="11">
                  <c:v>13.672316384180791</c:v>
                </c:pt>
                <c:pt idx="12">
                  <c:v>8.4057971014492754</c:v>
                </c:pt>
                <c:pt idx="13">
                  <c:v>10.805860805860807</c:v>
                </c:pt>
                <c:pt idx="14">
                  <c:v>9.6685082872928181</c:v>
                </c:pt>
                <c:pt idx="15">
                  <c:v>10.086455331412104</c:v>
                </c:pt>
                <c:pt idx="16">
                  <c:v>10.2803738317757</c:v>
                </c:pt>
                <c:pt idx="17">
                  <c:v>9.7826086956521738</c:v>
                </c:pt>
                <c:pt idx="18">
                  <c:v>7.056798623063683</c:v>
                </c:pt>
                <c:pt idx="19">
                  <c:v>14.040114613180515</c:v>
                </c:pt>
                <c:pt idx="20">
                  <c:v>10.704960835509137</c:v>
                </c:pt>
                <c:pt idx="21">
                  <c:v>9.9744245524296673</c:v>
                </c:pt>
                <c:pt idx="22">
                  <c:v>14.52513966480447</c:v>
                </c:pt>
                <c:pt idx="23">
                  <c:v>10.423452768729643</c:v>
                </c:pt>
                <c:pt idx="24">
                  <c:v>9.0062111801242235</c:v>
                </c:pt>
                <c:pt idx="25">
                  <c:v>3.5398230088495577</c:v>
                </c:pt>
                <c:pt idx="26">
                  <c:v>0.97087378640776689</c:v>
                </c:pt>
                <c:pt idx="27">
                  <c:v>10.4</c:v>
                </c:pt>
              </c:numCache>
            </c:numRef>
          </c:val>
          <c:extLst>
            <c:ext xmlns:c16="http://schemas.microsoft.com/office/drawing/2014/chart" uri="{C3380CC4-5D6E-409C-BE32-E72D297353CC}">
              <c16:uniqueId val="{00000005-C3BB-44FB-A846-9CA6454A0600}"/>
            </c:ext>
          </c:extLst>
        </c:ser>
        <c:ser>
          <c:idx val="3"/>
          <c:order val="3"/>
          <c:tx>
            <c:strRef>
              <c:f>Лист1!$D$33</c:f>
              <c:strCache>
                <c:ptCount val="1"/>
                <c:pt idx="0">
                  <c:v>Невдале лікування</c:v>
                </c:pt>
              </c:strCache>
            </c:strRef>
          </c:tx>
          <c:spPr>
            <a:solidFill>
              <a:srgbClr val="CC99FF"/>
            </a:solidFill>
          </c:spPr>
          <c:invertIfNegative val="0"/>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Лист1!$D$34:$D$61</c:f>
              <c:numCache>
                <c:formatCode>0.0</c:formatCode>
                <c:ptCount val="28"/>
                <c:pt idx="0">
                  <c:v>5.5837563451776653</c:v>
                </c:pt>
                <c:pt idx="1">
                  <c:v>9.6418732782369148</c:v>
                </c:pt>
                <c:pt idx="2">
                  <c:v>5.352112676056338</c:v>
                </c:pt>
                <c:pt idx="3">
                  <c:v>5.0615595075239401</c:v>
                </c:pt>
                <c:pt idx="4">
                  <c:v>7.9207920792079207</c:v>
                </c:pt>
                <c:pt idx="5">
                  <c:v>8.8679245283018862</c:v>
                </c:pt>
                <c:pt idx="6">
                  <c:v>4.0776699029126213</c:v>
                </c:pt>
                <c:pt idx="7">
                  <c:v>11.799410029498524</c:v>
                </c:pt>
                <c:pt idx="8">
                  <c:v>5.081967213114754</c:v>
                </c:pt>
                <c:pt idx="9">
                  <c:v>3.9548022598870061</c:v>
                </c:pt>
                <c:pt idx="10">
                  <c:v>8.5</c:v>
                </c:pt>
                <c:pt idx="11">
                  <c:v>2.3728813559322033</c:v>
                </c:pt>
                <c:pt idx="12">
                  <c:v>4.3478260869565215</c:v>
                </c:pt>
                <c:pt idx="13">
                  <c:v>6.593406593406594</c:v>
                </c:pt>
                <c:pt idx="14">
                  <c:v>9.1160220994475143</c:v>
                </c:pt>
                <c:pt idx="15">
                  <c:v>8.93371757925072</c:v>
                </c:pt>
                <c:pt idx="16">
                  <c:v>4.361370716510903</c:v>
                </c:pt>
                <c:pt idx="17">
                  <c:v>4.8913043478260869</c:v>
                </c:pt>
                <c:pt idx="18">
                  <c:v>7.7452667814113596</c:v>
                </c:pt>
                <c:pt idx="19">
                  <c:v>6.5902578796561597</c:v>
                </c:pt>
                <c:pt idx="20">
                  <c:v>12.010443864229766</c:v>
                </c:pt>
                <c:pt idx="21">
                  <c:v>11.253196930946292</c:v>
                </c:pt>
                <c:pt idx="22">
                  <c:v>7.2625698324022352</c:v>
                </c:pt>
                <c:pt idx="23">
                  <c:v>4.8859934853420199</c:v>
                </c:pt>
                <c:pt idx="24">
                  <c:v>5.5900621118012426</c:v>
                </c:pt>
                <c:pt idx="25">
                  <c:v>7.6696165191740411</c:v>
                </c:pt>
                <c:pt idx="26">
                  <c:v>0.97087378640776689</c:v>
                </c:pt>
                <c:pt idx="27">
                  <c:v>6.4</c:v>
                </c:pt>
              </c:numCache>
            </c:numRef>
          </c:val>
          <c:extLst>
            <c:ext xmlns:c16="http://schemas.microsoft.com/office/drawing/2014/chart" uri="{C3380CC4-5D6E-409C-BE32-E72D297353CC}">
              <c16:uniqueId val="{00000006-C3BB-44FB-A846-9CA6454A0600}"/>
            </c:ext>
          </c:extLst>
        </c:ser>
        <c:ser>
          <c:idx val="4"/>
          <c:order val="4"/>
          <c:tx>
            <c:strRef>
              <c:f>Лист1!$E$33</c:f>
              <c:strCache>
                <c:ptCount val="1"/>
                <c:pt idx="0">
                  <c:v>Втрачено</c:v>
                </c:pt>
              </c:strCache>
            </c:strRef>
          </c:tx>
          <c:spPr>
            <a:solidFill>
              <a:srgbClr val="FFFF99"/>
            </a:solidFill>
          </c:spPr>
          <c:invertIfNegative val="0"/>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Лист1!$E$34:$E$61</c:f>
              <c:numCache>
                <c:formatCode>0.0</c:formatCode>
                <c:ptCount val="28"/>
                <c:pt idx="0">
                  <c:v>4.8223350253807107</c:v>
                </c:pt>
                <c:pt idx="1">
                  <c:v>4.1322314049586781</c:v>
                </c:pt>
                <c:pt idx="2">
                  <c:v>3.3098591549295771</c:v>
                </c:pt>
                <c:pt idx="3">
                  <c:v>2.4623803009575922</c:v>
                </c:pt>
                <c:pt idx="4">
                  <c:v>3.9603960396039604</c:v>
                </c:pt>
                <c:pt idx="5">
                  <c:v>11.320754716981133</c:v>
                </c:pt>
                <c:pt idx="6">
                  <c:v>6.2135922330097086</c:v>
                </c:pt>
                <c:pt idx="7">
                  <c:v>4.1297935103244834</c:v>
                </c:pt>
                <c:pt idx="8">
                  <c:v>6.0655737704918034</c:v>
                </c:pt>
                <c:pt idx="9">
                  <c:v>3.6723163841807911</c:v>
                </c:pt>
                <c:pt idx="10">
                  <c:v>8.5</c:v>
                </c:pt>
                <c:pt idx="11">
                  <c:v>2.0338983050847457</c:v>
                </c:pt>
                <c:pt idx="12">
                  <c:v>4.3478260869565215</c:v>
                </c:pt>
                <c:pt idx="13">
                  <c:v>12.332112332112333</c:v>
                </c:pt>
                <c:pt idx="14">
                  <c:v>4.1436464088397784</c:v>
                </c:pt>
                <c:pt idx="15">
                  <c:v>2.5936599423631126</c:v>
                </c:pt>
                <c:pt idx="16">
                  <c:v>1.557632398753894</c:v>
                </c:pt>
                <c:pt idx="17">
                  <c:v>4.8913043478260869</c:v>
                </c:pt>
                <c:pt idx="18">
                  <c:v>5.3356282271944924</c:v>
                </c:pt>
                <c:pt idx="19">
                  <c:v>7.1633237822349569</c:v>
                </c:pt>
                <c:pt idx="20">
                  <c:v>4.1775456919060057</c:v>
                </c:pt>
                <c:pt idx="21">
                  <c:v>4.6035805626598467</c:v>
                </c:pt>
                <c:pt idx="22">
                  <c:v>3.3519553072625698</c:v>
                </c:pt>
                <c:pt idx="23">
                  <c:v>7.8175895765472303</c:v>
                </c:pt>
                <c:pt idx="24">
                  <c:v>3.5714285714285712</c:v>
                </c:pt>
                <c:pt idx="25">
                  <c:v>9.4395280235988199</c:v>
                </c:pt>
                <c:pt idx="26">
                  <c:v>7.7669902912621351</c:v>
                </c:pt>
                <c:pt idx="27">
                  <c:v>5.6</c:v>
                </c:pt>
              </c:numCache>
            </c:numRef>
          </c:val>
          <c:extLst>
            <c:ext xmlns:c16="http://schemas.microsoft.com/office/drawing/2014/chart" uri="{C3380CC4-5D6E-409C-BE32-E72D297353CC}">
              <c16:uniqueId val="{00000007-C3BB-44FB-A846-9CA6454A0600}"/>
            </c:ext>
          </c:extLst>
        </c:ser>
        <c:ser>
          <c:idx val="5"/>
          <c:order val="5"/>
          <c:tx>
            <c:strRef>
              <c:f>Лист1!$F$33</c:f>
              <c:strCache>
                <c:ptCount val="1"/>
                <c:pt idx="0">
                  <c:v>Не оцінено</c:v>
                </c:pt>
              </c:strCache>
            </c:strRef>
          </c:tx>
          <c:spPr>
            <a:solidFill>
              <a:srgbClr val="FF0000"/>
            </a:solidFill>
          </c:spPr>
          <c:invertIfNegative val="0"/>
          <c:cat>
            <c:strRef>
              <c:f>Лист1!$A$34:$A$61</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Лист1!$F$34:$F$61</c:f>
              <c:numCache>
                <c:formatCode>0.0</c:formatCode>
                <c:ptCount val="28"/>
                <c:pt idx="0">
                  <c:v>0</c:v>
                </c:pt>
                <c:pt idx="1">
                  <c:v>0</c:v>
                </c:pt>
                <c:pt idx="2">
                  <c:v>0</c:v>
                </c:pt>
                <c:pt idx="3">
                  <c:v>0</c:v>
                </c:pt>
                <c:pt idx="4">
                  <c:v>0.24752475247524752</c:v>
                </c:pt>
                <c:pt idx="5">
                  <c:v>0</c:v>
                </c:pt>
                <c:pt idx="6">
                  <c:v>0.58252427184466016</c:v>
                </c:pt>
                <c:pt idx="7">
                  <c:v>0</c:v>
                </c:pt>
                <c:pt idx="8">
                  <c:v>0</c:v>
                </c:pt>
                <c:pt idx="9">
                  <c:v>0</c:v>
                </c:pt>
                <c:pt idx="10">
                  <c:v>1.5</c:v>
                </c:pt>
                <c:pt idx="11">
                  <c:v>0</c:v>
                </c:pt>
                <c:pt idx="12">
                  <c:v>0</c:v>
                </c:pt>
                <c:pt idx="13">
                  <c:v>6.1050061050061048E-2</c:v>
                </c:pt>
                <c:pt idx="14">
                  <c:v>0</c:v>
                </c:pt>
                <c:pt idx="15">
                  <c:v>0</c:v>
                </c:pt>
                <c:pt idx="16">
                  <c:v>0.62305295950155759</c:v>
                </c:pt>
                <c:pt idx="17">
                  <c:v>0</c:v>
                </c:pt>
                <c:pt idx="18">
                  <c:v>0</c:v>
                </c:pt>
                <c:pt idx="19">
                  <c:v>0</c:v>
                </c:pt>
                <c:pt idx="20">
                  <c:v>0</c:v>
                </c:pt>
                <c:pt idx="21">
                  <c:v>0</c:v>
                </c:pt>
                <c:pt idx="22">
                  <c:v>0</c:v>
                </c:pt>
                <c:pt idx="23">
                  <c:v>0.32573289902280134</c:v>
                </c:pt>
                <c:pt idx="24">
                  <c:v>0.3105590062111801</c:v>
                </c:pt>
                <c:pt idx="25">
                  <c:v>0</c:v>
                </c:pt>
                <c:pt idx="26">
                  <c:v>0</c:v>
                </c:pt>
                <c:pt idx="27">
                  <c:v>0.1</c:v>
                </c:pt>
              </c:numCache>
            </c:numRef>
          </c:val>
          <c:extLst>
            <c:ext xmlns:c16="http://schemas.microsoft.com/office/drawing/2014/chart" uri="{C3380CC4-5D6E-409C-BE32-E72D297353CC}">
              <c16:uniqueId val="{00000008-C3BB-44FB-A846-9CA6454A0600}"/>
            </c:ext>
          </c:extLst>
        </c:ser>
        <c:dLbls>
          <c:showLegendKey val="0"/>
          <c:showVal val="0"/>
          <c:showCatName val="0"/>
          <c:showSerName val="0"/>
          <c:showPercent val="0"/>
          <c:showBubbleSize val="0"/>
        </c:dLbls>
        <c:gapWidth val="150"/>
        <c:overlap val="100"/>
        <c:axId val="1870892208"/>
        <c:axId val="2138700720"/>
      </c:barChart>
      <c:catAx>
        <c:axId val="1870892208"/>
        <c:scaling>
          <c:orientation val="minMax"/>
        </c:scaling>
        <c:delete val="0"/>
        <c:axPos val="b"/>
        <c:numFmt formatCode="General" sourceLinked="0"/>
        <c:majorTickMark val="out"/>
        <c:minorTickMark val="none"/>
        <c:tickLblPos val="nextTo"/>
        <c:txPr>
          <a:bodyPr/>
          <a:lstStyle/>
          <a:p>
            <a:pPr>
              <a:defRPr sz="900" b="1"/>
            </a:pPr>
            <a:endParaRPr lang="uk-UA"/>
          </a:p>
        </c:txPr>
        <c:crossAx val="2138700720"/>
        <c:crosses val="autoZero"/>
        <c:auto val="1"/>
        <c:lblAlgn val="ctr"/>
        <c:lblOffset val="100"/>
        <c:noMultiLvlLbl val="0"/>
      </c:catAx>
      <c:valAx>
        <c:axId val="2138700720"/>
        <c:scaling>
          <c:orientation val="minMax"/>
        </c:scaling>
        <c:delete val="1"/>
        <c:axPos val="l"/>
        <c:majorGridlines/>
        <c:numFmt formatCode="0.0" sourceLinked="1"/>
        <c:majorTickMark val="out"/>
        <c:minorTickMark val="none"/>
        <c:tickLblPos val="nextTo"/>
        <c:crossAx val="1870892208"/>
        <c:crosses val="autoZero"/>
        <c:crossBetween val="between"/>
      </c:valAx>
    </c:plotArea>
    <c:legend>
      <c:legendPos val="b"/>
      <c:legendEntry>
        <c:idx val="1"/>
        <c:delete val="1"/>
      </c:legendEntry>
      <c:layout>
        <c:manualLayout>
          <c:xMode val="edge"/>
          <c:yMode val="edge"/>
          <c:x val="0"/>
          <c:y val="0.818040639656885"/>
          <c:w val="0.97948482246170798"/>
          <c:h val="0.13183404705990701"/>
        </c:manualLayout>
      </c:layout>
      <c:overlay val="0"/>
      <c:txPr>
        <a:bodyPr/>
        <a:lstStyle/>
        <a:p>
          <a:pPr>
            <a:defRPr b="1">
              <a:solidFill>
                <a:schemeClr val="tx2">
                  <a:lumMod val="75000"/>
                </a:schemeClr>
              </a:solidFill>
            </a:defRPr>
          </a:pPr>
          <a:endParaRPr lang="uk-UA"/>
        </a:p>
      </c:txPr>
    </c:legend>
    <c:plotVisOnly val="1"/>
    <c:dispBlanksAs val="gap"/>
    <c:showDLblsOverMax val="0"/>
  </c:chart>
  <c:spPr>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97754048654365999"/>
          <c:h val="0.619336763232465"/>
        </c:manualLayout>
      </c:layout>
      <c:barChart>
        <c:barDir val="col"/>
        <c:grouping val="stacked"/>
        <c:varyColors val="0"/>
        <c:ser>
          <c:idx val="0"/>
          <c:order val="0"/>
          <c:tx>
            <c:strRef>
              <c:f>Лист1!#REF!</c:f>
              <c:strCache>
                <c:ptCount val="1"/>
                <c:pt idx="0">
                  <c:v>#REF!</c:v>
                </c:pt>
              </c:strCache>
            </c:strRef>
          </c:tx>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B629-4283-BB50-FA2BB15C504F}"/>
            </c:ext>
          </c:extLst>
        </c:ser>
        <c:ser>
          <c:idx val="1"/>
          <c:order val="1"/>
          <c:tx>
            <c:strRef>
              <c:f>Лист1!$B$67</c:f>
              <c:strCache>
                <c:ptCount val="1"/>
                <c:pt idx="0">
                  <c:v>Ефективне лікування</c:v>
                </c:pt>
              </c:strCache>
            </c:strRef>
          </c:tx>
          <c:spPr>
            <a:solidFill>
              <a:srgbClr val="FF9933"/>
            </a:solidFill>
          </c:spPr>
          <c:invertIfNegative val="0"/>
          <c:dLbls>
            <c:dLbl>
              <c:idx val="27"/>
              <c:spPr>
                <a:noFill/>
                <a:ln>
                  <a:noFill/>
                </a:ln>
                <a:effectLst/>
              </c:spPr>
              <c:txPr>
                <a:bodyPr rot="-5400000" vert="horz"/>
                <a:lstStyle/>
                <a:p>
                  <a:pPr>
                    <a:defRPr sz="1400" b="1"/>
                  </a:pPr>
                  <a:endParaRPr lang="uk-UA"/>
                </a:p>
              </c:txPr>
              <c:showLegendKey val="0"/>
              <c:showVal val="1"/>
              <c:showCatName val="0"/>
              <c:showSerName val="0"/>
              <c:showPercent val="0"/>
              <c:showBubbleSize val="0"/>
              <c:extLst>
                <c:ext xmlns:c16="http://schemas.microsoft.com/office/drawing/2014/chart" uri="{C3380CC4-5D6E-409C-BE32-E72D297353CC}">
                  <c16:uniqueId val="{00000001-B629-4283-BB50-FA2BB15C504F}"/>
                </c:ext>
              </c:extLst>
            </c:dLbl>
            <c:spPr>
              <a:noFill/>
              <a:ln>
                <a:noFill/>
              </a:ln>
              <a:effectLst/>
            </c:spPr>
            <c:txPr>
              <a:bodyPr rot="-5400000" vert="horz"/>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Лист1!$B$68:$B$95</c:f>
              <c:numCache>
                <c:formatCode>0.0</c:formatCode>
                <c:ptCount val="28"/>
                <c:pt idx="0">
                  <c:v>96.666666666666671</c:v>
                </c:pt>
                <c:pt idx="1">
                  <c:v>77.777777777777786</c:v>
                </c:pt>
                <c:pt idx="2">
                  <c:v>70.608108108108098</c:v>
                </c:pt>
                <c:pt idx="3">
                  <c:v>78.048780487804876</c:v>
                </c:pt>
                <c:pt idx="4">
                  <c:v>65.384615384615387</c:v>
                </c:pt>
                <c:pt idx="5">
                  <c:v>59.230769230769234</c:v>
                </c:pt>
                <c:pt idx="6">
                  <c:v>74.468085106382972</c:v>
                </c:pt>
                <c:pt idx="7">
                  <c:v>59.649122807017541</c:v>
                </c:pt>
                <c:pt idx="8">
                  <c:v>77.358490566037744</c:v>
                </c:pt>
                <c:pt idx="9">
                  <c:v>64</c:v>
                </c:pt>
                <c:pt idx="10">
                  <c:v>53.571428571428569</c:v>
                </c:pt>
                <c:pt idx="11">
                  <c:v>76.744186046511629</c:v>
                </c:pt>
                <c:pt idx="12">
                  <c:v>58.82352941176471</c:v>
                </c:pt>
                <c:pt idx="13">
                  <c:v>56.547619047619044</c:v>
                </c:pt>
                <c:pt idx="14">
                  <c:v>72.222222222222214</c:v>
                </c:pt>
                <c:pt idx="15">
                  <c:v>71.15384615384616</c:v>
                </c:pt>
                <c:pt idx="16">
                  <c:v>70</c:v>
                </c:pt>
                <c:pt idx="17">
                  <c:v>91.666666666666657</c:v>
                </c:pt>
                <c:pt idx="18">
                  <c:v>67.948717948717956</c:v>
                </c:pt>
                <c:pt idx="19">
                  <c:v>60</c:v>
                </c:pt>
                <c:pt idx="20">
                  <c:v>58.024691358024697</c:v>
                </c:pt>
                <c:pt idx="21">
                  <c:v>77.777777777777786</c:v>
                </c:pt>
                <c:pt idx="22">
                  <c:v>70.967741935483872</c:v>
                </c:pt>
                <c:pt idx="23">
                  <c:v>61.53846153846154</c:v>
                </c:pt>
                <c:pt idx="24">
                  <c:v>68.35443037974683</c:v>
                </c:pt>
                <c:pt idx="25">
                  <c:v>66.666666666666657</c:v>
                </c:pt>
                <c:pt idx="26">
                  <c:v>100</c:v>
                </c:pt>
                <c:pt idx="27">
                  <c:v>67.5</c:v>
                </c:pt>
              </c:numCache>
            </c:numRef>
          </c:val>
          <c:extLst>
            <c:ext xmlns:c16="http://schemas.microsoft.com/office/drawing/2014/chart" uri="{C3380CC4-5D6E-409C-BE32-E72D297353CC}">
              <c16:uniqueId val="{00000002-B629-4283-BB50-FA2BB15C504F}"/>
            </c:ext>
          </c:extLst>
        </c:ser>
        <c:ser>
          <c:idx val="2"/>
          <c:order val="2"/>
          <c:tx>
            <c:strRef>
              <c:f>Лист1!$C$67</c:f>
              <c:strCache>
                <c:ptCount val="1"/>
                <c:pt idx="0">
                  <c:v>Померло</c:v>
                </c:pt>
              </c:strCache>
            </c:strRef>
          </c:tx>
          <c:spPr>
            <a:solidFill>
              <a:srgbClr val="3399FF"/>
            </a:solidFill>
          </c:spPr>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Лист1!$C$68:$C$95</c:f>
              <c:numCache>
                <c:formatCode>0.0</c:formatCode>
                <c:ptCount val="28"/>
                <c:pt idx="0">
                  <c:v>0</c:v>
                </c:pt>
                <c:pt idx="1">
                  <c:v>4.4444444444444446</c:v>
                </c:pt>
                <c:pt idx="2">
                  <c:v>12.5</c:v>
                </c:pt>
                <c:pt idx="3">
                  <c:v>0</c:v>
                </c:pt>
                <c:pt idx="4">
                  <c:v>3.8461538461538463</c:v>
                </c:pt>
                <c:pt idx="5">
                  <c:v>6.9230769230769234</c:v>
                </c:pt>
                <c:pt idx="6">
                  <c:v>10.638297872340425</c:v>
                </c:pt>
                <c:pt idx="7">
                  <c:v>5.2631578947368416</c:v>
                </c:pt>
                <c:pt idx="8">
                  <c:v>11.320754716981133</c:v>
                </c:pt>
                <c:pt idx="9">
                  <c:v>20</c:v>
                </c:pt>
                <c:pt idx="10">
                  <c:v>10.714285714285714</c:v>
                </c:pt>
                <c:pt idx="11">
                  <c:v>13.953488372093023</c:v>
                </c:pt>
                <c:pt idx="12">
                  <c:v>14.705882352941178</c:v>
                </c:pt>
                <c:pt idx="13">
                  <c:v>7.1428571428571423</c:v>
                </c:pt>
                <c:pt idx="14">
                  <c:v>5.5555555555555554</c:v>
                </c:pt>
                <c:pt idx="15">
                  <c:v>7.6923076923076925</c:v>
                </c:pt>
                <c:pt idx="16">
                  <c:v>20</c:v>
                </c:pt>
                <c:pt idx="17">
                  <c:v>8.3333333333333321</c:v>
                </c:pt>
                <c:pt idx="18">
                  <c:v>6.4102564102564097</c:v>
                </c:pt>
                <c:pt idx="19">
                  <c:v>12.5</c:v>
                </c:pt>
                <c:pt idx="20">
                  <c:v>11.111111111111111</c:v>
                </c:pt>
                <c:pt idx="21">
                  <c:v>9.2592592592592595</c:v>
                </c:pt>
                <c:pt idx="22">
                  <c:v>6.4516129032258061</c:v>
                </c:pt>
                <c:pt idx="23">
                  <c:v>15.384615384615385</c:v>
                </c:pt>
                <c:pt idx="24">
                  <c:v>13.924050632911392</c:v>
                </c:pt>
                <c:pt idx="25">
                  <c:v>5.2631578947368416</c:v>
                </c:pt>
                <c:pt idx="26">
                  <c:v>0</c:v>
                </c:pt>
                <c:pt idx="27">
                  <c:v>9.5</c:v>
                </c:pt>
              </c:numCache>
            </c:numRef>
          </c:val>
          <c:extLst>
            <c:ext xmlns:c16="http://schemas.microsoft.com/office/drawing/2014/chart" uri="{C3380CC4-5D6E-409C-BE32-E72D297353CC}">
              <c16:uniqueId val="{00000003-B629-4283-BB50-FA2BB15C504F}"/>
            </c:ext>
          </c:extLst>
        </c:ser>
        <c:ser>
          <c:idx val="3"/>
          <c:order val="3"/>
          <c:tx>
            <c:strRef>
              <c:f>Лист1!$D$67</c:f>
              <c:strCache>
                <c:ptCount val="1"/>
                <c:pt idx="0">
                  <c:v>Невдале лікування</c:v>
                </c:pt>
              </c:strCache>
            </c:strRef>
          </c:tx>
          <c:spPr>
            <a:solidFill>
              <a:srgbClr val="BB76F4"/>
            </a:solidFill>
          </c:spPr>
          <c:invertIfNegative val="0"/>
          <c:dLbls>
            <c:dLbl>
              <c:idx val="12"/>
              <c:layout>
                <c:manualLayout>
                  <c:x val="0"/>
                  <c:y val="-9.3676814988290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29-4283-BB50-FA2BB15C504F}"/>
                </c:ext>
              </c:extLst>
            </c:dLbl>
            <c:dLbl>
              <c:idx val="26"/>
              <c:delete val="1"/>
              <c:extLst>
                <c:ext xmlns:c15="http://schemas.microsoft.com/office/drawing/2012/chart" uri="{CE6537A1-D6FC-4f65-9D91-7224C49458BB}"/>
                <c:ext xmlns:c16="http://schemas.microsoft.com/office/drawing/2014/chart" uri="{C3380CC4-5D6E-409C-BE32-E72D297353CC}">
                  <c16:uniqueId val="{00000005-B629-4283-BB50-FA2BB15C504F}"/>
                </c:ext>
              </c:extLst>
            </c:dLbl>
            <c:spPr>
              <a:noFill/>
              <a:ln>
                <a:noFill/>
              </a:ln>
              <a:effectLst/>
            </c:spPr>
            <c:txPr>
              <a:bodyPr rot="-5400000" vert="horz"/>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Лист1!$D$68:$D$95</c:f>
              <c:numCache>
                <c:formatCode>0.0</c:formatCode>
                <c:ptCount val="28"/>
                <c:pt idx="0">
                  <c:v>0</c:v>
                </c:pt>
                <c:pt idx="1">
                  <c:v>6.666666666666667</c:v>
                </c:pt>
                <c:pt idx="2">
                  <c:v>7.0945945945945947</c:v>
                </c:pt>
                <c:pt idx="3">
                  <c:v>4.8780487804878048</c:v>
                </c:pt>
                <c:pt idx="4">
                  <c:v>19.230769230769234</c:v>
                </c:pt>
                <c:pt idx="5">
                  <c:v>15.384615384615385</c:v>
                </c:pt>
                <c:pt idx="6">
                  <c:v>8.5106382978723403</c:v>
                </c:pt>
                <c:pt idx="7">
                  <c:v>21.052631578947366</c:v>
                </c:pt>
                <c:pt idx="8">
                  <c:v>7.5471698113207548</c:v>
                </c:pt>
                <c:pt idx="9">
                  <c:v>6</c:v>
                </c:pt>
                <c:pt idx="10">
                  <c:v>17.857142857142858</c:v>
                </c:pt>
                <c:pt idx="11">
                  <c:v>4.6511627906976747</c:v>
                </c:pt>
                <c:pt idx="12">
                  <c:v>5.8823529411764701</c:v>
                </c:pt>
                <c:pt idx="13">
                  <c:v>11.30952380952381</c:v>
                </c:pt>
                <c:pt idx="14">
                  <c:v>12.962962962962962</c:v>
                </c:pt>
                <c:pt idx="15">
                  <c:v>15.384615384615385</c:v>
                </c:pt>
                <c:pt idx="16">
                  <c:v>5</c:v>
                </c:pt>
                <c:pt idx="17">
                  <c:v>0</c:v>
                </c:pt>
                <c:pt idx="18">
                  <c:v>10.256410256410255</c:v>
                </c:pt>
                <c:pt idx="19">
                  <c:v>10</c:v>
                </c:pt>
                <c:pt idx="20">
                  <c:v>19.753086419753085</c:v>
                </c:pt>
                <c:pt idx="21">
                  <c:v>11.111111111111111</c:v>
                </c:pt>
                <c:pt idx="22">
                  <c:v>9.67741935483871</c:v>
                </c:pt>
                <c:pt idx="23">
                  <c:v>7.6923076923076925</c:v>
                </c:pt>
                <c:pt idx="24">
                  <c:v>6.3291139240506329</c:v>
                </c:pt>
                <c:pt idx="25">
                  <c:v>8.7719298245614024</c:v>
                </c:pt>
                <c:pt idx="26">
                  <c:v>0</c:v>
                </c:pt>
                <c:pt idx="27">
                  <c:v>10.199999999999999</c:v>
                </c:pt>
              </c:numCache>
            </c:numRef>
          </c:val>
          <c:extLst>
            <c:ext xmlns:c16="http://schemas.microsoft.com/office/drawing/2014/chart" uri="{C3380CC4-5D6E-409C-BE32-E72D297353CC}">
              <c16:uniqueId val="{00000006-B629-4283-BB50-FA2BB15C504F}"/>
            </c:ext>
          </c:extLst>
        </c:ser>
        <c:ser>
          <c:idx val="4"/>
          <c:order val="4"/>
          <c:tx>
            <c:strRef>
              <c:f>Лист1!$E$67</c:f>
              <c:strCache>
                <c:ptCount val="1"/>
                <c:pt idx="0">
                  <c:v>Втрачено</c:v>
                </c:pt>
              </c:strCache>
            </c:strRef>
          </c:tx>
          <c:invertIfNegative val="0"/>
          <c:dLbls>
            <c:spPr>
              <a:noFill/>
              <a:ln>
                <a:noFill/>
              </a:ln>
              <a:effectLst/>
            </c:spPr>
            <c:txPr>
              <a:bodyPr rot="-5400000" vert="horz" wrap="square" lIns="38100" tIns="19050" rIns="38100" bIns="19050" anchor="ctr">
                <a:spAutoFit/>
              </a:bodyPr>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Лист1!$E$68:$E$95</c:f>
              <c:numCache>
                <c:formatCode>0.0</c:formatCode>
                <c:ptCount val="28"/>
                <c:pt idx="0">
                  <c:v>3.3333333333333335</c:v>
                </c:pt>
                <c:pt idx="1">
                  <c:v>11.111111111111111</c:v>
                </c:pt>
                <c:pt idx="2">
                  <c:v>9.7972972972972965</c:v>
                </c:pt>
                <c:pt idx="3">
                  <c:v>17.073170731707318</c:v>
                </c:pt>
                <c:pt idx="4">
                  <c:v>11.538461538461538</c:v>
                </c:pt>
                <c:pt idx="5">
                  <c:v>18.461538461538463</c:v>
                </c:pt>
                <c:pt idx="6">
                  <c:v>6.3829787234042552</c:v>
                </c:pt>
                <c:pt idx="7">
                  <c:v>14.035087719298245</c:v>
                </c:pt>
                <c:pt idx="8">
                  <c:v>3.7735849056603774</c:v>
                </c:pt>
                <c:pt idx="9">
                  <c:v>10</c:v>
                </c:pt>
                <c:pt idx="10">
                  <c:v>17.857142857142858</c:v>
                </c:pt>
                <c:pt idx="11">
                  <c:v>4.6511627906976747</c:v>
                </c:pt>
                <c:pt idx="12">
                  <c:v>20.588235294117645</c:v>
                </c:pt>
                <c:pt idx="13">
                  <c:v>25</c:v>
                </c:pt>
                <c:pt idx="14">
                  <c:v>9.2592592592592595</c:v>
                </c:pt>
                <c:pt idx="15">
                  <c:v>5.7692307692307692</c:v>
                </c:pt>
                <c:pt idx="16">
                  <c:v>5</c:v>
                </c:pt>
                <c:pt idx="17">
                  <c:v>0</c:v>
                </c:pt>
                <c:pt idx="18">
                  <c:v>15.384615384615385</c:v>
                </c:pt>
                <c:pt idx="19">
                  <c:v>17.5</c:v>
                </c:pt>
                <c:pt idx="20">
                  <c:v>11.111111111111111</c:v>
                </c:pt>
                <c:pt idx="21">
                  <c:v>1.8518518518518516</c:v>
                </c:pt>
                <c:pt idx="22">
                  <c:v>12.903225806451612</c:v>
                </c:pt>
                <c:pt idx="23">
                  <c:v>15.384615384615385</c:v>
                </c:pt>
                <c:pt idx="24">
                  <c:v>10.126582278481013</c:v>
                </c:pt>
                <c:pt idx="25">
                  <c:v>19.298245614035086</c:v>
                </c:pt>
                <c:pt idx="26">
                  <c:v>0</c:v>
                </c:pt>
                <c:pt idx="27">
                  <c:v>12.7</c:v>
                </c:pt>
              </c:numCache>
            </c:numRef>
          </c:val>
          <c:extLst>
            <c:ext xmlns:c16="http://schemas.microsoft.com/office/drawing/2014/chart" uri="{C3380CC4-5D6E-409C-BE32-E72D297353CC}">
              <c16:uniqueId val="{00000007-B629-4283-BB50-FA2BB15C504F}"/>
            </c:ext>
          </c:extLst>
        </c:ser>
        <c:ser>
          <c:idx val="5"/>
          <c:order val="5"/>
          <c:tx>
            <c:strRef>
              <c:f>Лист1!$F$67</c:f>
              <c:strCache>
                <c:ptCount val="1"/>
                <c:pt idx="0">
                  <c:v>Не оцінено</c:v>
                </c:pt>
              </c:strCache>
            </c:strRef>
          </c:tx>
          <c:spPr>
            <a:solidFill>
              <a:srgbClr val="EEECE1">
                <a:lumMod val="50000"/>
              </a:srgbClr>
            </a:solidFill>
          </c:spPr>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Лист1!$F$68:$F$95</c:f>
              <c:numCache>
                <c:formatCode>0.0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1.2658227848101267</c:v>
                </c:pt>
                <c:pt idx="25">
                  <c:v>0</c:v>
                </c:pt>
                <c:pt idx="26">
                  <c:v>0</c:v>
                </c:pt>
                <c:pt idx="27">
                  <c:v>0.1</c:v>
                </c:pt>
              </c:numCache>
            </c:numRef>
          </c:val>
          <c:extLst>
            <c:ext xmlns:c16="http://schemas.microsoft.com/office/drawing/2014/chart" uri="{C3380CC4-5D6E-409C-BE32-E72D297353CC}">
              <c16:uniqueId val="{00000008-B629-4283-BB50-FA2BB15C504F}"/>
            </c:ext>
          </c:extLst>
        </c:ser>
        <c:dLbls>
          <c:showLegendKey val="0"/>
          <c:showVal val="0"/>
          <c:showCatName val="0"/>
          <c:showSerName val="0"/>
          <c:showPercent val="0"/>
          <c:showBubbleSize val="0"/>
        </c:dLbls>
        <c:gapWidth val="150"/>
        <c:overlap val="100"/>
        <c:axId val="-2071080944"/>
        <c:axId val="-2068932560"/>
      </c:barChart>
      <c:catAx>
        <c:axId val="-2071080944"/>
        <c:scaling>
          <c:orientation val="minMax"/>
        </c:scaling>
        <c:delete val="0"/>
        <c:axPos val="b"/>
        <c:numFmt formatCode="General" sourceLinked="0"/>
        <c:majorTickMark val="out"/>
        <c:minorTickMark val="none"/>
        <c:tickLblPos val="nextTo"/>
        <c:txPr>
          <a:bodyPr/>
          <a:lstStyle/>
          <a:p>
            <a:pPr>
              <a:defRPr b="1"/>
            </a:pPr>
            <a:endParaRPr lang="uk-UA"/>
          </a:p>
        </c:txPr>
        <c:crossAx val="-2068932560"/>
        <c:crosses val="autoZero"/>
        <c:auto val="1"/>
        <c:lblAlgn val="ctr"/>
        <c:lblOffset val="100"/>
        <c:noMultiLvlLbl val="0"/>
      </c:catAx>
      <c:valAx>
        <c:axId val="-2068932560"/>
        <c:scaling>
          <c:orientation val="minMax"/>
        </c:scaling>
        <c:delete val="1"/>
        <c:axPos val="l"/>
        <c:majorGridlines/>
        <c:numFmt formatCode="General" sourceLinked="1"/>
        <c:majorTickMark val="out"/>
        <c:minorTickMark val="none"/>
        <c:tickLblPos val="nextTo"/>
        <c:crossAx val="-2071080944"/>
        <c:crosses val="autoZero"/>
        <c:crossBetween val="between"/>
      </c:valAx>
    </c:plotArea>
    <c:legend>
      <c:legendPos val="b"/>
      <c:legendEntry>
        <c:idx val="0"/>
        <c:delete val="1"/>
      </c:legendEntry>
      <c:layout>
        <c:manualLayout>
          <c:xMode val="edge"/>
          <c:yMode val="edge"/>
          <c:x val="1.2398747333403499E-2"/>
          <c:y val="0.86203281841678203"/>
          <c:w val="0.98708957814151399"/>
          <c:h val="0.11761094748652599"/>
        </c:manualLayout>
      </c:layout>
      <c:overlay val="0"/>
      <c:txPr>
        <a:bodyPr/>
        <a:lstStyle/>
        <a:p>
          <a:pPr>
            <a:defRPr b="1">
              <a:solidFill>
                <a:schemeClr val="tx2">
                  <a:lumMod val="75000"/>
                </a:schemeClr>
              </a:solidFill>
            </a:defRPr>
          </a:pPr>
          <a:endParaRPr lang="uk-UA"/>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Волинська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78.7</c:v>
                </c:pt>
                <c:pt idx="1">
                  <c:v>74.099999999999994</c:v>
                </c:pt>
                <c:pt idx="2">
                  <c:v>68.2</c:v>
                </c:pt>
                <c:pt idx="3">
                  <c:v>64.3</c:v>
                </c:pt>
                <c:pt idx="4">
                  <c:v>48.5</c:v>
                </c:pt>
                <c:pt idx="5">
                  <c:v>59.9</c:v>
                </c:pt>
              </c:numCache>
            </c:numRef>
          </c:val>
          <c:smooth val="0"/>
          <c:extLst>
            <c:ext xmlns:c16="http://schemas.microsoft.com/office/drawing/2014/chart" uri="{C3380CC4-5D6E-409C-BE32-E72D297353CC}">
              <c16:uniqueId val="{00000000-D06C-4B72-A566-FB1FB34EADFD}"/>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97754048654365999"/>
          <c:h val="0.619336763232465"/>
        </c:manualLayout>
      </c:layout>
      <c:barChart>
        <c:barDir val="col"/>
        <c:grouping val="stacked"/>
        <c:varyColors val="0"/>
        <c:ser>
          <c:idx val="0"/>
          <c:order val="0"/>
          <c:tx>
            <c:strRef>
              <c:f>Лист1!#REF!</c:f>
              <c:strCache>
                <c:ptCount val="1"/>
                <c:pt idx="0">
                  <c:v>#REF!</c:v>
                </c:pt>
              </c:strCache>
            </c:strRef>
          </c:tx>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E6B4-4321-AD05-E5685028A4C9}"/>
            </c:ext>
          </c:extLst>
        </c:ser>
        <c:ser>
          <c:idx val="1"/>
          <c:order val="1"/>
          <c:tx>
            <c:strRef>
              <c:f>Лист1!$B$67</c:f>
              <c:strCache>
                <c:ptCount val="1"/>
                <c:pt idx="0">
                  <c:v>Ефективне лікування</c:v>
                </c:pt>
              </c:strCache>
            </c:strRef>
          </c:tx>
          <c:spPr>
            <a:solidFill>
              <a:srgbClr val="FF9933"/>
            </a:solidFill>
          </c:spPr>
          <c:invertIfNegative val="0"/>
          <c:dLbls>
            <c:dLbl>
              <c:idx val="27"/>
              <c:spPr>
                <a:noFill/>
                <a:ln>
                  <a:noFill/>
                </a:ln>
                <a:effectLst/>
              </c:spPr>
              <c:txPr>
                <a:bodyPr rot="-5400000" vert="horz"/>
                <a:lstStyle/>
                <a:p>
                  <a:pPr>
                    <a:defRPr sz="1400" b="1"/>
                  </a:pPr>
                  <a:endParaRPr lang="uk-UA"/>
                </a:p>
              </c:txPr>
              <c:showLegendKey val="0"/>
              <c:showVal val="1"/>
              <c:showCatName val="0"/>
              <c:showSerName val="0"/>
              <c:showPercent val="0"/>
              <c:showBubbleSize val="0"/>
              <c:extLst>
                <c:ext xmlns:c16="http://schemas.microsoft.com/office/drawing/2014/chart" uri="{C3380CC4-5D6E-409C-BE32-E72D297353CC}">
                  <c16:uniqueId val="{00000001-E6B4-4321-AD05-E5685028A4C9}"/>
                </c:ext>
              </c:extLst>
            </c:dLbl>
            <c:spPr>
              <a:noFill/>
              <a:ln>
                <a:noFill/>
              </a:ln>
              <a:effectLst/>
            </c:spPr>
            <c:txPr>
              <a:bodyPr rot="-5400000" vert="horz"/>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Лист1!$B$68:$B$95</c:f>
              <c:numCache>
                <c:formatCode>0.0</c:formatCode>
                <c:ptCount val="28"/>
                <c:pt idx="0">
                  <c:v>60</c:v>
                </c:pt>
                <c:pt idx="1">
                  <c:v>63.157894736842103</c:v>
                </c:pt>
                <c:pt idx="2">
                  <c:v>62.576687116564422</c:v>
                </c:pt>
                <c:pt idx="3">
                  <c:v>76.206896551724128</c:v>
                </c:pt>
                <c:pt idx="4">
                  <c:v>75.471698113207552</c:v>
                </c:pt>
                <c:pt idx="5">
                  <c:v>71.428571428571431</c:v>
                </c:pt>
                <c:pt idx="6">
                  <c:v>62.121212121212125</c:v>
                </c:pt>
                <c:pt idx="7">
                  <c:v>81.818181818181827</c:v>
                </c:pt>
                <c:pt idx="8">
                  <c:v>55.46875</c:v>
                </c:pt>
                <c:pt idx="9">
                  <c:v>65.753424657534239</c:v>
                </c:pt>
                <c:pt idx="10">
                  <c:v>70.370370370370367</c:v>
                </c:pt>
                <c:pt idx="11">
                  <c:v>77.310924369747909</c:v>
                </c:pt>
                <c:pt idx="12">
                  <c:v>81.318681318681314</c:v>
                </c:pt>
                <c:pt idx="13">
                  <c:v>63.386396526772792</c:v>
                </c:pt>
                <c:pt idx="14">
                  <c:v>80</c:v>
                </c:pt>
                <c:pt idx="15">
                  <c:v>68.75</c:v>
                </c:pt>
                <c:pt idx="16">
                  <c:v>62.5</c:v>
                </c:pt>
                <c:pt idx="17">
                  <c:v>70.588235294117652</c:v>
                </c:pt>
                <c:pt idx="18">
                  <c:v>73.239436619718319</c:v>
                </c:pt>
                <c:pt idx="19">
                  <c:v>52.542372881355938</c:v>
                </c:pt>
                <c:pt idx="20">
                  <c:v>60</c:v>
                </c:pt>
                <c:pt idx="21">
                  <c:v>64.130434782608688</c:v>
                </c:pt>
                <c:pt idx="22">
                  <c:v>62.5</c:v>
                </c:pt>
                <c:pt idx="23">
                  <c:v>62.264150943396224</c:v>
                </c:pt>
                <c:pt idx="24">
                  <c:v>74.675324675324674</c:v>
                </c:pt>
                <c:pt idx="25">
                  <c:v>73.40425531914893</c:v>
                </c:pt>
                <c:pt idx="26">
                  <c:v>80</c:v>
                </c:pt>
                <c:pt idx="27">
                  <c:v>67.3</c:v>
                </c:pt>
              </c:numCache>
            </c:numRef>
          </c:val>
          <c:extLst>
            <c:ext xmlns:c16="http://schemas.microsoft.com/office/drawing/2014/chart" uri="{C3380CC4-5D6E-409C-BE32-E72D297353CC}">
              <c16:uniqueId val="{00000002-E6B4-4321-AD05-E5685028A4C9}"/>
            </c:ext>
          </c:extLst>
        </c:ser>
        <c:ser>
          <c:idx val="2"/>
          <c:order val="2"/>
          <c:tx>
            <c:strRef>
              <c:f>Лист1!$C$67</c:f>
              <c:strCache>
                <c:ptCount val="1"/>
                <c:pt idx="0">
                  <c:v>Померло</c:v>
                </c:pt>
              </c:strCache>
            </c:strRef>
          </c:tx>
          <c:spPr>
            <a:solidFill>
              <a:srgbClr val="3399FF"/>
            </a:solidFill>
          </c:spPr>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Лист1!$C$68:$C$95</c:f>
              <c:numCache>
                <c:formatCode>0.0</c:formatCode>
                <c:ptCount val="28"/>
                <c:pt idx="0">
                  <c:v>33.846153846153847</c:v>
                </c:pt>
                <c:pt idx="1">
                  <c:v>18.421052631578945</c:v>
                </c:pt>
                <c:pt idx="2">
                  <c:v>25.153374233128833</c:v>
                </c:pt>
                <c:pt idx="3">
                  <c:v>16.896551724137932</c:v>
                </c:pt>
                <c:pt idx="4">
                  <c:v>16.981132075471699</c:v>
                </c:pt>
                <c:pt idx="5">
                  <c:v>7.1428571428571423</c:v>
                </c:pt>
                <c:pt idx="6">
                  <c:v>22.727272727272727</c:v>
                </c:pt>
                <c:pt idx="7">
                  <c:v>13.636363636363635</c:v>
                </c:pt>
                <c:pt idx="8">
                  <c:v>25.78125</c:v>
                </c:pt>
                <c:pt idx="9">
                  <c:v>28.767123287671232</c:v>
                </c:pt>
                <c:pt idx="10">
                  <c:v>14.814814814814813</c:v>
                </c:pt>
                <c:pt idx="11">
                  <c:v>20.168067226890756</c:v>
                </c:pt>
                <c:pt idx="12">
                  <c:v>14.285714285714285</c:v>
                </c:pt>
                <c:pt idx="13">
                  <c:v>17.945007235890014</c:v>
                </c:pt>
                <c:pt idx="14">
                  <c:v>14.000000000000002</c:v>
                </c:pt>
                <c:pt idx="15">
                  <c:v>18.75</c:v>
                </c:pt>
                <c:pt idx="16">
                  <c:v>29.166666666666668</c:v>
                </c:pt>
                <c:pt idx="17">
                  <c:v>11.76470588235294</c:v>
                </c:pt>
                <c:pt idx="18">
                  <c:v>12.676056338028168</c:v>
                </c:pt>
                <c:pt idx="19">
                  <c:v>35.593220338983052</c:v>
                </c:pt>
                <c:pt idx="20">
                  <c:v>20</c:v>
                </c:pt>
                <c:pt idx="21">
                  <c:v>18.478260869565215</c:v>
                </c:pt>
                <c:pt idx="22">
                  <c:v>37.5</c:v>
                </c:pt>
                <c:pt idx="23">
                  <c:v>22.641509433962266</c:v>
                </c:pt>
                <c:pt idx="24">
                  <c:v>14.935064935064934</c:v>
                </c:pt>
                <c:pt idx="25">
                  <c:v>10.638297872340425</c:v>
                </c:pt>
                <c:pt idx="26">
                  <c:v>20</c:v>
                </c:pt>
                <c:pt idx="27">
                  <c:v>19.8</c:v>
                </c:pt>
              </c:numCache>
            </c:numRef>
          </c:val>
          <c:extLst>
            <c:ext xmlns:c16="http://schemas.microsoft.com/office/drawing/2014/chart" uri="{C3380CC4-5D6E-409C-BE32-E72D297353CC}">
              <c16:uniqueId val="{00000003-E6B4-4321-AD05-E5685028A4C9}"/>
            </c:ext>
          </c:extLst>
        </c:ser>
        <c:ser>
          <c:idx val="3"/>
          <c:order val="3"/>
          <c:tx>
            <c:strRef>
              <c:f>Лист1!$D$67</c:f>
              <c:strCache>
                <c:ptCount val="1"/>
                <c:pt idx="0">
                  <c:v>Невдале лікування</c:v>
                </c:pt>
              </c:strCache>
            </c:strRef>
          </c:tx>
          <c:spPr>
            <a:solidFill>
              <a:srgbClr val="BB76F4"/>
            </a:solidFill>
          </c:spPr>
          <c:invertIfNegative val="0"/>
          <c:dLbls>
            <c:dLbl>
              <c:idx val="12"/>
              <c:layout>
                <c:manualLayout>
                  <c:x val="0"/>
                  <c:y val="-9.3676814988290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B4-4321-AD05-E5685028A4C9}"/>
                </c:ext>
              </c:extLst>
            </c:dLbl>
            <c:dLbl>
              <c:idx val="26"/>
              <c:delete val="1"/>
              <c:extLst>
                <c:ext xmlns:c15="http://schemas.microsoft.com/office/drawing/2012/chart" uri="{CE6537A1-D6FC-4f65-9D91-7224C49458BB}"/>
                <c:ext xmlns:c16="http://schemas.microsoft.com/office/drawing/2014/chart" uri="{C3380CC4-5D6E-409C-BE32-E72D297353CC}">
                  <c16:uniqueId val="{00000005-E6B4-4321-AD05-E5685028A4C9}"/>
                </c:ext>
              </c:extLst>
            </c:dLbl>
            <c:spPr>
              <a:noFill/>
              <a:ln>
                <a:noFill/>
              </a:ln>
              <a:effectLst/>
            </c:spPr>
            <c:txPr>
              <a:bodyPr rot="-5400000" vert="horz"/>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Лист1!$D$68:$D$95</c:f>
              <c:numCache>
                <c:formatCode>0.0</c:formatCode>
                <c:ptCount val="28"/>
                <c:pt idx="0">
                  <c:v>1.5384615384615385</c:v>
                </c:pt>
                <c:pt idx="1">
                  <c:v>7.8947368421052628</c:v>
                </c:pt>
                <c:pt idx="2">
                  <c:v>7.0552147239263796</c:v>
                </c:pt>
                <c:pt idx="3">
                  <c:v>3.7931034482758621</c:v>
                </c:pt>
                <c:pt idx="4">
                  <c:v>1.8867924528301887</c:v>
                </c:pt>
                <c:pt idx="5">
                  <c:v>0</c:v>
                </c:pt>
                <c:pt idx="6">
                  <c:v>6.0606060606060606</c:v>
                </c:pt>
                <c:pt idx="7">
                  <c:v>0</c:v>
                </c:pt>
                <c:pt idx="8">
                  <c:v>10.9375</c:v>
                </c:pt>
                <c:pt idx="9">
                  <c:v>2.7397260273972601</c:v>
                </c:pt>
                <c:pt idx="10">
                  <c:v>11.111111111111111</c:v>
                </c:pt>
                <c:pt idx="11">
                  <c:v>0.84033613445378152</c:v>
                </c:pt>
                <c:pt idx="12">
                  <c:v>2.197802197802198</c:v>
                </c:pt>
                <c:pt idx="13">
                  <c:v>2.8943560057887119</c:v>
                </c:pt>
                <c:pt idx="14">
                  <c:v>4</c:v>
                </c:pt>
                <c:pt idx="15">
                  <c:v>12.5</c:v>
                </c:pt>
                <c:pt idx="16">
                  <c:v>0</c:v>
                </c:pt>
                <c:pt idx="17">
                  <c:v>5.8823529411764701</c:v>
                </c:pt>
                <c:pt idx="18">
                  <c:v>8.4507042253521121</c:v>
                </c:pt>
                <c:pt idx="19">
                  <c:v>0</c:v>
                </c:pt>
                <c:pt idx="20">
                  <c:v>14.000000000000002</c:v>
                </c:pt>
                <c:pt idx="21">
                  <c:v>9.7826086956521738</c:v>
                </c:pt>
                <c:pt idx="22">
                  <c:v>0</c:v>
                </c:pt>
                <c:pt idx="23">
                  <c:v>7.5471698113207548</c:v>
                </c:pt>
                <c:pt idx="24">
                  <c:v>6.4935064935064926</c:v>
                </c:pt>
                <c:pt idx="25">
                  <c:v>4.2553191489361701</c:v>
                </c:pt>
                <c:pt idx="26">
                  <c:v>0</c:v>
                </c:pt>
                <c:pt idx="27">
                  <c:v>4.9000000000000004</c:v>
                </c:pt>
              </c:numCache>
            </c:numRef>
          </c:val>
          <c:extLst>
            <c:ext xmlns:c16="http://schemas.microsoft.com/office/drawing/2014/chart" uri="{C3380CC4-5D6E-409C-BE32-E72D297353CC}">
              <c16:uniqueId val="{00000006-E6B4-4321-AD05-E5685028A4C9}"/>
            </c:ext>
          </c:extLst>
        </c:ser>
        <c:ser>
          <c:idx val="4"/>
          <c:order val="4"/>
          <c:tx>
            <c:strRef>
              <c:f>Лист1!$E$67</c:f>
              <c:strCache>
                <c:ptCount val="1"/>
                <c:pt idx="0">
                  <c:v>Втрачено</c:v>
                </c:pt>
              </c:strCache>
            </c:strRef>
          </c:tx>
          <c:invertIfNegative val="0"/>
          <c:dLbls>
            <c:spPr>
              <a:noFill/>
              <a:ln>
                <a:noFill/>
              </a:ln>
              <a:effectLst/>
            </c:spPr>
            <c:txPr>
              <a:bodyPr rot="-5400000" vert="horz" wrap="square" lIns="38100" tIns="19050" rIns="38100" bIns="19050" anchor="ctr">
                <a:spAutoFit/>
              </a:bodyPr>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Лист1!$E$68:$E$95</c:f>
              <c:numCache>
                <c:formatCode>0.0</c:formatCode>
                <c:ptCount val="28"/>
                <c:pt idx="0">
                  <c:v>4.6153846153846159</c:v>
                </c:pt>
                <c:pt idx="1">
                  <c:v>10.526315789473683</c:v>
                </c:pt>
                <c:pt idx="2">
                  <c:v>5.2147239263803682</c:v>
                </c:pt>
                <c:pt idx="3">
                  <c:v>3.103448275862069</c:v>
                </c:pt>
                <c:pt idx="4">
                  <c:v>5.6603773584905666</c:v>
                </c:pt>
                <c:pt idx="5">
                  <c:v>21.428571428571427</c:v>
                </c:pt>
                <c:pt idx="6">
                  <c:v>9.0909090909090917</c:v>
                </c:pt>
                <c:pt idx="7">
                  <c:v>4.5454545454545459</c:v>
                </c:pt>
                <c:pt idx="8">
                  <c:v>7.8125</c:v>
                </c:pt>
                <c:pt idx="9">
                  <c:v>2.7397260273972601</c:v>
                </c:pt>
                <c:pt idx="10">
                  <c:v>3.7037037037037033</c:v>
                </c:pt>
                <c:pt idx="11">
                  <c:v>1.680672268907563</c:v>
                </c:pt>
                <c:pt idx="12">
                  <c:v>2.197802197802198</c:v>
                </c:pt>
                <c:pt idx="13">
                  <c:v>15.629522431259044</c:v>
                </c:pt>
                <c:pt idx="14">
                  <c:v>2</c:v>
                </c:pt>
                <c:pt idx="15">
                  <c:v>0</c:v>
                </c:pt>
                <c:pt idx="16">
                  <c:v>4.1666666666666661</c:v>
                </c:pt>
                <c:pt idx="17">
                  <c:v>11.76470588235294</c:v>
                </c:pt>
                <c:pt idx="18">
                  <c:v>5.6338028169014089</c:v>
                </c:pt>
                <c:pt idx="19">
                  <c:v>11.864406779661017</c:v>
                </c:pt>
                <c:pt idx="20">
                  <c:v>6</c:v>
                </c:pt>
                <c:pt idx="21">
                  <c:v>7.608695652173914</c:v>
                </c:pt>
                <c:pt idx="22">
                  <c:v>0</c:v>
                </c:pt>
                <c:pt idx="23">
                  <c:v>7.5471698113207548</c:v>
                </c:pt>
                <c:pt idx="24">
                  <c:v>3.8961038961038961</c:v>
                </c:pt>
                <c:pt idx="25">
                  <c:v>11.702127659574469</c:v>
                </c:pt>
                <c:pt idx="26">
                  <c:v>0</c:v>
                </c:pt>
                <c:pt idx="27">
                  <c:v>8</c:v>
                </c:pt>
              </c:numCache>
            </c:numRef>
          </c:val>
          <c:extLst>
            <c:ext xmlns:c16="http://schemas.microsoft.com/office/drawing/2014/chart" uri="{C3380CC4-5D6E-409C-BE32-E72D297353CC}">
              <c16:uniqueId val="{00000007-E6B4-4321-AD05-E5685028A4C9}"/>
            </c:ext>
          </c:extLst>
        </c:ser>
        <c:ser>
          <c:idx val="5"/>
          <c:order val="5"/>
          <c:tx>
            <c:strRef>
              <c:f>Лист1!$F$67</c:f>
              <c:strCache>
                <c:ptCount val="1"/>
                <c:pt idx="0">
                  <c:v>Не оцінено</c:v>
                </c:pt>
              </c:strCache>
            </c:strRef>
          </c:tx>
          <c:spPr>
            <a:solidFill>
              <a:srgbClr val="EEECE1">
                <a:lumMod val="50000"/>
              </a:srgbClr>
            </a:solidFill>
          </c:spPr>
          <c:invertIfNegative val="0"/>
          <c:cat>
            <c:strRef>
              <c:f>Лист1!$A$68:$A$95</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 оборони України</c:v>
                </c:pt>
                <c:pt idx="27">
                  <c:v>Україна</c:v>
                </c:pt>
              </c:strCache>
            </c:strRef>
          </c:cat>
          <c:val>
            <c:numRef>
              <c:f>Лист1!$F$68:$F$95</c:f>
              <c:numCache>
                <c:formatCode>0.0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0.14471780028943559</c:v>
                </c:pt>
                <c:pt idx="14">
                  <c:v>0</c:v>
                </c:pt>
                <c:pt idx="15">
                  <c:v>0</c:v>
                </c:pt>
                <c:pt idx="16">
                  <c:v>4.1666666666666661</c:v>
                </c:pt>
                <c:pt idx="17">
                  <c:v>0</c:v>
                </c:pt>
                <c:pt idx="18">
                  <c:v>0</c:v>
                </c:pt>
                <c:pt idx="19">
                  <c:v>0</c:v>
                </c:pt>
                <c:pt idx="20">
                  <c:v>0</c:v>
                </c:pt>
                <c:pt idx="21">
                  <c:v>0</c:v>
                </c:pt>
                <c:pt idx="22">
                  <c:v>0</c:v>
                </c:pt>
                <c:pt idx="23">
                  <c:v>0</c:v>
                </c:pt>
                <c:pt idx="24">
                  <c:v>0</c:v>
                </c:pt>
                <c:pt idx="25">
                  <c:v>0</c:v>
                </c:pt>
                <c:pt idx="26">
                  <c:v>0</c:v>
                </c:pt>
                <c:pt idx="27">
                  <c:v>0.1</c:v>
                </c:pt>
              </c:numCache>
            </c:numRef>
          </c:val>
          <c:extLst>
            <c:ext xmlns:c16="http://schemas.microsoft.com/office/drawing/2014/chart" uri="{C3380CC4-5D6E-409C-BE32-E72D297353CC}">
              <c16:uniqueId val="{00000008-E6B4-4321-AD05-E5685028A4C9}"/>
            </c:ext>
          </c:extLst>
        </c:ser>
        <c:dLbls>
          <c:showLegendKey val="0"/>
          <c:showVal val="0"/>
          <c:showCatName val="0"/>
          <c:showSerName val="0"/>
          <c:showPercent val="0"/>
          <c:showBubbleSize val="0"/>
        </c:dLbls>
        <c:gapWidth val="150"/>
        <c:overlap val="100"/>
        <c:axId val="-2071080944"/>
        <c:axId val="-2068932560"/>
      </c:barChart>
      <c:catAx>
        <c:axId val="-2071080944"/>
        <c:scaling>
          <c:orientation val="minMax"/>
        </c:scaling>
        <c:delete val="0"/>
        <c:axPos val="b"/>
        <c:numFmt formatCode="General" sourceLinked="0"/>
        <c:majorTickMark val="out"/>
        <c:minorTickMark val="none"/>
        <c:tickLblPos val="nextTo"/>
        <c:txPr>
          <a:bodyPr/>
          <a:lstStyle/>
          <a:p>
            <a:pPr>
              <a:defRPr b="1"/>
            </a:pPr>
            <a:endParaRPr lang="uk-UA"/>
          </a:p>
        </c:txPr>
        <c:crossAx val="-2068932560"/>
        <c:crosses val="autoZero"/>
        <c:auto val="1"/>
        <c:lblAlgn val="ctr"/>
        <c:lblOffset val="100"/>
        <c:noMultiLvlLbl val="0"/>
      </c:catAx>
      <c:valAx>
        <c:axId val="-2068932560"/>
        <c:scaling>
          <c:orientation val="minMax"/>
        </c:scaling>
        <c:delete val="1"/>
        <c:axPos val="l"/>
        <c:majorGridlines/>
        <c:numFmt formatCode="General" sourceLinked="1"/>
        <c:majorTickMark val="out"/>
        <c:minorTickMark val="none"/>
        <c:tickLblPos val="nextTo"/>
        <c:crossAx val="-2071080944"/>
        <c:crosses val="autoZero"/>
        <c:crossBetween val="between"/>
      </c:valAx>
    </c:plotArea>
    <c:legend>
      <c:legendPos val="b"/>
      <c:legendEntry>
        <c:idx val="0"/>
        <c:delete val="1"/>
      </c:legendEntry>
      <c:layout>
        <c:manualLayout>
          <c:xMode val="edge"/>
          <c:yMode val="edge"/>
          <c:x val="1.2398747333403499E-2"/>
          <c:y val="0.86203281841678203"/>
          <c:w val="0.98708957814151399"/>
          <c:h val="0.11761094748652599"/>
        </c:manualLayout>
      </c:layout>
      <c:overlay val="0"/>
      <c:txPr>
        <a:bodyPr/>
        <a:lstStyle/>
        <a:p>
          <a:pPr>
            <a:defRPr b="1">
              <a:solidFill>
                <a:schemeClr val="tx2">
                  <a:lumMod val="75000"/>
                </a:schemeClr>
              </a:solidFill>
            </a:defRPr>
          </a:pPr>
          <a:endParaRPr lang="uk-UA"/>
        </a:p>
      </c:txPr>
    </c:legend>
    <c:plotVisOnly val="1"/>
    <c:dispBlanksAs val="gap"/>
    <c:showDLblsOverMax val="0"/>
  </c:chart>
  <c:spPr>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97754048654365999"/>
          <c:h val="0.619336763232465"/>
        </c:manualLayout>
      </c:layout>
      <c:barChart>
        <c:barDir val="col"/>
        <c:grouping val="stacked"/>
        <c:varyColors val="0"/>
        <c:ser>
          <c:idx val="0"/>
          <c:order val="0"/>
          <c:tx>
            <c:strRef>
              <c:f>Лист1!#REF!</c:f>
              <c:strCache>
                <c:ptCount val="1"/>
                <c:pt idx="0">
                  <c:v>#REF!</c:v>
                </c:pt>
              </c:strCache>
            </c:strRef>
          </c:tx>
          <c:invertIfNegative val="0"/>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04EB-4995-A307-79DFE639F9C6}"/>
            </c:ext>
          </c:extLst>
        </c:ser>
        <c:ser>
          <c:idx val="1"/>
          <c:order val="1"/>
          <c:tx>
            <c:strRef>
              <c:f>Лист1!$B$67</c:f>
              <c:strCache>
                <c:ptCount val="1"/>
                <c:pt idx="0">
                  <c:v>Ефективне лікування</c:v>
                </c:pt>
              </c:strCache>
            </c:strRef>
          </c:tx>
          <c:spPr>
            <a:solidFill>
              <a:srgbClr val="FF9933"/>
            </a:solidFill>
          </c:spPr>
          <c:invertIfNegative val="0"/>
          <c:dLbls>
            <c:dLbl>
              <c:idx val="25"/>
              <c:spPr>
                <a:noFill/>
                <a:ln>
                  <a:noFill/>
                </a:ln>
                <a:effectLst/>
              </c:spPr>
              <c:txPr>
                <a:bodyPr rot="-5400000" vert="horz"/>
                <a:lstStyle/>
                <a:p>
                  <a:pPr>
                    <a:defRPr sz="1400" b="1"/>
                  </a:pPr>
                  <a:endParaRPr lang="uk-UA"/>
                </a:p>
              </c:txPr>
              <c:showLegendKey val="0"/>
              <c:showVal val="1"/>
              <c:showCatName val="0"/>
              <c:showSerName val="0"/>
              <c:showPercent val="0"/>
              <c:showBubbleSize val="0"/>
              <c:extLst>
                <c:ext xmlns:c16="http://schemas.microsoft.com/office/drawing/2014/chart" uri="{C3380CC4-5D6E-409C-BE32-E72D297353CC}">
                  <c16:uniqueId val="{00000001-04EB-4995-A307-79DFE639F9C6}"/>
                </c:ext>
              </c:extLst>
            </c:dLbl>
            <c:spPr>
              <a:noFill/>
              <a:ln>
                <a:noFill/>
              </a:ln>
              <a:effectLst/>
            </c:spPr>
            <c:txPr>
              <a:bodyPr rot="-5400000" vert="horz"/>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Лист1!$B$68:$B$93</c:f>
              <c:numCache>
                <c:formatCode>0.0</c:formatCode>
                <c:ptCount val="26"/>
                <c:pt idx="0">
                  <c:v>81.818181818181827</c:v>
                </c:pt>
                <c:pt idx="1">
                  <c:v>87.5</c:v>
                </c:pt>
                <c:pt idx="2">
                  <c:v>97.058823529411768</c:v>
                </c:pt>
                <c:pt idx="3">
                  <c:v>90</c:v>
                </c:pt>
                <c:pt idx="4">
                  <c:v>100</c:v>
                </c:pt>
                <c:pt idx="5">
                  <c:v>100</c:v>
                </c:pt>
                <c:pt idx="6">
                  <c:v>100</c:v>
                </c:pt>
                <c:pt idx="7">
                  <c:v>100</c:v>
                </c:pt>
                <c:pt idx="8">
                  <c:v>100</c:v>
                </c:pt>
                <c:pt idx="9">
                  <c:v>100</c:v>
                </c:pt>
                <c:pt idx="10">
                  <c:v>100</c:v>
                </c:pt>
                <c:pt idx="11">
                  <c:v>100</c:v>
                </c:pt>
                <c:pt idx="12">
                  <c:v>83.333333333333343</c:v>
                </c:pt>
                <c:pt idx="13">
                  <c:v>96.428571428571431</c:v>
                </c:pt>
                <c:pt idx="14">
                  <c:v>66.666666666666657</c:v>
                </c:pt>
                <c:pt idx="15">
                  <c:v>75</c:v>
                </c:pt>
                <c:pt idx="16">
                  <c:v>100</c:v>
                </c:pt>
                <c:pt idx="17">
                  <c:v>100</c:v>
                </c:pt>
                <c:pt idx="18">
                  <c:v>95.744680851063833</c:v>
                </c:pt>
                <c:pt idx="19">
                  <c:v>100</c:v>
                </c:pt>
                <c:pt idx="20">
                  <c:v>100</c:v>
                </c:pt>
                <c:pt idx="21">
                  <c:v>100</c:v>
                </c:pt>
                <c:pt idx="22">
                  <c:v>100</c:v>
                </c:pt>
                <c:pt idx="23">
                  <c:v>100</c:v>
                </c:pt>
                <c:pt idx="24">
                  <c:v>100</c:v>
                </c:pt>
                <c:pt idx="25">
                  <c:v>95.8</c:v>
                </c:pt>
              </c:numCache>
            </c:numRef>
          </c:val>
          <c:extLst>
            <c:ext xmlns:c16="http://schemas.microsoft.com/office/drawing/2014/chart" uri="{C3380CC4-5D6E-409C-BE32-E72D297353CC}">
              <c16:uniqueId val="{00000002-04EB-4995-A307-79DFE639F9C6}"/>
            </c:ext>
          </c:extLst>
        </c:ser>
        <c:ser>
          <c:idx val="2"/>
          <c:order val="2"/>
          <c:tx>
            <c:strRef>
              <c:f>Лист1!$C$67</c:f>
              <c:strCache>
                <c:ptCount val="1"/>
                <c:pt idx="0">
                  <c:v>Померло</c:v>
                </c:pt>
              </c:strCache>
            </c:strRef>
          </c:tx>
          <c:spPr>
            <a:solidFill>
              <a:srgbClr val="3399FF"/>
            </a:solidFill>
          </c:spPr>
          <c:invertIfNegative val="0"/>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Лист1!$C$68:$C$93</c:f>
              <c:numCache>
                <c:formatCode>0.0</c:formatCode>
                <c:ptCount val="26"/>
                <c:pt idx="0">
                  <c:v>9.0909090909090917</c:v>
                </c:pt>
                <c:pt idx="1">
                  <c:v>12.5</c:v>
                </c:pt>
                <c:pt idx="2">
                  <c:v>0</c:v>
                </c:pt>
                <c:pt idx="3">
                  <c:v>10</c:v>
                </c:pt>
                <c:pt idx="4">
                  <c:v>0</c:v>
                </c:pt>
                <c:pt idx="5">
                  <c:v>0</c:v>
                </c:pt>
                <c:pt idx="6">
                  <c:v>0</c:v>
                </c:pt>
                <c:pt idx="7">
                  <c:v>0</c:v>
                </c:pt>
                <c:pt idx="8">
                  <c:v>0</c:v>
                </c:pt>
                <c:pt idx="9">
                  <c:v>0</c:v>
                </c:pt>
                <c:pt idx="10">
                  <c:v>0</c:v>
                </c:pt>
                <c:pt idx="11">
                  <c:v>0</c:v>
                </c:pt>
                <c:pt idx="12">
                  <c:v>0</c:v>
                </c:pt>
                <c:pt idx="13">
                  <c:v>3.5714285714285712</c:v>
                </c:pt>
                <c:pt idx="14">
                  <c:v>0</c:v>
                </c:pt>
                <c:pt idx="15">
                  <c:v>12.5</c:v>
                </c:pt>
                <c:pt idx="16">
                  <c:v>0</c:v>
                </c:pt>
                <c:pt idx="17">
                  <c:v>0</c:v>
                </c:pt>
                <c:pt idx="18">
                  <c:v>0</c:v>
                </c:pt>
                <c:pt idx="19">
                  <c:v>0</c:v>
                </c:pt>
                <c:pt idx="20">
                  <c:v>0</c:v>
                </c:pt>
                <c:pt idx="21">
                  <c:v>0</c:v>
                </c:pt>
                <c:pt idx="22">
                  <c:v>0</c:v>
                </c:pt>
                <c:pt idx="23">
                  <c:v>0</c:v>
                </c:pt>
                <c:pt idx="24">
                  <c:v>0</c:v>
                </c:pt>
                <c:pt idx="25">
                  <c:v>1.7</c:v>
                </c:pt>
              </c:numCache>
            </c:numRef>
          </c:val>
          <c:extLst>
            <c:ext xmlns:c16="http://schemas.microsoft.com/office/drawing/2014/chart" uri="{C3380CC4-5D6E-409C-BE32-E72D297353CC}">
              <c16:uniqueId val="{00000003-04EB-4995-A307-79DFE639F9C6}"/>
            </c:ext>
          </c:extLst>
        </c:ser>
        <c:ser>
          <c:idx val="3"/>
          <c:order val="3"/>
          <c:tx>
            <c:strRef>
              <c:f>Лист1!$D$67</c:f>
              <c:strCache>
                <c:ptCount val="1"/>
                <c:pt idx="0">
                  <c:v>Невдале лікування</c:v>
                </c:pt>
              </c:strCache>
            </c:strRef>
          </c:tx>
          <c:spPr>
            <a:solidFill>
              <a:srgbClr val="BB76F4"/>
            </a:solidFill>
          </c:spPr>
          <c:invertIfNegative val="0"/>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Лист1!$D$68:$D$93</c:f>
              <c:numCache>
                <c:formatCode>0.0</c:formatCode>
                <c:ptCount val="26"/>
                <c:pt idx="0">
                  <c:v>9.0909090909090917</c:v>
                </c:pt>
                <c:pt idx="1">
                  <c:v>0</c:v>
                </c:pt>
                <c:pt idx="2">
                  <c:v>2.9411764705882351</c:v>
                </c:pt>
                <c:pt idx="3">
                  <c:v>0</c:v>
                </c:pt>
                <c:pt idx="4">
                  <c:v>0</c:v>
                </c:pt>
                <c:pt idx="5">
                  <c:v>0</c:v>
                </c:pt>
                <c:pt idx="6">
                  <c:v>0</c:v>
                </c:pt>
                <c:pt idx="7">
                  <c:v>0</c:v>
                </c:pt>
                <c:pt idx="8">
                  <c:v>0</c:v>
                </c:pt>
                <c:pt idx="9">
                  <c:v>0</c:v>
                </c:pt>
                <c:pt idx="10">
                  <c:v>0</c:v>
                </c:pt>
                <c:pt idx="11">
                  <c:v>0</c:v>
                </c:pt>
                <c:pt idx="12">
                  <c:v>16.666666666666664</c:v>
                </c:pt>
                <c:pt idx="13">
                  <c:v>0</c:v>
                </c:pt>
                <c:pt idx="14">
                  <c:v>33.333333333333329</c:v>
                </c:pt>
                <c:pt idx="15">
                  <c:v>0</c:v>
                </c:pt>
                <c:pt idx="16">
                  <c:v>0</c:v>
                </c:pt>
                <c:pt idx="17">
                  <c:v>0</c:v>
                </c:pt>
                <c:pt idx="18">
                  <c:v>4.2553191489361701</c:v>
                </c:pt>
                <c:pt idx="19">
                  <c:v>0</c:v>
                </c:pt>
                <c:pt idx="20">
                  <c:v>0</c:v>
                </c:pt>
                <c:pt idx="21">
                  <c:v>0</c:v>
                </c:pt>
                <c:pt idx="22">
                  <c:v>0</c:v>
                </c:pt>
                <c:pt idx="23">
                  <c:v>0</c:v>
                </c:pt>
                <c:pt idx="24">
                  <c:v>0</c:v>
                </c:pt>
                <c:pt idx="25">
                  <c:v>2.0761245674740483</c:v>
                </c:pt>
              </c:numCache>
            </c:numRef>
          </c:val>
          <c:extLst>
            <c:ext xmlns:c16="http://schemas.microsoft.com/office/drawing/2014/chart" uri="{C3380CC4-5D6E-409C-BE32-E72D297353CC}">
              <c16:uniqueId val="{00000004-04EB-4995-A307-79DFE639F9C6}"/>
            </c:ext>
          </c:extLst>
        </c:ser>
        <c:ser>
          <c:idx val="4"/>
          <c:order val="4"/>
          <c:tx>
            <c:strRef>
              <c:f>Лист1!$E$67</c:f>
              <c:strCache>
                <c:ptCount val="1"/>
                <c:pt idx="0">
                  <c:v>Втрачено</c:v>
                </c:pt>
              </c:strCache>
            </c:strRef>
          </c:tx>
          <c:invertIfNegative val="0"/>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Лист1!$E$68:$E$93</c:f>
              <c:numCache>
                <c:formatCode>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12.5</c:v>
                </c:pt>
                <c:pt idx="16">
                  <c:v>0</c:v>
                </c:pt>
                <c:pt idx="17">
                  <c:v>0</c:v>
                </c:pt>
                <c:pt idx="18">
                  <c:v>0</c:v>
                </c:pt>
                <c:pt idx="19">
                  <c:v>0</c:v>
                </c:pt>
                <c:pt idx="20">
                  <c:v>0</c:v>
                </c:pt>
                <c:pt idx="21">
                  <c:v>0</c:v>
                </c:pt>
                <c:pt idx="22">
                  <c:v>0</c:v>
                </c:pt>
                <c:pt idx="23">
                  <c:v>0</c:v>
                </c:pt>
                <c:pt idx="24">
                  <c:v>0</c:v>
                </c:pt>
                <c:pt idx="25">
                  <c:v>0.3</c:v>
                </c:pt>
              </c:numCache>
            </c:numRef>
          </c:val>
          <c:extLst>
            <c:ext xmlns:c16="http://schemas.microsoft.com/office/drawing/2014/chart" uri="{C3380CC4-5D6E-409C-BE32-E72D297353CC}">
              <c16:uniqueId val="{00000005-04EB-4995-A307-79DFE639F9C6}"/>
            </c:ext>
          </c:extLst>
        </c:ser>
        <c:ser>
          <c:idx val="5"/>
          <c:order val="5"/>
          <c:tx>
            <c:strRef>
              <c:f>Лист1!$F$67</c:f>
              <c:strCache>
                <c:ptCount val="1"/>
                <c:pt idx="0">
                  <c:v>Не оцінено</c:v>
                </c:pt>
              </c:strCache>
            </c:strRef>
          </c:tx>
          <c:spPr>
            <a:solidFill>
              <a:srgbClr val="EEECE1">
                <a:lumMod val="50000"/>
              </a:srgbClr>
            </a:solidFill>
          </c:spPr>
          <c:invertIfNegative val="0"/>
          <c:cat>
            <c:strRef>
              <c:f>Лист1!$A$68:$A$93</c:f>
              <c:strCache>
                <c:ptCount val="26"/>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Україна</c:v>
                </c:pt>
              </c:strCache>
            </c:strRef>
          </c:cat>
          <c:val>
            <c:numRef>
              <c:f>Лист1!$F$68:$F$93</c:f>
              <c:numCache>
                <c:formatCode>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6-04EB-4995-A307-79DFE639F9C6}"/>
            </c:ext>
          </c:extLst>
        </c:ser>
        <c:dLbls>
          <c:showLegendKey val="0"/>
          <c:showVal val="0"/>
          <c:showCatName val="0"/>
          <c:showSerName val="0"/>
          <c:showPercent val="0"/>
          <c:showBubbleSize val="0"/>
        </c:dLbls>
        <c:gapWidth val="150"/>
        <c:overlap val="100"/>
        <c:axId val="-2071080944"/>
        <c:axId val="-2068932560"/>
      </c:barChart>
      <c:catAx>
        <c:axId val="-2071080944"/>
        <c:scaling>
          <c:orientation val="minMax"/>
        </c:scaling>
        <c:delete val="0"/>
        <c:axPos val="b"/>
        <c:numFmt formatCode="General" sourceLinked="0"/>
        <c:majorTickMark val="out"/>
        <c:minorTickMark val="none"/>
        <c:tickLblPos val="nextTo"/>
        <c:txPr>
          <a:bodyPr/>
          <a:lstStyle/>
          <a:p>
            <a:pPr>
              <a:defRPr b="1"/>
            </a:pPr>
            <a:endParaRPr lang="uk-UA"/>
          </a:p>
        </c:txPr>
        <c:crossAx val="-2068932560"/>
        <c:crosses val="autoZero"/>
        <c:auto val="1"/>
        <c:lblAlgn val="ctr"/>
        <c:lblOffset val="100"/>
        <c:noMultiLvlLbl val="0"/>
      </c:catAx>
      <c:valAx>
        <c:axId val="-2068932560"/>
        <c:scaling>
          <c:orientation val="minMax"/>
        </c:scaling>
        <c:delete val="1"/>
        <c:axPos val="l"/>
        <c:majorGridlines/>
        <c:numFmt formatCode="General" sourceLinked="1"/>
        <c:majorTickMark val="out"/>
        <c:minorTickMark val="none"/>
        <c:tickLblPos val="nextTo"/>
        <c:crossAx val="-2071080944"/>
        <c:crosses val="autoZero"/>
        <c:crossBetween val="between"/>
      </c:valAx>
    </c:plotArea>
    <c:legend>
      <c:legendPos val="b"/>
      <c:legendEntry>
        <c:idx val="0"/>
        <c:delete val="1"/>
      </c:legendEntry>
      <c:layout>
        <c:manualLayout>
          <c:xMode val="edge"/>
          <c:yMode val="edge"/>
          <c:x val="1.2398747333403499E-2"/>
          <c:y val="0.86203281841678203"/>
          <c:w val="0.98708957814151399"/>
          <c:h val="0.11761094748652599"/>
        </c:manualLayout>
      </c:layout>
      <c:overlay val="0"/>
      <c:txPr>
        <a:bodyPr/>
        <a:lstStyle/>
        <a:p>
          <a:pPr>
            <a:defRPr b="1">
              <a:solidFill>
                <a:schemeClr val="tx2">
                  <a:lumMod val="75000"/>
                </a:schemeClr>
              </a:solidFill>
            </a:defRPr>
          </a:pPr>
          <a:endParaRPr lang="uk-UA"/>
        </a:p>
      </c:txPr>
    </c:legend>
    <c:plotVisOnly val="1"/>
    <c:dispBlanksAs val="gap"/>
    <c:showDLblsOverMax val="0"/>
  </c:chart>
  <c:spPr>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184129974099369E-3"/>
          <c:y val="0"/>
          <c:w val="0.98935255496623697"/>
          <c:h val="0.60729701470243003"/>
        </c:manualLayout>
      </c:layout>
      <c:barChart>
        <c:barDir val="col"/>
        <c:grouping val="stacked"/>
        <c:varyColors val="0"/>
        <c:ser>
          <c:idx val="0"/>
          <c:order val="0"/>
          <c:tx>
            <c:strRef>
              <c:f>Лист1!#REF!</c:f>
              <c:strCache>
                <c:ptCount val="1"/>
                <c:pt idx="0">
                  <c:v>#REF!</c:v>
                </c:pt>
              </c:strCache>
            </c:strRef>
          </c:tx>
          <c:invertIfNegative val="0"/>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ACA3-4E7B-ABE6-2041AE52A72B}"/>
            </c:ext>
          </c:extLst>
        </c:ser>
        <c:ser>
          <c:idx val="1"/>
          <c:order val="1"/>
          <c:tx>
            <c:strRef>
              <c:f>Лист1!$B$1</c:f>
              <c:strCache>
                <c:ptCount val="1"/>
                <c:pt idx="0">
                  <c:v>Ефективне лікування</c:v>
                </c:pt>
              </c:strCache>
            </c:strRef>
          </c:tx>
          <c:spPr>
            <a:solidFill>
              <a:srgbClr val="FF9933"/>
            </a:solidFill>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ACA3-4E7B-ABE6-2041AE52A72B}"/>
                </c:ext>
              </c:extLst>
            </c:dLbl>
            <c:dLbl>
              <c:idx val="5"/>
              <c:delete val="1"/>
              <c:extLst>
                <c:ext xmlns:c15="http://schemas.microsoft.com/office/drawing/2012/chart" uri="{CE6537A1-D6FC-4f65-9D91-7224C49458BB}"/>
                <c:ext xmlns:c16="http://schemas.microsoft.com/office/drawing/2014/chart" uri="{C3380CC4-5D6E-409C-BE32-E72D297353CC}">
                  <c16:uniqueId val="{00000002-ACA3-4E7B-ABE6-2041AE52A72B}"/>
                </c:ext>
              </c:extLst>
            </c:dLbl>
            <c:dLbl>
              <c:idx val="13"/>
              <c:delete val="1"/>
              <c:extLst>
                <c:ext xmlns:c15="http://schemas.microsoft.com/office/drawing/2012/chart" uri="{CE6537A1-D6FC-4f65-9D91-7224C49458BB}"/>
                <c:ext xmlns:c16="http://schemas.microsoft.com/office/drawing/2014/chart" uri="{C3380CC4-5D6E-409C-BE32-E72D297353CC}">
                  <c16:uniqueId val="{00000003-ACA3-4E7B-ABE6-2041AE52A72B}"/>
                </c:ext>
              </c:extLst>
            </c:dLbl>
            <c:dLbl>
              <c:idx val="14"/>
              <c:delete val="1"/>
              <c:extLst>
                <c:ext xmlns:c15="http://schemas.microsoft.com/office/drawing/2012/chart" uri="{CE6537A1-D6FC-4f65-9D91-7224C49458BB}"/>
                <c:ext xmlns:c16="http://schemas.microsoft.com/office/drawing/2014/chart" uri="{C3380CC4-5D6E-409C-BE32-E72D297353CC}">
                  <c16:uniqueId val="{00000004-ACA3-4E7B-ABE6-2041AE52A72B}"/>
                </c:ext>
              </c:extLst>
            </c:dLbl>
            <c:dLbl>
              <c:idx val="20"/>
              <c:delete val="1"/>
              <c:extLst>
                <c:ext xmlns:c15="http://schemas.microsoft.com/office/drawing/2012/chart" uri="{CE6537A1-D6FC-4f65-9D91-7224C49458BB}"/>
                <c:ext xmlns:c16="http://schemas.microsoft.com/office/drawing/2014/chart" uri="{C3380CC4-5D6E-409C-BE32-E72D297353CC}">
                  <c16:uniqueId val="{00000005-ACA3-4E7B-ABE6-2041AE52A72B}"/>
                </c:ext>
              </c:extLst>
            </c:dLbl>
            <c:spPr>
              <a:noFill/>
              <a:ln>
                <a:noFill/>
              </a:ln>
              <a:effectLst/>
            </c:spPr>
            <c:txPr>
              <a:bodyPr rot="-5400000" vert="horz"/>
              <a:lstStyle/>
              <a:p>
                <a:pPr>
                  <a:defRPr sz="5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Лист1!$B$2:$B$29</c:f>
              <c:numCache>
                <c:formatCode>0.0</c:formatCode>
                <c:ptCount val="28"/>
                <c:pt idx="0">
                  <c:v>69.346733668341713</c:v>
                </c:pt>
                <c:pt idx="1">
                  <c:v>51.794871794871803</c:v>
                </c:pt>
                <c:pt idx="2">
                  <c:v>66.866028708133967</c:v>
                </c:pt>
                <c:pt idx="3">
                  <c:v>60.459183673469383</c:v>
                </c:pt>
                <c:pt idx="4">
                  <c:v>69.849246231155774</c:v>
                </c:pt>
                <c:pt idx="5">
                  <c:v>66.818181818181827</c:v>
                </c:pt>
                <c:pt idx="6">
                  <c:v>58.542713567839201</c:v>
                </c:pt>
                <c:pt idx="7">
                  <c:v>68.224299065420553</c:v>
                </c:pt>
                <c:pt idx="8">
                  <c:v>68.047337278106511</c:v>
                </c:pt>
                <c:pt idx="9">
                  <c:v>71.144278606965173</c:v>
                </c:pt>
                <c:pt idx="10">
                  <c:v>52.631578947368418</c:v>
                </c:pt>
                <c:pt idx="11">
                  <c:v>66.167664670658695</c:v>
                </c:pt>
                <c:pt idx="12">
                  <c:v>66.909090909090907</c:v>
                </c:pt>
                <c:pt idx="13">
                  <c:v>61.158192090395481</c:v>
                </c:pt>
                <c:pt idx="14">
                  <c:v>58.778625954198475</c:v>
                </c:pt>
                <c:pt idx="15">
                  <c:v>60</c:v>
                </c:pt>
                <c:pt idx="16">
                  <c:v>64.81481481481481</c:v>
                </c:pt>
                <c:pt idx="17">
                  <c:v>62.162162162162161</c:v>
                </c:pt>
                <c:pt idx="18">
                  <c:v>59.518072289156635</c:v>
                </c:pt>
                <c:pt idx="19">
                  <c:v>67.20257234726688</c:v>
                </c:pt>
                <c:pt idx="20">
                  <c:v>66.233766233766232</c:v>
                </c:pt>
                <c:pt idx="21">
                  <c:v>61.29032258064516</c:v>
                </c:pt>
                <c:pt idx="22">
                  <c:v>44.117647058823529</c:v>
                </c:pt>
                <c:pt idx="23">
                  <c:v>60.736196319018411</c:v>
                </c:pt>
                <c:pt idx="24">
                  <c:v>58.904109589041099</c:v>
                </c:pt>
                <c:pt idx="25">
                  <c:v>34.152334152334149</c:v>
                </c:pt>
                <c:pt idx="26">
                  <c:v>70</c:v>
                </c:pt>
                <c:pt idx="27">
                  <c:v>61.440969830555169</c:v>
                </c:pt>
              </c:numCache>
            </c:numRef>
          </c:val>
          <c:extLst>
            <c:ext xmlns:c16="http://schemas.microsoft.com/office/drawing/2014/chart" uri="{C3380CC4-5D6E-409C-BE32-E72D297353CC}">
              <c16:uniqueId val="{00000006-ACA3-4E7B-ABE6-2041AE52A72B}"/>
            </c:ext>
          </c:extLst>
        </c:ser>
        <c:ser>
          <c:idx val="2"/>
          <c:order val="2"/>
          <c:tx>
            <c:strRef>
              <c:f>Лист1!$C$1</c:f>
              <c:strCache>
                <c:ptCount val="1"/>
                <c:pt idx="0">
                  <c:v>Померло</c:v>
                </c:pt>
              </c:strCache>
            </c:strRef>
          </c:tx>
          <c:spPr>
            <a:solidFill>
              <a:srgbClr val="3399FF"/>
            </a:solidFill>
          </c:spPr>
          <c:invertIfNegative val="0"/>
          <c:dLbls>
            <c:dLbl>
              <c:idx val="5"/>
              <c:layout>
                <c:manualLayout>
                  <c:x val="-2.0449897750511301E-3"/>
                  <c:y val="-1.355013550135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A3-4E7B-ABE6-2041AE52A72B}"/>
                </c:ext>
              </c:extLst>
            </c:dLbl>
            <c:spPr>
              <a:noFill/>
              <a:ln>
                <a:noFill/>
              </a:ln>
              <a:effectLst/>
            </c:spPr>
            <c:txPr>
              <a:bodyPr rot="-5400000" vert="horz" wrap="square" lIns="38100" tIns="19050" rIns="38100" bIns="19050" anchor="ctr">
                <a:spAutoFit/>
              </a:bodyPr>
              <a:lstStyle/>
              <a:p>
                <a:pPr>
                  <a:defRPr sz="5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Лист1!$C$2:$C$29</c:f>
              <c:numCache>
                <c:formatCode>0.0</c:formatCode>
                <c:ptCount val="28"/>
                <c:pt idx="0">
                  <c:v>7.5376884422110546</c:v>
                </c:pt>
                <c:pt idx="1">
                  <c:v>13.846153846153847</c:v>
                </c:pt>
                <c:pt idx="2">
                  <c:v>14.832535885167463</c:v>
                </c:pt>
                <c:pt idx="3">
                  <c:v>13.520408163265307</c:v>
                </c:pt>
                <c:pt idx="4">
                  <c:v>15.075376884422109</c:v>
                </c:pt>
                <c:pt idx="5">
                  <c:v>12.727272727272727</c:v>
                </c:pt>
                <c:pt idx="6">
                  <c:v>15.326633165829145</c:v>
                </c:pt>
                <c:pt idx="7">
                  <c:v>12.149532710280374</c:v>
                </c:pt>
                <c:pt idx="8">
                  <c:v>15.384615384615385</c:v>
                </c:pt>
                <c:pt idx="9">
                  <c:v>15.422885572139302</c:v>
                </c:pt>
                <c:pt idx="10">
                  <c:v>15.263157894736842</c:v>
                </c:pt>
                <c:pt idx="11">
                  <c:v>19.461077844311379</c:v>
                </c:pt>
                <c:pt idx="12">
                  <c:v>8.7272727272727284</c:v>
                </c:pt>
                <c:pt idx="13">
                  <c:v>12.570621468926554</c:v>
                </c:pt>
                <c:pt idx="14">
                  <c:v>13.358778625954198</c:v>
                </c:pt>
                <c:pt idx="15">
                  <c:v>16.25</c:v>
                </c:pt>
                <c:pt idx="16">
                  <c:v>14.19753086419753</c:v>
                </c:pt>
                <c:pt idx="17">
                  <c:v>14.864864864864865</c:v>
                </c:pt>
                <c:pt idx="18">
                  <c:v>11.80722891566265</c:v>
                </c:pt>
                <c:pt idx="19">
                  <c:v>11.89710610932476</c:v>
                </c:pt>
                <c:pt idx="20">
                  <c:v>14.285714285714285</c:v>
                </c:pt>
                <c:pt idx="21">
                  <c:v>12.365591397849462</c:v>
                </c:pt>
                <c:pt idx="22">
                  <c:v>13.23529411764706</c:v>
                </c:pt>
                <c:pt idx="23">
                  <c:v>15.337423312883436</c:v>
                </c:pt>
                <c:pt idx="24">
                  <c:v>15.616438356164384</c:v>
                </c:pt>
                <c:pt idx="25">
                  <c:v>5.8968058968058967</c:v>
                </c:pt>
                <c:pt idx="26">
                  <c:v>0</c:v>
                </c:pt>
                <c:pt idx="27">
                  <c:v>13.348946135831383</c:v>
                </c:pt>
              </c:numCache>
            </c:numRef>
          </c:val>
          <c:extLst>
            <c:ext xmlns:c16="http://schemas.microsoft.com/office/drawing/2014/chart" uri="{C3380CC4-5D6E-409C-BE32-E72D297353CC}">
              <c16:uniqueId val="{00000008-ACA3-4E7B-ABE6-2041AE52A72B}"/>
            </c:ext>
          </c:extLst>
        </c:ser>
        <c:ser>
          <c:idx val="3"/>
          <c:order val="3"/>
          <c:tx>
            <c:strRef>
              <c:f>Лист1!$D$1</c:f>
              <c:strCache>
                <c:ptCount val="1"/>
                <c:pt idx="0">
                  <c:v>Невдача лікування</c:v>
                </c:pt>
              </c:strCache>
            </c:strRef>
          </c:tx>
          <c:spPr>
            <a:solidFill>
              <a:srgbClr val="CC99FF"/>
            </a:solidFill>
          </c:spPr>
          <c:invertIfNegative val="0"/>
          <c:dLbls>
            <c:spPr>
              <a:noFill/>
              <a:ln>
                <a:noFill/>
              </a:ln>
              <a:effectLst/>
            </c:spPr>
            <c:txPr>
              <a:bodyPr rot="-5400000" vert="horz" wrap="square" lIns="38100" tIns="19050" rIns="38100" bIns="19050" anchor="ctr">
                <a:spAutoFit/>
              </a:bodyPr>
              <a:lstStyle/>
              <a:p>
                <a:pPr>
                  <a:defRPr sz="5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Лист1!$D$2:$D$29</c:f>
              <c:numCache>
                <c:formatCode>0.0</c:formatCode>
                <c:ptCount val="28"/>
                <c:pt idx="0">
                  <c:v>9.5477386934673358</c:v>
                </c:pt>
                <c:pt idx="1">
                  <c:v>20.512820512820511</c:v>
                </c:pt>
                <c:pt idx="2">
                  <c:v>9.2105263157894726</c:v>
                </c:pt>
                <c:pt idx="3">
                  <c:v>16.326530612244898</c:v>
                </c:pt>
                <c:pt idx="4">
                  <c:v>9.0452261306532673</c:v>
                </c:pt>
                <c:pt idx="5">
                  <c:v>8.1818181818181817</c:v>
                </c:pt>
                <c:pt idx="6">
                  <c:v>10.804020100502512</c:v>
                </c:pt>
                <c:pt idx="7">
                  <c:v>12.149532710280374</c:v>
                </c:pt>
                <c:pt idx="8">
                  <c:v>4.7337278106508878</c:v>
                </c:pt>
                <c:pt idx="9">
                  <c:v>6.9651741293532341</c:v>
                </c:pt>
                <c:pt idx="10">
                  <c:v>14.210526315789473</c:v>
                </c:pt>
                <c:pt idx="11">
                  <c:v>8.682634730538922</c:v>
                </c:pt>
                <c:pt idx="12">
                  <c:v>11.272727272727273</c:v>
                </c:pt>
                <c:pt idx="13">
                  <c:v>8.6158192090395485</c:v>
                </c:pt>
                <c:pt idx="14">
                  <c:v>16.793893129770993</c:v>
                </c:pt>
                <c:pt idx="15">
                  <c:v>12.5</c:v>
                </c:pt>
                <c:pt idx="16">
                  <c:v>7.4074074074074066</c:v>
                </c:pt>
                <c:pt idx="17">
                  <c:v>8.1081081081081088</c:v>
                </c:pt>
                <c:pt idx="18">
                  <c:v>15.180722891566264</c:v>
                </c:pt>
                <c:pt idx="19">
                  <c:v>6.109324758842444</c:v>
                </c:pt>
                <c:pt idx="20">
                  <c:v>8.4415584415584419</c:v>
                </c:pt>
                <c:pt idx="21">
                  <c:v>10.21505376344086</c:v>
                </c:pt>
                <c:pt idx="22">
                  <c:v>17.647058823529413</c:v>
                </c:pt>
                <c:pt idx="23">
                  <c:v>9.2024539877300615</c:v>
                </c:pt>
                <c:pt idx="24">
                  <c:v>14.246575342465754</c:v>
                </c:pt>
                <c:pt idx="25">
                  <c:v>41.523341523341522</c:v>
                </c:pt>
                <c:pt idx="26">
                  <c:v>15</c:v>
                </c:pt>
                <c:pt idx="27">
                  <c:v>12.494833999173439</c:v>
                </c:pt>
              </c:numCache>
            </c:numRef>
          </c:val>
          <c:extLst>
            <c:ext xmlns:c16="http://schemas.microsoft.com/office/drawing/2014/chart" uri="{C3380CC4-5D6E-409C-BE32-E72D297353CC}">
              <c16:uniqueId val="{00000009-ACA3-4E7B-ABE6-2041AE52A72B}"/>
            </c:ext>
          </c:extLst>
        </c:ser>
        <c:ser>
          <c:idx val="4"/>
          <c:order val="4"/>
          <c:tx>
            <c:strRef>
              <c:f>Лист1!$E$1</c:f>
              <c:strCache>
                <c:ptCount val="1"/>
                <c:pt idx="0">
                  <c:v>Втрачено</c:v>
                </c:pt>
              </c:strCache>
            </c:strRef>
          </c:tx>
          <c:spPr>
            <a:solidFill>
              <a:srgbClr val="4BACC6">
                <a:lumMod val="60000"/>
                <a:lumOff val="40000"/>
              </a:srgbClr>
            </a:solidFill>
          </c:spPr>
          <c:invertIfNegative val="0"/>
          <c:dLbls>
            <c:spPr>
              <a:noFill/>
              <a:ln>
                <a:noFill/>
              </a:ln>
              <a:effectLst/>
            </c:spPr>
            <c:txPr>
              <a:bodyPr rot="-5400000" vert="horz" wrap="square" lIns="38100" tIns="19050" rIns="38100" bIns="19050" anchor="ctr">
                <a:spAutoFit/>
              </a:bodyPr>
              <a:lstStyle/>
              <a:p>
                <a:pPr>
                  <a:defRPr sz="5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Лист1!$E$2:$E$29</c:f>
              <c:numCache>
                <c:formatCode>0.0</c:formatCode>
                <c:ptCount val="28"/>
                <c:pt idx="0">
                  <c:v>13.5678391959799</c:v>
                </c:pt>
                <c:pt idx="1">
                  <c:v>13.846153846153847</c:v>
                </c:pt>
                <c:pt idx="2">
                  <c:v>9.0909090909090917</c:v>
                </c:pt>
                <c:pt idx="3">
                  <c:v>9.6938775510204085</c:v>
                </c:pt>
                <c:pt idx="4">
                  <c:v>6.0301507537688437</c:v>
                </c:pt>
                <c:pt idx="5">
                  <c:v>12.272727272727273</c:v>
                </c:pt>
                <c:pt idx="6">
                  <c:v>15.326633165829145</c:v>
                </c:pt>
                <c:pt idx="7">
                  <c:v>7.4766355140186906</c:v>
                </c:pt>
                <c:pt idx="8">
                  <c:v>11.834319526627219</c:v>
                </c:pt>
                <c:pt idx="9">
                  <c:v>6.467661691542288</c:v>
                </c:pt>
                <c:pt idx="10">
                  <c:v>17.894736842105264</c:v>
                </c:pt>
                <c:pt idx="11">
                  <c:v>5.6886227544910177</c:v>
                </c:pt>
                <c:pt idx="12">
                  <c:v>13.090909090909092</c:v>
                </c:pt>
                <c:pt idx="13">
                  <c:v>17.514124293785311</c:v>
                </c:pt>
                <c:pt idx="14">
                  <c:v>10.687022900763358</c:v>
                </c:pt>
                <c:pt idx="15">
                  <c:v>11.25</c:v>
                </c:pt>
                <c:pt idx="16">
                  <c:v>13.580246913580247</c:v>
                </c:pt>
                <c:pt idx="17">
                  <c:v>14.864864864864865</c:v>
                </c:pt>
                <c:pt idx="18">
                  <c:v>13.493975903614459</c:v>
                </c:pt>
                <c:pt idx="19">
                  <c:v>14.790996784565916</c:v>
                </c:pt>
                <c:pt idx="20">
                  <c:v>11.038961038961039</c:v>
                </c:pt>
                <c:pt idx="21">
                  <c:v>16.129032258064516</c:v>
                </c:pt>
                <c:pt idx="22">
                  <c:v>25</c:v>
                </c:pt>
                <c:pt idx="23">
                  <c:v>14.110429447852759</c:v>
                </c:pt>
                <c:pt idx="24">
                  <c:v>10.684931506849315</c:v>
                </c:pt>
                <c:pt idx="25">
                  <c:v>18.427518427518429</c:v>
                </c:pt>
                <c:pt idx="26">
                  <c:v>15</c:v>
                </c:pt>
                <c:pt idx="27">
                  <c:v>12.646370023419204</c:v>
                </c:pt>
              </c:numCache>
            </c:numRef>
          </c:val>
          <c:extLst>
            <c:ext xmlns:c16="http://schemas.microsoft.com/office/drawing/2014/chart" uri="{C3380CC4-5D6E-409C-BE32-E72D297353CC}">
              <c16:uniqueId val="{0000000A-ACA3-4E7B-ABE6-2041AE52A72B}"/>
            </c:ext>
          </c:extLst>
        </c:ser>
        <c:ser>
          <c:idx val="5"/>
          <c:order val="5"/>
          <c:tx>
            <c:strRef>
              <c:f>Лист1!$F$1</c:f>
              <c:strCache>
                <c:ptCount val="1"/>
                <c:pt idx="0">
                  <c:v>Не оцінено</c:v>
                </c:pt>
              </c:strCache>
            </c:strRef>
          </c:tx>
          <c:spPr>
            <a:solidFill>
              <a:schemeClr val="tx1">
                <a:lumMod val="50000"/>
                <a:lumOff val="50000"/>
              </a:schemeClr>
            </a:solidFill>
          </c:spPr>
          <c:invertIfNegative val="0"/>
          <c:cat>
            <c:strRef>
              <c:f>Лист1!$A$2:$A$29</c:f>
              <c:strCache>
                <c:ptCount val="28"/>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pt idx="25">
                  <c:v>ДКВС України</c:v>
                </c:pt>
                <c:pt idx="26">
                  <c:v>Міноборони України</c:v>
                </c:pt>
                <c:pt idx="27">
                  <c:v>Україна </c:v>
                </c:pt>
              </c:strCache>
            </c:strRef>
          </c:cat>
          <c:val>
            <c:numRef>
              <c:f>Лист1!$F$2:$F$29</c:f>
              <c:numCache>
                <c:formatCode>0.0</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0.14124293785310735</c:v>
                </c:pt>
                <c:pt idx="14">
                  <c:v>0.38167938931297707</c:v>
                </c:pt>
                <c:pt idx="15">
                  <c:v>0</c:v>
                </c:pt>
                <c:pt idx="16">
                  <c:v>0</c:v>
                </c:pt>
                <c:pt idx="17">
                  <c:v>0</c:v>
                </c:pt>
                <c:pt idx="18">
                  <c:v>0</c:v>
                </c:pt>
                <c:pt idx="19">
                  <c:v>0</c:v>
                </c:pt>
                <c:pt idx="20">
                  <c:v>0</c:v>
                </c:pt>
                <c:pt idx="21">
                  <c:v>0</c:v>
                </c:pt>
                <c:pt idx="22">
                  <c:v>0</c:v>
                </c:pt>
                <c:pt idx="23">
                  <c:v>0.61349693251533743</c:v>
                </c:pt>
                <c:pt idx="24">
                  <c:v>0.54794520547945202</c:v>
                </c:pt>
                <c:pt idx="25">
                  <c:v>0</c:v>
                </c:pt>
                <c:pt idx="26">
                  <c:v>0</c:v>
                </c:pt>
                <c:pt idx="27">
                  <c:v>6.8880011020801768E-2</c:v>
                </c:pt>
              </c:numCache>
            </c:numRef>
          </c:val>
          <c:extLst>
            <c:ext xmlns:c16="http://schemas.microsoft.com/office/drawing/2014/chart" uri="{C3380CC4-5D6E-409C-BE32-E72D297353CC}">
              <c16:uniqueId val="{0000000B-ACA3-4E7B-ABE6-2041AE52A72B}"/>
            </c:ext>
          </c:extLst>
        </c:ser>
        <c:dLbls>
          <c:showLegendKey val="0"/>
          <c:showVal val="0"/>
          <c:showCatName val="0"/>
          <c:showSerName val="0"/>
          <c:showPercent val="0"/>
          <c:showBubbleSize val="0"/>
        </c:dLbls>
        <c:gapWidth val="150"/>
        <c:overlap val="100"/>
        <c:axId val="382129280"/>
        <c:axId val="382130816"/>
      </c:barChart>
      <c:catAx>
        <c:axId val="382129280"/>
        <c:scaling>
          <c:orientation val="minMax"/>
        </c:scaling>
        <c:delete val="0"/>
        <c:axPos val="b"/>
        <c:numFmt formatCode="General" sourceLinked="0"/>
        <c:majorTickMark val="out"/>
        <c:minorTickMark val="none"/>
        <c:tickLblPos val="nextTo"/>
        <c:txPr>
          <a:bodyPr/>
          <a:lstStyle/>
          <a:p>
            <a:pPr>
              <a:defRPr sz="700" b="1"/>
            </a:pPr>
            <a:endParaRPr lang="uk-UA"/>
          </a:p>
        </c:txPr>
        <c:crossAx val="382130816"/>
        <c:crosses val="autoZero"/>
        <c:auto val="1"/>
        <c:lblAlgn val="ctr"/>
        <c:lblOffset val="100"/>
        <c:noMultiLvlLbl val="0"/>
      </c:catAx>
      <c:valAx>
        <c:axId val="382130816"/>
        <c:scaling>
          <c:orientation val="minMax"/>
        </c:scaling>
        <c:delete val="1"/>
        <c:axPos val="l"/>
        <c:numFmt formatCode="General" sourceLinked="1"/>
        <c:majorTickMark val="out"/>
        <c:minorTickMark val="none"/>
        <c:tickLblPos val="nextTo"/>
        <c:crossAx val="382129280"/>
        <c:crosses val="autoZero"/>
        <c:crossBetween val="between"/>
      </c:valAx>
    </c:plotArea>
    <c:legend>
      <c:legendPos val="b"/>
      <c:legendEntry>
        <c:idx val="0"/>
        <c:delete val="1"/>
      </c:legendEntry>
      <c:layout>
        <c:manualLayout>
          <c:xMode val="edge"/>
          <c:yMode val="edge"/>
          <c:x val="1.7656001735361138E-2"/>
          <c:y val="0.85110580841364958"/>
          <c:w val="0.96965713639456474"/>
          <c:h val="0.12101583132848905"/>
        </c:manualLayout>
      </c:layout>
      <c:overlay val="0"/>
      <c:txPr>
        <a:bodyPr/>
        <a:lstStyle/>
        <a:p>
          <a:pPr>
            <a:defRPr sz="800" b="1">
              <a:solidFill>
                <a:schemeClr val="tx2">
                  <a:lumMod val="75000"/>
                </a:schemeClr>
              </a:solidFill>
            </a:defRPr>
          </a:pPr>
          <a:endParaRPr lang="uk-UA"/>
        </a:p>
      </c:txPr>
    </c:legend>
    <c:plotVisOnly val="1"/>
    <c:dispBlanksAs val="gap"/>
    <c:showDLblsOverMax val="0"/>
  </c:chart>
  <c:spPr>
    <a:ln>
      <a:no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Лист1!$B$591</c:f>
              <c:strCache>
                <c:ptCount val="1"/>
                <c:pt idx="0">
                  <c:v>ТБ заклади</c:v>
                </c:pt>
              </c:strCache>
            </c:strRef>
          </c:tx>
          <c:spPr>
            <a:ln w="28575" cap="rnd">
              <a:solidFill>
                <a:srgbClr val="1F497D"/>
              </a:solidFill>
              <a:round/>
            </a:ln>
            <a:effectLst/>
          </c:spPr>
          <c:marker>
            <c:symbol val="circle"/>
            <c:size val="5"/>
            <c:spPr>
              <a:solidFill>
                <a:schemeClr val="accent1"/>
              </a:solidFill>
              <a:ln w="9525">
                <a:solidFill>
                  <a:srgbClr val="1F497D"/>
                </a:solidFill>
              </a:ln>
              <a:effectLst/>
            </c:spPr>
          </c:marker>
          <c:cat>
            <c:strRef>
              <c:f>Лист1!$A$592:$A$617</c:f>
              <c:strCache>
                <c:ptCount val="26"/>
                <c:pt idx="0">
                  <c:v>Україна</c:v>
                </c:pt>
                <c:pt idx="1">
                  <c:v>Вінницька</c:v>
                </c:pt>
                <c:pt idx="2">
                  <c:v>Волинська</c:v>
                </c:pt>
                <c:pt idx="3">
                  <c:v>Дніпропетровська</c:v>
                </c:pt>
                <c:pt idx="4">
                  <c:v>Донецька</c:v>
                </c:pt>
                <c:pt idx="5">
                  <c:v>Житомирська</c:v>
                </c:pt>
                <c:pt idx="6">
                  <c:v>Закарпатська</c:v>
                </c:pt>
                <c:pt idx="7">
                  <c:v>Запорізька</c:v>
                </c:pt>
                <c:pt idx="8">
                  <c:v>Івано-Франківська</c:v>
                </c:pt>
                <c:pt idx="9">
                  <c:v>Київська</c:v>
                </c:pt>
                <c:pt idx="10">
                  <c:v>Кіровоградська</c:v>
                </c:pt>
                <c:pt idx="11">
                  <c:v>Луганська</c:v>
                </c:pt>
                <c:pt idx="12">
                  <c:v>Львівська</c:v>
                </c:pt>
                <c:pt idx="13">
                  <c:v>Миколаївська</c:v>
                </c:pt>
                <c:pt idx="14">
                  <c:v>Одеська</c:v>
                </c:pt>
                <c:pt idx="15">
                  <c:v>Полтавська</c:v>
                </c:pt>
                <c:pt idx="16">
                  <c:v>Рівненська</c:v>
                </c:pt>
                <c:pt idx="17">
                  <c:v>Сумська</c:v>
                </c:pt>
                <c:pt idx="18">
                  <c:v>Тернопільська</c:v>
                </c:pt>
                <c:pt idx="19">
                  <c:v>Харківська</c:v>
                </c:pt>
                <c:pt idx="20">
                  <c:v>Херсонська</c:v>
                </c:pt>
                <c:pt idx="21">
                  <c:v>Хмельницька</c:v>
                </c:pt>
                <c:pt idx="22">
                  <c:v>Черкаська</c:v>
                </c:pt>
                <c:pt idx="23">
                  <c:v>Чернівецька</c:v>
                </c:pt>
                <c:pt idx="24">
                  <c:v>Чернігівська</c:v>
                </c:pt>
                <c:pt idx="25">
                  <c:v>м. Київ</c:v>
                </c:pt>
              </c:strCache>
            </c:strRef>
          </c:cat>
          <c:val>
            <c:numRef>
              <c:f>Лист1!$B$592:$B$617</c:f>
              <c:numCache>
                <c:formatCode>General</c:formatCode>
                <c:ptCount val="26"/>
                <c:pt idx="0">
                  <c:v>143</c:v>
                </c:pt>
                <c:pt idx="1">
                  <c:v>0</c:v>
                </c:pt>
                <c:pt idx="2">
                  <c:v>532</c:v>
                </c:pt>
                <c:pt idx="3">
                  <c:v>0</c:v>
                </c:pt>
                <c:pt idx="4">
                  <c:v>0</c:v>
                </c:pt>
                <c:pt idx="5">
                  <c:v>556</c:v>
                </c:pt>
                <c:pt idx="6">
                  <c:v>0</c:v>
                </c:pt>
                <c:pt idx="7">
                  <c:v>0</c:v>
                </c:pt>
                <c:pt idx="8">
                  <c:v>308</c:v>
                </c:pt>
                <c:pt idx="9">
                  <c:v>0</c:v>
                </c:pt>
                <c:pt idx="10">
                  <c:v>623</c:v>
                </c:pt>
                <c:pt idx="11">
                  <c:v>452</c:v>
                </c:pt>
                <c:pt idx="12">
                  <c:v>168</c:v>
                </c:pt>
                <c:pt idx="13">
                  <c:v>683</c:v>
                </c:pt>
                <c:pt idx="14">
                  <c:v>0</c:v>
                </c:pt>
                <c:pt idx="15">
                  <c:v>0</c:v>
                </c:pt>
                <c:pt idx="16">
                  <c:v>0</c:v>
                </c:pt>
                <c:pt idx="17">
                  <c:v>0</c:v>
                </c:pt>
                <c:pt idx="18">
                  <c:v>0</c:v>
                </c:pt>
                <c:pt idx="19">
                  <c:v>441</c:v>
                </c:pt>
                <c:pt idx="20">
                  <c:v>0</c:v>
                </c:pt>
                <c:pt idx="21">
                  <c:v>0</c:v>
                </c:pt>
                <c:pt idx="22">
                  <c:v>0</c:v>
                </c:pt>
                <c:pt idx="23">
                  <c:v>0</c:v>
                </c:pt>
                <c:pt idx="24">
                  <c:v>0</c:v>
                </c:pt>
                <c:pt idx="25">
                  <c:v>0</c:v>
                </c:pt>
              </c:numCache>
            </c:numRef>
          </c:val>
          <c:smooth val="0"/>
          <c:extLst>
            <c:ext xmlns:c16="http://schemas.microsoft.com/office/drawing/2014/chart" uri="{C3380CC4-5D6E-409C-BE32-E72D297353CC}">
              <c16:uniqueId val="{00000000-0174-47BE-8B38-64DAFC577FA8}"/>
            </c:ext>
          </c:extLst>
        </c:ser>
        <c:ser>
          <c:idx val="1"/>
          <c:order val="1"/>
          <c:tx>
            <c:strRef>
              <c:f>Лист1!$C$591</c:f>
              <c:strCache>
                <c:ptCount val="1"/>
                <c:pt idx="0">
                  <c:v>ЗОЗ</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Лист1!$A$592:$A$617</c:f>
              <c:strCache>
                <c:ptCount val="26"/>
                <c:pt idx="0">
                  <c:v>Україна</c:v>
                </c:pt>
                <c:pt idx="1">
                  <c:v>Вінницька</c:v>
                </c:pt>
                <c:pt idx="2">
                  <c:v>Волинська</c:v>
                </c:pt>
                <c:pt idx="3">
                  <c:v>Дніпропетровська</c:v>
                </c:pt>
                <c:pt idx="4">
                  <c:v>Донецька</c:v>
                </c:pt>
                <c:pt idx="5">
                  <c:v>Житомирська</c:v>
                </c:pt>
                <c:pt idx="6">
                  <c:v>Закарпатська</c:v>
                </c:pt>
                <c:pt idx="7">
                  <c:v>Запорізька</c:v>
                </c:pt>
                <c:pt idx="8">
                  <c:v>Івано-Франківська</c:v>
                </c:pt>
                <c:pt idx="9">
                  <c:v>Київська</c:v>
                </c:pt>
                <c:pt idx="10">
                  <c:v>Кіровоградська</c:v>
                </c:pt>
                <c:pt idx="11">
                  <c:v>Луганська</c:v>
                </c:pt>
                <c:pt idx="12">
                  <c:v>Львівська</c:v>
                </c:pt>
                <c:pt idx="13">
                  <c:v>Миколаївська</c:v>
                </c:pt>
                <c:pt idx="14">
                  <c:v>Одеська</c:v>
                </c:pt>
                <c:pt idx="15">
                  <c:v>Полтавська</c:v>
                </c:pt>
                <c:pt idx="16">
                  <c:v>Рівненська</c:v>
                </c:pt>
                <c:pt idx="17">
                  <c:v>Сумська</c:v>
                </c:pt>
                <c:pt idx="18">
                  <c:v>Тернопільська</c:v>
                </c:pt>
                <c:pt idx="19">
                  <c:v>Харківська</c:v>
                </c:pt>
                <c:pt idx="20">
                  <c:v>Херсонська</c:v>
                </c:pt>
                <c:pt idx="21">
                  <c:v>Хмельницька</c:v>
                </c:pt>
                <c:pt idx="22">
                  <c:v>Черкаська</c:v>
                </c:pt>
                <c:pt idx="23">
                  <c:v>Чернівецька</c:v>
                </c:pt>
                <c:pt idx="24">
                  <c:v>Чернігівська</c:v>
                </c:pt>
                <c:pt idx="25">
                  <c:v>м. Київ</c:v>
                </c:pt>
              </c:strCache>
            </c:strRef>
          </c:cat>
          <c:val>
            <c:numRef>
              <c:f>Лист1!$C$592:$C$617</c:f>
              <c:numCache>
                <c:formatCode>General</c:formatCode>
                <c:ptCount val="26"/>
                <c:pt idx="0">
                  <c:v>33</c:v>
                </c:pt>
                <c:pt idx="1">
                  <c:v>22</c:v>
                </c:pt>
                <c:pt idx="2">
                  <c:v>40</c:v>
                </c:pt>
                <c:pt idx="3">
                  <c:v>51</c:v>
                </c:pt>
                <c:pt idx="4">
                  <c:v>61</c:v>
                </c:pt>
                <c:pt idx="5">
                  <c:v>17</c:v>
                </c:pt>
                <c:pt idx="6">
                  <c:v>20</c:v>
                </c:pt>
                <c:pt idx="7">
                  <c:v>64</c:v>
                </c:pt>
                <c:pt idx="8">
                  <c:v>28</c:v>
                </c:pt>
                <c:pt idx="9">
                  <c:v>51</c:v>
                </c:pt>
                <c:pt idx="10">
                  <c:v>34</c:v>
                </c:pt>
                <c:pt idx="11">
                  <c:v>43</c:v>
                </c:pt>
                <c:pt idx="12">
                  <c:v>13</c:v>
                </c:pt>
                <c:pt idx="13">
                  <c:v>77</c:v>
                </c:pt>
                <c:pt idx="14">
                  <c:v>33</c:v>
                </c:pt>
                <c:pt idx="15">
                  <c:v>46</c:v>
                </c:pt>
                <c:pt idx="16">
                  <c:v>17</c:v>
                </c:pt>
                <c:pt idx="17">
                  <c:v>12</c:v>
                </c:pt>
                <c:pt idx="18">
                  <c:v>18</c:v>
                </c:pt>
                <c:pt idx="19">
                  <c:v>43</c:v>
                </c:pt>
                <c:pt idx="20">
                  <c:v>8</c:v>
                </c:pt>
                <c:pt idx="21">
                  <c:v>22</c:v>
                </c:pt>
                <c:pt idx="22">
                  <c:v>16</c:v>
                </c:pt>
                <c:pt idx="23">
                  <c:v>15</c:v>
                </c:pt>
                <c:pt idx="24">
                  <c:v>31</c:v>
                </c:pt>
                <c:pt idx="25">
                  <c:v>20</c:v>
                </c:pt>
              </c:numCache>
            </c:numRef>
          </c:val>
          <c:smooth val="0"/>
          <c:extLst>
            <c:ext xmlns:c16="http://schemas.microsoft.com/office/drawing/2014/chart" uri="{C3380CC4-5D6E-409C-BE32-E72D297353CC}">
              <c16:uniqueId val="{00000001-0174-47BE-8B38-64DAFC577FA8}"/>
            </c:ext>
          </c:extLst>
        </c:ser>
        <c:ser>
          <c:idx val="2"/>
          <c:order val="2"/>
          <c:tx>
            <c:strRef>
              <c:f>Лист1!$D$591</c:f>
              <c:strCache>
                <c:ptCount val="1"/>
                <c:pt idx="0">
                  <c:v>Загальне населення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Лист1!$A$592:$A$617</c:f>
              <c:strCache>
                <c:ptCount val="26"/>
                <c:pt idx="0">
                  <c:v>Україна</c:v>
                </c:pt>
                <c:pt idx="1">
                  <c:v>Вінницька</c:v>
                </c:pt>
                <c:pt idx="2">
                  <c:v>Волинська</c:v>
                </c:pt>
                <c:pt idx="3">
                  <c:v>Дніпропетровська</c:v>
                </c:pt>
                <c:pt idx="4">
                  <c:v>Донецька</c:v>
                </c:pt>
                <c:pt idx="5">
                  <c:v>Житомирська</c:v>
                </c:pt>
                <c:pt idx="6">
                  <c:v>Закарпатська</c:v>
                </c:pt>
                <c:pt idx="7">
                  <c:v>Запорізька</c:v>
                </c:pt>
                <c:pt idx="8">
                  <c:v>Івано-Франківська</c:v>
                </c:pt>
                <c:pt idx="9">
                  <c:v>Київська</c:v>
                </c:pt>
                <c:pt idx="10">
                  <c:v>Кіровоградська</c:v>
                </c:pt>
                <c:pt idx="11">
                  <c:v>Луганська</c:v>
                </c:pt>
                <c:pt idx="12">
                  <c:v>Львівська</c:v>
                </c:pt>
                <c:pt idx="13">
                  <c:v>Миколаївська</c:v>
                </c:pt>
                <c:pt idx="14">
                  <c:v>Одеська</c:v>
                </c:pt>
                <c:pt idx="15">
                  <c:v>Полтавська</c:v>
                </c:pt>
                <c:pt idx="16">
                  <c:v>Рівненська</c:v>
                </c:pt>
                <c:pt idx="17">
                  <c:v>Сумська</c:v>
                </c:pt>
                <c:pt idx="18">
                  <c:v>Тернопільська</c:v>
                </c:pt>
                <c:pt idx="19">
                  <c:v>Харківська</c:v>
                </c:pt>
                <c:pt idx="20">
                  <c:v>Херсонська</c:v>
                </c:pt>
                <c:pt idx="21">
                  <c:v>Хмельницька</c:v>
                </c:pt>
                <c:pt idx="22">
                  <c:v>Черкаська</c:v>
                </c:pt>
                <c:pt idx="23">
                  <c:v>Чернівецька</c:v>
                </c:pt>
                <c:pt idx="24">
                  <c:v>Чернігівська</c:v>
                </c:pt>
                <c:pt idx="25">
                  <c:v>м. Київ</c:v>
                </c:pt>
              </c:strCache>
            </c:strRef>
          </c:cat>
          <c:val>
            <c:numRef>
              <c:f>Лист1!$D$592:$D$617</c:f>
              <c:numCache>
                <c:formatCode>General</c:formatCode>
                <c:ptCount val="26"/>
                <c:pt idx="0">
                  <c:v>35.5</c:v>
                </c:pt>
                <c:pt idx="1">
                  <c:v>21.1</c:v>
                </c:pt>
                <c:pt idx="2">
                  <c:v>48</c:v>
                </c:pt>
                <c:pt idx="3">
                  <c:v>56.5</c:v>
                </c:pt>
                <c:pt idx="4">
                  <c:v>40.9</c:v>
                </c:pt>
                <c:pt idx="5">
                  <c:v>40</c:v>
                </c:pt>
                <c:pt idx="6">
                  <c:v>49.2</c:v>
                </c:pt>
                <c:pt idx="7">
                  <c:v>39</c:v>
                </c:pt>
                <c:pt idx="8">
                  <c:v>25</c:v>
                </c:pt>
                <c:pt idx="9">
                  <c:v>40.6</c:v>
                </c:pt>
                <c:pt idx="10">
                  <c:v>41.2</c:v>
                </c:pt>
                <c:pt idx="11">
                  <c:v>39.700000000000003</c:v>
                </c:pt>
                <c:pt idx="12">
                  <c:v>38.6</c:v>
                </c:pt>
                <c:pt idx="13">
                  <c:v>41.7</c:v>
                </c:pt>
                <c:pt idx="14">
                  <c:v>84.9</c:v>
                </c:pt>
                <c:pt idx="15">
                  <c:v>26.8</c:v>
                </c:pt>
                <c:pt idx="16">
                  <c:v>31.7</c:v>
                </c:pt>
                <c:pt idx="17">
                  <c:v>33.4</c:v>
                </c:pt>
                <c:pt idx="18">
                  <c:v>18.8</c:v>
                </c:pt>
                <c:pt idx="19">
                  <c:v>29</c:v>
                </c:pt>
                <c:pt idx="20">
                  <c:v>39.299999999999997</c:v>
                </c:pt>
                <c:pt idx="21">
                  <c:v>26.3</c:v>
                </c:pt>
                <c:pt idx="22">
                  <c:v>33.5</c:v>
                </c:pt>
                <c:pt idx="23">
                  <c:v>20.7</c:v>
                </c:pt>
                <c:pt idx="24">
                  <c:v>42.5</c:v>
                </c:pt>
                <c:pt idx="25">
                  <c:v>24.5</c:v>
                </c:pt>
              </c:numCache>
            </c:numRef>
          </c:val>
          <c:smooth val="0"/>
          <c:extLst>
            <c:ext xmlns:c16="http://schemas.microsoft.com/office/drawing/2014/chart" uri="{C3380CC4-5D6E-409C-BE32-E72D297353CC}">
              <c16:uniqueId val="{00000002-0174-47BE-8B38-64DAFC577FA8}"/>
            </c:ext>
          </c:extLst>
        </c:ser>
        <c:dLbls>
          <c:showLegendKey val="0"/>
          <c:showVal val="0"/>
          <c:showCatName val="0"/>
          <c:showSerName val="0"/>
          <c:showPercent val="0"/>
          <c:showBubbleSize val="0"/>
        </c:dLbls>
        <c:marker val="1"/>
        <c:smooth val="0"/>
        <c:axId val="309299072"/>
        <c:axId val="309305344"/>
      </c:lineChart>
      <c:catAx>
        <c:axId val="3092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uk-UA"/>
          </a:p>
        </c:txPr>
        <c:crossAx val="309305344"/>
        <c:crosses val="autoZero"/>
        <c:auto val="1"/>
        <c:lblAlgn val="ctr"/>
        <c:lblOffset val="100"/>
        <c:noMultiLvlLbl val="0"/>
      </c:catAx>
      <c:valAx>
        <c:axId val="3093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929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9900"/>
            </a:solidFill>
            <a:ln>
              <a:no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Лист1!$A$620:$Y$620</c:f>
              <c:strCache>
                <c:ptCount val="25"/>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Тернопільська</c:v>
                </c:pt>
                <c:pt idx="18">
                  <c:v>Харківська</c:v>
                </c:pt>
                <c:pt idx="19">
                  <c:v>Херсонська</c:v>
                </c:pt>
                <c:pt idx="20">
                  <c:v>Хмельницька</c:v>
                </c:pt>
                <c:pt idx="21">
                  <c:v>Черкаська</c:v>
                </c:pt>
                <c:pt idx="22">
                  <c:v>Чернівецька</c:v>
                </c:pt>
                <c:pt idx="23">
                  <c:v>Чернігівська</c:v>
                </c:pt>
                <c:pt idx="24">
                  <c:v>м. Київ</c:v>
                </c:pt>
              </c:strCache>
            </c:strRef>
          </c:cat>
          <c:val>
            <c:numRef>
              <c:f>Лист1!$A$621:$Y$621</c:f>
              <c:numCache>
                <c:formatCode>General</c:formatCode>
                <c:ptCount val="25"/>
                <c:pt idx="0">
                  <c:v>9.24</c:v>
                </c:pt>
                <c:pt idx="1">
                  <c:v>7.41</c:v>
                </c:pt>
                <c:pt idx="2">
                  <c:v>2.74</c:v>
                </c:pt>
                <c:pt idx="3">
                  <c:v>2.56</c:v>
                </c:pt>
                <c:pt idx="4">
                  <c:v>4.67</c:v>
                </c:pt>
                <c:pt idx="5">
                  <c:v>6.51</c:v>
                </c:pt>
                <c:pt idx="6">
                  <c:v>6.07</c:v>
                </c:pt>
                <c:pt idx="7">
                  <c:v>3.77</c:v>
                </c:pt>
                <c:pt idx="8">
                  <c:v>3.33</c:v>
                </c:pt>
                <c:pt idx="9">
                  <c:v>3.83</c:v>
                </c:pt>
                <c:pt idx="10">
                  <c:v>3.95</c:v>
                </c:pt>
                <c:pt idx="11">
                  <c:v>8.23</c:v>
                </c:pt>
                <c:pt idx="12">
                  <c:v>1.25</c:v>
                </c:pt>
                <c:pt idx="13">
                  <c:v>6.13</c:v>
                </c:pt>
                <c:pt idx="14">
                  <c:v>2.99</c:v>
                </c:pt>
                <c:pt idx="15">
                  <c:v>1.42</c:v>
                </c:pt>
                <c:pt idx="16">
                  <c:v>13.13</c:v>
                </c:pt>
                <c:pt idx="17">
                  <c:v>4.71</c:v>
                </c:pt>
                <c:pt idx="18">
                  <c:v>1.92</c:v>
                </c:pt>
                <c:pt idx="19">
                  <c:v>6.8</c:v>
                </c:pt>
                <c:pt idx="20">
                  <c:v>10.58</c:v>
                </c:pt>
                <c:pt idx="21">
                  <c:v>1.03</c:v>
                </c:pt>
                <c:pt idx="22">
                  <c:v>12.77</c:v>
                </c:pt>
                <c:pt idx="23">
                  <c:v>6.05</c:v>
                </c:pt>
                <c:pt idx="24">
                  <c:v>7.24</c:v>
                </c:pt>
              </c:numCache>
            </c:numRef>
          </c:val>
          <c:extLst>
            <c:ext xmlns:c16="http://schemas.microsoft.com/office/drawing/2014/chart" uri="{C3380CC4-5D6E-409C-BE32-E72D297353CC}">
              <c16:uniqueId val="{00000000-1531-4055-8D29-F2205E7484D9}"/>
            </c:ext>
          </c:extLst>
        </c:ser>
        <c:dLbls>
          <c:showLegendKey val="0"/>
          <c:showVal val="0"/>
          <c:showCatName val="0"/>
          <c:showSerName val="0"/>
          <c:showPercent val="0"/>
          <c:showBubbleSize val="0"/>
        </c:dLbls>
        <c:gapWidth val="219"/>
        <c:overlap val="-27"/>
        <c:axId val="309265152"/>
        <c:axId val="309266688"/>
      </c:barChart>
      <c:catAx>
        <c:axId val="3092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uk-UA"/>
          </a:p>
        </c:txPr>
        <c:crossAx val="309266688"/>
        <c:crosses val="autoZero"/>
        <c:auto val="1"/>
        <c:lblAlgn val="ctr"/>
        <c:lblOffset val="100"/>
        <c:noMultiLvlLbl val="0"/>
      </c:catAx>
      <c:valAx>
        <c:axId val="30926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926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SWOT'!$C$5:$C$9</c:f>
              <c:strCache>
                <c:ptCount val="5"/>
                <c:pt idx="0">
                  <c:v>Потрібні додаткові штати епідеміологологів</c:v>
                </c:pt>
                <c:pt idx="1">
                  <c:v>Потрібні додаткові штати фтизіатрів</c:v>
                </c:pt>
                <c:pt idx="2">
                  <c:v>Необхідні додаткові штати педіатрів-фтизіатрів</c:v>
                </c:pt>
                <c:pt idx="3">
                  <c:v>Потрібні додаткові штати фахівців з МіО</c:v>
                </c:pt>
                <c:pt idx="4">
                  <c:v>Необхідні додаткові штати операторів введення даних</c:v>
                </c:pt>
              </c:strCache>
            </c:strRef>
          </c:cat>
          <c:val>
            <c:numRef>
              <c:f>'graph SWOT'!$D$5:$D$9</c:f>
              <c:numCache>
                <c:formatCode>General</c:formatCode>
                <c:ptCount val="5"/>
                <c:pt idx="0">
                  <c:v>5</c:v>
                </c:pt>
                <c:pt idx="1">
                  <c:v>5</c:v>
                </c:pt>
                <c:pt idx="2">
                  <c:v>4</c:v>
                </c:pt>
                <c:pt idx="3">
                  <c:v>5</c:v>
                </c:pt>
                <c:pt idx="4">
                  <c:v>6</c:v>
                </c:pt>
              </c:numCache>
            </c:numRef>
          </c:val>
          <c:extLst>
            <c:ext xmlns:c16="http://schemas.microsoft.com/office/drawing/2014/chart" uri="{C3380CC4-5D6E-409C-BE32-E72D297353CC}">
              <c16:uniqueId val="{00000000-903F-4B10-8ECB-4A6840E56142}"/>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SWOT'!$C$5:$C$9</c:f>
              <c:strCache>
                <c:ptCount val="5"/>
                <c:pt idx="0">
                  <c:v>Потрібні додаткові штати епідеміологологів</c:v>
                </c:pt>
                <c:pt idx="1">
                  <c:v>Потрібні додаткові штати фтизіатрів</c:v>
                </c:pt>
                <c:pt idx="2">
                  <c:v>Необхідні додаткові штати педіатрів-фтизіатрів</c:v>
                </c:pt>
                <c:pt idx="3">
                  <c:v>Потрібні додаткові штати фахівців з МіО</c:v>
                </c:pt>
                <c:pt idx="4">
                  <c:v>Необхідні додаткові штати операторів введення даних</c:v>
                </c:pt>
              </c:strCache>
            </c:strRef>
          </c:cat>
          <c:val>
            <c:numRef>
              <c:f>'graph SWOT'!$E$5:$E$9</c:f>
              <c:numCache>
                <c:formatCode>General</c:formatCode>
                <c:ptCount val="5"/>
                <c:pt idx="0">
                  <c:v>3</c:v>
                </c:pt>
                <c:pt idx="1">
                  <c:v>5</c:v>
                </c:pt>
                <c:pt idx="2">
                  <c:v>5</c:v>
                </c:pt>
                <c:pt idx="3">
                  <c:v>7</c:v>
                </c:pt>
                <c:pt idx="4">
                  <c:v>4</c:v>
                </c:pt>
              </c:numCache>
            </c:numRef>
          </c:val>
          <c:extLst>
            <c:ext xmlns:c16="http://schemas.microsoft.com/office/drawing/2014/chart" uri="{C3380CC4-5D6E-409C-BE32-E72D297353CC}">
              <c16:uniqueId val="{00000001-903F-4B10-8ECB-4A6840E56142}"/>
            </c:ext>
          </c:extLst>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SWOT'!$C$5:$C$9</c:f>
              <c:strCache>
                <c:ptCount val="5"/>
                <c:pt idx="0">
                  <c:v>Потрібні додаткові штати епідеміологологів</c:v>
                </c:pt>
                <c:pt idx="1">
                  <c:v>Потрібні додаткові штати фтизіатрів</c:v>
                </c:pt>
                <c:pt idx="2">
                  <c:v>Необхідні додаткові штати педіатрів-фтизіатрів</c:v>
                </c:pt>
                <c:pt idx="3">
                  <c:v>Потрібні додаткові штати фахівців з МіО</c:v>
                </c:pt>
                <c:pt idx="4">
                  <c:v>Необхідні додаткові штати операторів введення даних</c:v>
                </c:pt>
              </c:strCache>
            </c:strRef>
          </c:cat>
          <c:val>
            <c:numRef>
              <c:f>'graph SWOT'!$F$5:$F$9</c:f>
              <c:numCache>
                <c:formatCode>General</c:formatCode>
                <c:ptCount val="5"/>
                <c:pt idx="0">
                  <c:v>2</c:v>
                </c:pt>
                <c:pt idx="1">
                  <c:v>6</c:v>
                </c:pt>
                <c:pt idx="2">
                  <c:v>1</c:v>
                </c:pt>
                <c:pt idx="3">
                  <c:v>2</c:v>
                </c:pt>
                <c:pt idx="4">
                  <c:v>3</c:v>
                </c:pt>
              </c:numCache>
            </c:numRef>
          </c:val>
          <c:extLst>
            <c:ext xmlns:c16="http://schemas.microsoft.com/office/drawing/2014/chart" uri="{C3380CC4-5D6E-409C-BE32-E72D297353CC}">
              <c16:uniqueId val="{00000002-903F-4B10-8ECB-4A6840E56142}"/>
            </c:ext>
          </c:extLst>
        </c:ser>
        <c:ser>
          <c:idx val="3"/>
          <c:order val="3"/>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SWOT'!$C$5:$C$9</c:f>
              <c:strCache>
                <c:ptCount val="5"/>
                <c:pt idx="0">
                  <c:v>Потрібні додаткові штати епідеміологологів</c:v>
                </c:pt>
                <c:pt idx="1">
                  <c:v>Потрібні додаткові штати фтизіатрів</c:v>
                </c:pt>
                <c:pt idx="2">
                  <c:v>Необхідні додаткові штати педіатрів-фтизіатрів</c:v>
                </c:pt>
                <c:pt idx="3">
                  <c:v>Потрібні додаткові штати фахівців з МіО</c:v>
                </c:pt>
                <c:pt idx="4">
                  <c:v>Необхідні додаткові штати операторів введення даних</c:v>
                </c:pt>
              </c:strCache>
            </c:strRef>
          </c:cat>
          <c:val>
            <c:numRef>
              <c:f>'graph SWOT'!$G$5:$G$9</c:f>
              <c:numCache>
                <c:formatCode>General</c:formatCode>
                <c:ptCount val="5"/>
                <c:pt idx="0">
                  <c:v>5</c:v>
                </c:pt>
                <c:pt idx="1">
                  <c:v>3</c:v>
                </c:pt>
                <c:pt idx="3">
                  <c:v>2</c:v>
                </c:pt>
                <c:pt idx="4">
                  <c:v>1</c:v>
                </c:pt>
              </c:numCache>
            </c:numRef>
          </c:val>
          <c:extLst>
            <c:ext xmlns:c16="http://schemas.microsoft.com/office/drawing/2014/chart" uri="{C3380CC4-5D6E-409C-BE32-E72D297353CC}">
              <c16:uniqueId val="{00000003-903F-4B10-8ECB-4A6840E56142}"/>
            </c:ext>
          </c:extLst>
        </c:ser>
        <c:ser>
          <c:idx val="4"/>
          <c:order val="4"/>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SWOT'!$C$5:$C$9</c:f>
              <c:strCache>
                <c:ptCount val="5"/>
                <c:pt idx="0">
                  <c:v>Потрібні додаткові штати епідеміологологів</c:v>
                </c:pt>
                <c:pt idx="1">
                  <c:v>Потрібні додаткові штати фтизіатрів</c:v>
                </c:pt>
                <c:pt idx="2">
                  <c:v>Необхідні додаткові штати педіатрів-фтизіатрів</c:v>
                </c:pt>
                <c:pt idx="3">
                  <c:v>Потрібні додаткові штати фахівців з МіО</c:v>
                </c:pt>
                <c:pt idx="4">
                  <c:v>Необхідні додаткові штати операторів введення даних</c:v>
                </c:pt>
              </c:strCache>
            </c:strRef>
          </c:cat>
          <c:val>
            <c:numRef>
              <c:f>'graph SWOT'!$H$5:$H$9</c:f>
              <c:numCache>
                <c:formatCode>General</c:formatCode>
                <c:ptCount val="5"/>
                <c:pt idx="0">
                  <c:v>5</c:v>
                </c:pt>
                <c:pt idx="1">
                  <c:v>4</c:v>
                </c:pt>
                <c:pt idx="2">
                  <c:v>4</c:v>
                </c:pt>
                <c:pt idx="3">
                  <c:v>2</c:v>
                </c:pt>
                <c:pt idx="4">
                  <c:v>1</c:v>
                </c:pt>
              </c:numCache>
            </c:numRef>
          </c:val>
          <c:extLst>
            <c:ext xmlns:c16="http://schemas.microsoft.com/office/drawing/2014/chart" uri="{C3380CC4-5D6E-409C-BE32-E72D297353CC}">
              <c16:uniqueId val="{00000004-903F-4B10-8ECB-4A6840E56142}"/>
            </c:ext>
          </c:extLst>
        </c:ser>
        <c:dLbls>
          <c:dLblPos val="ctr"/>
          <c:showLegendKey val="0"/>
          <c:showVal val="1"/>
          <c:showCatName val="0"/>
          <c:showSerName val="0"/>
          <c:showPercent val="0"/>
          <c:showBubbleSize val="0"/>
        </c:dLbls>
        <c:gapWidth val="79"/>
        <c:overlap val="100"/>
        <c:axId val="-2079130224"/>
        <c:axId val="-2079127536"/>
      </c:barChart>
      <c:catAx>
        <c:axId val="-207913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079127536"/>
        <c:crosses val="autoZero"/>
        <c:auto val="1"/>
        <c:lblAlgn val="ctr"/>
        <c:lblOffset val="100"/>
        <c:noMultiLvlLbl val="0"/>
      </c:catAx>
      <c:valAx>
        <c:axId val="-2079127536"/>
        <c:scaling>
          <c:orientation val="minMax"/>
        </c:scaling>
        <c:delete val="1"/>
        <c:axPos val="b"/>
        <c:numFmt formatCode="General" sourceLinked="1"/>
        <c:majorTickMark val="none"/>
        <c:minorTickMark val="none"/>
        <c:tickLblPos val="nextTo"/>
        <c:crossAx val="-20791302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SWOT'!$C$16:$C$18</c:f>
              <c:strCache>
                <c:ptCount val="3"/>
                <c:pt idx="0">
                  <c:v>Поточна інфраструктура відповідає потребам</c:v>
                </c:pt>
                <c:pt idx="1">
                  <c:v>Потрібно більше можливостей для діагностики</c:v>
                </c:pt>
                <c:pt idx="2">
                  <c:v>Потрібно більше можливостей для лікування</c:v>
                </c:pt>
              </c:strCache>
            </c:strRef>
          </c:cat>
          <c:val>
            <c:numRef>
              <c:f>'graph SWOT'!$D$16:$D$18</c:f>
              <c:numCache>
                <c:formatCode>General</c:formatCode>
                <c:ptCount val="3"/>
                <c:pt idx="0">
                  <c:v>2</c:v>
                </c:pt>
              </c:numCache>
            </c:numRef>
          </c:val>
          <c:extLst>
            <c:ext xmlns:c16="http://schemas.microsoft.com/office/drawing/2014/chart" uri="{C3380CC4-5D6E-409C-BE32-E72D297353CC}">
              <c16:uniqueId val="{00000000-C985-4898-80EB-9539439A5723}"/>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SWOT'!$C$16:$C$18</c:f>
              <c:strCache>
                <c:ptCount val="3"/>
                <c:pt idx="0">
                  <c:v>Поточна інфраструктура відповідає потребам</c:v>
                </c:pt>
                <c:pt idx="1">
                  <c:v>Потрібно більше можливостей для діагностики</c:v>
                </c:pt>
                <c:pt idx="2">
                  <c:v>Потрібно більше можливостей для лікування</c:v>
                </c:pt>
              </c:strCache>
            </c:strRef>
          </c:cat>
          <c:val>
            <c:numRef>
              <c:f>'graph SWOT'!$E$16:$E$18</c:f>
              <c:numCache>
                <c:formatCode>General</c:formatCode>
                <c:ptCount val="3"/>
                <c:pt idx="0">
                  <c:v>5</c:v>
                </c:pt>
                <c:pt idx="1">
                  <c:v>2</c:v>
                </c:pt>
                <c:pt idx="2">
                  <c:v>3</c:v>
                </c:pt>
              </c:numCache>
            </c:numRef>
          </c:val>
          <c:extLst>
            <c:ext xmlns:c16="http://schemas.microsoft.com/office/drawing/2014/chart" uri="{C3380CC4-5D6E-409C-BE32-E72D297353CC}">
              <c16:uniqueId val="{00000001-C985-4898-80EB-9539439A5723}"/>
            </c:ext>
          </c:extLst>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SWOT'!$C$16:$C$18</c:f>
              <c:strCache>
                <c:ptCount val="3"/>
                <c:pt idx="0">
                  <c:v>Поточна інфраструктура відповідає потребам</c:v>
                </c:pt>
                <c:pt idx="1">
                  <c:v>Потрібно більше можливостей для діагностики</c:v>
                </c:pt>
                <c:pt idx="2">
                  <c:v>Потрібно більше можливостей для лікування</c:v>
                </c:pt>
              </c:strCache>
            </c:strRef>
          </c:cat>
          <c:val>
            <c:numRef>
              <c:f>'graph SWOT'!$F$16:$F$18</c:f>
              <c:numCache>
                <c:formatCode>General</c:formatCode>
                <c:ptCount val="3"/>
                <c:pt idx="0">
                  <c:v>3</c:v>
                </c:pt>
                <c:pt idx="1">
                  <c:v>2</c:v>
                </c:pt>
                <c:pt idx="2">
                  <c:v>4</c:v>
                </c:pt>
              </c:numCache>
            </c:numRef>
          </c:val>
          <c:extLst>
            <c:ext xmlns:c16="http://schemas.microsoft.com/office/drawing/2014/chart" uri="{C3380CC4-5D6E-409C-BE32-E72D297353CC}">
              <c16:uniqueId val="{00000002-C985-4898-80EB-9539439A5723}"/>
            </c:ext>
          </c:extLst>
        </c:ser>
        <c:ser>
          <c:idx val="3"/>
          <c:order val="3"/>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SWOT'!$C$16:$C$18</c:f>
              <c:strCache>
                <c:ptCount val="3"/>
                <c:pt idx="0">
                  <c:v>Поточна інфраструктура відповідає потребам</c:v>
                </c:pt>
                <c:pt idx="1">
                  <c:v>Потрібно більше можливостей для діагностики</c:v>
                </c:pt>
                <c:pt idx="2">
                  <c:v>Потрібно більше можливостей для лікування</c:v>
                </c:pt>
              </c:strCache>
            </c:strRef>
          </c:cat>
          <c:val>
            <c:numRef>
              <c:f>'graph SWOT'!$G$16:$G$18</c:f>
              <c:numCache>
                <c:formatCode>General</c:formatCode>
                <c:ptCount val="3"/>
                <c:pt idx="0">
                  <c:v>2</c:v>
                </c:pt>
                <c:pt idx="1">
                  <c:v>6</c:v>
                </c:pt>
                <c:pt idx="2">
                  <c:v>7</c:v>
                </c:pt>
              </c:numCache>
            </c:numRef>
          </c:val>
          <c:extLst>
            <c:ext xmlns:c16="http://schemas.microsoft.com/office/drawing/2014/chart" uri="{C3380CC4-5D6E-409C-BE32-E72D297353CC}">
              <c16:uniqueId val="{00000003-C985-4898-80EB-9539439A5723}"/>
            </c:ext>
          </c:extLst>
        </c:ser>
        <c:ser>
          <c:idx val="4"/>
          <c:order val="4"/>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SWOT'!$C$16:$C$18</c:f>
              <c:strCache>
                <c:ptCount val="3"/>
                <c:pt idx="0">
                  <c:v>Поточна інфраструктура відповідає потребам</c:v>
                </c:pt>
                <c:pt idx="1">
                  <c:v>Потрібно більше можливостей для діагностики</c:v>
                </c:pt>
                <c:pt idx="2">
                  <c:v>Потрібно більше можливостей для лікування</c:v>
                </c:pt>
              </c:strCache>
            </c:strRef>
          </c:cat>
          <c:val>
            <c:numRef>
              <c:f>'graph SWOT'!$H$16:$H$18</c:f>
              <c:numCache>
                <c:formatCode>General</c:formatCode>
                <c:ptCount val="3"/>
                <c:pt idx="0">
                  <c:v>4</c:v>
                </c:pt>
                <c:pt idx="1">
                  <c:v>6</c:v>
                </c:pt>
                <c:pt idx="2">
                  <c:v>4</c:v>
                </c:pt>
              </c:numCache>
            </c:numRef>
          </c:val>
          <c:extLst>
            <c:ext xmlns:c16="http://schemas.microsoft.com/office/drawing/2014/chart" uri="{C3380CC4-5D6E-409C-BE32-E72D297353CC}">
              <c16:uniqueId val="{00000004-C985-4898-80EB-9539439A5723}"/>
            </c:ext>
          </c:extLst>
        </c:ser>
        <c:dLbls>
          <c:dLblPos val="ctr"/>
          <c:showLegendKey val="0"/>
          <c:showVal val="1"/>
          <c:showCatName val="0"/>
          <c:showSerName val="0"/>
          <c:showPercent val="0"/>
          <c:showBubbleSize val="0"/>
        </c:dLbls>
        <c:gapWidth val="79"/>
        <c:overlap val="100"/>
        <c:axId val="-2082968336"/>
        <c:axId val="-2082965648"/>
      </c:barChart>
      <c:catAx>
        <c:axId val="-208296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082965648"/>
        <c:crosses val="autoZero"/>
        <c:auto val="1"/>
        <c:lblAlgn val="ctr"/>
        <c:lblOffset val="100"/>
        <c:noMultiLvlLbl val="0"/>
      </c:catAx>
      <c:valAx>
        <c:axId val="-2082965648"/>
        <c:scaling>
          <c:orientation val="minMax"/>
        </c:scaling>
        <c:delete val="1"/>
        <c:axPos val="b"/>
        <c:numFmt formatCode="General" sourceLinked="1"/>
        <c:majorTickMark val="none"/>
        <c:minorTickMark val="none"/>
        <c:tickLblPos val="nextTo"/>
        <c:crossAx val="-2082968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SWOT'!$C$30:$C$33</c:f>
              <c:strCache>
                <c:ptCount val="4"/>
                <c:pt idx="0">
                  <c:v>Проводити більше навчання</c:v>
                </c:pt>
                <c:pt idx="1">
                  <c:v>Проводити більше візитів</c:v>
                </c:pt>
                <c:pt idx="2">
                  <c:v>Підтримка у вигляді мотивації та заохочення ефективності роботи</c:v>
                </c:pt>
                <c:pt idx="3">
                  <c:v>У створенні додаткових робочих місць для кадрів (прояснити яких)</c:v>
                </c:pt>
              </c:strCache>
            </c:strRef>
          </c:cat>
          <c:val>
            <c:numRef>
              <c:f>'graph SWOT'!$D$30:$D$33</c:f>
              <c:numCache>
                <c:formatCode>General</c:formatCode>
                <c:ptCount val="4"/>
                <c:pt idx="1">
                  <c:v>2</c:v>
                </c:pt>
              </c:numCache>
            </c:numRef>
          </c:val>
          <c:extLst>
            <c:ext xmlns:c16="http://schemas.microsoft.com/office/drawing/2014/chart" uri="{C3380CC4-5D6E-409C-BE32-E72D297353CC}">
              <c16:uniqueId val="{00000000-FD1F-473C-B252-647BB99B4834}"/>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SWOT'!$C$30:$C$33</c:f>
              <c:strCache>
                <c:ptCount val="4"/>
                <c:pt idx="0">
                  <c:v>Проводити більше навчання</c:v>
                </c:pt>
                <c:pt idx="1">
                  <c:v>Проводити більше візитів</c:v>
                </c:pt>
                <c:pt idx="2">
                  <c:v>Підтримка у вигляді мотивації та заохочення ефективності роботи</c:v>
                </c:pt>
                <c:pt idx="3">
                  <c:v>У створенні додаткових робочих місць для кадрів (прояснити яких)</c:v>
                </c:pt>
              </c:strCache>
            </c:strRef>
          </c:cat>
          <c:val>
            <c:numRef>
              <c:f>'graph SWOT'!$E$30:$E$33</c:f>
              <c:numCache>
                <c:formatCode>General</c:formatCode>
                <c:ptCount val="4"/>
                <c:pt idx="0">
                  <c:v>1</c:v>
                </c:pt>
                <c:pt idx="1">
                  <c:v>6</c:v>
                </c:pt>
                <c:pt idx="2">
                  <c:v>2</c:v>
                </c:pt>
                <c:pt idx="3">
                  <c:v>3</c:v>
                </c:pt>
              </c:numCache>
            </c:numRef>
          </c:val>
          <c:extLst>
            <c:ext xmlns:c16="http://schemas.microsoft.com/office/drawing/2014/chart" uri="{C3380CC4-5D6E-409C-BE32-E72D297353CC}">
              <c16:uniqueId val="{00000001-FD1F-473C-B252-647BB99B4834}"/>
            </c:ext>
          </c:extLst>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SWOT'!$C$30:$C$33</c:f>
              <c:strCache>
                <c:ptCount val="4"/>
                <c:pt idx="0">
                  <c:v>Проводити більше навчання</c:v>
                </c:pt>
                <c:pt idx="1">
                  <c:v>Проводити більше візитів</c:v>
                </c:pt>
                <c:pt idx="2">
                  <c:v>Підтримка у вигляді мотивації та заохочення ефективності роботи</c:v>
                </c:pt>
                <c:pt idx="3">
                  <c:v>У створенні додаткових робочих місць для кадрів (прояснити яких)</c:v>
                </c:pt>
              </c:strCache>
            </c:strRef>
          </c:cat>
          <c:val>
            <c:numRef>
              <c:f>'graph SWOT'!$F$30:$F$33</c:f>
              <c:numCache>
                <c:formatCode>General</c:formatCode>
                <c:ptCount val="4"/>
                <c:pt idx="0">
                  <c:v>4</c:v>
                </c:pt>
                <c:pt idx="1">
                  <c:v>4</c:v>
                </c:pt>
                <c:pt idx="2">
                  <c:v>4</c:v>
                </c:pt>
                <c:pt idx="3">
                  <c:v>6</c:v>
                </c:pt>
              </c:numCache>
            </c:numRef>
          </c:val>
          <c:extLst>
            <c:ext xmlns:c16="http://schemas.microsoft.com/office/drawing/2014/chart" uri="{C3380CC4-5D6E-409C-BE32-E72D297353CC}">
              <c16:uniqueId val="{00000002-FD1F-473C-B252-647BB99B4834}"/>
            </c:ext>
          </c:extLst>
        </c:ser>
        <c:ser>
          <c:idx val="3"/>
          <c:order val="3"/>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SWOT'!$C$30:$C$33</c:f>
              <c:strCache>
                <c:ptCount val="4"/>
                <c:pt idx="0">
                  <c:v>Проводити більше навчання</c:v>
                </c:pt>
                <c:pt idx="1">
                  <c:v>Проводити більше візитів</c:v>
                </c:pt>
                <c:pt idx="2">
                  <c:v>Підтримка у вигляді мотивації та заохочення ефективності роботи</c:v>
                </c:pt>
                <c:pt idx="3">
                  <c:v>У створенні додаткових робочих місць для кадрів (прояснити яких)</c:v>
                </c:pt>
              </c:strCache>
            </c:strRef>
          </c:cat>
          <c:val>
            <c:numRef>
              <c:f>'graph SWOT'!$G$30:$G$33</c:f>
              <c:numCache>
                <c:formatCode>General</c:formatCode>
                <c:ptCount val="4"/>
                <c:pt idx="0">
                  <c:v>6</c:v>
                </c:pt>
                <c:pt idx="1">
                  <c:v>3</c:v>
                </c:pt>
                <c:pt idx="2">
                  <c:v>4</c:v>
                </c:pt>
                <c:pt idx="3">
                  <c:v>2</c:v>
                </c:pt>
              </c:numCache>
            </c:numRef>
          </c:val>
          <c:extLst>
            <c:ext xmlns:c16="http://schemas.microsoft.com/office/drawing/2014/chart" uri="{C3380CC4-5D6E-409C-BE32-E72D297353CC}">
              <c16:uniqueId val="{00000003-FD1F-473C-B252-647BB99B4834}"/>
            </c:ext>
          </c:extLst>
        </c:ser>
        <c:ser>
          <c:idx val="4"/>
          <c:order val="4"/>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SWOT'!$C$30:$C$33</c:f>
              <c:strCache>
                <c:ptCount val="4"/>
                <c:pt idx="0">
                  <c:v>Проводити більше навчання</c:v>
                </c:pt>
                <c:pt idx="1">
                  <c:v>Проводити більше візитів</c:v>
                </c:pt>
                <c:pt idx="2">
                  <c:v>Підтримка у вигляді мотивації та заохочення ефективності роботи</c:v>
                </c:pt>
                <c:pt idx="3">
                  <c:v>У створенні додаткових робочих місць для кадрів (прояснити яких)</c:v>
                </c:pt>
              </c:strCache>
            </c:strRef>
          </c:cat>
          <c:val>
            <c:numRef>
              <c:f>'graph SWOT'!$H$30:$H$33</c:f>
              <c:numCache>
                <c:formatCode>General</c:formatCode>
                <c:ptCount val="4"/>
                <c:pt idx="0">
                  <c:v>8</c:v>
                </c:pt>
                <c:pt idx="1">
                  <c:v>3</c:v>
                </c:pt>
                <c:pt idx="2">
                  <c:v>9</c:v>
                </c:pt>
                <c:pt idx="3">
                  <c:v>3</c:v>
                </c:pt>
              </c:numCache>
            </c:numRef>
          </c:val>
          <c:extLst>
            <c:ext xmlns:c16="http://schemas.microsoft.com/office/drawing/2014/chart" uri="{C3380CC4-5D6E-409C-BE32-E72D297353CC}">
              <c16:uniqueId val="{00000004-FD1F-473C-B252-647BB99B4834}"/>
            </c:ext>
          </c:extLst>
        </c:ser>
        <c:dLbls>
          <c:dLblPos val="ctr"/>
          <c:showLegendKey val="0"/>
          <c:showVal val="1"/>
          <c:showCatName val="0"/>
          <c:showSerName val="0"/>
          <c:showPercent val="0"/>
          <c:showBubbleSize val="0"/>
        </c:dLbls>
        <c:gapWidth val="79"/>
        <c:overlap val="100"/>
        <c:axId val="-2080490880"/>
        <c:axId val="-2044193616"/>
      </c:barChart>
      <c:catAx>
        <c:axId val="-208049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044193616"/>
        <c:crosses val="autoZero"/>
        <c:auto val="1"/>
        <c:lblAlgn val="ctr"/>
        <c:lblOffset val="100"/>
        <c:noMultiLvlLbl val="0"/>
      </c:catAx>
      <c:valAx>
        <c:axId val="-2044193616"/>
        <c:scaling>
          <c:orientation val="minMax"/>
        </c:scaling>
        <c:delete val="1"/>
        <c:axPos val="b"/>
        <c:numFmt formatCode="General" sourceLinked="1"/>
        <c:majorTickMark val="none"/>
        <c:minorTickMark val="none"/>
        <c:tickLblPos val="nextTo"/>
        <c:crossAx val="-2080490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8604418197725302"/>
          <c:y val="9.2948016914552303E-2"/>
          <c:w val="0.46395581802274699"/>
          <c:h val="0.87962962962962998"/>
        </c:manualLayout>
      </c:layout>
      <c:barChart>
        <c:barDir val="bar"/>
        <c:grouping val="stacked"/>
        <c:varyColors val="0"/>
        <c:ser>
          <c:idx val="0"/>
          <c:order val="0"/>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SWOT'!$C$45:$C$56</c:f>
              <c:strCache>
                <c:ptCount val="12"/>
                <c:pt idx="0">
                  <c:v>Визначення випадків</c:v>
                </c:pt>
                <c:pt idx="1">
                  <c:v>Введення даних, робота з МІС</c:v>
                </c:pt>
                <c:pt idx="2">
                  <c:v>Створення звітів</c:v>
                </c:pt>
                <c:pt idx="3">
                  <c:v>Візуалізація даних</c:v>
                </c:pt>
                <c:pt idx="4">
                  <c:v>Створення таблиць та графіків</c:v>
                </c:pt>
                <c:pt idx="5">
                  <c:v>Усунення дублювання випадків у системі</c:v>
                </c:pt>
                <c:pt idx="6">
                  <c:v>Прикладна епідеміологія</c:v>
                </c:pt>
                <c:pt idx="7">
                  <c:v>Біостатистика</c:v>
                </c:pt>
                <c:pt idx="8">
                  <c:v>Аналіз статистичних індикаторів</c:v>
                </c:pt>
                <c:pt idx="9">
                  <c:v>Створення річного робочого плану щодо індикаторів на обласному та районному рівні</c:v>
                </c:pt>
                <c:pt idx="10">
                  <c:v>Надання зворотного зв'язку області щодо виконання індикаторів з національного рівня</c:v>
                </c:pt>
                <c:pt idx="11">
                  <c:v>Надання зворотного зв'язку районам щодо виконання індикаторів з регіонального рівня</c:v>
                </c:pt>
              </c:strCache>
            </c:strRef>
          </c:cat>
          <c:val>
            <c:numRef>
              <c:f>'graph SWOT'!$D$45:$D$56</c:f>
              <c:numCache>
                <c:formatCode>General</c:formatCode>
                <c:ptCount val="12"/>
                <c:pt idx="0">
                  <c:v>2</c:v>
                </c:pt>
                <c:pt idx="2">
                  <c:v>1</c:v>
                </c:pt>
                <c:pt idx="3">
                  <c:v>1</c:v>
                </c:pt>
                <c:pt idx="4">
                  <c:v>1</c:v>
                </c:pt>
                <c:pt idx="5">
                  <c:v>1</c:v>
                </c:pt>
              </c:numCache>
            </c:numRef>
          </c:val>
          <c:extLst>
            <c:ext xmlns:c16="http://schemas.microsoft.com/office/drawing/2014/chart" uri="{C3380CC4-5D6E-409C-BE32-E72D297353CC}">
              <c16:uniqueId val="{00000000-AEE0-4B87-8C19-A42A3B8E4533}"/>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SWOT'!$C$45:$C$56</c:f>
              <c:strCache>
                <c:ptCount val="12"/>
                <c:pt idx="0">
                  <c:v>Визначення випадків</c:v>
                </c:pt>
                <c:pt idx="1">
                  <c:v>Введення даних, робота з МІС</c:v>
                </c:pt>
                <c:pt idx="2">
                  <c:v>Створення звітів</c:v>
                </c:pt>
                <c:pt idx="3">
                  <c:v>Візуалізація даних</c:v>
                </c:pt>
                <c:pt idx="4">
                  <c:v>Створення таблиць та графіків</c:v>
                </c:pt>
                <c:pt idx="5">
                  <c:v>Усунення дублювання випадків у системі</c:v>
                </c:pt>
                <c:pt idx="6">
                  <c:v>Прикладна епідеміологія</c:v>
                </c:pt>
                <c:pt idx="7">
                  <c:v>Біостатистика</c:v>
                </c:pt>
                <c:pt idx="8">
                  <c:v>Аналіз статистичних індикаторів</c:v>
                </c:pt>
                <c:pt idx="9">
                  <c:v>Створення річного робочого плану щодо індикаторів на обласному та районному рівні</c:v>
                </c:pt>
                <c:pt idx="10">
                  <c:v>Надання зворотного зв'язку області щодо виконання індикаторів з національного рівня</c:v>
                </c:pt>
                <c:pt idx="11">
                  <c:v>Надання зворотного зв'язку районам щодо виконання індикаторів з регіонального рівня</c:v>
                </c:pt>
              </c:strCache>
            </c:strRef>
          </c:cat>
          <c:val>
            <c:numRef>
              <c:f>'graph SWOT'!$E$45:$E$56</c:f>
              <c:numCache>
                <c:formatCode>General</c:formatCode>
                <c:ptCount val="12"/>
                <c:pt idx="0">
                  <c:v>3</c:v>
                </c:pt>
                <c:pt idx="1">
                  <c:v>2</c:v>
                </c:pt>
                <c:pt idx="3">
                  <c:v>1</c:v>
                </c:pt>
                <c:pt idx="5">
                  <c:v>1</c:v>
                </c:pt>
              </c:numCache>
            </c:numRef>
          </c:val>
          <c:extLst>
            <c:ext xmlns:c16="http://schemas.microsoft.com/office/drawing/2014/chart" uri="{C3380CC4-5D6E-409C-BE32-E72D297353CC}">
              <c16:uniqueId val="{00000001-AEE0-4B87-8C19-A42A3B8E4533}"/>
            </c:ext>
          </c:extLst>
        </c:ser>
        <c:ser>
          <c:idx val="2"/>
          <c:order val="2"/>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SWOT'!$C$45:$C$56</c:f>
              <c:strCache>
                <c:ptCount val="12"/>
                <c:pt idx="0">
                  <c:v>Визначення випадків</c:v>
                </c:pt>
                <c:pt idx="1">
                  <c:v>Введення даних, робота з МІС</c:v>
                </c:pt>
                <c:pt idx="2">
                  <c:v>Створення звітів</c:v>
                </c:pt>
                <c:pt idx="3">
                  <c:v>Візуалізація даних</c:v>
                </c:pt>
                <c:pt idx="4">
                  <c:v>Створення таблиць та графіків</c:v>
                </c:pt>
                <c:pt idx="5">
                  <c:v>Усунення дублювання випадків у системі</c:v>
                </c:pt>
                <c:pt idx="6">
                  <c:v>Прикладна епідеміологія</c:v>
                </c:pt>
                <c:pt idx="7">
                  <c:v>Біостатистика</c:v>
                </c:pt>
                <c:pt idx="8">
                  <c:v>Аналіз статистичних індикаторів</c:v>
                </c:pt>
                <c:pt idx="9">
                  <c:v>Створення річного робочого плану щодо індикаторів на обласному та районному рівні</c:v>
                </c:pt>
                <c:pt idx="10">
                  <c:v>Надання зворотного зв'язку області щодо виконання індикаторів з національного рівня</c:v>
                </c:pt>
                <c:pt idx="11">
                  <c:v>Надання зворотного зв'язку районам щодо виконання індикаторів з регіонального рівня</c:v>
                </c:pt>
              </c:strCache>
            </c:strRef>
          </c:cat>
          <c:val>
            <c:numRef>
              <c:f>'graph SWOT'!$F$45:$F$56</c:f>
              <c:numCache>
                <c:formatCode>General</c:formatCode>
                <c:ptCount val="12"/>
                <c:pt idx="0">
                  <c:v>1</c:v>
                </c:pt>
                <c:pt idx="1">
                  <c:v>1</c:v>
                </c:pt>
                <c:pt idx="2">
                  <c:v>5</c:v>
                </c:pt>
                <c:pt idx="3">
                  <c:v>3</c:v>
                </c:pt>
                <c:pt idx="4">
                  <c:v>4</c:v>
                </c:pt>
                <c:pt idx="5">
                  <c:v>4</c:v>
                </c:pt>
                <c:pt idx="6">
                  <c:v>2</c:v>
                </c:pt>
                <c:pt idx="7">
                  <c:v>4</c:v>
                </c:pt>
                <c:pt idx="8">
                  <c:v>4</c:v>
                </c:pt>
                <c:pt idx="9">
                  <c:v>3</c:v>
                </c:pt>
                <c:pt idx="10">
                  <c:v>4</c:v>
                </c:pt>
                <c:pt idx="11">
                  <c:v>4</c:v>
                </c:pt>
              </c:numCache>
            </c:numRef>
          </c:val>
          <c:extLst>
            <c:ext xmlns:c16="http://schemas.microsoft.com/office/drawing/2014/chart" uri="{C3380CC4-5D6E-409C-BE32-E72D297353CC}">
              <c16:uniqueId val="{00000002-AEE0-4B87-8C19-A42A3B8E4533}"/>
            </c:ext>
          </c:extLst>
        </c:ser>
        <c:ser>
          <c:idx val="3"/>
          <c:order val="3"/>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SWOT'!$C$45:$C$56</c:f>
              <c:strCache>
                <c:ptCount val="12"/>
                <c:pt idx="0">
                  <c:v>Визначення випадків</c:v>
                </c:pt>
                <c:pt idx="1">
                  <c:v>Введення даних, робота з МІС</c:v>
                </c:pt>
                <c:pt idx="2">
                  <c:v>Створення звітів</c:v>
                </c:pt>
                <c:pt idx="3">
                  <c:v>Візуалізація даних</c:v>
                </c:pt>
                <c:pt idx="4">
                  <c:v>Створення таблиць та графіків</c:v>
                </c:pt>
                <c:pt idx="5">
                  <c:v>Усунення дублювання випадків у системі</c:v>
                </c:pt>
                <c:pt idx="6">
                  <c:v>Прикладна епідеміологія</c:v>
                </c:pt>
                <c:pt idx="7">
                  <c:v>Біостатистика</c:v>
                </c:pt>
                <c:pt idx="8">
                  <c:v>Аналіз статистичних індикаторів</c:v>
                </c:pt>
                <c:pt idx="9">
                  <c:v>Створення річного робочого плану щодо індикаторів на обласному та районному рівні</c:v>
                </c:pt>
                <c:pt idx="10">
                  <c:v>Надання зворотного зв'язку області щодо виконання індикаторів з національного рівня</c:v>
                </c:pt>
                <c:pt idx="11">
                  <c:v>Надання зворотного зв'язку районам щодо виконання індикаторів з регіонального рівня</c:v>
                </c:pt>
              </c:strCache>
            </c:strRef>
          </c:cat>
          <c:val>
            <c:numRef>
              <c:f>'graph SWOT'!$G$45:$G$56</c:f>
              <c:numCache>
                <c:formatCode>General</c:formatCode>
                <c:ptCount val="12"/>
                <c:pt idx="0">
                  <c:v>3</c:v>
                </c:pt>
                <c:pt idx="1">
                  <c:v>2</c:v>
                </c:pt>
                <c:pt idx="2">
                  <c:v>5</c:v>
                </c:pt>
                <c:pt idx="3">
                  <c:v>3</c:v>
                </c:pt>
                <c:pt idx="4">
                  <c:v>4</c:v>
                </c:pt>
                <c:pt idx="5">
                  <c:v>4</c:v>
                </c:pt>
                <c:pt idx="6">
                  <c:v>2</c:v>
                </c:pt>
                <c:pt idx="7">
                  <c:v>2</c:v>
                </c:pt>
                <c:pt idx="8">
                  <c:v>6</c:v>
                </c:pt>
                <c:pt idx="9">
                  <c:v>5</c:v>
                </c:pt>
                <c:pt idx="10">
                  <c:v>4</c:v>
                </c:pt>
                <c:pt idx="11">
                  <c:v>4</c:v>
                </c:pt>
              </c:numCache>
            </c:numRef>
          </c:val>
          <c:extLst>
            <c:ext xmlns:c16="http://schemas.microsoft.com/office/drawing/2014/chart" uri="{C3380CC4-5D6E-409C-BE32-E72D297353CC}">
              <c16:uniqueId val="{00000003-AEE0-4B87-8C19-A42A3B8E4533}"/>
            </c:ext>
          </c:extLst>
        </c:ser>
        <c:ser>
          <c:idx val="4"/>
          <c:order val="4"/>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SWOT'!$C$45:$C$56</c:f>
              <c:strCache>
                <c:ptCount val="12"/>
                <c:pt idx="0">
                  <c:v>Визначення випадків</c:v>
                </c:pt>
                <c:pt idx="1">
                  <c:v>Введення даних, робота з МІС</c:v>
                </c:pt>
                <c:pt idx="2">
                  <c:v>Створення звітів</c:v>
                </c:pt>
                <c:pt idx="3">
                  <c:v>Візуалізація даних</c:v>
                </c:pt>
                <c:pt idx="4">
                  <c:v>Створення таблиць та графіків</c:v>
                </c:pt>
                <c:pt idx="5">
                  <c:v>Усунення дублювання випадків у системі</c:v>
                </c:pt>
                <c:pt idx="6">
                  <c:v>Прикладна епідеміологія</c:v>
                </c:pt>
                <c:pt idx="7">
                  <c:v>Біостатистика</c:v>
                </c:pt>
                <c:pt idx="8">
                  <c:v>Аналіз статистичних індикаторів</c:v>
                </c:pt>
                <c:pt idx="9">
                  <c:v>Створення річного робочого плану щодо індикаторів на обласному та районному рівні</c:v>
                </c:pt>
                <c:pt idx="10">
                  <c:v>Надання зворотного зв'язку області щодо виконання індикаторів з національного рівня</c:v>
                </c:pt>
                <c:pt idx="11">
                  <c:v>Надання зворотного зв'язку районам щодо виконання індикаторів з регіонального рівня</c:v>
                </c:pt>
              </c:strCache>
            </c:strRef>
          </c:cat>
          <c:val>
            <c:numRef>
              <c:f>'graph SWOT'!$H$45:$H$56</c:f>
              <c:numCache>
                <c:formatCode>General</c:formatCode>
                <c:ptCount val="12"/>
                <c:pt idx="0">
                  <c:v>9</c:v>
                </c:pt>
                <c:pt idx="1">
                  <c:v>16</c:v>
                </c:pt>
                <c:pt idx="2">
                  <c:v>14</c:v>
                </c:pt>
                <c:pt idx="3">
                  <c:v>13</c:v>
                </c:pt>
                <c:pt idx="4">
                  <c:v>12</c:v>
                </c:pt>
                <c:pt idx="5">
                  <c:v>11</c:v>
                </c:pt>
                <c:pt idx="6">
                  <c:v>13</c:v>
                </c:pt>
                <c:pt idx="7">
                  <c:v>12</c:v>
                </c:pt>
                <c:pt idx="8">
                  <c:v>13</c:v>
                </c:pt>
                <c:pt idx="9">
                  <c:v>12</c:v>
                </c:pt>
                <c:pt idx="10">
                  <c:v>9</c:v>
                </c:pt>
                <c:pt idx="11">
                  <c:v>8</c:v>
                </c:pt>
              </c:numCache>
            </c:numRef>
          </c:val>
          <c:extLst>
            <c:ext xmlns:c16="http://schemas.microsoft.com/office/drawing/2014/chart" uri="{C3380CC4-5D6E-409C-BE32-E72D297353CC}">
              <c16:uniqueId val="{00000004-AEE0-4B87-8C19-A42A3B8E4533}"/>
            </c:ext>
          </c:extLst>
        </c:ser>
        <c:dLbls>
          <c:dLblPos val="ctr"/>
          <c:showLegendKey val="0"/>
          <c:showVal val="1"/>
          <c:showCatName val="0"/>
          <c:showSerName val="0"/>
          <c:showPercent val="0"/>
          <c:showBubbleSize val="0"/>
        </c:dLbls>
        <c:gapWidth val="79"/>
        <c:overlap val="100"/>
        <c:axId val="-2056179200"/>
        <c:axId val="-2056075184"/>
      </c:barChart>
      <c:catAx>
        <c:axId val="-205617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056075184"/>
        <c:crosses val="autoZero"/>
        <c:auto val="1"/>
        <c:lblAlgn val="ctr"/>
        <c:lblOffset val="100"/>
        <c:noMultiLvlLbl val="0"/>
      </c:catAx>
      <c:valAx>
        <c:axId val="-2056075184"/>
        <c:scaling>
          <c:orientation val="minMax"/>
        </c:scaling>
        <c:delete val="1"/>
        <c:axPos val="b"/>
        <c:numFmt formatCode="General" sourceLinked="1"/>
        <c:majorTickMark val="none"/>
        <c:minorTickMark val="none"/>
        <c:tickLblPos val="nextTo"/>
        <c:crossAx val="-20561792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097112860892389"/>
          <c:y val="3.867403314917126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Аркуш1!$B$1</c:f>
              <c:strCache>
                <c:ptCount val="1"/>
                <c:pt idx="0">
                  <c:v>Дніпропетровська</c:v>
                </c:pt>
              </c:strCache>
            </c:strRef>
          </c:tx>
          <c:spPr>
            <a:ln w="63500" cap="rnd">
              <a:solidFill>
                <a:schemeClr val="accent1"/>
              </a:solidFill>
              <a:round/>
            </a:ln>
            <a:effectLst/>
          </c:spPr>
          <c:marker>
            <c:symbol val="none"/>
          </c:marker>
          <c:cat>
            <c:numRef>
              <c:f>Аркуш1!$A$2:$A$7</c:f>
              <c:numCache>
                <c:formatCode>General</c:formatCode>
                <c:ptCount val="6"/>
                <c:pt idx="0">
                  <c:v>2016</c:v>
                </c:pt>
                <c:pt idx="1">
                  <c:v>2017</c:v>
                </c:pt>
                <c:pt idx="2">
                  <c:v>2018</c:v>
                </c:pt>
                <c:pt idx="3">
                  <c:v>2019</c:v>
                </c:pt>
                <c:pt idx="4">
                  <c:v>2020</c:v>
                </c:pt>
                <c:pt idx="5">
                  <c:v>2021</c:v>
                </c:pt>
              </c:numCache>
            </c:numRef>
          </c:cat>
          <c:val>
            <c:numRef>
              <c:f>Аркуш1!$B$2:$B$7</c:f>
              <c:numCache>
                <c:formatCode>General</c:formatCode>
                <c:ptCount val="6"/>
                <c:pt idx="0">
                  <c:v>80.400000000000006</c:v>
                </c:pt>
                <c:pt idx="1">
                  <c:v>80</c:v>
                </c:pt>
                <c:pt idx="2">
                  <c:v>77.099999999999994</c:v>
                </c:pt>
                <c:pt idx="3">
                  <c:v>79.099999999999994</c:v>
                </c:pt>
                <c:pt idx="4">
                  <c:v>63.2</c:v>
                </c:pt>
                <c:pt idx="5">
                  <c:v>67.7</c:v>
                </c:pt>
              </c:numCache>
            </c:numRef>
          </c:val>
          <c:smooth val="0"/>
          <c:extLst>
            <c:ext xmlns:c16="http://schemas.microsoft.com/office/drawing/2014/chart" uri="{C3380CC4-5D6E-409C-BE32-E72D297353CC}">
              <c16:uniqueId val="{00000000-21EA-4C19-B214-FE5145DC6389}"/>
            </c:ext>
          </c:extLst>
        </c:ser>
        <c:dLbls>
          <c:showLegendKey val="0"/>
          <c:showVal val="0"/>
          <c:showCatName val="0"/>
          <c:showSerName val="0"/>
          <c:showPercent val="0"/>
          <c:showBubbleSize val="0"/>
        </c:dLbls>
        <c:smooth val="0"/>
        <c:axId val="282758392"/>
        <c:axId val="282759376"/>
      </c:lineChart>
      <c:catAx>
        <c:axId val="28275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9376"/>
        <c:crosses val="autoZero"/>
        <c:auto val="1"/>
        <c:lblAlgn val="ctr"/>
        <c:lblOffset val="100"/>
        <c:noMultiLvlLbl val="0"/>
      </c:catAx>
      <c:valAx>
        <c:axId val="28275937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28275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withinLinear" id="14">
  <a:schemeClr val="accent1"/>
</cs:colorStyle>
</file>

<file path=word/charts/colors62.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0.33998</cdr:x>
      <cdr:y>0.25528</cdr:y>
    </cdr:from>
    <cdr:to>
      <cdr:x>0.42693</cdr:x>
      <cdr:y>0.41676</cdr:y>
    </cdr:to>
    <cdr:sp macro="" textlink="">
      <cdr:nvSpPr>
        <cdr:cNvPr id="2" name="Овал 1">
          <a:extLst xmlns:a="http://schemas.openxmlformats.org/drawingml/2006/main">
            <a:ext uri="{FF2B5EF4-FFF2-40B4-BE49-F238E27FC236}">
              <a16:creationId xmlns:a16="http://schemas.microsoft.com/office/drawing/2014/main" id="{6442D22D-EC23-4098-BF51-808A41F9D420}"/>
            </a:ext>
          </a:extLst>
        </cdr:cNvPr>
        <cdr:cNvSpPr/>
      </cdr:nvSpPr>
      <cdr:spPr>
        <a:xfrm xmlns:a="http://schemas.openxmlformats.org/drawingml/2006/main">
          <a:off x="2019612" y="868071"/>
          <a:ext cx="516520" cy="549101"/>
        </a:xfrm>
        <a:prstGeom xmlns:a="http://schemas.openxmlformats.org/drawingml/2006/main" prst="ellipse">
          <a:avLst/>
        </a:prstGeom>
        <a:solidFill xmlns:a="http://schemas.openxmlformats.org/drawingml/2006/main">
          <a:schemeClr val="bg1">
            <a:alpha val="0"/>
          </a:schemeClr>
        </a:solidFill>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dr:relSizeAnchor xmlns:cdr="http://schemas.openxmlformats.org/drawingml/2006/chartDrawing">
    <cdr:from>
      <cdr:x>0.87285</cdr:x>
      <cdr:y>0.48031</cdr:y>
    </cdr:from>
    <cdr:to>
      <cdr:x>0.9598</cdr:x>
      <cdr:y>0.64179</cdr:y>
    </cdr:to>
    <cdr:sp macro="" textlink="">
      <cdr:nvSpPr>
        <cdr:cNvPr id="3" name="Овал 2"/>
        <cdr:cNvSpPr/>
      </cdr:nvSpPr>
      <cdr:spPr>
        <a:xfrm xmlns:a="http://schemas.openxmlformats.org/drawingml/2006/main">
          <a:off x="5185087" y="1633246"/>
          <a:ext cx="516520" cy="549101"/>
        </a:xfrm>
        <a:prstGeom xmlns:a="http://schemas.openxmlformats.org/drawingml/2006/main" prst="ellipse">
          <a:avLst/>
        </a:prstGeom>
        <a:solidFill xmlns:a="http://schemas.openxmlformats.org/drawingml/2006/main">
          <a:schemeClr val="bg1">
            <a:alpha val="0"/>
          </a:schemeClr>
        </a:solidFill>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uk-UA"/>
        </a:p>
      </cdr:txBody>
    </cdr:sp>
  </cdr:relSizeAnchor>
</c:userShapes>
</file>

<file path=word/drawings/drawing2.xml><?xml version="1.0" encoding="utf-8"?>
<c:userShapes xmlns:c="http://schemas.openxmlformats.org/drawingml/2006/chart">
  <cdr:relSizeAnchor xmlns:cdr="http://schemas.openxmlformats.org/drawingml/2006/chartDrawing">
    <cdr:from>
      <cdr:x>0.90208</cdr:x>
      <cdr:y>0.3416</cdr:y>
    </cdr:from>
    <cdr:to>
      <cdr:x>0.98878</cdr:x>
      <cdr:y>0.41509</cdr:y>
    </cdr:to>
    <cdr:sp macro="" textlink="">
      <cdr:nvSpPr>
        <cdr:cNvPr id="2" name="Надпись 1"/>
        <cdr:cNvSpPr txBox="1"/>
      </cdr:nvSpPr>
      <cdr:spPr>
        <a:xfrm xmlns:a="http://schemas.openxmlformats.org/drawingml/2006/main">
          <a:off x="5358715" y="971561"/>
          <a:ext cx="515035" cy="2090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200" b="1" dirty="0">
              <a:solidFill>
                <a:srgbClr val="FF0000"/>
              </a:solidFill>
            </a:rPr>
            <a:t>8,4</a:t>
          </a:r>
          <a:endParaRPr lang="x-none" sz="1200" b="1" dirty="0">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0.89916</cdr:x>
      <cdr:y>0.34316</cdr:y>
    </cdr:from>
    <cdr:to>
      <cdr:x>1</cdr:x>
      <cdr:y>0.42138</cdr:y>
    </cdr:to>
    <cdr:sp macro="" textlink="">
      <cdr:nvSpPr>
        <cdr:cNvPr id="2" name="Надпись 1"/>
        <cdr:cNvSpPr txBox="1"/>
      </cdr:nvSpPr>
      <cdr:spPr>
        <a:xfrm xmlns:a="http://schemas.openxmlformats.org/drawingml/2006/main">
          <a:off x="8016370" y="1552576"/>
          <a:ext cx="899029" cy="3538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200" b="1" dirty="0">
              <a:solidFill>
                <a:srgbClr val="FF0000"/>
              </a:solidFill>
            </a:rPr>
            <a:t>20,1</a:t>
          </a:r>
          <a:endParaRPr lang="x-none" sz="1200" b="1" dirty="0">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0.93767</cdr:x>
      <cdr:y>0.09196</cdr:y>
    </cdr:from>
    <cdr:to>
      <cdr:x>0.9907</cdr:x>
      <cdr:y>0.16545</cdr:y>
    </cdr:to>
    <cdr:sp macro="" textlink="">
      <cdr:nvSpPr>
        <cdr:cNvPr id="2" name="Надпись 1"/>
        <cdr:cNvSpPr txBox="1"/>
      </cdr:nvSpPr>
      <cdr:spPr>
        <a:xfrm xmlns:a="http://schemas.openxmlformats.org/drawingml/2006/main">
          <a:off x="9601199" y="450825"/>
          <a:ext cx="542925" cy="3602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900" b="1" dirty="0">
              <a:solidFill>
                <a:srgbClr val="FF0000"/>
              </a:solidFill>
            </a:rPr>
            <a:t>85,2</a:t>
          </a:r>
          <a:endParaRPr lang="x-none" sz="900" b="1" dirty="0">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EC852AA0-E35A-4B53-B62E-A7F402C01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7594</TotalTime>
  <Pages>89</Pages>
  <Words>93905</Words>
  <Characters>53526</Characters>
  <Application>Microsoft Office Word</Application>
  <DocSecurity>0</DocSecurity>
  <Lines>446</Lines>
  <Paragraphs>294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147137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dc:creator>
  <cp:lastModifiedBy>Kateryna Matiuskina</cp:lastModifiedBy>
  <cp:revision>133</cp:revision>
  <cp:lastPrinted>2022-06-07T10:55:00Z</cp:lastPrinted>
  <dcterms:created xsi:type="dcterms:W3CDTF">2021-11-15T16:00:00Z</dcterms:created>
  <dcterms:modified xsi:type="dcterms:W3CDTF">2022-09-30T13:12:00Z</dcterms:modified>
</cp:coreProperties>
</file>