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68F" w:rsidRPr="00B13798" w:rsidRDefault="0025668F" w:rsidP="0025668F">
      <w:pPr>
        <w:rPr>
          <w:rFonts w:cstheme="minorHAnsi"/>
          <w:b/>
          <w:bCs/>
        </w:rPr>
      </w:pPr>
      <w:r w:rsidRPr="00B13798">
        <w:rPr>
          <w:rFonts w:cstheme="minorHAnsi"/>
          <w:b/>
          <w:bCs/>
        </w:rPr>
        <w:t xml:space="preserve">Резюме </w:t>
      </w:r>
      <w:proofErr w:type="spellStart"/>
      <w:r w:rsidRPr="00B13798">
        <w:rPr>
          <w:rFonts w:cstheme="minorHAnsi"/>
          <w:b/>
          <w:bCs/>
        </w:rPr>
        <w:t>дослідження</w:t>
      </w:r>
      <w:proofErr w:type="spellEnd"/>
      <w:r w:rsidRPr="00B13798">
        <w:rPr>
          <w:rFonts w:cstheme="minorHAnsi"/>
          <w:b/>
          <w:bCs/>
        </w:rPr>
        <w:t xml:space="preserve">: </w:t>
      </w:r>
      <w:proofErr w:type="spellStart"/>
      <w:r w:rsidRPr="00B13798">
        <w:rPr>
          <w:rFonts w:cstheme="minorHAnsi"/>
          <w:b/>
          <w:bCs/>
        </w:rPr>
        <w:t>Виявлення</w:t>
      </w:r>
      <w:proofErr w:type="spellEnd"/>
      <w:r w:rsidRPr="00B13798">
        <w:rPr>
          <w:rFonts w:cstheme="minorHAnsi"/>
          <w:b/>
          <w:bCs/>
        </w:rPr>
        <w:t xml:space="preserve"> </w:t>
      </w:r>
      <w:proofErr w:type="spellStart"/>
      <w:r w:rsidRPr="00B13798">
        <w:rPr>
          <w:rFonts w:cstheme="minorHAnsi"/>
          <w:b/>
          <w:bCs/>
        </w:rPr>
        <w:t>туберкульозу</w:t>
      </w:r>
      <w:proofErr w:type="spellEnd"/>
      <w:r w:rsidRPr="00B13798">
        <w:rPr>
          <w:rFonts w:cstheme="minorHAnsi"/>
          <w:b/>
          <w:bCs/>
        </w:rPr>
        <w:t xml:space="preserve"> </w:t>
      </w:r>
      <w:proofErr w:type="spellStart"/>
      <w:r w:rsidRPr="00B13798">
        <w:rPr>
          <w:rFonts w:cstheme="minorHAnsi"/>
          <w:b/>
          <w:bCs/>
        </w:rPr>
        <w:t>серед</w:t>
      </w:r>
      <w:proofErr w:type="spellEnd"/>
      <w:r w:rsidRPr="00B13798">
        <w:rPr>
          <w:rFonts w:cstheme="minorHAnsi"/>
          <w:b/>
          <w:bCs/>
        </w:rPr>
        <w:t xml:space="preserve"> </w:t>
      </w:r>
      <w:proofErr w:type="spellStart"/>
      <w:r w:rsidRPr="00B13798">
        <w:rPr>
          <w:rFonts w:cstheme="minorHAnsi"/>
          <w:b/>
          <w:bCs/>
        </w:rPr>
        <w:t>сільських</w:t>
      </w:r>
      <w:proofErr w:type="spellEnd"/>
      <w:r w:rsidRPr="00B13798">
        <w:rPr>
          <w:rFonts w:cstheme="minorHAnsi"/>
          <w:b/>
          <w:bCs/>
        </w:rPr>
        <w:t xml:space="preserve"> </w:t>
      </w:r>
      <w:proofErr w:type="spellStart"/>
      <w:r w:rsidRPr="00B13798">
        <w:rPr>
          <w:rFonts w:cstheme="minorHAnsi"/>
          <w:b/>
          <w:bCs/>
        </w:rPr>
        <w:t>жителів</w:t>
      </w:r>
      <w:proofErr w:type="spellEnd"/>
      <w:r w:rsidRPr="00B13798">
        <w:rPr>
          <w:rFonts w:cstheme="minorHAnsi"/>
          <w:b/>
          <w:bCs/>
        </w:rPr>
        <w:t xml:space="preserve"> </w:t>
      </w:r>
    </w:p>
    <w:p w:rsidR="0025668F" w:rsidRPr="00B13798" w:rsidRDefault="0025668F" w:rsidP="0025668F">
      <w:pPr>
        <w:rPr>
          <w:rFonts w:cstheme="minorHAnsi"/>
          <w:lang w:val="uk-UA"/>
        </w:rPr>
      </w:pPr>
    </w:p>
    <w:p w:rsidR="0025668F" w:rsidRPr="00B13798" w:rsidRDefault="0025668F" w:rsidP="0025668F">
      <w:pPr>
        <w:rPr>
          <w:rFonts w:cstheme="minorHAnsi"/>
          <w:lang w:val="uk-UA"/>
        </w:rPr>
      </w:pPr>
      <w:r w:rsidRPr="00B13798">
        <w:rPr>
          <w:rFonts w:cstheme="minorHAnsi"/>
          <w:lang w:val="uk-UA"/>
        </w:rPr>
        <w:t xml:space="preserve">За даними Центру громадського здоров’я МОЗ </w:t>
      </w:r>
      <w:proofErr w:type="spellStart"/>
      <w:r w:rsidRPr="00B13798">
        <w:rPr>
          <w:rFonts w:cstheme="minorHAnsi"/>
          <w:lang w:val="uk-UA"/>
        </w:rPr>
        <w:t>України</w:t>
      </w:r>
      <w:proofErr w:type="spellEnd"/>
      <w:r w:rsidRPr="00B13798">
        <w:rPr>
          <w:rStyle w:val="a6"/>
          <w:rFonts w:cstheme="minorHAnsi"/>
          <w:lang w:val="uk-UA"/>
        </w:rPr>
        <w:footnoteReference w:id="1"/>
      </w:r>
      <w:r w:rsidRPr="00B13798">
        <w:rPr>
          <w:rFonts w:cstheme="minorHAnsi"/>
          <w:lang w:val="uk-UA"/>
        </w:rPr>
        <w:t xml:space="preserve">, у 2018 р. захворюваність на ТБ, що включає нові випадки та рецидиви, серед усього населення України становила 62,3 на 100 тис. населення і мала тренд до зниження. Загалом рівень захворюваності знизився на 12% впродовж 2015-2018 рр. Виключенням є 5 областей (Закарпатська, Вінницька, Запорізька, Одеська області та підконтрольні території Луганської області), де захворюваність на ТБ зростала впродовж цього періоду. Нова Концепція Загальнодержавної цільової </w:t>
      </w:r>
      <w:proofErr w:type="spellStart"/>
      <w:r w:rsidRPr="00B13798">
        <w:rPr>
          <w:rFonts w:cstheme="minorHAnsi"/>
          <w:lang w:val="uk-UA"/>
        </w:rPr>
        <w:t>соціальноі</w:t>
      </w:r>
      <w:proofErr w:type="spellEnd"/>
      <w:r w:rsidRPr="00B13798">
        <w:rPr>
          <w:rFonts w:cstheme="minorHAnsi"/>
          <w:lang w:val="uk-UA"/>
        </w:rPr>
        <w:t xml:space="preserve">̈ програми </w:t>
      </w:r>
      <w:proofErr w:type="spellStart"/>
      <w:r w:rsidRPr="00B13798">
        <w:rPr>
          <w:rFonts w:cstheme="minorHAnsi"/>
          <w:lang w:val="uk-UA"/>
        </w:rPr>
        <w:t>протидіі</w:t>
      </w:r>
      <w:proofErr w:type="spellEnd"/>
      <w:r w:rsidRPr="00B13798">
        <w:rPr>
          <w:rFonts w:cstheme="minorHAnsi"/>
          <w:lang w:val="uk-UA"/>
        </w:rPr>
        <w:t xml:space="preserve">̈ захворюванню на туберкульоз на 2018—2021 роки (розпорядження Кабінету Міністрів </w:t>
      </w:r>
      <w:proofErr w:type="spellStart"/>
      <w:r w:rsidRPr="00B13798">
        <w:rPr>
          <w:rFonts w:cstheme="minorHAnsi"/>
          <w:lang w:val="uk-UA"/>
        </w:rPr>
        <w:t>України</w:t>
      </w:r>
      <w:proofErr w:type="spellEnd"/>
      <w:r w:rsidRPr="00B13798">
        <w:rPr>
          <w:rFonts w:cstheme="minorHAnsi"/>
          <w:lang w:val="uk-UA"/>
        </w:rPr>
        <w:t xml:space="preserve"> від 27.12.2017 No1011-р)</w:t>
      </w:r>
      <w:r w:rsidRPr="00B13798">
        <w:rPr>
          <w:rStyle w:val="a6"/>
          <w:rFonts w:cstheme="minorHAnsi"/>
          <w:lang w:val="uk-UA"/>
        </w:rPr>
        <w:footnoteReference w:id="2"/>
      </w:r>
      <w:r w:rsidRPr="00B13798">
        <w:rPr>
          <w:rFonts w:cstheme="minorHAnsi"/>
          <w:lang w:val="uk-UA"/>
        </w:rPr>
        <w:t xml:space="preserve"> має на меті реформування підходів до надання </w:t>
      </w:r>
      <w:proofErr w:type="spellStart"/>
      <w:r w:rsidRPr="00B13798">
        <w:rPr>
          <w:rFonts w:cstheme="minorHAnsi"/>
          <w:lang w:val="uk-UA"/>
        </w:rPr>
        <w:t>протитуберкульозноі</w:t>
      </w:r>
      <w:proofErr w:type="spellEnd"/>
      <w:r w:rsidRPr="00B13798">
        <w:rPr>
          <w:rFonts w:cstheme="minorHAnsi"/>
          <w:lang w:val="uk-UA"/>
        </w:rPr>
        <w:t xml:space="preserve">̈ допомоги шляхом розвитку системи амбулаторної̈ допомоги, забезпечення соціального супроводу пацієнтів та розширення </w:t>
      </w:r>
      <w:proofErr w:type="spellStart"/>
      <w:r w:rsidRPr="00B13798">
        <w:rPr>
          <w:rFonts w:cstheme="minorHAnsi"/>
          <w:lang w:val="uk-UA"/>
        </w:rPr>
        <w:t>інноваційних</w:t>
      </w:r>
      <w:proofErr w:type="spellEnd"/>
      <w:r w:rsidRPr="00B13798">
        <w:rPr>
          <w:rFonts w:cstheme="minorHAnsi"/>
          <w:lang w:val="uk-UA"/>
        </w:rPr>
        <w:t xml:space="preserve"> методів діагностики і лікування туберкульозу.</w:t>
      </w:r>
    </w:p>
    <w:p w:rsidR="0025668F" w:rsidRPr="00B13798" w:rsidRDefault="0025668F" w:rsidP="0025668F">
      <w:pPr>
        <w:rPr>
          <w:rFonts w:cstheme="minorHAnsi"/>
          <w:lang w:val="uk-UA"/>
        </w:rPr>
      </w:pPr>
      <w:bookmarkStart w:id="0" w:name="_GoBack"/>
      <w:bookmarkEnd w:id="0"/>
    </w:p>
    <w:p w:rsidR="0025668F" w:rsidRPr="00B13798" w:rsidRDefault="0025668F" w:rsidP="0025668F">
      <w:pPr>
        <w:rPr>
          <w:rFonts w:cstheme="minorHAnsi"/>
          <w:lang w:val="uk-UA"/>
        </w:rPr>
      </w:pPr>
      <w:r w:rsidRPr="00B13798">
        <w:rPr>
          <w:rFonts w:cstheme="minorHAnsi"/>
          <w:lang w:val="uk-UA"/>
        </w:rPr>
        <w:t>Основна мета дослідження полягає в оцінці процесу виявлення ТБ у сільській місцевості, зокрема аналізі маршрутів пацієнтів і витрат часу на шляху до діагностики і лікування, встановлення індивідуальних чинників та чинників системи охорони здоров’я, які впливають на виявлення випадків ТБ у селах, а також огляді методів профілактики, які застосовуються у селах з точки зору пацієнтів та медичних працівників.</w:t>
      </w:r>
      <w:r w:rsidR="00B13798" w:rsidRPr="00B13798">
        <w:rPr>
          <w:rFonts w:cstheme="minorHAnsi"/>
          <w:lang w:val="uk-UA"/>
        </w:rPr>
        <w:t xml:space="preserve"> </w:t>
      </w:r>
      <w:r w:rsidR="00B13798" w:rsidRPr="00B13798">
        <w:rPr>
          <w:rFonts w:cstheme="minorHAnsi"/>
          <w:lang w:val="uk-UA"/>
        </w:rPr>
        <w:t xml:space="preserve">Затримка діагностики чи відсутність лікування після встановлення діагнозу призводить до збільшення захворюваності. За даними досліджень,  пацієнт із </w:t>
      </w:r>
      <w:proofErr w:type="spellStart"/>
      <w:r w:rsidR="00B13798" w:rsidRPr="00B13798">
        <w:rPr>
          <w:rFonts w:cstheme="minorHAnsi"/>
          <w:lang w:val="uk-UA"/>
        </w:rPr>
        <w:t>бактеріовиділенням</w:t>
      </w:r>
      <w:proofErr w:type="spellEnd"/>
      <w:r w:rsidR="00B13798" w:rsidRPr="00B13798">
        <w:rPr>
          <w:rFonts w:cstheme="minorHAnsi"/>
          <w:lang w:val="uk-UA"/>
        </w:rPr>
        <w:t>, що не отримає лікування, може інфікувати у середньому 10 контактів щороку та понад 20 контактів до смерті.</w:t>
      </w:r>
      <w:r w:rsidR="00B13798" w:rsidRPr="00B13798">
        <w:rPr>
          <w:rStyle w:val="a6"/>
          <w:rFonts w:cstheme="minorHAnsi"/>
          <w:lang w:val="uk-UA"/>
        </w:rPr>
        <w:footnoteReference w:id="3"/>
      </w:r>
    </w:p>
    <w:p w:rsidR="0025668F" w:rsidRPr="00B13798" w:rsidRDefault="0025668F" w:rsidP="0025668F">
      <w:pPr>
        <w:rPr>
          <w:rFonts w:cstheme="minorHAnsi"/>
          <w:color w:val="000000"/>
          <w:lang w:val="uk-UA" w:eastAsia="uk-UA"/>
        </w:rPr>
      </w:pPr>
    </w:p>
    <w:p w:rsidR="0025668F" w:rsidRPr="00B13798" w:rsidRDefault="000B773F" w:rsidP="00B13798">
      <w:pPr>
        <w:spacing w:after="160" w:line="259" w:lineRule="auto"/>
        <w:jc w:val="both"/>
        <w:rPr>
          <w:rFonts w:cstheme="minorHAnsi"/>
          <w:lang w:val="uk-UA"/>
        </w:rPr>
      </w:pPr>
      <w:proofErr w:type="spellStart"/>
      <w:r w:rsidRPr="00B13798">
        <w:rPr>
          <w:rFonts w:eastAsia="Times New Roman" w:cstheme="minorHAnsi"/>
          <w:color w:val="000000"/>
          <w:lang w:eastAsia="uk-UA"/>
        </w:rPr>
        <w:t>Дослідження</w:t>
      </w:r>
      <w:proofErr w:type="spellEnd"/>
      <w:r w:rsidRPr="00B13798">
        <w:rPr>
          <w:rFonts w:eastAsia="Times New Roman" w:cstheme="minorHAnsi"/>
          <w:color w:val="000000"/>
          <w:lang w:eastAsia="uk-UA"/>
        </w:rPr>
        <w:t xml:space="preserve"> </w:t>
      </w:r>
      <w:proofErr w:type="spellStart"/>
      <w:r w:rsidRPr="00B13798">
        <w:rPr>
          <w:rFonts w:eastAsia="Times New Roman" w:cstheme="minorHAnsi"/>
          <w:color w:val="000000"/>
          <w:lang w:eastAsia="uk-UA"/>
        </w:rPr>
        <w:t>проведене</w:t>
      </w:r>
      <w:proofErr w:type="spellEnd"/>
      <w:r w:rsidRPr="00B13798">
        <w:rPr>
          <w:rFonts w:eastAsia="Times New Roman" w:cstheme="minorHAnsi"/>
          <w:color w:val="000000"/>
          <w:lang w:eastAsia="uk-UA"/>
        </w:rPr>
        <w:t xml:space="preserve"> на </w:t>
      </w:r>
      <w:proofErr w:type="spellStart"/>
      <w:r w:rsidRPr="00B13798">
        <w:rPr>
          <w:rFonts w:eastAsia="Times New Roman" w:cstheme="minorHAnsi"/>
          <w:color w:val="000000"/>
          <w:lang w:eastAsia="uk-UA"/>
        </w:rPr>
        <w:t>замовлення</w:t>
      </w:r>
      <w:proofErr w:type="spellEnd"/>
      <w:r w:rsidRPr="00B13798">
        <w:rPr>
          <w:rFonts w:eastAsia="Times New Roman" w:cstheme="minorHAnsi"/>
          <w:color w:val="000000"/>
          <w:lang w:eastAsia="uk-UA"/>
        </w:rPr>
        <w:t xml:space="preserve"> Центру </w:t>
      </w:r>
      <w:proofErr w:type="spellStart"/>
      <w:r w:rsidRPr="00B13798">
        <w:rPr>
          <w:rFonts w:eastAsia="Times New Roman" w:cstheme="minorHAnsi"/>
          <w:color w:val="000000"/>
          <w:lang w:eastAsia="uk-UA"/>
        </w:rPr>
        <w:t>громадського</w:t>
      </w:r>
      <w:proofErr w:type="spellEnd"/>
      <w:r w:rsidRPr="00B13798">
        <w:rPr>
          <w:rFonts w:eastAsia="Times New Roman" w:cstheme="minorHAnsi"/>
          <w:color w:val="000000"/>
          <w:lang w:eastAsia="uk-UA"/>
        </w:rPr>
        <w:t xml:space="preserve"> </w:t>
      </w:r>
      <w:proofErr w:type="spellStart"/>
      <w:r w:rsidRPr="00B13798">
        <w:rPr>
          <w:rFonts w:eastAsia="Times New Roman" w:cstheme="minorHAnsi"/>
          <w:color w:val="000000"/>
          <w:lang w:eastAsia="uk-UA"/>
        </w:rPr>
        <w:t>здоров’я</w:t>
      </w:r>
      <w:proofErr w:type="spellEnd"/>
      <w:r w:rsidRPr="00B13798">
        <w:rPr>
          <w:rFonts w:eastAsia="Times New Roman" w:cstheme="minorHAnsi"/>
          <w:color w:val="000000"/>
          <w:lang w:eastAsia="uk-UA"/>
        </w:rPr>
        <w:t xml:space="preserve"> МОЗ </w:t>
      </w:r>
      <w:proofErr w:type="spellStart"/>
      <w:r w:rsidRPr="00B13798">
        <w:rPr>
          <w:rFonts w:eastAsia="Times New Roman" w:cstheme="minorHAnsi"/>
          <w:color w:val="000000"/>
          <w:lang w:eastAsia="uk-UA"/>
        </w:rPr>
        <w:t>України</w:t>
      </w:r>
      <w:proofErr w:type="spellEnd"/>
      <w:r w:rsidRPr="00B13798">
        <w:rPr>
          <w:rFonts w:eastAsia="Times New Roman" w:cstheme="minorHAnsi"/>
          <w:color w:val="000000"/>
          <w:lang w:eastAsia="uk-UA"/>
        </w:rPr>
        <w:t>,</w:t>
      </w:r>
      <w:r w:rsidRPr="00B13798">
        <w:rPr>
          <w:rFonts w:eastAsia="Times New Roman" w:cstheme="minorHAnsi"/>
          <w:color w:val="000000"/>
          <w:lang w:eastAsia="uk-UA"/>
        </w:rPr>
        <w:t xml:space="preserve"> </w:t>
      </w:r>
      <w:proofErr w:type="spellStart"/>
      <w:r w:rsidRPr="00B13798">
        <w:rPr>
          <w:rFonts w:eastAsia="Times New Roman" w:cstheme="minorHAnsi"/>
          <w:color w:val="000000"/>
          <w:lang w:eastAsia="uk-UA"/>
        </w:rPr>
        <w:t>Виконавець</w:t>
      </w:r>
      <w:proofErr w:type="spellEnd"/>
      <w:r w:rsidRPr="00B13798">
        <w:rPr>
          <w:rFonts w:eastAsia="Times New Roman" w:cstheme="minorHAnsi"/>
          <w:color w:val="000000"/>
          <w:lang w:eastAsia="uk-UA"/>
        </w:rPr>
        <w:t xml:space="preserve"> </w:t>
      </w:r>
      <w:proofErr w:type="spellStart"/>
      <w:r w:rsidRPr="00B13798">
        <w:rPr>
          <w:rFonts w:eastAsia="Times New Roman" w:cstheme="minorHAnsi"/>
          <w:color w:val="000000"/>
          <w:lang w:eastAsia="uk-UA"/>
        </w:rPr>
        <w:t>дослідження</w:t>
      </w:r>
      <w:proofErr w:type="spellEnd"/>
      <w:r w:rsidRPr="00B13798">
        <w:rPr>
          <w:rFonts w:eastAsia="Times New Roman" w:cstheme="minorHAnsi"/>
          <w:color w:val="000000"/>
          <w:lang w:eastAsia="uk-UA"/>
        </w:rPr>
        <w:t xml:space="preserve"> -</w:t>
      </w:r>
      <w:r w:rsidR="00B13798" w:rsidRPr="00B13798">
        <w:rPr>
          <w:rFonts w:cstheme="minorHAnsi"/>
          <w:lang w:val="uk-UA"/>
        </w:rPr>
        <w:t xml:space="preserve"> </w:t>
      </w:r>
      <w:r w:rsidR="00B13798" w:rsidRPr="00B13798">
        <w:rPr>
          <w:rFonts w:cstheme="minorHAnsi"/>
          <w:lang w:val="uk-UA"/>
        </w:rPr>
        <w:t xml:space="preserve">Центр соціальних експертиз ім. </w:t>
      </w:r>
      <w:proofErr w:type="spellStart"/>
      <w:r w:rsidR="00B13798" w:rsidRPr="00B13798">
        <w:rPr>
          <w:rFonts w:cstheme="minorHAnsi"/>
          <w:lang w:val="uk-UA"/>
        </w:rPr>
        <w:t>Ю.Саєнка</w:t>
      </w:r>
      <w:proofErr w:type="spellEnd"/>
      <w:r w:rsidR="00B13798" w:rsidRPr="00B13798">
        <w:rPr>
          <w:rFonts w:cstheme="minorHAnsi"/>
          <w:lang w:val="uk-UA"/>
        </w:rPr>
        <w:t xml:space="preserve"> </w:t>
      </w:r>
    </w:p>
    <w:p w:rsidR="0025668F" w:rsidRPr="00B13798" w:rsidRDefault="0025668F" w:rsidP="0025668F">
      <w:pPr>
        <w:rPr>
          <w:rFonts w:cstheme="minorHAnsi"/>
          <w:lang w:val="uk-UA"/>
        </w:rPr>
      </w:pPr>
    </w:p>
    <w:p w:rsidR="000B773F" w:rsidRPr="00B13798" w:rsidRDefault="0025668F" w:rsidP="0025668F">
      <w:pPr>
        <w:rPr>
          <w:rFonts w:cstheme="minorHAnsi"/>
          <w:lang w:val="uk-UA" w:eastAsia="uk-UA"/>
        </w:rPr>
      </w:pPr>
      <w:r w:rsidRPr="00B13798">
        <w:rPr>
          <w:rFonts w:cstheme="minorHAnsi"/>
          <w:lang w:val="uk-UA"/>
        </w:rPr>
        <w:t>Дизайн дослідження є комбінованим, базується на використанні якісних та кількісних методів</w:t>
      </w:r>
      <w:r w:rsidRPr="00B13798">
        <w:rPr>
          <w:rFonts w:cstheme="minorHAnsi"/>
          <w:lang w:val="uk-UA"/>
        </w:rPr>
        <w:t xml:space="preserve">: проведено </w:t>
      </w:r>
      <w:r w:rsidRPr="00B13798">
        <w:rPr>
          <w:rFonts w:cstheme="minorHAnsi"/>
          <w:color w:val="000000"/>
          <w:lang w:val="uk-UA" w:eastAsia="ru-RU"/>
        </w:rPr>
        <w:t>5 глибинних інтерв’ю з експертами національного рівня;  4 глибинних інтерв’ю з районними фтизіатрами</w:t>
      </w:r>
      <w:r w:rsidR="000B773F" w:rsidRPr="00B13798">
        <w:rPr>
          <w:rFonts w:cstheme="minorHAnsi"/>
          <w:color w:val="000000"/>
          <w:lang w:val="uk-UA" w:eastAsia="ru-RU"/>
        </w:rPr>
        <w:t xml:space="preserve">, </w:t>
      </w:r>
      <w:r w:rsidRPr="00B13798">
        <w:rPr>
          <w:rFonts w:cstheme="minorHAnsi"/>
          <w:color w:val="000000"/>
          <w:lang w:val="uk-UA" w:eastAsia="ru-RU"/>
        </w:rPr>
        <w:t xml:space="preserve">8 глибинних інтерв’ю з </w:t>
      </w:r>
      <w:r w:rsidRPr="00B13798">
        <w:rPr>
          <w:rFonts w:cstheme="minorHAnsi"/>
          <w:color w:val="000000"/>
          <w:lang w:val="uk-UA" w:eastAsia="uk-UA"/>
        </w:rPr>
        <w:t>медичними працівниками первинної ланки</w:t>
      </w:r>
      <w:r w:rsidRPr="00B13798">
        <w:rPr>
          <w:rFonts w:cstheme="minorHAnsi"/>
          <w:color w:val="000000"/>
          <w:lang w:val="uk-UA" w:eastAsia="ru-RU"/>
        </w:rPr>
        <w:t xml:space="preserve"> та 16 інтерв’ю з пацієнтами </w:t>
      </w:r>
      <w:r w:rsidRPr="00B13798">
        <w:rPr>
          <w:rFonts w:cstheme="minorHAnsi"/>
          <w:lang w:val="uk-UA"/>
        </w:rPr>
        <w:t xml:space="preserve">та проаналізовано реєстр з </w:t>
      </w:r>
      <w:r w:rsidRPr="00B13798">
        <w:rPr>
          <w:rFonts w:cstheme="minorHAnsi"/>
          <w:lang w:val="uk-UA" w:eastAsia="uk-UA"/>
        </w:rPr>
        <w:t>946 пацієнтів, з яких 307 проживали в містах обраних районів, 639 – у селах</w:t>
      </w:r>
    </w:p>
    <w:p w:rsidR="000B773F" w:rsidRPr="00B13798" w:rsidRDefault="000B773F" w:rsidP="0025668F">
      <w:pPr>
        <w:rPr>
          <w:rFonts w:cstheme="minorHAnsi"/>
          <w:lang w:val="uk-UA" w:eastAsia="uk-UA"/>
        </w:rPr>
      </w:pPr>
    </w:p>
    <w:p w:rsidR="0025668F" w:rsidRPr="00B13798" w:rsidRDefault="0025668F" w:rsidP="0025668F">
      <w:pPr>
        <w:rPr>
          <w:rFonts w:cstheme="minorHAnsi"/>
          <w:lang w:val="uk-UA"/>
        </w:rPr>
      </w:pPr>
      <w:r w:rsidRPr="00B13798">
        <w:rPr>
          <w:rFonts w:cstheme="minorHAnsi"/>
          <w:lang w:val="uk-UA" w:eastAsia="ru-RU"/>
        </w:rPr>
        <w:t>За результатами аналізу даних ТБ Реєстру серед сільських мешканців було більше осіб старшого віку: середній вік – 44 роки у селах та 41 рік і містах</w:t>
      </w:r>
      <w:r w:rsidR="00B13798" w:rsidRPr="00B13798">
        <w:rPr>
          <w:rFonts w:cstheme="minorHAnsi"/>
          <w:lang w:val="uk-UA" w:eastAsia="ru-RU"/>
        </w:rPr>
        <w:t xml:space="preserve">. </w:t>
      </w:r>
      <w:r w:rsidRPr="00B13798">
        <w:rPr>
          <w:rFonts w:cstheme="minorHAnsi"/>
          <w:lang w:val="uk-UA" w:eastAsia="ru-RU"/>
        </w:rPr>
        <w:t>Розподіл за статтю суттєво не відрізнявся у містах та селах районів. Більшість (69%) пацієнтів – це чоловіки. Щодо соціального статусу, дві третини пацієнтів були безробітними (64% від загалу вибірки).</w:t>
      </w:r>
      <w:r w:rsidRPr="00B13798">
        <w:rPr>
          <w:rFonts w:cstheme="minorHAnsi"/>
          <w:lang w:val="uk-UA"/>
        </w:rPr>
        <w:t xml:space="preserve"> </w:t>
      </w:r>
      <w:r w:rsidRPr="00B13798">
        <w:rPr>
          <w:rFonts w:cstheme="minorHAnsi"/>
          <w:lang w:val="uk-UA"/>
        </w:rPr>
        <w:t>Більшість пацієнтів дізналися про наявність підозри щодо ТБ при самостійному зверненні до лікаря (58%) або професійному медичному огляді (31%)</w:t>
      </w:r>
      <w:r w:rsidRPr="00B13798">
        <w:rPr>
          <w:rFonts w:cstheme="minorHAnsi"/>
          <w:lang w:val="uk-UA"/>
        </w:rPr>
        <w:t>.</w:t>
      </w:r>
    </w:p>
    <w:p w:rsidR="00B13798" w:rsidRPr="00B13798" w:rsidRDefault="00B13798" w:rsidP="0025668F">
      <w:pPr>
        <w:rPr>
          <w:rFonts w:cstheme="minorHAnsi"/>
          <w:b/>
          <w:bCs/>
          <w:lang w:val="uk-UA"/>
        </w:rPr>
      </w:pPr>
    </w:p>
    <w:p w:rsidR="00B13798" w:rsidRPr="00B13798" w:rsidRDefault="00B13798" w:rsidP="0025668F">
      <w:pPr>
        <w:rPr>
          <w:rFonts w:cstheme="minorHAnsi"/>
          <w:b/>
          <w:bCs/>
          <w:lang w:val="uk-UA"/>
        </w:rPr>
      </w:pPr>
      <w:r w:rsidRPr="00B13798">
        <w:rPr>
          <w:rFonts w:cstheme="minorHAnsi"/>
          <w:b/>
          <w:bCs/>
          <w:lang w:val="uk-UA"/>
        </w:rPr>
        <w:t>Висновки</w:t>
      </w:r>
    </w:p>
    <w:p w:rsidR="00B13798" w:rsidRPr="00B13798" w:rsidRDefault="00B13798" w:rsidP="00B13798">
      <w:pPr>
        <w:spacing w:line="276" w:lineRule="auto"/>
        <w:jc w:val="both"/>
        <w:rPr>
          <w:rFonts w:cstheme="minorHAnsi"/>
          <w:lang w:val="uk-UA"/>
        </w:rPr>
      </w:pPr>
      <w:r w:rsidRPr="00B13798">
        <w:rPr>
          <w:rFonts w:cstheme="minorHAnsi"/>
          <w:b/>
          <w:lang w:val="uk-UA"/>
        </w:rPr>
        <w:t>Серед сільських мешканців медіанний часовий інтервал від звернення до фельдшера/сімейного лікаря до початку лікування ТБ становлять 9 днів</w:t>
      </w:r>
      <w:r w:rsidRPr="00B13798">
        <w:rPr>
          <w:rFonts w:cstheme="minorHAnsi"/>
          <w:lang w:val="uk-UA"/>
        </w:rPr>
        <w:t xml:space="preserve">, </w:t>
      </w:r>
      <w:r w:rsidRPr="00B13798">
        <w:rPr>
          <w:rFonts w:cstheme="minorHAnsi"/>
          <w:b/>
          <w:lang w:val="uk-UA"/>
        </w:rPr>
        <w:t>а загальна діагностична затримка від появи симптомів до постановки діагнозу – 21 день</w:t>
      </w:r>
      <w:r w:rsidRPr="00B13798">
        <w:rPr>
          <w:rFonts w:cstheme="minorHAnsi"/>
          <w:lang w:val="uk-UA"/>
        </w:rPr>
        <w:t xml:space="preserve">. Чверть сільських пацієнтів з ТБ починають лікування тільки через 2.5 тижня і більше, після звернення до загальної </w:t>
      </w:r>
      <w:r w:rsidRPr="00B13798">
        <w:rPr>
          <w:rFonts w:cstheme="minorHAnsi"/>
          <w:lang w:val="uk-UA"/>
        </w:rPr>
        <w:lastRenderedPageBreak/>
        <w:t xml:space="preserve">лікувальної мережі.  Жінки, особи пенсійного віку, </w:t>
      </w:r>
      <w:proofErr w:type="spellStart"/>
      <w:r w:rsidRPr="00B13798">
        <w:rPr>
          <w:rFonts w:cstheme="minorHAnsi"/>
          <w:lang w:val="uk-UA"/>
        </w:rPr>
        <w:t>роми</w:t>
      </w:r>
      <w:proofErr w:type="spellEnd"/>
      <w:r w:rsidRPr="00B13798">
        <w:rPr>
          <w:rFonts w:cstheme="minorHAnsi"/>
          <w:lang w:val="uk-UA"/>
        </w:rPr>
        <w:t xml:space="preserve"> та особи з </w:t>
      </w:r>
      <w:proofErr w:type="spellStart"/>
      <w:r w:rsidRPr="00B13798">
        <w:rPr>
          <w:rFonts w:cstheme="minorHAnsi"/>
          <w:lang w:val="uk-UA"/>
        </w:rPr>
        <w:t>позалегеновою</w:t>
      </w:r>
      <w:proofErr w:type="spellEnd"/>
      <w:r w:rsidRPr="00B13798">
        <w:rPr>
          <w:rFonts w:cstheme="minorHAnsi"/>
          <w:lang w:val="uk-UA"/>
        </w:rPr>
        <w:t xml:space="preserve"> локалізацією ТБ  у більшому ризику затримки серед сільських мешканців. </w:t>
      </w:r>
    </w:p>
    <w:p w:rsidR="00B13798" w:rsidRPr="00B13798" w:rsidRDefault="00B13798" w:rsidP="0025668F">
      <w:pPr>
        <w:rPr>
          <w:rFonts w:cstheme="minorHAnsi"/>
          <w:i/>
          <w:iCs/>
          <w:lang w:val="uk-UA"/>
        </w:rPr>
      </w:pPr>
    </w:p>
    <w:p w:rsidR="0070771F" w:rsidRPr="00B13798" w:rsidRDefault="0070771F" w:rsidP="0025668F">
      <w:pPr>
        <w:rPr>
          <w:rFonts w:cstheme="minorHAnsi"/>
          <w:i/>
          <w:iCs/>
          <w:lang w:val="uk-UA"/>
        </w:rPr>
      </w:pPr>
      <w:r w:rsidRPr="00B13798">
        <w:rPr>
          <w:rFonts w:cstheme="minorHAnsi"/>
          <w:i/>
          <w:iCs/>
          <w:lang w:val="uk-UA"/>
        </w:rPr>
        <w:t xml:space="preserve">Тривалість маршруту пацієнта з ТБ у селах, медіана днів (25й – 75й </w:t>
      </w:r>
      <w:proofErr w:type="spellStart"/>
      <w:r w:rsidRPr="00B13798">
        <w:rPr>
          <w:rFonts w:cstheme="minorHAnsi"/>
          <w:i/>
          <w:iCs/>
          <w:lang w:val="uk-UA"/>
        </w:rPr>
        <w:t>процентилі</w:t>
      </w:r>
      <w:proofErr w:type="spellEnd"/>
      <w:r w:rsidRPr="00B13798">
        <w:rPr>
          <w:rFonts w:cstheme="minorHAnsi"/>
          <w:i/>
          <w:iCs/>
          <w:lang w:val="uk-UA"/>
        </w:rPr>
        <w:t>)</w:t>
      </w:r>
    </w:p>
    <w:p w:rsidR="0070771F" w:rsidRPr="00B13798" w:rsidRDefault="0070771F" w:rsidP="0025668F">
      <w:pPr>
        <w:rPr>
          <w:rFonts w:cstheme="minorHAnsi"/>
          <w:lang w:val="uk-UA"/>
        </w:rPr>
      </w:pPr>
      <w:r w:rsidRPr="00B13798">
        <w:rPr>
          <w:rFonts w:cstheme="minorHAnsi"/>
          <w:noProof/>
          <w:lang w:eastAsia="ru-RU"/>
        </w:rPr>
        <w:drawing>
          <wp:inline distT="0" distB="0" distL="0" distR="0" wp14:anchorId="18201FE4" wp14:editId="23743649">
            <wp:extent cx="4991100" cy="2952750"/>
            <wp:effectExtent l="0" t="0" r="0" b="0"/>
            <wp:docPr id="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71F" w:rsidRPr="00B13798" w:rsidRDefault="0070771F" w:rsidP="0025668F">
      <w:pPr>
        <w:rPr>
          <w:rFonts w:cstheme="minorHAnsi"/>
          <w:lang w:val="uk-UA"/>
        </w:rPr>
      </w:pPr>
    </w:p>
    <w:p w:rsidR="00B13798" w:rsidRPr="00B13798" w:rsidRDefault="00B13798" w:rsidP="00B13798">
      <w:pPr>
        <w:pStyle w:val="a7"/>
        <w:numPr>
          <w:ilvl w:val="0"/>
          <w:numId w:val="6"/>
        </w:numPr>
        <w:spacing w:line="276" w:lineRule="auto"/>
        <w:ind w:left="709" w:hanging="283"/>
        <w:rPr>
          <w:rFonts w:cstheme="minorHAnsi"/>
          <w:bCs/>
          <w:lang w:val="uk-UA"/>
        </w:rPr>
      </w:pPr>
      <w:bookmarkStart w:id="1" w:name="_Toc24515911"/>
      <w:r w:rsidRPr="00B13798">
        <w:rPr>
          <w:rFonts w:cstheme="minorHAnsi"/>
          <w:bCs/>
          <w:lang w:val="uk-UA"/>
        </w:rPr>
        <w:t xml:space="preserve">Основна проблема в логістиці маршруту сільського пацієнта з підозрою на ТБ – відсутність організованого транспортування мокротиння з первинної ланки до лабораторій І типу. </w:t>
      </w:r>
    </w:p>
    <w:p w:rsidR="00B13798" w:rsidRPr="00B13798" w:rsidRDefault="00B13798" w:rsidP="00B13798">
      <w:pPr>
        <w:pStyle w:val="a7"/>
        <w:numPr>
          <w:ilvl w:val="0"/>
          <w:numId w:val="6"/>
        </w:numPr>
        <w:spacing w:line="276" w:lineRule="auto"/>
        <w:ind w:left="709" w:hanging="283"/>
        <w:rPr>
          <w:rFonts w:cstheme="minorHAnsi"/>
          <w:bCs/>
          <w:lang w:val="uk-UA"/>
        </w:rPr>
      </w:pPr>
      <w:r w:rsidRPr="00B13798">
        <w:rPr>
          <w:rFonts w:cstheme="minorHAnsi"/>
          <w:bCs/>
          <w:lang w:val="uk-UA"/>
        </w:rPr>
        <w:t xml:space="preserve">Клінічні маршрути пацієнтів з підозрою на ТБ відповідають національному протоколу, проте є застарілими, і не відповідають останнім міжнародним настановам ВООЗ. </w:t>
      </w:r>
    </w:p>
    <w:p w:rsidR="00B13798" w:rsidRPr="00B13798" w:rsidRDefault="00B13798" w:rsidP="00B13798">
      <w:pPr>
        <w:pStyle w:val="a7"/>
        <w:numPr>
          <w:ilvl w:val="0"/>
          <w:numId w:val="6"/>
        </w:numPr>
        <w:spacing w:line="276" w:lineRule="auto"/>
        <w:ind w:left="709" w:hanging="283"/>
        <w:rPr>
          <w:rFonts w:cstheme="minorHAnsi"/>
          <w:bCs/>
          <w:lang w:val="uk-UA"/>
        </w:rPr>
      </w:pPr>
      <w:r w:rsidRPr="00B13798">
        <w:rPr>
          <w:rFonts w:cstheme="minorHAnsi"/>
          <w:bCs/>
          <w:lang w:val="uk-UA"/>
        </w:rPr>
        <w:t>Ключові прогалини у забезпеченні доступу до ранньої діагностики ТБ – затримка збору мокротиння у маршруті, ініційованому пацієнтом, та відсутність дієвих стратегій активного скринінгу в сільській місцевості.</w:t>
      </w:r>
      <w:r w:rsidRPr="00B13798">
        <w:rPr>
          <w:rFonts w:cstheme="minorHAnsi"/>
          <w:bCs/>
          <w:lang w:val="uk-UA"/>
        </w:rPr>
        <w:t xml:space="preserve"> В</w:t>
      </w:r>
      <w:r w:rsidRPr="00B13798">
        <w:rPr>
          <w:rFonts w:cstheme="minorHAnsi"/>
          <w:bCs/>
          <w:lang w:val="uk-UA"/>
        </w:rPr>
        <w:t xml:space="preserve"> обраних районах дослідження, за виключенням Одеської області, домінував підхід до госпіталізації сільських пацієнтів з ТБ на час інтенсивної фази, незалежно від складності випадку.</w:t>
      </w:r>
    </w:p>
    <w:p w:rsidR="00B13798" w:rsidRPr="00B13798" w:rsidRDefault="00B13798" w:rsidP="00B13798">
      <w:pPr>
        <w:spacing w:line="276" w:lineRule="auto"/>
        <w:jc w:val="both"/>
        <w:rPr>
          <w:rFonts w:cstheme="minorHAnsi"/>
          <w:lang w:val="uk-UA"/>
        </w:rPr>
      </w:pPr>
    </w:p>
    <w:p w:rsidR="0070771F" w:rsidRPr="00B13798" w:rsidRDefault="00B13798" w:rsidP="00B13798">
      <w:pPr>
        <w:spacing w:line="276" w:lineRule="auto"/>
        <w:jc w:val="both"/>
        <w:rPr>
          <w:rFonts w:cstheme="minorHAnsi"/>
          <w:b/>
          <w:lang w:val="uk-UA"/>
        </w:rPr>
      </w:pPr>
      <w:r w:rsidRPr="00B13798">
        <w:rPr>
          <w:rFonts w:cstheme="minorHAnsi"/>
          <w:b/>
          <w:lang w:val="uk-UA"/>
        </w:rPr>
        <w:t>Реко</w:t>
      </w:r>
      <w:r w:rsidR="0070771F" w:rsidRPr="00B13798">
        <w:rPr>
          <w:rFonts w:cstheme="minorHAnsi"/>
          <w:b/>
          <w:lang w:val="uk-UA"/>
        </w:rPr>
        <w:t>мендації щодо кроків, які можливо вжити для оптимізації методів профілактики ТБ та клінічного маршруту пацієнтів з підозрою на ТБ у сільській місцевості</w:t>
      </w:r>
      <w:bookmarkEnd w:id="1"/>
      <w:r w:rsidRPr="00B13798">
        <w:rPr>
          <w:rFonts w:cstheme="minorHAnsi"/>
          <w:b/>
          <w:lang w:val="uk-UA"/>
        </w:rPr>
        <w:t>:</w:t>
      </w:r>
    </w:p>
    <w:p w:rsidR="0070771F" w:rsidRPr="00B13798" w:rsidRDefault="0070771F" w:rsidP="0070771F">
      <w:pPr>
        <w:rPr>
          <w:rFonts w:cstheme="minorHAnsi"/>
          <w:lang w:val="uk-UA"/>
        </w:rPr>
      </w:pPr>
    </w:p>
    <w:p w:rsidR="000B773F" w:rsidRPr="00B13798" w:rsidRDefault="00B13798" w:rsidP="00686450">
      <w:pPr>
        <w:pStyle w:val="a7"/>
        <w:numPr>
          <w:ilvl w:val="0"/>
          <w:numId w:val="3"/>
        </w:numPr>
        <w:spacing w:line="276" w:lineRule="auto"/>
        <w:ind w:left="709" w:hanging="349"/>
        <w:jc w:val="both"/>
        <w:rPr>
          <w:rFonts w:cstheme="minorHAnsi"/>
          <w:lang w:val="uk-UA"/>
        </w:rPr>
      </w:pPr>
      <w:r w:rsidRPr="00B13798">
        <w:rPr>
          <w:rFonts w:cstheme="minorHAnsi"/>
          <w:lang w:val="uk-UA"/>
        </w:rPr>
        <w:t>Запровадити навчання</w:t>
      </w:r>
      <w:r w:rsidR="0070771F" w:rsidRPr="00B13798">
        <w:rPr>
          <w:rFonts w:cstheme="minorHAnsi"/>
          <w:lang w:val="uk-UA"/>
        </w:rPr>
        <w:t xml:space="preserve"> сільських медичних працівників і підтримання високого рівня виявлення підозри на ТБ та необхідність швидкого проведення відповідних обстежень. </w:t>
      </w:r>
    </w:p>
    <w:p w:rsidR="0070771F" w:rsidRPr="00B13798" w:rsidRDefault="0070771F" w:rsidP="00686450">
      <w:pPr>
        <w:pStyle w:val="a7"/>
        <w:numPr>
          <w:ilvl w:val="0"/>
          <w:numId w:val="3"/>
        </w:numPr>
        <w:spacing w:line="276" w:lineRule="auto"/>
        <w:ind w:left="709" w:hanging="349"/>
        <w:jc w:val="both"/>
        <w:rPr>
          <w:rFonts w:cstheme="minorHAnsi"/>
          <w:lang w:val="uk-UA"/>
        </w:rPr>
      </w:pPr>
      <w:r w:rsidRPr="00B13798">
        <w:rPr>
          <w:rFonts w:cstheme="minorHAnsi"/>
          <w:lang w:val="uk-UA"/>
        </w:rPr>
        <w:t xml:space="preserve">Клінічні маршрути сільських пацієнтів мають бути адаптовані і деталізовані з урахуванням принципів пацієнт-орієнтованого підходу, та відповідно до міжнародних настанов ВООЗ, у частині розширення доступу до </w:t>
      </w:r>
      <w:proofErr w:type="spellStart"/>
      <w:r w:rsidRPr="00B13798">
        <w:rPr>
          <w:rFonts w:cstheme="minorHAnsi"/>
          <w:lang w:val="uk-UA"/>
        </w:rPr>
        <w:t>Xpert</w:t>
      </w:r>
      <w:proofErr w:type="spellEnd"/>
      <w:r w:rsidRPr="00B13798">
        <w:rPr>
          <w:rFonts w:cstheme="minorHAnsi"/>
          <w:lang w:val="uk-UA"/>
        </w:rPr>
        <w:t xml:space="preserve"> MTB/RIF, як першого діагностичного тесту після встановлення підозри на ТБ за результатом </w:t>
      </w:r>
      <w:proofErr w:type="spellStart"/>
      <w:r w:rsidRPr="00B13798">
        <w:rPr>
          <w:rFonts w:cstheme="minorHAnsi"/>
          <w:lang w:val="uk-UA"/>
        </w:rPr>
        <w:t>скринінгового</w:t>
      </w:r>
      <w:proofErr w:type="spellEnd"/>
      <w:r w:rsidRPr="00B13798">
        <w:rPr>
          <w:rFonts w:cstheme="minorHAnsi"/>
          <w:lang w:val="uk-UA"/>
        </w:rPr>
        <w:t xml:space="preserve"> анкетування. </w:t>
      </w:r>
    </w:p>
    <w:p w:rsidR="0070771F" w:rsidRPr="00B13798" w:rsidRDefault="0070771F" w:rsidP="0070771F">
      <w:pPr>
        <w:pStyle w:val="a7"/>
        <w:numPr>
          <w:ilvl w:val="0"/>
          <w:numId w:val="3"/>
        </w:numPr>
        <w:spacing w:line="276" w:lineRule="auto"/>
        <w:ind w:left="709" w:hanging="349"/>
        <w:jc w:val="both"/>
        <w:rPr>
          <w:rFonts w:cstheme="minorHAnsi"/>
          <w:lang w:val="uk-UA"/>
        </w:rPr>
      </w:pPr>
      <w:r w:rsidRPr="00B13798">
        <w:rPr>
          <w:rFonts w:cstheme="minorHAnsi"/>
          <w:lang w:val="uk-UA"/>
        </w:rPr>
        <w:t xml:space="preserve">Пріоритетною інтервенцією у зменшенні рівня </w:t>
      </w:r>
      <w:proofErr w:type="spellStart"/>
      <w:r w:rsidRPr="00B13798">
        <w:rPr>
          <w:rFonts w:cstheme="minorHAnsi"/>
          <w:lang w:val="uk-UA"/>
        </w:rPr>
        <w:t>захворюванності</w:t>
      </w:r>
      <w:proofErr w:type="spellEnd"/>
      <w:r w:rsidRPr="00B13798">
        <w:rPr>
          <w:rFonts w:cstheme="minorHAnsi"/>
          <w:lang w:val="uk-UA"/>
        </w:rPr>
        <w:t xml:space="preserve"> ТБ серед сільських мешканців має стати налагодження централізованого транспортування зразків мокротиння з селищ до найближчих лабораторій та мінімізація випадків переадресації пацієнтів до амбулаторій. </w:t>
      </w:r>
    </w:p>
    <w:p w:rsidR="0070771F" w:rsidRPr="00B13798" w:rsidRDefault="0070771F" w:rsidP="0070771F">
      <w:pPr>
        <w:pStyle w:val="a7"/>
        <w:numPr>
          <w:ilvl w:val="0"/>
          <w:numId w:val="3"/>
        </w:numPr>
        <w:spacing w:line="276" w:lineRule="auto"/>
        <w:ind w:left="709" w:hanging="349"/>
        <w:jc w:val="both"/>
        <w:rPr>
          <w:rFonts w:cstheme="minorHAnsi"/>
          <w:lang w:val="uk-UA"/>
        </w:rPr>
      </w:pPr>
      <w:r w:rsidRPr="00B13798">
        <w:rPr>
          <w:rFonts w:cstheme="minorHAnsi"/>
          <w:lang w:val="uk-UA"/>
        </w:rPr>
        <w:lastRenderedPageBreak/>
        <w:t xml:space="preserve">Оскільки щорічне масове флюорографічне обстеження мешканців села залишається поширеною практикою, та є важливим з точки зори сільських медичних працівників, необхідно удосконалити підходити до його проведення. </w:t>
      </w:r>
    </w:p>
    <w:p w:rsidR="0070771F" w:rsidRPr="00B13798" w:rsidRDefault="0070771F" w:rsidP="0070771F">
      <w:pPr>
        <w:pStyle w:val="a7"/>
        <w:numPr>
          <w:ilvl w:val="0"/>
          <w:numId w:val="3"/>
        </w:numPr>
        <w:spacing w:line="276" w:lineRule="auto"/>
        <w:ind w:left="709" w:hanging="349"/>
        <w:jc w:val="both"/>
        <w:rPr>
          <w:rFonts w:cstheme="minorHAnsi"/>
          <w:lang w:val="uk-UA"/>
        </w:rPr>
      </w:pPr>
      <w:r w:rsidRPr="00B13798">
        <w:rPr>
          <w:rFonts w:cstheme="minorHAnsi"/>
          <w:lang w:val="uk-UA"/>
        </w:rPr>
        <w:t>На рівні ПМСД у колективних договорах запровадити практики «оплати за результат», грошову чи негрошову фінансову мотивацію за виявлення нових випадків ТБ у селах.</w:t>
      </w:r>
    </w:p>
    <w:p w:rsidR="0070771F" w:rsidRPr="00B13798" w:rsidRDefault="0070771F" w:rsidP="0070771F">
      <w:pPr>
        <w:pStyle w:val="a7"/>
        <w:numPr>
          <w:ilvl w:val="0"/>
          <w:numId w:val="3"/>
        </w:numPr>
        <w:spacing w:line="276" w:lineRule="auto"/>
        <w:ind w:left="709" w:hanging="349"/>
        <w:jc w:val="both"/>
        <w:rPr>
          <w:rFonts w:cstheme="minorHAnsi"/>
          <w:lang w:val="uk-UA"/>
        </w:rPr>
      </w:pPr>
      <w:r w:rsidRPr="00B13798">
        <w:rPr>
          <w:rFonts w:cstheme="minorHAnsi"/>
          <w:lang w:val="uk-UA"/>
        </w:rPr>
        <w:t xml:space="preserve">Навчати та мотивувати сільських медичних працівників робити пошук та обстеження інших близьких контактів, крім членів домогосподарства. </w:t>
      </w:r>
    </w:p>
    <w:p w:rsidR="0070771F" w:rsidRPr="00B13798" w:rsidRDefault="000B773F" w:rsidP="0070771F">
      <w:pPr>
        <w:pStyle w:val="a7"/>
        <w:numPr>
          <w:ilvl w:val="0"/>
          <w:numId w:val="3"/>
        </w:numPr>
        <w:spacing w:line="276" w:lineRule="auto"/>
        <w:ind w:left="709" w:hanging="349"/>
        <w:jc w:val="both"/>
        <w:rPr>
          <w:rFonts w:cstheme="minorHAnsi"/>
          <w:lang w:val="uk-UA"/>
        </w:rPr>
      </w:pPr>
      <w:r w:rsidRPr="00B13798">
        <w:rPr>
          <w:rFonts w:cstheme="minorHAnsi"/>
          <w:lang w:val="uk-UA"/>
        </w:rPr>
        <w:t>Р</w:t>
      </w:r>
      <w:r w:rsidR="0070771F" w:rsidRPr="00B13798">
        <w:rPr>
          <w:rFonts w:cstheme="minorHAnsi"/>
          <w:lang w:val="uk-UA"/>
        </w:rPr>
        <w:t xml:space="preserve">озширити доступ до різних моделей амбулаторного лікування ТБ  від дня діагнозу серед сільських мешканців за участі сімейних лікарів, фельдшерів, соціальних працівників та спільноти. </w:t>
      </w:r>
    </w:p>
    <w:p w:rsidR="0070771F" w:rsidRPr="00B13798" w:rsidRDefault="0070771F" w:rsidP="0070771F">
      <w:pPr>
        <w:pStyle w:val="a7"/>
        <w:numPr>
          <w:ilvl w:val="0"/>
          <w:numId w:val="3"/>
        </w:numPr>
        <w:spacing w:line="276" w:lineRule="auto"/>
        <w:ind w:left="709" w:hanging="349"/>
        <w:jc w:val="both"/>
        <w:rPr>
          <w:rFonts w:cstheme="minorHAnsi"/>
          <w:lang w:val="uk-UA"/>
        </w:rPr>
      </w:pPr>
      <w:r w:rsidRPr="00B13798">
        <w:rPr>
          <w:rFonts w:cstheme="minorHAnsi"/>
          <w:lang w:val="uk-UA"/>
        </w:rPr>
        <w:t>Необхідно інтегрувати навчання щодо шляхів передачі та профілактики ТБ, а також інновацій у діагностиці та супроводі пацієнтів з ТБ у систему безперервного навчання сільських медичних працівників та районних фтизіатрів; здійснювати регулярні цикли такого навчання з урахуванням нового досвіду.</w:t>
      </w:r>
    </w:p>
    <w:p w:rsidR="0070771F" w:rsidRPr="00B13798" w:rsidRDefault="0070771F" w:rsidP="0070771F">
      <w:pPr>
        <w:pStyle w:val="a7"/>
        <w:numPr>
          <w:ilvl w:val="0"/>
          <w:numId w:val="3"/>
        </w:numPr>
        <w:spacing w:line="276" w:lineRule="auto"/>
        <w:ind w:left="709" w:hanging="349"/>
        <w:jc w:val="both"/>
        <w:rPr>
          <w:rFonts w:cstheme="minorHAnsi"/>
          <w:lang w:val="uk-UA"/>
        </w:rPr>
      </w:pPr>
      <w:r w:rsidRPr="00B13798">
        <w:rPr>
          <w:rFonts w:cstheme="minorHAnsi"/>
          <w:lang w:val="uk-UA"/>
        </w:rPr>
        <w:t xml:space="preserve">Підготувати та поширювати у сільській місцевості легкі для розуміння комунікаційні матеріали щодо симптомів ТБ та лікування для населення з низькою грамотністю з метою підвищення знань. </w:t>
      </w:r>
    </w:p>
    <w:p w:rsidR="0070771F" w:rsidRPr="00B13798" w:rsidRDefault="0070771F" w:rsidP="0070771F">
      <w:pPr>
        <w:pStyle w:val="a7"/>
        <w:numPr>
          <w:ilvl w:val="0"/>
          <w:numId w:val="3"/>
        </w:numPr>
        <w:spacing w:line="276" w:lineRule="auto"/>
        <w:ind w:left="709" w:hanging="349"/>
        <w:jc w:val="both"/>
        <w:rPr>
          <w:rFonts w:cstheme="minorHAnsi"/>
          <w:lang w:val="uk-UA"/>
        </w:rPr>
      </w:pPr>
      <w:r w:rsidRPr="00B13798">
        <w:rPr>
          <w:rFonts w:cstheme="minorHAnsi"/>
          <w:lang w:val="uk-UA"/>
        </w:rPr>
        <w:t>Участь громадських організацій та сільської громади у профілактиці ТБ має бути розширена для збільшення рівня поінформованості про симптоми та процедури діагностики і лікування ТБ, усвідомлення ризику та зменшення стигми, а також розширення практик активного скринінгу</w:t>
      </w:r>
      <w:r w:rsidR="000B773F" w:rsidRPr="00B13798">
        <w:rPr>
          <w:rFonts w:cstheme="minorHAnsi"/>
          <w:lang w:val="uk-UA"/>
        </w:rPr>
        <w:t>.</w:t>
      </w:r>
      <w:r w:rsidRPr="00B13798">
        <w:rPr>
          <w:rFonts w:cstheme="minorHAnsi"/>
          <w:lang w:val="uk-UA"/>
        </w:rPr>
        <w:t xml:space="preserve"> </w:t>
      </w:r>
    </w:p>
    <w:p w:rsidR="0070771F" w:rsidRPr="00B13798" w:rsidRDefault="0070771F" w:rsidP="0070771F">
      <w:pPr>
        <w:pStyle w:val="a7"/>
        <w:numPr>
          <w:ilvl w:val="0"/>
          <w:numId w:val="3"/>
        </w:numPr>
        <w:spacing w:line="276" w:lineRule="auto"/>
        <w:ind w:left="709" w:hanging="349"/>
        <w:jc w:val="both"/>
        <w:rPr>
          <w:rFonts w:cstheme="minorHAnsi"/>
          <w:lang w:val="uk-UA"/>
        </w:rPr>
      </w:pPr>
      <w:r w:rsidRPr="00B13798">
        <w:rPr>
          <w:rFonts w:cstheme="minorHAnsi"/>
          <w:lang w:val="uk-UA"/>
        </w:rPr>
        <w:t xml:space="preserve">Удосконалити систему збору даних щодо пацієнтів з ТБ для національного Реєстру, зокрема у частині фіксації соціальних детермінант при зборі анамнезу та часу появи симптомів. </w:t>
      </w:r>
    </w:p>
    <w:p w:rsidR="0070771F" w:rsidRPr="00B13798" w:rsidRDefault="0070771F" w:rsidP="0025668F">
      <w:pPr>
        <w:rPr>
          <w:rFonts w:cstheme="minorHAnsi"/>
          <w:lang w:val="uk-UA"/>
        </w:rPr>
      </w:pPr>
    </w:p>
    <w:sectPr w:rsidR="0070771F" w:rsidRPr="00B13798" w:rsidSect="0025668F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B6C" w:rsidRDefault="00581B6C" w:rsidP="0025668F">
      <w:r>
        <w:separator/>
      </w:r>
    </w:p>
  </w:endnote>
  <w:endnote w:type="continuationSeparator" w:id="0">
    <w:p w:rsidR="00581B6C" w:rsidRDefault="00581B6C" w:rsidP="0025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B6C" w:rsidRDefault="00581B6C" w:rsidP="0025668F">
      <w:r>
        <w:separator/>
      </w:r>
    </w:p>
  </w:footnote>
  <w:footnote w:type="continuationSeparator" w:id="0">
    <w:p w:rsidR="00581B6C" w:rsidRDefault="00581B6C" w:rsidP="0025668F">
      <w:r>
        <w:continuationSeparator/>
      </w:r>
    </w:p>
  </w:footnote>
  <w:footnote w:id="1">
    <w:p w:rsidR="0025668F" w:rsidRPr="0025668F" w:rsidRDefault="0025668F" w:rsidP="0025668F">
      <w:pPr>
        <w:pStyle w:val="a4"/>
        <w:rPr>
          <w:rFonts w:asciiTheme="minorHAnsi" w:hAnsiTheme="minorHAnsi" w:cstheme="minorHAnsi"/>
          <w:sz w:val="18"/>
          <w:szCs w:val="18"/>
          <w:lang w:val="uk-UA"/>
        </w:rPr>
      </w:pPr>
      <w:r w:rsidRPr="0025668F">
        <w:rPr>
          <w:rStyle w:val="a6"/>
          <w:rFonts w:asciiTheme="minorHAnsi" w:hAnsiTheme="minorHAnsi" w:cstheme="minorHAnsi"/>
          <w:sz w:val="18"/>
          <w:szCs w:val="18"/>
        </w:rPr>
        <w:footnoteRef/>
      </w:r>
      <w:r w:rsidRPr="0025668F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25668F">
        <w:rPr>
          <w:rFonts w:asciiTheme="minorHAnsi" w:hAnsiTheme="minorHAnsi" w:cstheme="minorHAnsi"/>
          <w:sz w:val="18"/>
          <w:szCs w:val="18"/>
          <w:lang w:val="uk-UA"/>
        </w:rPr>
        <w:t>Там само.</w:t>
      </w:r>
    </w:p>
  </w:footnote>
  <w:footnote w:id="2">
    <w:p w:rsidR="0025668F" w:rsidRPr="00965663" w:rsidRDefault="0025668F" w:rsidP="0025668F">
      <w:pPr>
        <w:pStyle w:val="a4"/>
        <w:rPr>
          <w:lang w:val="uk-UA"/>
        </w:rPr>
      </w:pPr>
      <w:r w:rsidRPr="0025668F">
        <w:rPr>
          <w:rStyle w:val="a6"/>
          <w:rFonts w:asciiTheme="minorHAnsi" w:hAnsiTheme="minorHAnsi" w:cstheme="minorHAnsi"/>
          <w:sz w:val="18"/>
          <w:szCs w:val="18"/>
        </w:rPr>
        <w:footnoteRef/>
      </w:r>
      <w:r w:rsidRPr="0025668F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25668F">
        <w:rPr>
          <w:rFonts w:asciiTheme="minorHAnsi" w:hAnsiTheme="minorHAnsi" w:cstheme="minorHAnsi"/>
          <w:sz w:val="18"/>
          <w:szCs w:val="18"/>
          <w:lang w:val="uk-UA"/>
        </w:rPr>
        <w:t xml:space="preserve">Розпорядження КМУ від 27 грудня 2017 р. № 1011-р; режим доступу: </w:t>
      </w:r>
      <w:r w:rsidRPr="0025668F">
        <w:rPr>
          <w:rFonts w:asciiTheme="minorHAnsi" w:hAnsiTheme="minorHAnsi" w:cstheme="minorHAnsi"/>
          <w:sz w:val="18"/>
          <w:szCs w:val="18"/>
        </w:rPr>
        <w:t>https</w:t>
      </w:r>
      <w:r w:rsidRPr="0025668F">
        <w:rPr>
          <w:rFonts w:asciiTheme="minorHAnsi" w:hAnsiTheme="minorHAnsi" w:cstheme="minorHAnsi"/>
          <w:sz w:val="18"/>
          <w:szCs w:val="18"/>
          <w:lang w:val="ru-RU"/>
        </w:rPr>
        <w:t>://</w:t>
      </w:r>
      <w:proofErr w:type="spellStart"/>
      <w:r w:rsidRPr="0025668F">
        <w:rPr>
          <w:rFonts w:asciiTheme="minorHAnsi" w:hAnsiTheme="minorHAnsi" w:cstheme="minorHAnsi"/>
          <w:sz w:val="18"/>
          <w:szCs w:val="18"/>
        </w:rPr>
        <w:t>zakon</w:t>
      </w:r>
      <w:proofErr w:type="spellEnd"/>
      <w:r w:rsidRPr="0025668F">
        <w:rPr>
          <w:rFonts w:asciiTheme="minorHAnsi" w:hAnsiTheme="minorHAnsi" w:cstheme="minorHAnsi"/>
          <w:sz w:val="18"/>
          <w:szCs w:val="18"/>
          <w:lang w:val="ru-RU"/>
        </w:rPr>
        <w:t>.</w:t>
      </w:r>
      <w:proofErr w:type="spellStart"/>
      <w:r w:rsidRPr="0025668F">
        <w:rPr>
          <w:rFonts w:asciiTheme="minorHAnsi" w:hAnsiTheme="minorHAnsi" w:cstheme="minorHAnsi"/>
          <w:sz w:val="18"/>
          <w:szCs w:val="18"/>
        </w:rPr>
        <w:t>rada</w:t>
      </w:r>
      <w:proofErr w:type="spellEnd"/>
      <w:r w:rsidRPr="0025668F">
        <w:rPr>
          <w:rFonts w:asciiTheme="minorHAnsi" w:hAnsiTheme="minorHAnsi" w:cstheme="minorHAnsi"/>
          <w:sz w:val="18"/>
          <w:szCs w:val="18"/>
          <w:lang w:val="ru-RU"/>
        </w:rPr>
        <w:t>.</w:t>
      </w:r>
      <w:r w:rsidRPr="0025668F">
        <w:rPr>
          <w:rFonts w:asciiTheme="minorHAnsi" w:hAnsiTheme="minorHAnsi" w:cstheme="minorHAnsi"/>
          <w:sz w:val="18"/>
          <w:szCs w:val="18"/>
        </w:rPr>
        <w:t>gov</w:t>
      </w:r>
      <w:r w:rsidRPr="0025668F">
        <w:rPr>
          <w:rFonts w:asciiTheme="minorHAnsi" w:hAnsiTheme="minorHAnsi" w:cstheme="minorHAnsi"/>
          <w:sz w:val="18"/>
          <w:szCs w:val="18"/>
          <w:lang w:val="ru-RU"/>
        </w:rPr>
        <w:t>.</w:t>
      </w:r>
      <w:proofErr w:type="spellStart"/>
      <w:r w:rsidRPr="0025668F">
        <w:rPr>
          <w:rFonts w:asciiTheme="minorHAnsi" w:hAnsiTheme="minorHAnsi" w:cstheme="minorHAnsi"/>
          <w:sz w:val="18"/>
          <w:szCs w:val="18"/>
        </w:rPr>
        <w:t>ua</w:t>
      </w:r>
      <w:proofErr w:type="spellEnd"/>
      <w:r w:rsidRPr="0025668F">
        <w:rPr>
          <w:rFonts w:asciiTheme="minorHAnsi" w:hAnsiTheme="minorHAnsi" w:cstheme="minorHAnsi"/>
          <w:sz w:val="18"/>
          <w:szCs w:val="18"/>
          <w:lang w:val="ru-RU"/>
        </w:rPr>
        <w:t>/</w:t>
      </w:r>
      <w:r w:rsidRPr="0025668F">
        <w:rPr>
          <w:rFonts w:asciiTheme="minorHAnsi" w:hAnsiTheme="minorHAnsi" w:cstheme="minorHAnsi"/>
          <w:sz w:val="18"/>
          <w:szCs w:val="18"/>
        </w:rPr>
        <w:t>laws</w:t>
      </w:r>
      <w:r w:rsidRPr="0025668F">
        <w:rPr>
          <w:rFonts w:asciiTheme="minorHAnsi" w:hAnsiTheme="minorHAnsi" w:cstheme="minorHAnsi"/>
          <w:sz w:val="18"/>
          <w:szCs w:val="18"/>
          <w:lang w:val="ru-RU"/>
        </w:rPr>
        <w:t>/</w:t>
      </w:r>
      <w:r w:rsidRPr="0025668F">
        <w:rPr>
          <w:rFonts w:asciiTheme="minorHAnsi" w:hAnsiTheme="minorHAnsi" w:cstheme="minorHAnsi"/>
          <w:sz w:val="18"/>
          <w:szCs w:val="18"/>
        </w:rPr>
        <w:t>show</w:t>
      </w:r>
      <w:r w:rsidRPr="0025668F">
        <w:rPr>
          <w:rFonts w:asciiTheme="minorHAnsi" w:hAnsiTheme="minorHAnsi" w:cstheme="minorHAnsi"/>
          <w:sz w:val="18"/>
          <w:szCs w:val="18"/>
          <w:lang w:val="ru-RU"/>
        </w:rPr>
        <w:t>/1011-2017-р</w:t>
      </w:r>
    </w:p>
  </w:footnote>
  <w:footnote w:id="3">
    <w:p w:rsidR="00B13798" w:rsidRPr="00CD05DC" w:rsidRDefault="00B13798" w:rsidP="00B13798">
      <w:pPr>
        <w:pStyle w:val="a4"/>
        <w:rPr>
          <w:lang w:val="uk-UA"/>
        </w:rPr>
      </w:pPr>
      <w:r>
        <w:rPr>
          <w:rStyle w:val="a6"/>
        </w:rPr>
        <w:footnoteRef/>
      </w:r>
      <w:r>
        <w:t xml:space="preserve"> </w:t>
      </w:r>
      <w:proofErr w:type="spellStart"/>
      <w:r w:rsidRPr="00CD05DC">
        <w:t>Storla</w:t>
      </w:r>
      <w:proofErr w:type="spellEnd"/>
      <w:r w:rsidRPr="00CD05DC">
        <w:t xml:space="preserve"> DG, </w:t>
      </w:r>
      <w:proofErr w:type="spellStart"/>
      <w:r w:rsidRPr="00CD05DC">
        <w:t>Yimer</w:t>
      </w:r>
      <w:proofErr w:type="spellEnd"/>
      <w:r w:rsidRPr="00CD05DC">
        <w:t xml:space="preserve"> S, </w:t>
      </w:r>
      <w:proofErr w:type="spellStart"/>
      <w:r w:rsidRPr="00CD05DC">
        <w:t>Bjune</w:t>
      </w:r>
      <w:proofErr w:type="spellEnd"/>
      <w:r w:rsidRPr="00CD05DC">
        <w:t xml:space="preserve"> GA (2008) A systematic review of delay in the diagnosis and treatment of tuberculosis. BMC Public Health 8: 15 10.1186/1471-2458-8-15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93A19"/>
    <w:multiLevelType w:val="hybridMultilevel"/>
    <w:tmpl w:val="267CCC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8F1C3A"/>
    <w:multiLevelType w:val="hybridMultilevel"/>
    <w:tmpl w:val="05E8E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61CFE"/>
    <w:multiLevelType w:val="hybridMultilevel"/>
    <w:tmpl w:val="03F2C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70A48"/>
    <w:multiLevelType w:val="hybridMultilevel"/>
    <w:tmpl w:val="5D06387A"/>
    <w:lvl w:ilvl="0" w:tplc="B4B61ED2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650D34"/>
    <w:multiLevelType w:val="hybridMultilevel"/>
    <w:tmpl w:val="4B906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05B01"/>
    <w:multiLevelType w:val="hybridMultilevel"/>
    <w:tmpl w:val="9E9A0506"/>
    <w:lvl w:ilvl="0" w:tplc="B4B61ED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8F"/>
    <w:rsid w:val="000B773F"/>
    <w:rsid w:val="0025668F"/>
    <w:rsid w:val="00581B6C"/>
    <w:rsid w:val="0070771F"/>
    <w:rsid w:val="00976A2B"/>
    <w:rsid w:val="009F088F"/>
    <w:rsid w:val="00B1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25C761"/>
  <w15:chartTrackingRefBased/>
  <w15:docId w15:val="{7A0C2B0B-A963-C242-998D-21AAB385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7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771F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6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footnote text"/>
    <w:basedOn w:val="a"/>
    <w:link w:val="a5"/>
    <w:uiPriority w:val="99"/>
    <w:unhideWhenUsed/>
    <w:rsid w:val="0025668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rsid w:val="0025668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semiHidden/>
    <w:unhideWhenUsed/>
    <w:rsid w:val="0025668F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25668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771F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paragraph" w:styleId="a9">
    <w:name w:val="caption"/>
    <w:basedOn w:val="a"/>
    <w:next w:val="a"/>
    <w:uiPriority w:val="35"/>
    <w:unhideWhenUsed/>
    <w:qFormat/>
    <w:rsid w:val="0070771F"/>
    <w:pPr>
      <w:spacing w:after="200"/>
    </w:pPr>
    <w:rPr>
      <w:rFonts w:ascii="Times New Roman" w:eastAsia="Times New Roman" w:hAnsi="Times New Roman" w:cs="Times New Roman"/>
      <w:i/>
      <w:iCs/>
      <w:color w:val="44546A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077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8">
    <w:name w:val="Абзац списка Знак"/>
    <w:link w:val="a7"/>
    <w:uiPriority w:val="34"/>
    <w:locked/>
    <w:rsid w:val="0070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5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2020-05-14T07:07:00Z</dcterms:created>
  <dcterms:modified xsi:type="dcterms:W3CDTF">2020-05-14T07:59:00Z</dcterms:modified>
</cp:coreProperties>
</file>