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44DF" w14:textId="77777777" w:rsidR="004C33B3" w:rsidRPr="00204038" w:rsidRDefault="004C33B3" w:rsidP="004C33B3">
      <w:pPr>
        <w:spacing w:after="0" w:line="240" w:lineRule="auto"/>
        <w:jc w:val="center"/>
        <w:rPr>
          <w:rFonts w:ascii="Times New Roman" w:hAnsi="Times New Roman"/>
          <w:b/>
          <w:sz w:val="24"/>
          <w:szCs w:val="24"/>
        </w:rPr>
      </w:pPr>
      <w:r w:rsidRPr="00204038">
        <w:rPr>
          <w:rFonts w:ascii="Times New Roman" w:hAnsi="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316CE84" w14:textId="77777777" w:rsidR="004C33B3" w:rsidRPr="00204038" w:rsidRDefault="004C33B3" w:rsidP="004C33B3">
      <w:pPr>
        <w:spacing w:after="120" w:line="240" w:lineRule="auto"/>
        <w:contextualSpacing/>
        <w:jc w:val="center"/>
        <w:rPr>
          <w:rFonts w:ascii="Times New Roman" w:hAnsi="Times New Roman"/>
          <w:sz w:val="24"/>
          <w:szCs w:val="24"/>
        </w:rPr>
      </w:pPr>
      <w:r w:rsidRPr="00204038">
        <w:rPr>
          <w:rFonts w:ascii="Times New Roman" w:hAnsi="Times New Roman"/>
          <w:sz w:val="24"/>
          <w:szCs w:val="24"/>
        </w:rPr>
        <w:t>(відповідно до пункту 4</w:t>
      </w:r>
      <w:r w:rsidRPr="00204038">
        <w:rPr>
          <w:rFonts w:ascii="Times New Roman" w:hAnsi="Times New Roman"/>
          <w:sz w:val="24"/>
          <w:szCs w:val="24"/>
          <w:vertAlign w:val="superscript"/>
        </w:rPr>
        <w:t xml:space="preserve">1 </w:t>
      </w:r>
      <w:r w:rsidRPr="00204038">
        <w:rPr>
          <w:rFonts w:ascii="Times New Roman" w:hAnsi="Times New Roman"/>
          <w:sz w:val="24"/>
          <w:szCs w:val="24"/>
        </w:rPr>
        <w:t>постанови КМУ від 11.10.2016 № 710 «Про ефективне використання державних коштів» (зі змінами))</w:t>
      </w:r>
    </w:p>
    <w:p w14:paraId="2CFD7DF0" w14:textId="77777777" w:rsidR="00597E08" w:rsidRDefault="00597E08"/>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45"/>
      </w:tblGrid>
      <w:tr w:rsidR="004C33B3" w:rsidRPr="0089282F" w14:paraId="5CDAC4D6" w14:textId="77777777" w:rsidTr="0089282F">
        <w:tc>
          <w:tcPr>
            <w:tcW w:w="421" w:type="dxa"/>
            <w:shd w:val="clear" w:color="auto" w:fill="auto"/>
          </w:tcPr>
          <w:p w14:paraId="13D52DD1" w14:textId="77777777" w:rsidR="004C33B3" w:rsidRPr="0089282F" w:rsidRDefault="004C33B3">
            <w:pPr>
              <w:rPr>
                <w:rFonts w:ascii="Times New Roman" w:hAnsi="Times New Roman"/>
                <w:sz w:val="24"/>
                <w:szCs w:val="24"/>
              </w:rPr>
            </w:pPr>
            <w:r w:rsidRPr="0089282F">
              <w:rPr>
                <w:rFonts w:ascii="Times New Roman" w:hAnsi="Times New Roman"/>
                <w:sz w:val="24"/>
                <w:szCs w:val="24"/>
              </w:rPr>
              <w:t>1</w:t>
            </w:r>
          </w:p>
        </w:tc>
        <w:tc>
          <w:tcPr>
            <w:tcW w:w="3210" w:type="dxa"/>
            <w:shd w:val="clear" w:color="auto" w:fill="auto"/>
          </w:tcPr>
          <w:p w14:paraId="744B654B"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Назва предмета закупівлі</w:t>
            </w:r>
          </w:p>
        </w:tc>
        <w:tc>
          <w:tcPr>
            <w:tcW w:w="6145" w:type="dxa"/>
            <w:shd w:val="clear" w:color="auto" w:fill="auto"/>
          </w:tcPr>
          <w:p w14:paraId="0B79DB32" w14:textId="5485441B" w:rsidR="004B1335" w:rsidRPr="004B1335" w:rsidRDefault="00126D34" w:rsidP="00E662C6">
            <w:pPr>
              <w:shd w:val="clear" w:color="auto" w:fill="F3F7FA"/>
              <w:tabs>
                <w:tab w:val="left" w:pos="945"/>
                <w:tab w:val="left" w:pos="5085"/>
              </w:tabs>
              <w:spacing w:after="225" w:line="375" w:lineRule="atLeast"/>
              <w:outlineLvl w:val="0"/>
              <w:rPr>
                <w:rFonts w:ascii="Times New Roman" w:hAnsi="Times New Roman"/>
                <w:bCs/>
                <w:sz w:val="24"/>
                <w:szCs w:val="24"/>
              </w:rPr>
            </w:pPr>
            <w:r>
              <w:rPr>
                <w:rFonts w:ascii="Times New Roman" w:hAnsi="Times New Roman"/>
                <w:bCs/>
                <w:sz w:val="24"/>
                <w:szCs w:val="24"/>
              </w:rPr>
              <w:tab/>
            </w:r>
            <w:r w:rsidR="000B2ECD" w:rsidRPr="00AC11EC">
              <w:rPr>
                <w:rFonts w:ascii="Times New Roman" w:hAnsi="Times New Roman"/>
                <w:b/>
                <w:color w:val="000000" w:themeColor="text1"/>
                <w:sz w:val="24"/>
                <w:szCs w:val="24"/>
                <w:lang w:val="ru-RU"/>
              </w:rPr>
              <w:t xml:space="preserve">ДК </w:t>
            </w:r>
            <w:proofErr w:type="gramStart"/>
            <w:r w:rsidR="000B2ECD" w:rsidRPr="00AC11EC">
              <w:rPr>
                <w:rFonts w:ascii="Times New Roman" w:hAnsi="Times New Roman"/>
                <w:b/>
                <w:color w:val="000000" w:themeColor="text1"/>
                <w:sz w:val="24"/>
                <w:szCs w:val="24"/>
                <w:lang w:val="ru-RU"/>
              </w:rPr>
              <w:t>021:2015  –</w:t>
            </w:r>
            <w:proofErr w:type="gramEnd"/>
            <w:r w:rsidR="000B2ECD" w:rsidRPr="00AC11EC">
              <w:rPr>
                <w:rFonts w:ascii="Times New Roman" w:hAnsi="Times New Roman"/>
                <w:b/>
                <w:color w:val="000000" w:themeColor="text1"/>
                <w:sz w:val="24"/>
                <w:szCs w:val="24"/>
                <w:lang w:val="ru-RU"/>
              </w:rPr>
              <w:t xml:space="preserve"> 302</w:t>
            </w:r>
            <w:r w:rsidR="000B2ECD">
              <w:rPr>
                <w:rFonts w:ascii="Times New Roman" w:hAnsi="Times New Roman"/>
                <w:b/>
                <w:color w:val="000000" w:themeColor="text1"/>
                <w:sz w:val="24"/>
                <w:szCs w:val="24"/>
                <w:lang w:val="ru-RU"/>
              </w:rPr>
              <w:t>1</w:t>
            </w:r>
            <w:r w:rsidR="000B2ECD" w:rsidRPr="00AC11EC">
              <w:rPr>
                <w:rFonts w:ascii="Times New Roman" w:hAnsi="Times New Roman"/>
                <w:b/>
                <w:color w:val="000000" w:themeColor="text1"/>
                <w:sz w:val="24"/>
                <w:szCs w:val="24"/>
                <w:lang w:val="ru-RU"/>
              </w:rPr>
              <w:t>0000-</w:t>
            </w:r>
            <w:r w:rsidR="000B2ECD">
              <w:rPr>
                <w:rFonts w:ascii="Times New Roman" w:hAnsi="Times New Roman"/>
                <w:b/>
                <w:color w:val="000000" w:themeColor="text1"/>
                <w:sz w:val="24"/>
                <w:szCs w:val="24"/>
                <w:lang w:val="ru-RU"/>
              </w:rPr>
              <w:t xml:space="preserve">4 </w:t>
            </w:r>
            <w:proofErr w:type="spellStart"/>
            <w:r w:rsidR="000B2ECD">
              <w:rPr>
                <w:rFonts w:ascii="Times New Roman" w:hAnsi="Times New Roman"/>
                <w:b/>
                <w:color w:val="000000" w:themeColor="text1"/>
                <w:sz w:val="24"/>
                <w:szCs w:val="24"/>
                <w:lang w:val="ru-RU"/>
              </w:rPr>
              <w:t>Машини</w:t>
            </w:r>
            <w:proofErr w:type="spellEnd"/>
            <w:r w:rsidR="000B2ECD">
              <w:rPr>
                <w:rFonts w:ascii="Times New Roman" w:hAnsi="Times New Roman"/>
                <w:b/>
                <w:color w:val="000000" w:themeColor="text1"/>
                <w:sz w:val="24"/>
                <w:szCs w:val="24"/>
                <w:lang w:val="ru-RU"/>
              </w:rPr>
              <w:t xml:space="preserve"> для </w:t>
            </w:r>
            <w:proofErr w:type="spellStart"/>
            <w:r w:rsidR="000B2ECD">
              <w:rPr>
                <w:rFonts w:ascii="Times New Roman" w:hAnsi="Times New Roman"/>
                <w:b/>
                <w:color w:val="000000" w:themeColor="text1"/>
                <w:sz w:val="24"/>
                <w:szCs w:val="24"/>
                <w:lang w:val="ru-RU"/>
              </w:rPr>
              <w:t>обробки</w:t>
            </w:r>
            <w:proofErr w:type="spellEnd"/>
            <w:r w:rsidR="000B2ECD">
              <w:rPr>
                <w:rFonts w:ascii="Times New Roman" w:hAnsi="Times New Roman"/>
                <w:b/>
                <w:color w:val="000000" w:themeColor="text1"/>
                <w:sz w:val="24"/>
                <w:szCs w:val="24"/>
                <w:lang w:val="ru-RU"/>
              </w:rPr>
              <w:t xml:space="preserve"> </w:t>
            </w:r>
            <w:proofErr w:type="spellStart"/>
            <w:r w:rsidR="000B2ECD">
              <w:rPr>
                <w:rFonts w:ascii="Times New Roman" w:hAnsi="Times New Roman"/>
                <w:b/>
                <w:color w:val="000000" w:themeColor="text1"/>
                <w:sz w:val="24"/>
                <w:szCs w:val="24"/>
                <w:lang w:val="ru-RU"/>
              </w:rPr>
              <w:t>даних</w:t>
            </w:r>
            <w:proofErr w:type="spellEnd"/>
            <w:r w:rsidR="000B2ECD">
              <w:rPr>
                <w:rFonts w:ascii="Times New Roman" w:hAnsi="Times New Roman"/>
                <w:b/>
                <w:color w:val="000000" w:themeColor="text1"/>
                <w:sz w:val="24"/>
                <w:szCs w:val="24"/>
                <w:lang w:val="ru-RU"/>
              </w:rPr>
              <w:t xml:space="preserve"> (</w:t>
            </w:r>
            <w:proofErr w:type="spellStart"/>
            <w:r w:rsidR="000B2ECD">
              <w:rPr>
                <w:rFonts w:ascii="Times New Roman" w:hAnsi="Times New Roman"/>
                <w:b/>
                <w:color w:val="000000" w:themeColor="text1"/>
                <w:sz w:val="24"/>
                <w:szCs w:val="24"/>
                <w:lang w:val="ru-RU"/>
              </w:rPr>
              <w:t>апаратна</w:t>
            </w:r>
            <w:proofErr w:type="spellEnd"/>
            <w:r w:rsidR="000B2ECD">
              <w:rPr>
                <w:rFonts w:ascii="Times New Roman" w:hAnsi="Times New Roman"/>
                <w:b/>
                <w:color w:val="000000" w:themeColor="text1"/>
                <w:sz w:val="24"/>
                <w:szCs w:val="24"/>
                <w:lang w:val="ru-RU"/>
              </w:rPr>
              <w:t xml:space="preserve"> </w:t>
            </w:r>
            <w:proofErr w:type="spellStart"/>
            <w:r w:rsidR="000B2ECD">
              <w:rPr>
                <w:rFonts w:ascii="Times New Roman" w:hAnsi="Times New Roman"/>
                <w:b/>
                <w:color w:val="000000" w:themeColor="text1"/>
                <w:sz w:val="24"/>
                <w:szCs w:val="24"/>
                <w:lang w:val="ru-RU"/>
              </w:rPr>
              <w:t>частина</w:t>
            </w:r>
            <w:proofErr w:type="spellEnd"/>
            <w:r w:rsidR="000B2ECD">
              <w:rPr>
                <w:rFonts w:ascii="Times New Roman" w:hAnsi="Times New Roman"/>
                <w:b/>
                <w:color w:val="000000" w:themeColor="text1"/>
                <w:sz w:val="24"/>
                <w:szCs w:val="24"/>
                <w:lang w:val="ru-RU"/>
              </w:rPr>
              <w:t>) (сканер)</w:t>
            </w:r>
            <w:r w:rsidR="00E662C6">
              <w:rPr>
                <w:rFonts w:ascii="Times New Roman" w:hAnsi="Times New Roman"/>
                <w:bCs/>
                <w:sz w:val="24"/>
                <w:szCs w:val="24"/>
              </w:rPr>
              <w:tab/>
            </w:r>
          </w:p>
        </w:tc>
      </w:tr>
      <w:tr w:rsidR="004C33B3" w:rsidRPr="0089282F" w14:paraId="2C1CAD41" w14:textId="77777777" w:rsidTr="0089282F">
        <w:tc>
          <w:tcPr>
            <w:tcW w:w="421" w:type="dxa"/>
            <w:shd w:val="clear" w:color="auto" w:fill="auto"/>
          </w:tcPr>
          <w:p w14:paraId="4FBE1E02" w14:textId="77777777" w:rsidR="004C33B3" w:rsidRPr="0089282F" w:rsidRDefault="00A03BB9">
            <w:pPr>
              <w:rPr>
                <w:rFonts w:ascii="Times New Roman" w:hAnsi="Times New Roman"/>
                <w:sz w:val="24"/>
                <w:szCs w:val="24"/>
              </w:rPr>
            </w:pPr>
            <w:r w:rsidRPr="0089282F">
              <w:rPr>
                <w:rFonts w:ascii="Times New Roman" w:hAnsi="Times New Roman"/>
                <w:sz w:val="24"/>
                <w:szCs w:val="24"/>
              </w:rPr>
              <w:t>2</w:t>
            </w:r>
          </w:p>
        </w:tc>
        <w:tc>
          <w:tcPr>
            <w:tcW w:w="3210" w:type="dxa"/>
            <w:shd w:val="clear" w:color="auto" w:fill="auto"/>
          </w:tcPr>
          <w:p w14:paraId="4B920B84" w14:textId="77777777" w:rsidR="004C33B3" w:rsidRPr="0089282F" w:rsidRDefault="004C33B3">
            <w:pPr>
              <w:rPr>
                <w:rFonts w:ascii="Times New Roman" w:hAnsi="Times New Roman"/>
                <w:b/>
                <w:sz w:val="24"/>
                <w:szCs w:val="24"/>
              </w:rPr>
            </w:pPr>
            <w:r w:rsidRPr="0089282F">
              <w:rPr>
                <w:rFonts w:ascii="Times New Roman" w:hAnsi="Times New Roman"/>
                <w:b/>
                <w:sz w:val="24"/>
                <w:szCs w:val="24"/>
              </w:rPr>
              <w:t>Вид процедури</w:t>
            </w:r>
          </w:p>
        </w:tc>
        <w:tc>
          <w:tcPr>
            <w:tcW w:w="6145" w:type="dxa"/>
            <w:shd w:val="clear" w:color="auto" w:fill="auto"/>
          </w:tcPr>
          <w:p w14:paraId="3CD0AA29" w14:textId="77777777" w:rsidR="004C33B3" w:rsidRPr="00054FF7" w:rsidRDefault="00DD4CA6" w:rsidP="000B283C">
            <w:pPr>
              <w:rPr>
                <w:rFonts w:ascii="Times New Roman" w:hAnsi="Times New Roman"/>
                <w:sz w:val="24"/>
                <w:szCs w:val="24"/>
              </w:rPr>
            </w:pPr>
            <w:r w:rsidRPr="00054FF7">
              <w:rPr>
                <w:rFonts w:ascii="Times New Roman" w:hAnsi="Times New Roman"/>
                <w:sz w:val="24"/>
                <w:szCs w:val="24"/>
              </w:rPr>
              <w:t xml:space="preserve">Відкриті торги </w:t>
            </w:r>
          </w:p>
        </w:tc>
      </w:tr>
      <w:tr w:rsidR="004C33B3" w:rsidRPr="0089282F" w14:paraId="0F7E903F" w14:textId="77777777" w:rsidTr="00F31E16">
        <w:tc>
          <w:tcPr>
            <w:tcW w:w="421" w:type="dxa"/>
            <w:shd w:val="clear" w:color="auto" w:fill="auto"/>
          </w:tcPr>
          <w:p w14:paraId="632F5F97" w14:textId="77777777" w:rsidR="004C33B3" w:rsidRPr="0089282F" w:rsidRDefault="00A03BB9">
            <w:pPr>
              <w:rPr>
                <w:rFonts w:ascii="Times New Roman" w:hAnsi="Times New Roman"/>
                <w:sz w:val="24"/>
                <w:szCs w:val="24"/>
              </w:rPr>
            </w:pPr>
            <w:r w:rsidRPr="0089282F">
              <w:rPr>
                <w:rFonts w:ascii="Times New Roman" w:hAnsi="Times New Roman"/>
                <w:sz w:val="24"/>
                <w:szCs w:val="24"/>
              </w:rPr>
              <w:t>3</w:t>
            </w:r>
          </w:p>
        </w:tc>
        <w:tc>
          <w:tcPr>
            <w:tcW w:w="3210" w:type="dxa"/>
            <w:shd w:val="clear" w:color="auto" w:fill="auto"/>
          </w:tcPr>
          <w:p w14:paraId="2B7320EA" w14:textId="77777777" w:rsidR="004C33B3" w:rsidRPr="0089282F" w:rsidRDefault="004C33B3" w:rsidP="00175D5D">
            <w:pPr>
              <w:rPr>
                <w:rFonts w:ascii="Times New Roman" w:hAnsi="Times New Roman"/>
                <w:b/>
                <w:sz w:val="24"/>
                <w:szCs w:val="24"/>
              </w:rPr>
            </w:pPr>
            <w:r w:rsidRPr="0089282F">
              <w:rPr>
                <w:rFonts w:ascii="Times New Roman" w:hAnsi="Times New Roman"/>
                <w:b/>
                <w:sz w:val="24"/>
                <w:szCs w:val="24"/>
              </w:rPr>
              <w:t>Ідентифікатор закупівлі</w:t>
            </w:r>
          </w:p>
        </w:tc>
        <w:tc>
          <w:tcPr>
            <w:tcW w:w="6145" w:type="dxa"/>
            <w:shd w:val="clear" w:color="auto" w:fill="auto"/>
          </w:tcPr>
          <w:p w14:paraId="7AC26A8D" w14:textId="0AC1CC22" w:rsidR="004C33B3" w:rsidRPr="00AE52AA" w:rsidRDefault="00AE52AA" w:rsidP="0069093F">
            <w:pPr>
              <w:jc w:val="both"/>
              <w:rPr>
                <w:rFonts w:ascii="Times New Roman" w:hAnsi="Times New Roman"/>
                <w:color w:val="000000"/>
                <w:sz w:val="24"/>
                <w:szCs w:val="24"/>
              </w:rPr>
            </w:pPr>
            <w:r w:rsidRPr="00AE52AA">
              <w:rPr>
                <w:rFonts w:ascii="Times New Roman" w:hAnsi="Times New Roman"/>
                <w:color w:val="000000" w:themeColor="text1"/>
                <w:sz w:val="24"/>
                <w:szCs w:val="24"/>
              </w:rPr>
              <w:t>UA-2021-08-04-004416-a</w:t>
            </w:r>
          </w:p>
        </w:tc>
      </w:tr>
      <w:tr w:rsidR="004C33B3" w:rsidRPr="0089282F" w14:paraId="790D876C" w14:textId="77777777" w:rsidTr="0089282F">
        <w:tc>
          <w:tcPr>
            <w:tcW w:w="421" w:type="dxa"/>
            <w:shd w:val="clear" w:color="auto" w:fill="auto"/>
          </w:tcPr>
          <w:p w14:paraId="05707F75" w14:textId="77777777" w:rsidR="004C33B3" w:rsidRPr="0089282F" w:rsidRDefault="00A03BB9">
            <w:pPr>
              <w:rPr>
                <w:rFonts w:ascii="Times New Roman" w:hAnsi="Times New Roman"/>
                <w:sz w:val="24"/>
                <w:szCs w:val="24"/>
              </w:rPr>
            </w:pPr>
            <w:r w:rsidRPr="0089282F">
              <w:rPr>
                <w:rFonts w:ascii="Times New Roman" w:hAnsi="Times New Roman"/>
                <w:sz w:val="24"/>
                <w:szCs w:val="24"/>
              </w:rPr>
              <w:t>4</w:t>
            </w:r>
          </w:p>
        </w:tc>
        <w:tc>
          <w:tcPr>
            <w:tcW w:w="3210" w:type="dxa"/>
            <w:shd w:val="clear" w:color="auto" w:fill="auto"/>
          </w:tcPr>
          <w:p w14:paraId="47D65251" w14:textId="77777777" w:rsidR="004C33B3" w:rsidRPr="0089282F" w:rsidRDefault="004C33B3">
            <w:pPr>
              <w:rPr>
                <w:rFonts w:ascii="Times New Roman" w:hAnsi="Times New Roman"/>
                <w:b/>
                <w:sz w:val="24"/>
                <w:szCs w:val="24"/>
              </w:rPr>
            </w:pPr>
            <w:r w:rsidRPr="0089282F">
              <w:rPr>
                <w:rFonts w:ascii="Times New Roman" w:eastAsia="Times New Roman" w:hAnsi="Times New Roman"/>
                <w:b/>
                <w:sz w:val="24"/>
                <w:szCs w:val="24"/>
                <w:lang w:eastAsia="ru-RU"/>
              </w:rPr>
              <w:t>Обґрунтування технічних та якісних х</w:t>
            </w:r>
            <w:r w:rsidR="00E95AEE" w:rsidRPr="0089282F">
              <w:rPr>
                <w:rFonts w:ascii="Times New Roman" w:eastAsia="Times New Roman" w:hAnsi="Times New Roman"/>
                <w:b/>
                <w:sz w:val="24"/>
                <w:szCs w:val="24"/>
                <w:lang w:eastAsia="ru-RU"/>
              </w:rPr>
              <w:t>арактеристик предмета закупівлі</w:t>
            </w:r>
          </w:p>
        </w:tc>
        <w:tc>
          <w:tcPr>
            <w:tcW w:w="6145" w:type="dxa"/>
            <w:shd w:val="clear" w:color="auto" w:fill="auto"/>
          </w:tcPr>
          <w:p w14:paraId="0420CAB7" w14:textId="16DD35C9" w:rsidR="004C33B3" w:rsidRPr="000F15CA" w:rsidRDefault="00DD4CA6" w:rsidP="0069093F">
            <w:pPr>
              <w:shd w:val="clear" w:color="auto" w:fill="FFFFFF"/>
              <w:spacing w:after="150" w:line="240" w:lineRule="auto"/>
              <w:jc w:val="both"/>
              <w:textAlignment w:val="baseline"/>
              <w:outlineLvl w:val="0"/>
              <w:rPr>
                <w:b/>
                <w:sz w:val="24"/>
                <w:szCs w:val="24"/>
              </w:rPr>
            </w:pPr>
            <w:r w:rsidRPr="00054FF7">
              <w:rPr>
                <w:rFonts w:ascii="Times New Roman" w:eastAsia="Times New Roman" w:hAnsi="Times New Roman"/>
                <w:sz w:val="24"/>
                <w:szCs w:val="24"/>
                <w:lang w:eastAsia="ru-RU"/>
              </w:rPr>
              <w:t xml:space="preserve">Інформація про технічні, якісні та кількісні характеристики предмета закупівлі наведена в Додатку </w:t>
            </w:r>
            <w:r w:rsidR="00D4428E">
              <w:rPr>
                <w:rFonts w:ascii="Times New Roman" w:eastAsia="Times New Roman" w:hAnsi="Times New Roman"/>
                <w:sz w:val="24"/>
                <w:szCs w:val="24"/>
                <w:lang w:eastAsia="ru-RU"/>
              </w:rPr>
              <w:t>3</w:t>
            </w:r>
            <w:r w:rsidRPr="00054FF7">
              <w:rPr>
                <w:rFonts w:ascii="Times New Roman" w:eastAsia="Times New Roman" w:hAnsi="Times New Roman"/>
                <w:sz w:val="24"/>
                <w:szCs w:val="24"/>
                <w:lang w:eastAsia="ru-RU"/>
              </w:rPr>
              <w:t xml:space="preserve"> тендерної документації на закупівлю </w:t>
            </w:r>
            <w:r w:rsidR="00961F21" w:rsidRPr="000F15CA">
              <w:rPr>
                <w:rFonts w:ascii="Times New Roman" w:eastAsia="Times New Roman" w:hAnsi="Times New Roman"/>
                <w:b/>
                <w:sz w:val="24"/>
                <w:szCs w:val="24"/>
                <w:lang w:eastAsia="ru-RU"/>
              </w:rPr>
              <w:t>Т</w:t>
            </w:r>
            <w:r w:rsidR="004C33B3" w:rsidRPr="000F15CA">
              <w:rPr>
                <w:rFonts w:ascii="Times New Roman" w:eastAsia="Times New Roman" w:hAnsi="Times New Roman"/>
                <w:b/>
                <w:sz w:val="24"/>
                <w:szCs w:val="24"/>
                <w:lang w:eastAsia="ru-RU"/>
              </w:rPr>
              <w:t>ехнічні та якісні характеристики предмета закупівлі визначені відповідно до потреб замовника та з урахуванням вимог законодавства</w:t>
            </w:r>
            <w:r w:rsidR="0069093F">
              <w:rPr>
                <w:rFonts w:ascii="Times New Roman" w:eastAsia="Times New Roman" w:hAnsi="Times New Roman"/>
                <w:b/>
                <w:sz w:val="24"/>
                <w:szCs w:val="24"/>
                <w:lang w:eastAsia="ru-RU"/>
              </w:rPr>
              <w:t>.</w:t>
            </w:r>
          </w:p>
        </w:tc>
      </w:tr>
      <w:tr w:rsidR="004C33B3" w:rsidRPr="0089282F" w14:paraId="66E8CE8B" w14:textId="77777777" w:rsidTr="0089282F">
        <w:tc>
          <w:tcPr>
            <w:tcW w:w="421" w:type="dxa"/>
            <w:shd w:val="clear" w:color="auto" w:fill="auto"/>
          </w:tcPr>
          <w:p w14:paraId="17113C3D" w14:textId="77777777" w:rsidR="004C33B3" w:rsidRPr="0089282F" w:rsidRDefault="00A03BB9">
            <w:pPr>
              <w:rPr>
                <w:rFonts w:ascii="Times New Roman" w:hAnsi="Times New Roman"/>
                <w:sz w:val="24"/>
                <w:szCs w:val="24"/>
              </w:rPr>
            </w:pPr>
            <w:r w:rsidRPr="0089282F">
              <w:rPr>
                <w:rFonts w:ascii="Times New Roman" w:hAnsi="Times New Roman"/>
                <w:sz w:val="24"/>
                <w:szCs w:val="24"/>
              </w:rPr>
              <w:t>5</w:t>
            </w:r>
          </w:p>
        </w:tc>
        <w:tc>
          <w:tcPr>
            <w:tcW w:w="3210" w:type="dxa"/>
            <w:shd w:val="clear" w:color="auto" w:fill="auto"/>
          </w:tcPr>
          <w:p w14:paraId="0B40A956" w14:textId="77777777" w:rsidR="004C33B3" w:rsidRPr="0089282F" w:rsidRDefault="004C33B3" w:rsidP="004C33B3">
            <w:pPr>
              <w:rPr>
                <w:rFonts w:ascii="Times New Roman" w:hAnsi="Times New Roman"/>
                <w:b/>
                <w:sz w:val="24"/>
                <w:szCs w:val="24"/>
              </w:rPr>
            </w:pPr>
            <w:r w:rsidRPr="0089282F">
              <w:rPr>
                <w:rFonts w:ascii="Times New Roman" w:eastAsia="Times New Roman" w:hAnsi="Times New Roman"/>
                <w:b/>
                <w:sz w:val="24"/>
                <w:szCs w:val="24"/>
                <w:lang w:eastAsia="ru-RU"/>
              </w:rPr>
              <w:t xml:space="preserve">Обґрунтування розміру бюджетного призначення </w:t>
            </w:r>
          </w:p>
        </w:tc>
        <w:tc>
          <w:tcPr>
            <w:tcW w:w="6145" w:type="dxa"/>
            <w:shd w:val="clear" w:color="auto" w:fill="auto"/>
          </w:tcPr>
          <w:p w14:paraId="53825F1C" w14:textId="77777777" w:rsidR="000B2ECD" w:rsidRPr="000B2ECD" w:rsidRDefault="00961F21" w:rsidP="000B2ECD">
            <w:pPr>
              <w:pBdr>
                <w:top w:val="nil"/>
                <w:left w:val="nil"/>
                <w:bottom w:val="nil"/>
                <w:right w:val="nil"/>
                <w:between w:val="nil"/>
              </w:pBdr>
              <w:tabs>
                <w:tab w:val="left" w:pos="0"/>
              </w:tabs>
              <w:spacing w:before="360"/>
              <w:jc w:val="center"/>
              <w:rPr>
                <w:rFonts w:ascii="Times New Roman" w:eastAsia="Times New Roman" w:hAnsi="Times New Roman"/>
                <w:color w:val="000000"/>
                <w:sz w:val="24"/>
                <w:szCs w:val="24"/>
              </w:rPr>
            </w:pPr>
            <w:r w:rsidRPr="000F15CA">
              <w:rPr>
                <w:rFonts w:ascii="Times New Roman" w:eastAsia="Times New Roman" w:hAnsi="Times New Roman"/>
                <w:sz w:val="24"/>
                <w:szCs w:val="24"/>
                <w:lang w:eastAsia="ru-RU"/>
              </w:rPr>
              <w:t>Р</w:t>
            </w:r>
            <w:r w:rsidR="004C33B3" w:rsidRPr="000F15CA">
              <w:rPr>
                <w:rFonts w:ascii="Times New Roman" w:eastAsia="Times New Roman" w:hAnsi="Times New Roman"/>
                <w:sz w:val="24"/>
                <w:szCs w:val="24"/>
                <w:lang w:eastAsia="ru-RU"/>
              </w:rPr>
              <w:t xml:space="preserve">озмір бюджетного призначення, визначений </w:t>
            </w:r>
            <w:r w:rsidR="000F15CA" w:rsidRPr="000F15CA">
              <w:rPr>
                <w:rFonts w:ascii="Times New Roman" w:eastAsia="Times New Roman" w:hAnsi="Times New Roman"/>
                <w:sz w:val="24"/>
                <w:szCs w:val="24"/>
                <w:lang w:eastAsia="ru-RU"/>
              </w:rPr>
              <w:t xml:space="preserve">відповідно до </w:t>
            </w:r>
            <w:r w:rsidR="00DD4CA6">
              <w:rPr>
                <w:rFonts w:ascii="Times New Roman" w:eastAsia="Times New Roman" w:hAnsi="Times New Roman"/>
                <w:sz w:val="24"/>
                <w:szCs w:val="24"/>
                <w:lang w:eastAsia="ru-RU"/>
              </w:rPr>
              <w:t>розрахунку до проєкту кошторису н</w:t>
            </w:r>
            <w:r w:rsidR="004C33B3" w:rsidRPr="000F15CA">
              <w:rPr>
                <w:rFonts w:ascii="Times New Roman" w:eastAsia="Times New Roman" w:hAnsi="Times New Roman"/>
                <w:sz w:val="24"/>
                <w:szCs w:val="24"/>
                <w:lang w:eastAsia="ru-RU"/>
              </w:rPr>
              <w:t>а 2021 рік</w:t>
            </w:r>
            <w:r w:rsidR="00DD4CA6">
              <w:rPr>
                <w:rFonts w:ascii="Times New Roman" w:eastAsia="Times New Roman" w:hAnsi="Times New Roman"/>
                <w:sz w:val="24"/>
                <w:szCs w:val="24"/>
                <w:lang w:eastAsia="ru-RU"/>
              </w:rPr>
              <w:t>.</w:t>
            </w:r>
            <w:bookmarkStart w:id="0" w:name="_Hlk62553035"/>
            <w:r w:rsidR="0069093F" w:rsidRPr="00343F53">
              <w:rPr>
                <w:rFonts w:ascii="Times New Roman" w:eastAsia="Times New Roman CYR" w:hAnsi="Times New Roman"/>
                <w:sz w:val="24"/>
                <w:szCs w:val="24"/>
              </w:rPr>
              <w:t xml:space="preserve"> </w:t>
            </w:r>
            <w:r w:rsidR="000B2ECD" w:rsidRPr="000B2ECD">
              <w:rPr>
                <w:rFonts w:ascii="Times New Roman" w:eastAsia="Times New Roman CYR" w:hAnsi="Times New Roman"/>
                <w:sz w:val="24"/>
                <w:szCs w:val="24"/>
              </w:rPr>
              <w:t>Закупівля здійснюється за рахунок</w:t>
            </w:r>
            <w:r w:rsidR="000B2ECD" w:rsidRPr="000B2ECD">
              <w:rPr>
                <w:rFonts w:ascii="Times New Roman" w:hAnsi="Times New Roman"/>
                <w:sz w:val="24"/>
                <w:szCs w:val="24"/>
              </w:rPr>
              <w:t xml:space="preserve"> коштів міжнародної технічної допомоги, виділених Замовнику за проектом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 </w:t>
            </w:r>
          </w:p>
          <w:bookmarkEnd w:id="0"/>
          <w:p w14:paraId="4AACEC0F" w14:textId="4B8798FA" w:rsidR="004C33B3" w:rsidRPr="000F15CA" w:rsidRDefault="004C33B3" w:rsidP="00F31E16">
            <w:pPr>
              <w:pBdr>
                <w:top w:val="nil"/>
                <w:left w:val="nil"/>
                <w:bottom w:val="nil"/>
                <w:right w:val="nil"/>
                <w:between w:val="nil"/>
              </w:pBdr>
              <w:tabs>
                <w:tab w:val="left" w:pos="0"/>
              </w:tabs>
              <w:spacing w:before="360"/>
              <w:jc w:val="center"/>
              <w:rPr>
                <w:sz w:val="24"/>
                <w:szCs w:val="24"/>
              </w:rPr>
            </w:pPr>
          </w:p>
        </w:tc>
      </w:tr>
      <w:tr w:rsidR="00A03BB9" w:rsidRPr="0089282F" w14:paraId="3BEF7EE7" w14:textId="77777777" w:rsidTr="0089282F">
        <w:tc>
          <w:tcPr>
            <w:tcW w:w="421" w:type="dxa"/>
            <w:shd w:val="clear" w:color="auto" w:fill="auto"/>
          </w:tcPr>
          <w:p w14:paraId="0C489533" w14:textId="77777777" w:rsidR="00A03BB9" w:rsidRPr="0089282F" w:rsidRDefault="00A03BB9">
            <w:pPr>
              <w:rPr>
                <w:rFonts w:ascii="Times New Roman" w:hAnsi="Times New Roman"/>
                <w:sz w:val="24"/>
                <w:szCs w:val="24"/>
              </w:rPr>
            </w:pPr>
            <w:r w:rsidRPr="0089282F">
              <w:rPr>
                <w:rFonts w:ascii="Times New Roman" w:hAnsi="Times New Roman"/>
                <w:sz w:val="24"/>
                <w:szCs w:val="24"/>
              </w:rPr>
              <w:t>6</w:t>
            </w:r>
          </w:p>
        </w:tc>
        <w:tc>
          <w:tcPr>
            <w:tcW w:w="3210" w:type="dxa"/>
            <w:shd w:val="clear" w:color="auto" w:fill="auto"/>
          </w:tcPr>
          <w:p w14:paraId="57906BD1" w14:textId="77777777" w:rsidR="00A03BB9" w:rsidRPr="0089282F" w:rsidRDefault="00A03BB9" w:rsidP="004C33B3">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Очікувана вартість предмета закупівлі</w:t>
            </w:r>
          </w:p>
        </w:tc>
        <w:tc>
          <w:tcPr>
            <w:tcW w:w="6145" w:type="dxa"/>
            <w:shd w:val="clear" w:color="auto" w:fill="auto"/>
          </w:tcPr>
          <w:p w14:paraId="5A8503CC" w14:textId="30FC0121" w:rsidR="00A03BB9" w:rsidRPr="00054FF7" w:rsidRDefault="000B2ECD" w:rsidP="000C4F4F">
            <w:pPr>
              <w:rPr>
                <w:rFonts w:ascii="Times New Roman" w:eastAsia="Times New Roman" w:hAnsi="Times New Roman"/>
                <w:sz w:val="24"/>
                <w:szCs w:val="24"/>
                <w:lang w:eastAsia="ru-RU"/>
              </w:rPr>
            </w:pPr>
            <w:r>
              <w:rPr>
                <w:rFonts w:ascii="Times New Roman" w:hAnsi="Times New Roman"/>
                <w:sz w:val="24"/>
                <w:szCs w:val="24"/>
              </w:rPr>
              <w:t>45 000</w:t>
            </w:r>
            <w:r w:rsidR="00126D34" w:rsidRPr="00126D34">
              <w:rPr>
                <w:rFonts w:ascii="Times New Roman" w:hAnsi="Times New Roman"/>
                <w:sz w:val="24"/>
                <w:szCs w:val="24"/>
              </w:rPr>
              <w:t xml:space="preserve"> </w:t>
            </w:r>
            <w:r w:rsidR="00DD4CA6" w:rsidRPr="00126D34">
              <w:rPr>
                <w:rStyle w:val="qacode"/>
                <w:rFonts w:ascii="Times New Roman" w:hAnsi="Times New Roman"/>
                <w:sz w:val="24"/>
                <w:szCs w:val="24"/>
                <w:bdr w:val="none" w:sz="0" w:space="0" w:color="auto" w:frame="1"/>
                <w:shd w:val="clear" w:color="auto" w:fill="FFFFFF"/>
              </w:rPr>
              <w:t>грн</w:t>
            </w:r>
            <w:r w:rsidR="00DD4CA6" w:rsidRPr="00054FF7">
              <w:rPr>
                <w:rFonts w:ascii="Times New Roman" w:hAnsi="Times New Roman"/>
                <w:sz w:val="24"/>
                <w:szCs w:val="24"/>
                <w:shd w:val="clear" w:color="auto" w:fill="FFFFFF"/>
              </w:rPr>
              <w:t> </w:t>
            </w:r>
            <w:r w:rsidR="0069093F">
              <w:rPr>
                <w:rFonts w:ascii="Times New Roman" w:hAnsi="Times New Roman"/>
                <w:sz w:val="24"/>
                <w:szCs w:val="24"/>
                <w:shd w:val="clear" w:color="auto" w:fill="FFFFFF"/>
              </w:rPr>
              <w:t>00 коп., бе</w:t>
            </w:r>
            <w:r w:rsidR="00DD4CA6" w:rsidRPr="00054FF7">
              <w:rPr>
                <w:rFonts w:ascii="Times New Roman" w:hAnsi="Times New Roman"/>
                <w:sz w:val="24"/>
                <w:szCs w:val="24"/>
                <w:bdr w:val="none" w:sz="0" w:space="0" w:color="auto" w:frame="1"/>
                <w:shd w:val="clear" w:color="auto" w:fill="FFFFFF"/>
              </w:rPr>
              <w:t>з ПДВ</w:t>
            </w:r>
          </w:p>
        </w:tc>
      </w:tr>
      <w:tr w:rsidR="004C33B3" w:rsidRPr="0089282F" w14:paraId="26836E08" w14:textId="77777777" w:rsidTr="0089282F">
        <w:tc>
          <w:tcPr>
            <w:tcW w:w="421" w:type="dxa"/>
            <w:shd w:val="clear" w:color="auto" w:fill="auto"/>
          </w:tcPr>
          <w:p w14:paraId="6DE43CEE" w14:textId="77777777" w:rsidR="004C33B3" w:rsidRPr="0089282F" w:rsidRDefault="00A03BB9">
            <w:pPr>
              <w:rPr>
                <w:rFonts w:ascii="Times New Roman" w:hAnsi="Times New Roman"/>
                <w:sz w:val="24"/>
                <w:szCs w:val="24"/>
              </w:rPr>
            </w:pPr>
            <w:r w:rsidRPr="0089282F">
              <w:rPr>
                <w:rFonts w:ascii="Times New Roman" w:hAnsi="Times New Roman"/>
                <w:sz w:val="24"/>
                <w:szCs w:val="24"/>
              </w:rPr>
              <w:t>7</w:t>
            </w:r>
          </w:p>
        </w:tc>
        <w:tc>
          <w:tcPr>
            <w:tcW w:w="3210" w:type="dxa"/>
            <w:shd w:val="clear" w:color="auto" w:fill="auto"/>
          </w:tcPr>
          <w:p w14:paraId="68026E92" w14:textId="77777777" w:rsidR="004C33B3" w:rsidRPr="0089282F" w:rsidRDefault="00A03BB9" w:rsidP="00A03BB9">
            <w:pPr>
              <w:rPr>
                <w:rFonts w:ascii="Times New Roman" w:eastAsia="Times New Roman" w:hAnsi="Times New Roman"/>
                <w:b/>
                <w:sz w:val="24"/>
                <w:szCs w:val="24"/>
                <w:lang w:eastAsia="ru-RU"/>
              </w:rPr>
            </w:pPr>
            <w:r w:rsidRPr="0089282F">
              <w:rPr>
                <w:rFonts w:ascii="Times New Roman" w:eastAsia="Times New Roman" w:hAnsi="Times New Roman"/>
                <w:b/>
                <w:sz w:val="24"/>
                <w:szCs w:val="24"/>
                <w:lang w:eastAsia="ru-RU"/>
              </w:rPr>
              <w:t>Обґрунтування о</w:t>
            </w:r>
            <w:r w:rsidR="004C33B3" w:rsidRPr="0089282F">
              <w:rPr>
                <w:rFonts w:ascii="Times New Roman" w:eastAsia="Times New Roman" w:hAnsi="Times New Roman"/>
                <w:b/>
                <w:sz w:val="24"/>
                <w:szCs w:val="24"/>
                <w:lang w:eastAsia="ru-RU"/>
              </w:rPr>
              <w:t>чікуван</w:t>
            </w:r>
            <w:r w:rsidRPr="0089282F">
              <w:rPr>
                <w:rFonts w:ascii="Times New Roman" w:eastAsia="Times New Roman" w:hAnsi="Times New Roman"/>
                <w:b/>
                <w:sz w:val="24"/>
                <w:szCs w:val="24"/>
                <w:lang w:eastAsia="ru-RU"/>
              </w:rPr>
              <w:t>ої</w:t>
            </w:r>
            <w:r w:rsidR="004C33B3" w:rsidRPr="0089282F">
              <w:rPr>
                <w:rFonts w:ascii="Times New Roman" w:eastAsia="Times New Roman" w:hAnsi="Times New Roman"/>
                <w:b/>
                <w:sz w:val="24"/>
                <w:szCs w:val="24"/>
                <w:lang w:eastAsia="ru-RU"/>
              </w:rPr>
              <w:t xml:space="preserve"> варт</w:t>
            </w:r>
            <w:r w:rsidRPr="0089282F">
              <w:rPr>
                <w:rFonts w:ascii="Times New Roman" w:eastAsia="Times New Roman" w:hAnsi="Times New Roman"/>
                <w:b/>
                <w:sz w:val="24"/>
                <w:szCs w:val="24"/>
                <w:lang w:eastAsia="ru-RU"/>
              </w:rPr>
              <w:t>о</w:t>
            </w:r>
            <w:r w:rsidR="004C33B3" w:rsidRPr="0089282F">
              <w:rPr>
                <w:rFonts w:ascii="Times New Roman" w:eastAsia="Times New Roman" w:hAnsi="Times New Roman"/>
                <w:b/>
                <w:sz w:val="24"/>
                <w:szCs w:val="24"/>
                <w:lang w:eastAsia="ru-RU"/>
              </w:rPr>
              <w:t>ст</w:t>
            </w:r>
            <w:r w:rsidRPr="0089282F">
              <w:rPr>
                <w:rFonts w:ascii="Times New Roman" w:eastAsia="Times New Roman" w:hAnsi="Times New Roman"/>
                <w:b/>
                <w:sz w:val="24"/>
                <w:szCs w:val="24"/>
                <w:lang w:eastAsia="ru-RU"/>
              </w:rPr>
              <w:t>і</w:t>
            </w:r>
            <w:r w:rsidR="00E95AEE" w:rsidRPr="0089282F">
              <w:rPr>
                <w:rFonts w:ascii="Times New Roman" w:eastAsia="Times New Roman" w:hAnsi="Times New Roman"/>
                <w:b/>
                <w:sz w:val="24"/>
                <w:szCs w:val="24"/>
                <w:lang w:eastAsia="ru-RU"/>
              </w:rPr>
              <w:t xml:space="preserve"> предмета закупівлі</w:t>
            </w:r>
          </w:p>
        </w:tc>
        <w:tc>
          <w:tcPr>
            <w:tcW w:w="6145" w:type="dxa"/>
            <w:shd w:val="clear" w:color="auto" w:fill="auto"/>
          </w:tcPr>
          <w:p w14:paraId="4058B779" w14:textId="77777777" w:rsidR="004C33B3" w:rsidRPr="0089282F" w:rsidRDefault="00DD4CA6" w:rsidP="00054FF7">
            <w:pPr>
              <w:jc w:val="both"/>
              <w:rPr>
                <w:rFonts w:ascii="Times New Roman" w:eastAsia="Times New Roman" w:hAnsi="Times New Roman"/>
                <w:sz w:val="24"/>
                <w:szCs w:val="24"/>
                <w:lang w:eastAsia="ru-RU"/>
              </w:rPr>
            </w:pPr>
            <w:r w:rsidRPr="00DD4CA6">
              <w:rPr>
                <w:rFonts w:ascii="Times New Roman" w:eastAsia="Times New Roman" w:hAnsi="Times New Roman"/>
                <w:sz w:val="24"/>
                <w:szCs w:val="24"/>
                <w:lang w:eastAsia="ru-RU"/>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 та враховуючи їх </w:t>
            </w:r>
            <w:r w:rsidRPr="00DD4CA6">
              <w:rPr>
                <w:rFonts w:ascii="Times New Roman" w:eastAsia="Times New Roman" w:hAnsi="Times New Roman"/>
                <w:sz w:val="24"/>
                <w:szCs w:val="24"/>
                <w:lang w:eastAsia="ru-RU"/>
              </w:rPr>
              <w:lastRenderedPageBreak/>
              <w:t>специфіку при розрахунку використовуються ціни попередніх закупівель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p>
        </w:tc>
      </w:tr>
    </w:tbl>
    <w:p w14:paraId="1B20F0EA" w14:textId="77777777" w:rsidR="004C33B3" w:rsidRDefault="004C33B3"/>
    <w:sectPr w:rsidR="004C33B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EE"/>
    <w:rsid w:val="00054FF7"/>
    <w:rsid w:val="000B283C"/>
    <w:rsid w:val="000B2ECD"/>
    <w:rsid w:val="000C4F4F"/>
    <w:rsid w:val="000F15CA"/>
    <w:rsid w:val="001012E7"/>
    <w:rsid w:val="00125D20"/>
    <w:rsid w:val="00126D34"/>
    <w:rsid w:val="00175D5D"/>
    <w:rsid w:val="00415453"/>
    <w:rsid w:val="004B1335"/>
    <w:rsid w:val="004B3609"/>
    <w:rsid w:val="004C33B3"/>
    <w:rsid w:val="005157F7"/>
    <w:rsid w:val="00597E08"/>
    <w:rsid w:val="005A1CEE"/>
    <w:rsid w:val="0069093F"/>
    <w:rsid w:val="00736A3B"/>
    <w:rsid w:val="00846AC4"/>
    <w:rsid w:val="0089282F"/>
    <w:rsid w:val="00961F21"/>
    <w:rsid w:val="00A03BB9"/>
    <w:rsid w:val="00A90DF4"/>
    <w:rsid w:val="00AE52AA"/>
    <w:rsid w:val="00B07D69"/>
    <w:rsid w:val="00BF78BA"/>
    <w:rsid w:val="00C20F57"/>
    <w:rsid w:val="00C51D3E"/>
    <w:rsid w:val="00C558F2"/>
    <w:rsid w:val="00D4428E"/>
    <w:rsid w:val="00D83CCE"/>
    <w:rsid w:val="00DD4CA6"/>
    <w:rsid w:val="00E44D9C"/>
    <w:rsid w:val="00E662C6"/>
    <w:rsid w:val="00E95AEE"/>
    <w:rsid w:val="00F31E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45DC"/>
  <w15:chartTrackingRefBased/>
  <w15:docId w15:val="{A14B3CBB-6F51-450B-8C31-583C34E3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B3"/>
    <w:pPr>
      <w:spacing w:after="200" w:line="276" w:lineRule="auto"/>
    </w:pPr>
    <w:rPr>
      <w:rFonts w:ascii="Calibri" w:hAnsi="Calibri" w:cs="Times New Roman"/>
      <w:sz w:val="22"/>
      <w:szCs w:val="22"/>
      <w:lang w:eastAsia="en-US"/>
    </w:rPr>
  </w:style>
  <w:style w:type="paragraph" w:styleId="1">
    <w:name w:val="heading 1"/>
    <w:basedOn w:val="a"/>
    <w:link w:val="10"/>
    <w:uiPriority w:val="9"/>
    <w:qFormat/>
    <w:rsid w:val="00175D5D"/>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175D5D"/>
    <w:rPr>
      <w:rFonts w:eastAsia="Times New Roman" w:cs="Times New Roman"/>
      <w:b/>
      <w:bCs/>
      <w:kern w:val="36"/>
      <w:sz w:val="48"/>
      <w:szCs w:val="48"/>
      <w:lang w:eastAsia="uk-UA"/>
    </w:rPr>
  </w:style>
  <w:style w:type="character" w:customStyle="1" w:styleId="qabuget">
    <w:name w:val="qa_buget"/>
    <w:basedOn w:val="a0"/>
    <w:rsid w:val="00175D5D"/>
  </w:style>
  <w:style w:type="character" w:customStyle="1" w:styleId="qacode">
    <w:name w:val="qa_code"/>
    <w:basedOn w:val="a0"/>
    <w:rsid w:val="00175D5D"/>
  </w:style>
  <w:style w:type="paragraph" w:styleId="a4">
    <w:name w:val="Balloon Text"/>
    <w:basedOn w:val="a"/>
    <w:link w:val="a5"/>
    <w:uiPriority w:val="99"/>
    <w:semiHidden/>
    <w:unhideWhenUsed/>
    <w:rsid w:val="00846AC4"/>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846AC4"/>
    <w:rPr>
      <w:rFonts w:ascii="Segoe UI" w:hAnsi="Segoe UI" w:cs="Segoe UI"/>
      <w:sz w:val="18"/>
      <w:szCs w:val="18"/>
    </w:rPr>
  </w:style>
  <w:style w:type="character" w:customStyle="1" w:styleId="h-hidden">
    <w:name w:val="h-hidden"/>
    <w:rsid w:val="000F15CA"/>
  </w:style>
  <w:style w:type="character" w:customStyle="1" w:styleId="ng-binding">
    <w:name w:val="ng-binding"/>
    <w:basedOn w:val="a0"/>
    <w:rsid w:val="0069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10621">
      <w:bodyDiv w:val="1"/>
      <w:marLeft w:val="0"/>
      <w:marRight w:val="0"/>
      <w:marTop w:val="0"/>
      <w:marBottom w:val="0"/>
      <w:divBdr>
        <w:top w:val="none" w:sz="0" w:space="0" w:color="auto"/>
        <w:left w:val="none" w:sz="0" w:space="0" w:color="auto"/>
        <w:bottom w:val="none" w:sz="0" w:space="0" w:color="auto"/>
        <w:right w:val="none" w:sz="0" w:space="0" w:color="auto"/>
      </w:divBdr>
    </w:div>
    <w:div w:id="655693272">
      <w:bodyDiv w:val="1"/>
      <w:marLeft w:val="0"/>
      <w:marRight w:val="0"/>
      <w:marTop w:val="0"/>
      <w:marBottom w:val="0"/>
      <w:divBdr>
        <w:top w:val="none" w:sz="0" w:space="0" w:color="auto"/>
        <w:left w:val="none" w:sz="0" w:space="0" w:color="auto"/>
        <w:bottom w:val="none" w:sz="0" w:space="0" w:color="auto"/>
        <w:right w:val="none" w:sz="0" w:space="0" w:color="auto"/>
      </w:divBdr>
    </w:div>
    <w:div w:id="832718108">
      <w:bodyDiv w:val="1"/>
      <w:marLeft w:val="0"/>
      <w:marRight w:val="0"/>
      <w:marTop w:val="0"/>
      <w:marBottom w:val="0"/>
      <w:divBdr>
        <w:top w:val="none" w:sz="0" w:space="0" w:color="auto"/>
        <w:left w:val="none" w:sz="0" w:space="0" w:color="auto"/>
        <w:bottom w:val="none" w:sz="0" w:space="0" w:color="auto"/>
        <w:right w:val="none" w:sz="0" w:space="0" w:color="auto"/>
      </w:divBdr>
    </w:div>
    <w:div w:id="1464078197">
      <w:bodyDiv w:val="1"/>
      <w:marLeft w:val="0"/>
      <w:marRight w:val="0"/>
      <w:marTop w:val="0"/>
      <w:marBottom w:val="0"/>
      <w:divBdr>
        <w:top w:val="none" w:sz="0" w:space="0" w:color="auto"/>
        <w:left w:val="none" w:sz="0" w:space="0" w:color="auto"/>
        <w:bottom w:val="none" w:sz="0" w:space="0" w:color="auto"/>
        <w:right w:val="none" w:sz="0" w:space="0" w:color="auto"/>
      </w:divBdr>
    </w:div>
    <w:div w:id="1477723959">
      <w:bodyDiv w:val="1"/>
      <w:marLeft w:val="0"/>
      <w:marRight w:val="0"/>
      <w:marTop w:val="0"/>
      <w:marBottom w:val="0"/>
      <w:divBdr>
        <w:top w:val="none" w:sz="0" w:space="0" w:color="auto"/>
        <w:left w:val="none" w:sz="0" w:space="0" w:color="auto"/>
        <w:bottom w:val="none" w:sz="0" w:space="0" w:color="auto"/>
        <w:right w:val="none" w:sz="0" w:space="0" w:color="auto"/>
      </w:divBdr>
    </w:div>
    <w:div w:id="207547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1930</Words>
  <Characters>1101</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Дяченко</dc:creator>
  <cp:keywords/>
  <dc:description/>
  <cp:lastModifiedBy>PHC01</cp:lastModifiedBy>
  <cp:revision>2</cp:revision>
  <cp:lastPrinted>2021-01-13T06:55:00Z</cp:lastPrinted>
  <dcterms:created xsi:type="dcterms:W3CDTF">2021-08-04T13:28:00Z</dcterms:created>
  <dcterms:modified xsi:type="dcterms:W3CDTF">2021-08-04T13:28:00Z</dcterms:modified>
</cp:coreProperties>
</file>