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EF7C" w14:textId="4B50B08A" w:rsidR="009443DC" w:rsidRPr="00930279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0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30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УСТАНОВ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591E4CF9" w14:textId="77777777" w:rsidR="009443DC" w:rsidRPr="00930279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0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930279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0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7D4D16EB" w14:textId="77777777" w:rsidR="009443DC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ЄДРПОУ </w:t>
      </w:r>
      <w:r w:rsidRPr="00930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40524109</w:t>
      </w:r>
    </w:p>
    <w:p w14:paraId="11753B1F" w14:textId="77777777" w:rsidR="009443DC" w:rsidRPr="00930279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0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1C5309AC" w14:textId="7FC3B798" w:rsidR="009443DC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Cs/>
          <w:sz w:val="20"/>
          <w:szCs w:val="20"/>
        </w:rPr>
        <w:t>технічних та якісних характеристик</w:t>
      </w:r>
      <w:r w:rsidR="0084332E">
        <w:rPr>
          <w:rFonts w:ascii="Times New Roman" w:hAnsi="Times New Roman"/>
          <w:bCs/>
          <w:sz w:val="20"/>
          <w:szCs w:val="20"/>
        </w:rPr>
        <w:t xml:space="preserve"> закупівлі,</w:t>
      </w:r>
      <w:r w:rsidR="009443DC" w:rsidRPr="009443DC">
        <w:rPr>
          <w:rFonts w:ascii="Times New Roman" w:hAnsi="Times New Roman"/>
          <w:bCs/>
          <w:sz w:val="20"/>
          <w:szCs w:val="20"/>
        </w:rPr>
        <w:t xml:space="preserve"> </w:t>
      </w:r>
      <w:r w:rsidR="009443DC"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  <w:r w:rsidR="0084332E">
        <w:rPr>
          <w:rFonts w:ascii="Times New Roman" w:hAnsi="Times New Roman"/>
          <w:bCs/>
          <w:sz w:val="20"/>
          <w:szCs w:val="20"/>
        </w:rPr>
        <w:t>:</w:t>
      </w:r>
      <w:r w:rsidRPr="005160A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59A1FD00" w14:textId="6CDE829A" w:rsidR="002B72AC" w:rsidRPr="005160A1" w:rsidRDefault="002B6E58" w:rsidP="00AA710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9443DC">
        <w:rPr>
          <w:rFonts w:ascii="Times New Roman" w:hAnsi="Times New Roman"/>
          <w:b/>
          <w:bCs/>
          <w:sz w:val="20"/>
          <w:szCs w:val="20"/>
        </w:rPr>
        <w:t>ДК 021:2015:38430000-2 - Детектори та аналізатори</w:t>
      </w:r>
      <w:r>
        <w:rPr>
          <w:rFonts w:ascii="Times New Roman" w:hAnsi="Times New Roman"/>
          <w:b/>
          <w:bCs/>
          <w:sz w:val="20"/>
          <w:szCs w:val="20"/>
        </w:rPr>
        <w:t xml:space="preserve"> (</w:t>
      </w:r>
      <w:r w:rsidR="00AA710B" w:rsidRPr="00AA710B">
        <w:rPr>
          <w:rFonts w:ascii="Times New Roman" w:hAnsi="Times New Roman"/>
          <w:b/>
          <w:bCs/>
          <w:sz w:val="20"/>
          <w:szCs w:val="20"/>
        </w:rPr>
        <w:t xml:space="preserve">Система для газової хроматографії з вакуумним </w:t>
      </w:r>
      <w:proofErr w:type="spellStart"/>
      <w:r w:rsidR="00AA710B" w:rsidRPr="00AA710B">
        <w:rPr>
          <w:rFonts w:ascii="Times New Roman" w:hAnsi="Times New Roman"/>
          <w:b/>
          <w:bCs/>
          <w:sz w:val="20"/>
          <w:szCs w:val="20"/>
        </w:rPr>
        <w:t>маніфольдом</w:t>
      </w:r>
      <w:proofErr w:type="spellEnd"/>
      <w:r w:rsidR="00AA710B" w:rsidRPr="00AA710B">
        <w:rPr>
          <w:rFonts w:ascii="Times New Roman" w:hAnsi="Times New Roman"/>
          <w:b/>
          <w:bCs/>
          <w:sz w:val="20"/>
          <w:szCs w:val="20"/>
        </w:rPr>
        <w:t xml:space="preserve"> та автоматичним </w:t>
      </w:r>
      <w:proofErr w:type="spellStart"/>
      <w:r w:rsidR="00AA710B" w:rsidRPr="00AA710B">
        <w:rPr>
          <w:rFonts w:ascii="Times New Roman" w:hAnsi="Times New Roman"/>
          <w:b/>
          <w:bCs/>
          <w:sz w:val="20"/>
          <w:szCs w:val="20"/>
        </w:rPr>
        <w:t>упарювачем</w:t>
      </w:r>
      <w:proofErr w:type="spellEnd"/>
      <w:r w:rsidR="00AA710B" w:rsidRPr="00AA710B">
        <w:rPr>
          <w:rFonts w:ascii="Times New Roman" w:hAnsi="Times New Roman"/>
          <w:b/>
          <w:bCs/>
          <w:sz w:val="20"/>
          <w:szCs w:val="20"/>
        </w:rPr>
        <w:t>; Система для іонної хроматографії; Комбінована система для проведення одночасного флуоресцентного та УФ-Вид аналізу</w:t>
      </w:r>
      <w:r>
        <w:rPr>
          <w:rFonts w:ascii="Times New Roman" w:hAnsi="Times New Roman"/>
          <w:b/>
          <w:bCs/>
          <w:sz w:val="20"/>
          <w:szCs w:val="20"/>
        </w:rPr>
        <w:t>)</w:t>
      </w:r>
      <w:r w:rsidR="009443DC" w:rsidRPr="009443DC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3673CAB5" w14:textId="77777777" w:rsidR="002B72AC" w:rsidRPr="002B4A84" w:rsidRDefault="002B72AC" w:rsidP="00AA710B">
      <w:pPr>
        <w:spacing w:after="0" w:line="240" w:lineRule="auto"/>
        <w:jc w:val="both"/>
        <w:rPr>
          <w:rStyle w:val="a3"/>
          <w:rFonts w:ascii="Times New Roman" w:hAnsi="Times New Roman"/>
          <w:bCs/>
          <w:sz w:val="20"/>
          <w:szCs w:val="20"/>
        </w:rPr>
      </w:pPr>
      <w:r w:rsidRPr="002B4A84">
        <w:rPr>
          <w:rStyle w:val="a3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098F25AD" w:rsidR="002B72AC" w:rsidRPr="00226C86" w:rsidRDefault="002B72AC" w:rsidP="00AA710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uk-UA"/>
        </w:rPr>
      </w:pPr>
      <w:r w:rsidRPr="00226C86">
        <w:rPr>
          <w:rStyle w:val="a3"/>
          <w:rFonts w:ascii="Times New Roman" w:hAnsi="Times New Roman"/>
          <w:b/>
          <w:bCs/>
          <w:i w:val="0"/>
          <w:iCs w:val="0"/>
          <w:sz w:val="20"/>
          <w:szCs w:val="20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6C86">
        <w:rPr>
          <w:rStyle w:val="a3"/>
          <w:rFonts w:ascii="Times New Roman" w:hAnsi="Times New Roman"/>
          <w:i w:val="0"/>
          <w:iCs w:val="0"/>
          <w:sz w:val="20"/>
          <w:szCs w:val="20"/>
        </w:rPr>
        <w:t xml:space="preserve"> </w:t>
      </w:r>
      <w:r w:rsidR="0084332E" w:rsidRPr="00226C86">
        <w:rPr>
          <w:rStyle w:val="a3"/>
          <w:rFonts w:ascii="Times New Roman" w:hAnsi="Times New Roman"/>
          <w:i w:val="0"/>
          <w:iCs w:val="0"/>
          <w:sz w:val="20"/>
          <w:szCs w:val="20"/>
        </w:rPr>
        <w:t xml:space="preserve">Державна установа: «Центр громадського здоров’я Міністерства охорони здоров’я України», 04071, Київська обл., м. Київ, </w:t>
      </w:r>
      <w:r w:rsidR="0084332E" w:rsidRPr="00226C86">
        <w:rPr>
          <w:rStyle w:val="a3"/>
          <w:rFonts w:ascii="Times New Roman" w:hAnsi="Times New Roman"/>
          <w:i w:val="0"/>
          <w:iCs w:val="0"/>
          <w:sz w:val="20"/>
          <w:szCs w:val="20"/>
        </w:rPr>
        <w:br/>
        <w:t>вул. Ярославська, 41, ЄДРПОУ 40524109, категорія замовника - Юридична особа, яка забезпечує потреби держави або територіальної громади</w:t>
      </w:r>
      <w:r w:rsidR="00226C86">
        <w:rPr>
          <w:rStyle w:val="a3"/>
          <w:rFonts w:ascii="Times New Roman" w:hAnsi="Times New Roman"/>
          <w:i w:val="0"/>
          <w:iCs w:val="0"/>
          <w:sz w:val="20"/>
          <w:szCs w:val="20"/>
        </w:rPr>
        <w:t>.</w:t>
      </w:r>
    </w:p>
    <w:p w14:paraId="59DBB133" w14:textId="585DA335" w:rsidR="002B72AC" w:rsidRPr="00A02681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26C86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226C8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Pr="00A02681">
        <w:rPr>
          <w:rFonts w:ascii="Times New Roman" w:hAnsi="Times New Roman"/>
          <w:bCs/>
          <w:sz w:val="20"/>
          <w:szCs w:val="20"/>
        </w:rPr>
        <w:t xml:space="preserve">Код </w:t>
      </w:r>
      <w:r w:rsidR="0084332E" w:rsidRPr="0084332E">
        <w:rPr>
          <w:rFonts w:ascii="Times New Roman" w:hAnsi="Times New Roman"/>
          <w:bCs/>
          <w:sz w:val="20"/>
          <w:szCs w:val="20"/>
        </w:rPr>
        <w:t>ДК 021:2015:38430000-2 - Детектори та аналізатори</w:t>
      </w:r>
      <w:r w:rsidR="00226C86">
        <w:rPr>
          <w:rFonts w:ascii="Times New Roman" w:hAnsi="Times New Roman"/>
          <w:bCs/>
          <w:sz w:val="20"/>
          <w:szCs w:val="20"/>
        </w:rPr>
        <w:t xml:space="preserve"> (</w:t>
      </w:r>
      <w:r w:rsidR="00AA710B" w:rsidRPr="00AA710B">
        <w:rPr>
          <w:rFonts w:ascii="Times New Roman" w:hAnsi="Times New Roman"/>
          <w:bCs/>
          <w:sz w:val="20"/>
          <w:szCs w:val="20"/>
        </w:rPr>
        <w:t xml:space="preserve">Система для газової хроматографії з вакуумним </w:t>
      </w:r>
      <w:proofErr w:type="spellStart"/>
      <w:r w:rsidR="00AA710B" w:rsidRPr="00AA710B">
        <w:rPr>
          <w:rFonts w:ascii="Times New Roman" w:hAnsi="Times New Roman"/>
          <w:bCs/>
          <w:sz w:val="20"/>
          <w:szCs w:val="20"/>
        </w:rPr>
        <w:t>маніфольдом</w:t>
      </w:r>
      <w:proofErr w:type="spellEnd"/>
      <w:r w:rsidR="00AA710B" w:rsidRPr="00AA710B">
        <w:rPr>
          <w:rFonts w:ascii="Times New Roman" w:hAnsi="Times New Roman"/>
          <w:bCs/>
          <w:sz w:val="20"/>
          <w:szCs w:val="20"/>
        </w:rPr>
        <w:t xml:space="preserve"> та автоматичним </w:t>
      </w:r>
      <w:proofErr w:type="spellStart"/>
      <w:r w:rsidR="00AA710B" w:rsidRPr="00AA710B">
        <w:rPr>
          <w:rFonts w:ascii="Times New Roman" w:hAnsi="Times New Roman"/>
          <w:bCs/>
          <w:sz w:val="20"/>
          <w:szCs w:val="20"/>
        </w:rPr>
        <w:t>упарювачем</w:t>
      </w:r>
      <w:proofErr w:type="spellEnd"/>
      <w:r w:rsidR="00AA710B" w:rsidRPr="00AA710B">
        <w:rPr>
          <w:rFonts w:ascii="Times New Roman" w:hAnsi="Times New Roman"/>
          <w:bCs/>
          <w:sz w:val="20"/>
          <w:szCs w:val="20"/>
        </w:rPr>
        <w:t>; Система для іонної хроматографії; Комбінована система для проведення одночасного флуоресцентного та УФ-Вид аналізу</w:t>
      </w:r>
      <w:r w:rsidR="00226C86">
        <w:rPr>
          <w:rFonts w:ascii="Times New Roman" w:hAnsi="Times New Roman"/>
          <w:bCs/>
          <w:sz w:val="20"/>
          <w:szCs w:val="20"/>
        </w:rPr>
        <w:t>).</w:t>
      </w:r>
    </w:p>
    <w:p w14:paraId="5C29E717" w14:textId="3534BFAE" w:rsidR="002B72AC" w:rsidRPr="00F358F7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84332E">
        <w:rPr>
          <w:rFonts w:ascii="Times New Roman" w:hAnsi="Times New Roman"/>
          <w:sz w:val="20"/>
          <w:szCs w:val="20"/>
        </w:rPr>
        <w:t>Відкриті торги з публікацією англійською мовою</w:t>
      </w:r>
      <w:r w:rsidR="002E2676">
        <w:rPr>
          <w:rFonts w:ascii="Times New Roman" w:hAnsi="Times New Roman"/>
          <w:sz w:val="20"/>
          <w:szCs w:val="20"/>
        </w:rPr>
        <w:br/>
        <w:t xml:space="preserve"> </w:t>
      </w:r>
      <w:r w:rsidR="00AA710B" w:rsidRPr="00AA710B">
        <w:rPr>
          <w:rFonts w:ascii="Times New Roman" w:hAnsi="Times New Roman"/>
          <w:sz w:val="20"/>
          <w:szCs w:val="20"/>
        </w:rPr>
        <w:t>UA-2022-06-16-006952-a</w:t>
      </w:r>
    </w:p>
    <w:p w14:paraId="4E9336F8" w14:textId="7EBA9A95" w:rsidR="002B72AC" w:rsidRDefault="002B72AC" w:rsidP="007D5B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2E2676" w:rsidRPr="002E2676">
        <w:rPr>
          <w:rFonts w:ascii="Times New Roman" w:hAnsi="Times New Roman"/>
          <w:sz w:val="20"/>
          <w:szCs w:val="20"/>
        </w:rPr>
        <w:t>55 050 000,00</w:t>
      </w:r>
      <w:r w:rsidRPr="00F358F7">
        <w:rPr>
          <w:rFonts w:ascii="Times New Roman" w:hAnsi="Times New Roman"/>
          <w:sz w:val="20"/>
          <w:szCs w:val="20"/>
        </w:rPr>
        <w:t xml:space="preserve"> грн</w:t>
      </w:r>
      <w:r w:rsidR="002C7992">
        <w:rPr>
          <w:rFonts w:ascii="Times New Roman" w:hAnsi="Times New Roman"/>
          <w:sz w:val="20"/>
          <w:szCs w:val="20"/>
        </w:rPr>
        <w:t xml:space="preserve"> з ПДВ</w:t>
      </w:r>
      <w:r w:rsidRPr="00F358F7">
        <w:rPr>
          <w:rFonts w:ascii="Times New Roman" w:hAnsi="Times New Roman"/>
          <w:sz w:val="20"/>
          <w:szCs w:val="20"/>
        </w:rPr>
        <w:t xml:space="preserve">. </w:t>
      </w:r>
      <w:r w:rsidRPr="00422E29">
        <w:rPr>
          <w:rFonts w:ascii="Times New Roman" w:eastAsia="Calibri" w:hAnsi="Times New Roman" w:cs="Times New Roman"/>
          <w:sz w:val="20"/>
          <w:szCs w:val="20"/>
        </w:rPr>
        <w:t xml:space="preserve">Визначення очікуваної вартості предмета закупівлі </w:t>
      </w:r>
      <w:r w:rsidR="00FA72FC" w:rsidRPr="00FA72FC">
        <w:rPr>
          <w:rFonts w:ascii="Times New Roman" w:eastAsia="Calibri" w:hAnsi="Times New Roman" w:cs="Times New Roman"/>
          <w:sz w:val="20"/>
          <w:szCs w:val="20"/>
        </w:rPr>
        <w:t>здійснювалося із застосуванням проведен</w:t>
      </w:r>
      <w:r w:rsidR="00FA72FC">
        <w:rPr>
          <w:rFonts w:ascii="Times New Roman" w:eastAsia="Calibri" w:hAnsi="Times New Roman" w:cs="Times New Roman"/>
          <w:sz w:val="20"/>
          <w:szCs w:val="20"/>
        </w:rPr>
        <w:t>ня</w:t>
      </w:r>
      <w:r w:rsidR="00FA72FC" w:rsidRPr="00FA72FC">
        <w:rPr>
          <w:rFonts w:ascii="Times New Roman" w:eastAsia="Calibri" w:hAnsi="Times New Roman" w:cs="Times New Roman"/>
          <w:sz w:val="20"/>
          <w:szCs w:val="20"/>
        </w:rPr>
        <w:t xml:space="preserve"> моніторинг</w:t>
      </w:r>
      <w:r w:rsidR="00FA72FC">
        <w:rPr>
          <w:rFonts w:ascii="Times New Roman" w:eastAsia="Calibri" w:hAnsi="Times New Roman" w:cs="Times New Roman"/>
          <w:sz w:val="20"/>
          <w:szCs w:val="20"/>
        </w:rPr>
        <w:t>у</w:t>
      </w:r>
      <w:r w:rsidR="00FA72FC" w:rsidRPr="00FA72FC">
        <w:rPr>
          <w:rFonts w:ascii="Times New Roman" w:eastAsia="Calibri" w:hAnsi="Times New Roman" w:cs="Times New Roman"/>
          <w:sz w:val="20"/>
          <w:szCs w:val="20"/>
        </w:rPr>
        <w:t xml:space="preserve"> цін, шляхом запиту комерційних пропозицій від постачальникі</w:t>
      </w:r>
      <w:r w:rsidR="00FA72FC">
        <w:rPr>
          <w:rFonts w:ascii="Times New Roman" w:eastAsia="Calibri" w:hAnsi="Times New Roman" w:cs="Times New Roman"/>
          <w:sz w:val="20"/>
          <w:szCs w:val="20"/>
        </w:rPr>
        <w:t>в</w:t>
      </w:r>
      <w:r w:rsidR="002C799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на підставі </w:t>
      </w:r>
      <w:r w:rsidRPr="00F2212F">
        <w:rPr>
          <w:rFonts w:ascii="Times New Roman" w:eastAsia="Calibri" w:hAnsi="Times New Roman" w:cs="Times New Roman"/>
          <w:sz w:val="20"/>
          <w:szCs w:val="20"/>
        </w:rPr>
        <w:t xml:space="preserve">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F2212F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F2212F">
        <w:rPr>
          <w:rFonts w:ascii="Times New Roman" w:eastAsia="Calibri" w:hAnsi="Times New Roman" w:cs="Times New Roman"/>
          <w:sz w:val="20"/>
          <w:szCs w:val="20"/>
        </w:rPr>
        <w:t>, примірної методики визначення очікуван</w:t>
      </w:r>
      <w:r>
        <w:rPr>
          <w:rFonts w:ascii="Times New Roman" w:eastAsia="Calibri" w:hAnsi="Times New Roman" w:cs="Times New Roman"/>
          <w:sz w:val="20"/>
          <w:szCs w:val="20"/>
        </w:rPr>
        <w:t xml:space="preserve">ої вартості предмета закупівлі, а саме: згідно з пунктом 1 </w:t>
      </w:r>
      <w:r w:rsidRPr="00680562">
        <w:rPr>
          <w:rFonts w:ascii="Times New Roman" w:eastAsia="Calibri" w:hAnsi="Times New Roman" w:cs="Times New Roman"/>
          <w:sz w:val="20"/>
          <w:szCs w:val="20"/>
        </w:rPr>
        <w:t xml:space="preserve">розділу ІІІ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наказ</w:t>
      </w:r>
      <w:r>
        <w:rPr>
          <w:rFonts w:ascii="Times New Roman" w:eastAsia="Calibri" w:hAnsi="Times New Roman" w:cs="Times New Roman"/>
          <w:sz w:val="20"/>
          <w:szCs w:val="20"/>
        </w:rPr>
        <w:t>у</w:t>
      </w:r>
      <w:r w:rsidRPr="00F2212F">
        <w:rPr>
          <w:rFonts w:ascii="Times New Roman" w:eastAsia="Calibri" w:hAnsi="Times New Roman" w:cs="Times New Roman"/>
          <w:sz w:val="20"/>
          <w:szCs w:val="20"/>
        </w:rPr>
        <w:t xml:space="preserve"> Міністерства розвитку економіки, торгівлі та сільського господарства України від 18.02.2020  № 275 із змінами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57C946DB" w14:textId="77777777" w:rsidR="00AA710B" w:rsidRPr="00422E29" w:rsidRDefault="00AA710B" w:rsidP="007D5B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B0AB3A" w14:textId="61F1FEE3" w:rsidR="002B72AC" w:rsidRPr="00BD55D5" w:rsidRDefault="002B72AC" w:rsidP="007D5BB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призначення: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="00AA710B" w:rsidRPr="00AA710B">
        <w:rPr>
          <w:rFonts w:ascii="Times New Roman" w:eastAsia="Times New Roman" w:hAnsi="Times New Roman"/>
          <w:bCs/>
          <w:sz w:val="20"/>
          <w:szCs w:val="20"/>
          <w:lang w:eastAsia="uk-UA"/>
        </w:rPr>
        <w:t>265 972 000,0</w:t>
      </w:r>
      <w:r w:rsidR="007D5BBD" w:rsidRPr="007D5BBD">
        <w:rPr>
          <w:rFonts w:ascii="Times New Roman" w:eastAsia="Times New Roman" w:hAnsi="Times New Roman"/>
          <w:bCs/>
          <w:sz w:val="20"/>
          <w:szCs w:val="20"/>
          <w:lang w:eastAsia="uk-UA"/>
        </w:rPr>
        <w:t>0</w:t>
      </w:r>
      <w:r w:rsidR="00366514" w:rsidRPr="00366514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грн</w:t>
      </w:r>
      <w:r w:rsidR="002C7992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з ПДВ.</w:t>
      </w:r>
    </w:p>
    <w:p w14:paraId="7EEF8683" w14:textId="77777777" w:rsidR="00226C86" w:rsidRDefault="002B72AC" w:rsidP="007D5B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та я</w:t>
      </w:r>
      <w:r w:rsidRPr="00F358F7">
        <w:rPr>
          <w:rFonts w:ascii="Times New Roman" w:hAnsi="Times New Roman"/>
          <w:b/>
          <w:sz w:val="20"/>
          <w:szCs w:val="20"/>
        </w:rPr>
        <w:t>кісн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>
        <w:rPr>
          <w:rFonts w:ascii="Times New Roman" w:hAnsi="Times New Roman"/>
          <w:b/>
          <w:sz w:val="20"/>
          <w:szCs w:val="20"/>
        </w:rPr>
        <w:t xml:space="preserve"> предмета закупівлі</w:t>
      </w:r>
      <w:r w:rsidRPr="00F358F7">
        <w:rPr>
          <w:rFonts w:ascii="Times New Roman" w:hAnsi="Times New Roman"/>
          <w:b/>
          <w:sz w:val="20"/>
          <w:szCs w:val="20"/>
        </w:rPr>
        <w:t xml:space="preserve">. </w:t>
      </w:r>
    </w:p>
    <w:p w14:paraId="14A58F76" w14:textId="5E4101D1" w:rsidR="002B72AC" w:rsidRPr="00F358F7" w:rsidRDefault="002B72AC" w:rsidP="00AA71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 xml:space="preserve">Термін постачання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Pr="00366514">
        <w:rPr>
          <w:rFonts w:ascii="Times New Roman" w:hAnsi="Times New Roman"/>
          <w:sz w:val="20"/>
          <w:szCs w:val="20"/>
        </w:rPr>
        <w:t>з дати укладання договору</w:t>
      </w:r>
      <w:r w:rsidR="00366514" w:rsidRPr="00366514">
        <w:rPr>
          <w:rFonts w:ascii="Times New Roman" w:hAnsi="Times New Roman"/>
          <w:sz w:val="20"/>
          <w:szCs w:val="20"/>
        </w:rPr>
        <w:t xml:space="preserve"> </w:t>
      </w:r>
      <w:r w:rsidR="00366514">
        <w:rPr>
          <w:rFonts w:ascii="Times New Roman" w:hAnsi="Times New Roman"/>
          <w:sz w:val="20"/>
          <w:szCs w:val="20"/>
        </w:rPr>
        <w:t xml:space="preserve">по 23 грудня </w:t>
      </w:r>
      <w:r w:rsidRPr="00F358F7">
        <w:rPr>
          <w:rFonts w:ascii="Times New Roman" w:hAnsi="Times New Roman"/>
          <w:sz w:val="20"/>
          <w:szCs w:val="20"/>
        </w:rPr>
        <w:t>202</w:t>
      </w:r>
      <w:r w:rsidR="00366514">
        <w:rPr>
          <w:rFonts w:ascii="Times New Roman" w:hAnsi="Times New Roman"/>
          <w:sz w:val="20"/>
          <w:szCs w:val="20"/>
        </w:rPr>
        <w:t>2.</w:t>
      </w:r>
      <w:r w:rsidRPr="00F358F7">
        <w:rPr>
          <w:rFonts w:ascii="Times New Roman" w:hAnsi="Times New Roman"/>
          <w:sz w:val="20"/>
          <w:szCs w:val="20"/>
        </w:rPr>
        <w:t xml:space="preserve"> </w:t>
      </w:r>
    </w:p>
    <w:p w14:paraId="2E7D6EF9" w14:textId="303A9C68" w:rsidR="002B72AC" w:rsidRDefault="002B72AC" w:rsidP="00AA71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55D5">
        <w:rPr>
          <w:rFonts w:ascii="Times New Roman" w:hAnsi="Times New Roman"/>
          <w:sz w:val="20"/>
          <w:szCs w:val="20"/>
        </w:rPr>
        <w:t>Якісні та технічні характеристики</w:t>
      </w:r>
      <w:r>
        <w:rPr>
          <w:rFonts w:ascii="Times New Roman" w:hAnsi="Times New Roman"/>
          <w:sz w:val="20"/>
          <w:szCs w:val="20"/>
        </w:rPr>
        <w:t xml:space="preserve"> заявленої кількості</w:t>
      </w:r>
      <w:r w:rsidRPr="00BD55D5">
        <w:rPr>
          <w:rFonts w:ascii="Times New Roman" w:hAnsi="Times New Roman"/>
          <w:sz w:val="20"/>
          <w:szCs w:val="20"/>
        </w:rPr>
        <w:t xml:space="preserve"> </w:t>
      </w:r>
      <w:r w:rsidR="00FF2C21">
        <w:rPr>
          <w:rFonts w:ascii="Times New Roman" w:hAnsi="Times New Roman"/>
          <w:sz w:val="20"/>
          <w:szCs w:val="20"/>
        </w:rPr>
        <w:t>товару</w:t>
      </w:r>
      <w:r w:rsidRPr="00BD55D5">
        <w:rPr>
          <w:rFonts w:ascii="Times New Roman" w:hAnsi="Times New Roman"/>
          <w:sz w:val="20"/>
          <w:szCs w:val="20"/>
        </w:rPr>
        <w:t xml:space="preserve"> визначені з урахуванням реальних потреб</w:t>
      </w:r>
      <w:r>
        <w:rPr>
          <w:rFonts w:ascii="Times New Roman" w:hAnsi="Times New Roman"/>
          <w:sz w:val="20"/>
          <w:szCs w:val="20"/>
        </w:rPr>
        <w:t xml:space="preserve"> </w:t>
      </w:r>
      <w:r w:rsidR="00FF2C21">
        <w:rPr>
          <w:rFonts w:ascii="Times New Roman" w:hAnsi="Times New Roman"/>
          <w:sz w:val="20"/>
          <w:szCs w:val="20"/>
        </w:rPr>
        <w:t>установи</w:t>
      </w:r>
      <w:r w:rsidRPr="00BD55D5">
        <w:rPr>
          <w:rFonts w:ascii="Times New Roman" w:hAnsi="Times New Roman"/>
          <w:sz w:val="20"/>
          <w:szCs w:val="20"/>
        </w:rPr>
        <w:t xml:space="preserve"> та оптимального співвідношення ціни та якості. </w:t>
      </w:r>
      <w:r w:rsidR="00226C86" w:rsidRPr="00226C86">
        <w:rPr>
          <w:rFonts w:ascii="Times New Roman" w:hAnsi="Times New Roman"/>
          <w:sz w:val="20"/>
          <w:szCs w:val="20"/>
        </w:rPr>
        <w:t xml:space="preserve">Технічні та якісні характеристики предмета закупівлі визначено з урахуванням діючих </w:t>
      </w:r>
      <w:r w:rsidR="005F6CE1">
        <w:rPr>
          <w:rFonts w:ascii="Times New Roman" w:hAnsi="Times New Roman"/>
          <w:sz w:val="20"/>
          <w:szCs w:val="20"/>
        </w:rPr>
        <w:t>нормативно-правовим актам</w:t>
      </w:r>
      <w:r w:rsidR="00226C86" w:rsidRPr="00226C86">
        <w:rPr>
          <w:rFonts w:ascii="Times New Roman" w:hAnsi="Times New Roman"/>
          <w:sz w:val="20"/>
          <w:szCs w:val="20"/>
        </w:rPr>
        <w:t>, яким повинен відповідати відповідний вид товару</w:t>
      </w:r>
      <w:r w:rsidR="00226C86">
        <w:rPr>
          <w:rFonts w:ascii="Times New Roman" w:hAnsi="Times New Roman"/>
          <w:sz w:val="20"/>
          <w:szCs w:val="20"/>
        </w:rPr>
        <w:t>.</w:t>
      </w:r>
    </w:p>
    <w:p w14:paraId="1D1701EA" w14:textId="77777777" w:rsidR="002B72AC" w:rsidRDefault="002B72AC" w:rsidP="00AA71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Style w:val="a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123"/>
        <w:gridCol w:w="7658"/>
      </w:tblGrid>
      <w:tr w:rsidR="00AA710B" w:rsidRPr="00AA710B" w14:paraId="6DD68E46" w14:textId="77777777" w:rsidTr="00AA710B">
        <w:tc>
          <w:tcPr>
            <w:tcW w:w="567" w:type="dxa"/>
            <w:vAlign w:val="center"/>
          </w:tcPr>
          <w:p w14:paraId="1535D180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2123" w:type="dxa"/>
            <w:vAlign w:val="center"/>
          </w:tcPr>
          <w:p w14:paraId="4CB2DD49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Назва предмету закупівлі</w:t>
            </w:r>
          </w:p>
        </w:tc>
        <w:tc>
          <w:tcPr>
            <w:tcW w:w="7658" w:type="dxa"/>
            <w:vAlign w:val="center"/>
          </w:tcPr>
          <w:p w14:paraId="04E025CB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Опис предмета закупівлі</w:t>
            </w:r>
          </w:p>
          <w:p w14:paraId="2616A248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(технічні, якісні характеристики)</w:t>
            </w:r>
          </w:p>
        </w:tc>
      </w:tr>
      <w:tr w:rsidR="00AA710B" w:rsidRPr="00AA710B" w14:paraId="5AD9B3C0" w14:textId="77777777" w:rsidTr="00AA710B">
        <w:tc>
          <w:tcPr>
            <w:tcW w:w="567" w:type="dxa"/>
            <w:vMerge w:val="restart"/>
          </w:tcPr>
          <w:p w14:paraId="5B1D1594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23" w:type="dxa"/>
            <w:vMerge w:val="restart"/>
          </w:tcPr>
          <w:p w14:paraId="05D1BC3D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Система для  газової хроматографії з вакуумним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маніфольдом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 та автоматичним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упарювачем</w:t>
            </w:r>
            <w:proofErr w:type="spellEnd"/>
          </w:p>
        </w:tc>
        <w:tc>
          <w:tcPr>
            <w:tcW w:w="7658" w:type="dxa"/>
          </w:tcPr>
          <w:p w14:paraId="5A2F3219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Система повинна відповідати наступним вимогам: </w:t>
            </w:r>
          </w:p>
        </w:tc>
      </w:tr>
      <w:tr w:rsidR="00AA710B" w:rsidRPr="00AA710B" w14:paraId="4F1EC4EF" w14:textId="77777777" w:rsidTr="00AA710B">
        <w:tc>
          <w:tcPr>
            <w:tcW w:w="567" w:type="dxa"/>
            <w:vMerge/>
          </w:tcPr>
          <w:p w14:paraId="6CD1BCEA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454959FD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2A0E17DA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Газовий хроматограф:  </w:t>
            </w:r>
          </w:p>
        </w:tc>
      </w:tr>
      <w:tr w:rsidR="00AA710B" w:rsidRPr="00AA710B" w14:paraId="48A03173" w14:textId="77777777" w:rsidTr="00AA710B">
        <w:tc>
          <w:tcPr>
            <w:tcW w:w="567" w:type="dxa"/>
            <w:vMerge/>
          </w:tcPr>
          <w:p w14:paraId="6A75F4FD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4A448AE4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429125C5" w14:textId="77777777" w:rsidR="00AA710B" w:rsidRPr="00AA710B" w:rsidRDefault="00AA710B" w:rsidP="00AA710B">
            <w:pPr>
              <w:numPr>
                <w:ilvl w:val="0"/>
                <w:numId w:val="3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Кількість інжекторів, що можуть бути встановлені одночасно:  не менше двох</w:t>
            </w:r>
          </w:p>
        </w:tc>
      </w:tr>
      <w:tr w:rsidR="00AA710B" w:rsidRPr="00AA710B" w14:paraId="4E8B035B" w14:textId="77777777" w:rsidTr="00AA710B">
        <w:tc>
          <w:tcPr>
            <w:tcW w:w="567" w:type="dxa"/>
            <w:vMerge/>
          </w:tcPr>
          <w:p w14:paraId="4495D282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42B994E0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6491326F" w14:textId="77777777" w:rsidR="00AA710B" w:rsidRPr="00AA710B" w:rsidRDefault="00AA710B" w:rsidP="00AA710B">
            <w:pPr>
              <w:numPr>
                <w:ilvl w:val="0"/>
                <w:numId w:val="3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Кількість детекторів, що можуть бути встановлені одночасно:  не менше трьох, включаючи МС детектор</w:t>
            </w:r>
          </w:p>
        </w:tc>
      </w:tr>
      <w:tr w:rsidR="00AA710B" w:rsidRPr="00AA710B" w14:paraId="6D8FF17B" w14:textId="77777777" w:rsidTr="00AA710B">
        <w:tc>
          <w:tcPr>
            <w:tcW w:w="567" w:type="dxa"/>
            <w:vMerge/>
          </w:tcPr>
          <w:p w14:paraId="460C9865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6C3F2877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4E004BE6" w14:textId="77777777" w:rsidR="00AA710B" w:rsidRPr="00AA710B" w:rsidRDefault="00AA710B" w:rsidP="00AA710B">
            <w:pPr>
              <w:numPr>
                <w:ilvl w:val="0"/>
                <w:numId w:val="3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Максимальний робочий тиск:  не менше ніж 1000 кПа</w:t>
            </w:r>
          </w:p>
        </w:tc>
      </w:tr>
      <w:tr w:rsidR="00AA710B" w:rsidRPr="00AA710B" w14:paraId="3D5A18DD" w14:textId="77777777" w:rsidTr="00AA710B">
        <w:tc>
          <w:tcPr>
            <w:tcW w:w="567" w:type="dxa"/>
            <w:vMerge/>
          </w:tcPr>
          <w:p w14:paraId="462FE136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35DFB341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61EC87E6" w14:textId="77777777" w:rsidR="00AA710B" w:rsidRPr="00AA710B" w:rsidRDefault="00AA710B" w:rsidP="00AA710B">
            <w:pPr>
              <w:numPr>
                <w:ilvl w:val="0"/>
                <w:numId w:val="3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Діапазон температур термостату:  не вужче ніж від +3°С від кімнатної температури до +450°С</w:t>
            </w:r>
          </w:p>
        </w:tc>
      </w:tr>
      <w:tr w:rsidR="00AA710B" w:rsidRPr="00AA710B" w14:paraId="73D0A711" w14:textId="77777777" w:rsidTr="00AA710B">
        <w:tc>
          <w:tcPr>
            <w:tcW w:w="567" w:type="dxa"/>
            <w:vMerge/>
          </w:tcPr>
          <w:p w14:paraId="4478A6D5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63A51D55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50632B8E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Інжектор з/без поділом потоків (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split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splitless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):</w:t>
            </w:r>
          </w:p>
        </w:tc>
      </w:tr>
      <w:tr w:rsidR="00AA710B" w:rsidRPr="00AA710B" w14:paraId="3720E9C2" w14:textId="77777777" w:rsidTr="00AA710B">
        <w:tc>
          <w:tcPr>
            <w:tcW w:w="567" w:type="dxa"/>
            <w:vMerge/>
          </w:tcPr>
          <w:p w14:paraId="26A61A3C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4D49285E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0A9E7D50" w14:textId="77777777" w:rsidR="00AA710B" w:rsidRPr="00AA710B" w:rsidRDefault="00AA710B" w:rsidP="00AA710B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Максимальна температура інжектора:  не менше ніж 400 °С</w:t>
            </w:r>
          </w:p>
        </w:tc>
      </w:tr>
      <w:tr w:rsidR="00AA710B" w:rsidRPr="00AA710B" w14:paraId="74D00DB2" w14:textId="77777777" w:rsidTr="00AA710B">
        <w:tc>
          <w:tcPr>
            <w:tcW w:w="567" w:type="dxa"/>
            <w:vMerge/>
          </w:tcPr>
          <w:p w14:paraId="04B479F1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1AB6CA73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71816495" w14:textId="77777777" w:rsidR="00AA710B" w:rsidRPr="00AA710B" w:rsidRDefault="00AA710B" w:rsidP="00AA710B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Максимальне розділення потоку: 12500:1</w:t>
            </w:r>
          </w:p>
        </w:tc>
      </w:tr>
      <w:tr w:rsidR="00AA710B" w:rsidRPr="00AA710B" w14:paraId="35CA3732" w14:textId="77777777" w:rsidTr="00AA710B">
        <w:tc>
          <w:tcPr>
            <w:tcW w:w="567" w:type="dxa"/>
            <w:vMerge/>
          </w:tcPr>
          <w:p w14:paraId="6CAA6E2E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6151D91D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1C0317DC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Електрон-захватний детектор (ECD):</w:t>
            </w:r>
          </w:p>
        </w:tc>
      </w:tr>
      <w:tr w:rsidR="00AA710B" w:rsidRPr="00AA710B" w14:paraId="26EF035E" w14:textId="77777777" w:rsidTr="00AA710B">
        <w:tc>
          <w:tcPr>
            <w:tcW w:w="567" w:type="dxa"/>
            <w:vMerge/>
          </w:tcPr>
          <w:p w14:paraId="29B44D16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04FE0941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20B5C84D" w14:textId="77777777" w:rsidR="00AA710B" w:rsidRPr="00AA710B" w:rsidRDefault="00AA710B" w:rsidP="00AA710B">
            <w:pPr>
              <w:numPr>
                <w:ilvl w:val="0"/>
                <w:numId w:val="5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Максимальна температура детектора: не менше ніж 400 °С</w:t>
            </w:r>
          </w:p>
        </w:tc>
      </w:tr>
      <w:tr w:rsidR="00AA710B" w:rsidRPr="00AA710B" w14:paraId="166A5A9C" w14:textId="77777777" w:rsidTr="00AA710B">
        <w:tc>
          <w:tcPr>
            <w:tcW w:w="567" w:type="dxa"/>
            <w:vMerge/>
          </w:tcPr>
          <w:p w14:paraId="3A60E352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31FDA724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6B01EE8F" w14:textId="77777777" w:rsidR="00AA710B" w:rsidRPr="00AA710B" w:rsidRDefault="00AA710B" w:rsidP="00AA710B">
            <w:pPr>
              <w:numPr>
                <w:ilvl w:val="0"/>
                <w:numId w:val="5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Мінімальна межа детектування детектора:  не більше ніж 4,5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фг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/с по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ліндану</w:t>
            </w:r>
            <w:proofErr w:type="spellEnd"/>
          </w:p>
        </w:tc>
      </w:tr>
      <w:tr w:rsidR="00AA710B" w:rsidRPr="00AA710B" w14:paraId="7E93C3E9" w14:textId="77777777" w:rsidTr="00AA710B">
        <w:tc>
          <w:tcPr>
            <w:tcW w:w="567" w:type="dxa"/>
            <w:vMerge/>
          </w:tcPr>
          <w:p w14:paraId="0922D1C4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17D5FD6F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07684BC4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Багатофункціональна система введення зразків (рідких зразків та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парофазне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 дозування):</w:t>
            </w:r>
          </w:p>
        </w:tc>
      </w:tr>
      <w:tr w:rsidR="00AA710B" w:rsidRPr="00AA710B" w14:paraId="1942C333" w14:textId="77777777" w:rsidTr="00AA710B">
        <w:tc>
          <w:tcPr>
            <w:tcW w:w="567" w:type="dxa"/>
            <w:vMerge/>
          </w:tcPr>
          <w:p w14:paraId="05CFD0B0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108599FA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7070BB79" w14:textId="77777777" w:rsidR="00AA710B" w:rsidRPr="00AA710B" w:rsidRDefault="00AA710B" w:rsidP="00AA710B">
            <w:pPr>
              <w:numPr>
                <w:ilvl w:val="0"/>
                <w:numId w:val="6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Принцип роботи:  XYZ роботизований апарат для обробки та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інжектування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 зразків</w:t>
            </w:r>
          </w:p>
        </w:tc>
      </w:tr>
      <w:tr w:rsidR="00AA710B" w:rsidRPr="00AA710B" w14:paraId="047F2279" w14:textId="77777777" w:rsidTr="00AA710B">
        <w:tc>
          <w:tcPr>
            <w:tcW w:w="567" w:type="dxa"/>
            <w:vMerge/>
          </w:tcPr>
          <w:p w14:paraId="31473D9E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151391D2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2ACDDA57" w14:textId="77777777" w:rsidR="00AA710B" w:rsidRPr="00AA710B" w:rsidRDefault="00AA710B" w:rsidP="00AA710B">
            <w:pPr>
              <w:numPr>
                <w:ilvl w:val="0"/>
                <w:numId w:val="6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Сумісність з інжекторами:  з інжектором з та без ділення потоку та інжектором з програмованою температурою випаровування</w:t>
            </w:r>
          </w:p>
        </w:tc>
      </w:tr>
      <w:tr w:rsidR="00AA710B" w:rsidRPr="00AA710B" w14:paraId="5100A0DE" w14:textId="77777777" w:rsidTr="00AA710B">
        <w:tc>
          <w:tcPr>
            <w:tcW w:w="567" w:type="dxa"/>
            <w:vMerge/>
          </w:tcPr>
          <w:p w14:paraId="1C5A2BB0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4A4ACD76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32B90F7F" w14:textId="77777777" w:rsidR="00AA710B" w:rsidRPr="00AA710B" w:rsidRDefault="00AA710B" w:rsidP="00AA710B">
            <w:pPr>
              <w:numPr>
                <w:ilvl w:val="0"/>
                <w:numId w:val="6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Повністю програмована швидкість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інжектування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 зразку:  в діапазоні не вужче ніж від 0,1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мкл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/с до 2000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мкл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/с</w:t>
            </w:r>
          </w:p>
        </w:tc>
      </w:tr>
      <w:tr w:rsidR="00AA710B" w:rsidRPr="00AA710B" w14:paraId="5E046520" w14:textId="77777777" w:rsidTr="00AA710B">
        <w:tc>
          <w:tcPr>
            <w:tcW w:w="567" w:type="dxa"/>
            <w:vMerge/>
          </w:tcPr>
          <w:p w14:paraId="20285173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45C95DD4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59215891" w14:textId="77777777" w:rsidR="00AA710B" w:rsidRPr="00AA710B" w:rsidRDefault="00AA710B" w:rsidP="00AA710B">
            <w:pPr>
              <w:numPr>
                <w:ilvl w:val="0"/>
                <w:numId w:val="6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Можливість встановлення на декілька хроматографів для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інжектування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:  не менше ніж на 2 хроматографи</w:t>
            </w:r>
          </w:p>
        </w:tc>
      </w:tr>
      <w:tr w:rsidR="00AA710B" w:rsidRPr="00AA710B" w14:paraId="2F60324C" w14:textId="77777777" w:rsidTr="00AA710B">
        <w:tc>
          <w:tcPr>
            <w:tcW w:w="567" w:type="dxa"/>
            <w:vMerge/>
          </w:tcPr>
          <w:p w14:paraId="69A87196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7E1A7615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583107BA" w14:textId="77777777" w:rsidR="00AA710B" w:rsidRPr="00AA710B" w:rsidRDefault="00AA710B" w:rsidP="00AA710B">
            <w:pPr>
              <w:numPr>
                <w:ilvl w:val="0"/>
                <w:numId w:val="6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Відтворюваність площ з RSD:  не більше ніж 0,3%</w:t>
            </w:r>
          </w:p>
        </w:tc>
      </w:tr>
      <w:tr w:rsidR="00AA710B" w:rsidRPr="00AA710B" w14:paraId="0529C7C7" w14:textId="77777777" w:rsidTr="00AA710B">
        <w:tc>
          <w:tcPr>
            <w:tcW w:w="567" w:type="dxa"/>
            <w:vMerge/>
          </w:tcPr>
          <w:p w14:paraId="18766B59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1200F1BA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49462F7B" w14:textId="77777777" w:rsidR="00AA710B" w:rsidRPr="00AA710B" w:rsidRDefault="00AA710B" w:rsidP="00AA710B">
            <w:pPr>
              <w:numPr>
                <w:ilvl w:val="0"/>
                <w:numId w:val="6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Віали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, що використовуються:  сумісність з 2, 10 та 20 мл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віалами</w:t>
            </w:r>
            <w:proofErr w:type="spellEnd"/>
          </w:p>
        </w:tc>
      </w:tr>
      <w:tr w:rsidR="00AA710B" w:rsidRPr="00AA710B" w14:paraId="5931A88C" w14:textId="77777777" w:rsidTr="00AA710B">
        <w:tc>
          <w:tcPr>
            <w:tcW w:w="567" w:type="dxa"/>
            <w:vMerge/>
          </w:tcPr>
          <w:p w14:paraId="2EE1C59B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26669A82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494246D7" w14:textId="77777777" w:rsidR="00AA710B" w:rsidRPr="00AA710B" w:rsidRDefault="00AA710B" w:rsidP="00AA710B">
            <w:pPr>
              <w:numPr>
                <w:ilvl w:val="0"/>
                <w:numId w:val="6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Відтворюваність з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парофазним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 введенням з RSD:  не більше ніж 0,70%</w:t>
            </w:r>
          </w:p>
        </w:tc>
      </w:tr>
      <w:tr w:rsidR="00AA710B" w:rsidRPr="00AA710B" w14:paraId="309F3A08" w14:textId="77777777" w:rsidTr="00AA710B">
        <w:tc>
          <w:tcPr>
            <w:tcW w:w="567" w:type="dxa"/>
            <w:vMerge/>
          </w:tcPr>
          <w:p w14:paraId="611BF652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08C5A479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21437307" w14:textId="77777777" w:rsidR="00AA710B" w:rsidRPr="00AA710B" w:rsidRDefault="00AA710B" w:rsidP="00AA710B">
            <w:p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Система випарювання зразків:</w:t>
            </w:r>
          </w:p>
        </w:tc>
      </w:tr>
      <w:tr w:rsidR="00AA710B" w:rsidRPr="00AA710B" w14:paraId="68578AAB" w14:textId="77777777" w:rsidTr="00AA710B">
        <w:tc>
          <w:tcPr>
            <w:tcW w:w="567" w:type="dxa"/>
            <w:vMerge/>
          </w:tcPr>
          <w:p w14:paraId="67821CB8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0594BA8E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35C588CB" w14:textId="77777777" w:rsidR="00AA710B" w:rsidRPr="00AA710B" w:rsidRDefault="00AA710B" w:rsidP="00AA710B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Кількість пробірок, що можна одночасно випарювати:  не менше 6</w:t>
            </w:r>
          </w:p>
        </w:tc>
      </w:tr>
      <w:tr w:rsidR="00AA710B" w:rsidRPr="00AA710B" w14:paraId="1CE86B41" w14:textId="77777777" w:rsidTr="00AA710B">
        <w:tc>
          <w:tcPr>
            <w:tcW w:w="567" w:type="dxa"/>
            <w:vMerge/>
          </w:tcPr>
          <w:p w14:paraId="016FA15C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328DF4BB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0AF26728" w14:textId="77777777" w:rsidR="00AA710B" w:rsidRPr="00AA710B" w:rsidRDefault="00AA710B" w:rsidP="00AA710B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Діапазон нагрівання:  від кімнатної до 90 °С або більше</w:t>
            </w:r>
          </w:p>
        </w:tc>
      </w:tr>
      <w:tr w:rsidR="00AA710B" w:rsidRPr="00AA710B" w14:paraId="7B0AD5CB" w14:textId="77777777" w:rsidTr="00AA710B">
        <w:tc>
          <w:tcPr>
            <w:tcW w:w="567" w:type="dxa"/>
            <w:vMerge/>
          </w:tcPr>
          <w:p w14:paraId="1B674F3B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65574583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6012A830" w14:textId="77777777" w:rsidR="00AA710B" w:rsidRPr="00AA710B" w:rsidRDefault="00AA710B" w:rsidP="00AA710B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Об’єм пробірок, що використовуються: 50 мл та 200 мл</w:t>
            </w:r>
          </w:p>
        </w:tc>
      </w:tr>
      <w:tr w:rsidR="00AA710B" w:rsidRPr="00AA710B" w14:paraId="5DE77705" w14:textId="77777777" w:rsidTr="00AA710B">
        <w:tc>
          <w:tcPr>
            <w:tcW w:w="567" w:type="dxa"/>
            <w:vMerge/>
          </w:tcPr>
          <w:p w14:paraId="69B8C7ED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70DAC09D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131C27FF" w14:textId="77777777" w:rsidR="00AA710B" w:rsidRPr="00AA710B" w:rsidRDefault="00AA710B" w:rsidP="00AA710B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Вбудований відвід парів розчинників:  в наявності</w:t>
            </w:r>
          </w:p>
          <w:p w14:paraId="3A3716E9" w14:textId="77777777" w:rsidR="00AA710B" w:rsidRPr="00AA710B" w:rsidRDefault="00AA710B" w:rsidP="00AA710B">
            <w:p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Маніфольд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 для дисків ТФЕ:</w:t>
            </w:r>
          </w:p>
        </w:tc>
      </w:tr>
      <w:tr w:rsidR="00AA710B" w:rsidRPr="00AA710B" w14:paraId="6391E94E" w14:textId="77777777" w:rsidTr="00AA710B">
        <w:tc>
          <w:tcPr>
            <w:tcW w:w="567" w:type="dxa"/>
            <w:vMerge/>
          </w:tcPr>
          <w:p w14:paraId="13CDD21C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5A024719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246E7C80" w14:textId="77777777" w:rsidR="00AA710B" w:rsidRPr="00AA710B" w:rsidRDefault="00AA710B" w:rsidP="00AA710B">
            <w:pPr>
              <w:numPr>
                <w:ilvl w:val="0"/>
                <w:numId w:val="8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Матеріал виготовлення вакуумного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маніфольду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:  нержавіюча сталь</w:t>
            </w:r>
          </w:p>
        </w:tc>
      </w:tr>
      <w:tr w:rsidR="00AA710B" w:rsidRPr="00AA710B" w14:paraId="44302C6F" w14:textId="77777777" w:rsidTr="00AA710B">
        <w:tc>
          <w:tcPr>
            <w:tcW w:w="567" w:type="dxa"/>
            <w:vMerge/>
          </w:tcPr>
          <w:p w14:paraId="6FB051B7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5A3BC766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425D7FE0" w14:textId="77777777" w:rsidR="00AA710B" w:rsidRPr="00AA710B" w:rsidRDefault="00AA710B" w:rsidP="00AA710B">
            <w:pPr>
              <w:numPr>
                <w:ilvl w:val="0"/>
                <w:numId w:val="8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Кількість позицій у вакуумному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маніфольді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:  не менше ніж 6</w:t>
            </w:r>
          </w:p>
        </w:tc>
      </w:tr>
      <w:tr w:rsidR="00AA710B" w:rsidRPr="00AA710B" w14:paraId="1EB5F9BD" w14:textId="77777777" w:rsidTr="00AA710B">
        <w:tc>
          <w:tcPr>
            <w:tcW w:w="567" w:type="dxa"/>
            <w:vMerge/>
          </w:tcPr>
          <w:p w14:paraId="072579BE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43BC1237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2113978E" w14:textId="77777777" w:rsidR="00AA710B" w:rsidRPr="00AA710B" w:rsidRDefault="00AA710B" w:rsidP="00AA710B">
            <w:pPr>
              <w:numPr>
                <w:ilvl w:val="0"/>
                <w:numId w:val="8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Можливість додавання позицій для зразків у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маніфольд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:  відповідність</w:t>
            </w:r>
          </w:p>
        </w:tc>
      </w:tr>
      <w:tr w:rsidR="00AA710B" w:rsidRPr="00AA710B" w14:paraId="7F18B72A" w14:textId="77777777" w:rsidTr="00AA710B">
        <w:tc>
          <w:tcPr>
            <w:tcW w:w="567" w:type="dxa"/>
            <w:vMerge/>
          </w:tcPr>
          <w:p w14:paraId="463A88EC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4EA3A797" w14:textId="77777777" w:rsidR="00AA710B" w:rsidRPr="00AA710B" w:rsidRDefault="00AA710B" w:rsidP="00AA710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77612E3C" w14:textId="77777777" w:rsidR="00AA710B" w:rsidRPr="00AA710B" w:rsidRDefault="00AA710B" w:rsidP="00AA710B">
            <w:pPr>
              <w:numPr>
                <w:ilvl w:val="0"/>
                <w:numId w:val="8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Індивідуальний контроль кожної позиції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трьохпозиційним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 краном (вихід у вакуум, вихід у атмосферу, ізоляція від решти системи):  відповідність</w:t>
            </w:r>
          </w:p>
        </w:tc>
      </w:tr>
      <w:tr w:rsidR="00AA710B" w:rsidRPr="00AA710B" w14:paraId="0CBFFD44" w14:textId="77777777" w:rsidTr="00AA710B">
        <w:tc>
          <w:tcPr>
            <w:tcW w:w="567" w:type="dxa"/>
            <w:vMerge/>
          </w:tcPr>
          <w:p w14:paraId="7237BF30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5FAE9B3B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48861DF2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Можливість працювати з дисками 47 мм:  відповідність</w:t>
            </w:r>
          </w:p>
          <w:p w14:paraId="5C379BE3" w14:textId="77777777" w:rsidR="00AA710B" w:rsidRPr="00AA710B" w:rsidRDefault="00AA710B" w:rsidP="00AA710B">
            <w:pPr>
              <w:numPr>
                <w:ilvl w:val="0"/>
                <w:numId w:val="8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Наявність гарантійного обслуговування не менше 12 місяців; наявність у постачальника сервісної служби та спеціалістів для установки та навчання персоналу замовника (у вигляді листа) в Україні</w:t>
            </w:r>
          </w:p>
        </w:tc>
      </w:tr>
      <w:tr w:rsidR="00AA710B" w:rsidRPr="00AA710B" w14:paraId="5C957863" w14:textId="77777777" w:rsidTr="00AA710B">
        <w:tc>
          <w:tcPr>
            <w:tcW w:w="567" w:type="dxa"/>
            <w:vMerge w:val="restart"/>
          </w:tcPr>
          <w:p w14:paraId="3C63D7F8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123" w:type="dxa"/>
            <w:vMerge w:val="restart"/>
          </w:tcPr>
          <w:p w14:paraId="5D611CC2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Система для іонної хроматографії</w:t>
            </w:r>
          </w:p>
        </w:tc>
        <w:tc>
          <w:tcPr>
            <w:tcW w:w="7658" w:type="dxa"/>
          </w:tcPr>
          <w:p w14:paraId="71992C3E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Система повинна відповідати наступним вимогам: </w:t>
            </w:r>
          </w:p>
        </w:tc>
      </w:tr>
      <w:tr w:rsidR="00AA710B" w:rsidRPr="00AA710B" w14:paraId="7810427C" w14:textId="77777777" w:rsidTr="00AA710B">
        <w:tc>
          <w:tcPr>
            <w:tcW w:w="567" w:type="dxa"/>
            <w:vMerge/>
          </w:tcPr>
          <w:p w14:paraId="6D38531E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24D987FB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4842792E" w14:textId="77777777" w:rsidR="00AA710B" w:rsidRPr="00AA710B" w:rsidRDefault="00AA710B" w:rsidP="00AA710B">
            <w:pPr>
              <w:numPr>
                <w:ilvl w:val="0"/>
                <w:numId w:val="9"/>
              </w:numPr>
              <w:tabs>
                <w:tab w:val="left" w:pos="180"/>
              </w:tabs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Конструкція хроматографічної системи:  Повністю полімерна (PEEK), для аніонів та катіонів</w:t>
            </w:r>
          </w:p>
        </w:tc>
      </w:tr>
      <w:tr w:rsidR="00AA710B" w:rsidRPr="00AA710B" w14:paraId="33E39D61" w14:textId="77777777" w:rsidTr="00AA710B">
        <w:tc>
          <w:tcPr>
            <w:tcW w:w="567" w:type="dxa"/>
            <w:vMerge/>
          </w:tcPr>
          <w:p w14:paraId="22D37DCB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268D9A35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2161A558" w14:textId="77777777" w:rsidR="00AA710B" w:rsidRPr="00AA710B" w:rsidRDefault="00AA710B" w:rsidP="00AA710B">
            <w:p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Насос:</w:t>
            </w:r>
          </w:p>
        </w:tc>
      </w:tr>
      <w:tr w:rsidR="00AA710B" w:rsidRPr="00AA710B" w14:paraId="31E8D79F" w14:textId="77777777" w:rsidTr="00AA710B">
        <w:tc>
          <w:tcPr>
            <w:tcW w:w="567" w:type="dxa"/>
            <w:vMerge/>
          </w:tcPr>
          <w:p w14:paraId="3E195CCB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6E09A751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0364CAE3" w14:textId="77777777" w:rsidR="00AA710B" w:rsidRPr="00AA710B" w:rsidRDefault="00AA710B" w:rsidP="00AA710B">
            <w:pPr>
              <w:numPr>
                <w:ilvl w:val="0"/>
                <w:numId w:val="9"/>
              </w:numPr>
              <w:tabs>
                <w:tab w:val="left" w:pos="180"/>
              </w:tabs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Конструкція:  Хімічно інертні головки насосу  з PEEK сумісні з водними та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оберненофазними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 елюентами в діапазоні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pH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 0–14</w:t>
            </w:r>
          </w:p>
        </w:tc>
      </w:tr>
      <w:tr w:rsidR="00AA710B" w:rsidRPr="00AA710B" w14:paraId="287DC99D" w14:textId="77777777" w:rsidTr="00AA710B">
        <w:tc>
          <w:tcPr>
            <w:tcW w:w="567" w:type="dxa"/>
            <w:vMerge/>
          </w:tcPr>
          <w:p w14:paraId="4CA4CC7F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694606E4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3E83421A" w14:textId="77777777" w:rsidR="00AA710B" w:rsidRPr="00AA710B" w:rsidRDefault="00AA710B" w:rsidP="00AA710B">
            <w:pPr>
              <w:numPr>
                <w:ilvl w:val="0"/>
                <w:numId w:val="9"/>
              </w:numPr>
              <w:tabs>
                <w:tab w:val="left" w:pos="180"/>
              </w:tabs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Діапазон потоку: 0,00–5,00 мл/хв без зміни головок насосу</w:t>
            </w:r>
          </w:p>
        </w:tc>
      </w:tr>
      <w:tr w:rsidR="00AA710B" w:rsidRPr="00AA710B" w14:paraId="04BC8A5C" w14:textId="77777777" w:rsidTr="00AA710B">
        <w:tc>
          <w:tcPr>
            <w:tcW w:w="567" w:type="dxa"/>
            <w:vMerge/>
          </w:tcPr>
          <w:p w14:paraId="7CAC5AB5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7B20C750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338B481E" w14:textId="77777777" w:rsidR="00AA710B" w:rsidRPr="00AA710B" w:rsidRDefault="00AA710B" w:rsidP="00AA710B">
            <w:pPr>
              <w:numPr>
                <w:ilvl w:val="0"/>
                <w:numId w:val="9"/>
              </w:numPr>
              <w:tabs>
                <w:tab w:val="left" w:pos="180"/>
              </w:tabs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Робочий тиск насосу: 0–35 МПа (0–5000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psi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) або ширший діапазон</w:t>
            </w:r>
          </w:p>
        </w:tc>
      </w:tr>
      <w:tr w:rsidR="00AA710B" w:rsidRPr="00AA710B" w14:paraId="6F22D07E" w14:textId="77777777" w:rsidTr="00AA710B">
        <w:tc>
          <w:tcPr>
            <w:tcW w:w="567" w:type="dxa"/>
            <w:vMerge/>
          </w:tcPr>
          <w:p w14:paraId="50148E6A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3FA8572D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38252BB2" w14:textId="77777777" w:rsidR="00AA710B" w:rsidRPr="00AA710B" w:rsidRDefault="00AA710B" w:rsidP="00AA710B">
            <w:pPr>
              <w:numPr>
                <w:ilvl w:val="0"/>
                <w:numId w:val="9"/>
              </w:numPr>
              <w:tabs>
                <w:tab w:val="left" w:pos="180"/>
              </w:tabs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Точність потоку: &lt;0,1%</w:t>
            </w:r>
          </w:p>
        </w:tc>
      </w:tr>
      <w:tr w:rsidR="00AA710B" w:rsidRPr="00AA710B" w14:paraId="65A9A408" w14:textId="77777777" w:rsidTr="00AA710B">
        <w:tc>
          <w:tcPr>
            <w:tcW w:w="567" w:type="dxa"/>
            <w:vMerge/>
          </w:tcPr>
          <w:p w14:paraId="25A56743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557747FC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5C1175CC" w14:textId="77777777" w:rsidR="00AA710B" w:rsidRPr="00AA710B" w:rsidRDefault="00AA710B" w:rsidP="00AA710B">
            <w:pPr>
              <w:numPr>
                <w:ilvl w:val="0"/>
                <w:numId w:val="9"/>
              </w:numPr>
              <w:tabs>
                <w:tab w:val="left" w:pos="180"/>
              </w:tabs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Перепади тиску: &lt;1%</w:t>
            </w:r>
          </w:p>
        </w:tc>
      </w:tr>
      <w:tr w:rsidR="00AA710B" w:rsidRPr="00AA710B" w14:paraId="4F0D13A2" w14:textId="77777777" w:rsidTr="00AA710B">
        <w:tc>
          <w:tcPr>
            <w:tcW w:w="567" w:type="dxa"/>
            <w:vMerge/>
          </w:tcPr>
          <w:p w14:paraId="3806B1D4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73E0F392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17ED14EA" w14:textId="77777777" w:rsidR="00AA710B" w:rsidRPr="00AA710B" w:rsidRDefault="00AA710B" w:rsidP="00AA710B">
            <w:p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Детектор: </w:t>
            </w:r>
          </w:p>
        </w:tc>
      </w:tr>
      <w:tr w:rsidR="00AA710B" w:rsidRPr="00AA710B" w14:paraId="6218167C" w14:textId="77777777" w:rsidTr="00AA710B">
        <w:tc>
          <w:tcPr>
            <w:tcW w:w="567" w:type="dxa"/>
            <w:vMerge/>
          </w:tcPr>
          <w:p w14:paraId="43B70A63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60165E51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552D27E9" w14:textId="77777777" w:rsidR="00AA710B" w:rsidRPr="00AA710B" w:rsidRDefault="00AA710B" w:rsidP="00AA710B">
            <w:pPr>
              <w:numPr>
                <w:ilvl w:val="0"/>
                <w:numId w:val="9"/>
              </w:numPr>
              <w:tabs>
                <w:tab w:val="left" w:pos="180"/>
              </w:tabs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Тип:  Біполярна комірка, що нагрівається, обробка сигналів з мікропроцесорним керуванням в діапазоні сигналу не вужче ніж 0 – 10 000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мкСм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/см</w:t>
            </w:r>
          </w:p>
        </w:tc>
      </w:tr>
      <w:tr w:rsidR="00AA710B" w:rsidRPr="00AA710B" w14:paraId="7851EF37" w14:textId="77777777" w:rsidTr="00AA710B">
        <w:tc>
          <w:tcPr>
            <w:tcW w:w="567" w:type="dxa"/>
            <w:vMerge/>
          </w:tcPr>
          <w:p w14:paraId="51237880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58D29E17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2307BF29" w14:textId="77777777" w:rsidR="00AA710B" w:rsidRPr="00AA710B" w:rsidRDefault="00AA710B" w:rsidP="00AA710B">
            <w:pPr>
              <w:numPr>
                <w:ilvl w:val="0"/>
                <w:numId w:val="9"/>
              </w:numPr>
              <w:tabs>
                <w:tab w:val="left" w:pos="180"/>
              </w:tabs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Максимальний тиск у комірці: 10 МПа (1500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psi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) або більше</w:t>
            </w:r>
          </w:p>
        </w:tc>
      </w:tr>
      <w:tr w:rsidR="00AA710B" w:rsidRPr="00AA710B" w14:paraId="6CFB7E09" w14:textId="77777777" w:rsidTr="00AA710B">
        <w:tc>
          <w:tcPr>
            <w:tcW w:w="567" w:type="dxa"/>
            <w:vMerge/>
          </w:tcPr>
          <w:p w14:paraId="7A52F9CD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5C46322B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0BFF8FD7" w14:textId="77777777" w:rsidR="00AA710B" w:rsidRPr="00AA710B" w:rsidRDefault="00AA710B" w:rsidP="00AA710B">
            <w:pPr>
              <w:numPr>
                <w:ilvl w:val="0"/>
                <w:numId w:val="9"/>
              </w:numPr>
              <w:tabs>
                <w:tab w:val="left" w:pos="180"/>
              </w:tabs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Роздільна здатність: 0,0047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нСм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/см або менше</w:t>
            </w:r>
          </w:p>
        </w:tc>
      </w:tr>
      <w:tr w:rsidR="00AA710B" w:rsidRPr="00AA710B" w14:paraId="24940C58" w14:textId="77777777" w:rsidTr="00AA710B">
        <w:tc>
          <w:tcPr>
            <w:tcW w:w="567" w:type="dxa"/>
            <w:vMerge/>
          </w:tcPr>
          <w:p w14:paraId="071EFE48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4B0DCFEB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6BEE5A50" w14:textId="77777777" w:rsidR="00AA710B" w:rsidRPr="00AA710B" w:rsidRDefault="00AA710B" w:rsidP="00AA710B">
            <w:pPr>
              <w:numPr>
                <w:ilvl w:val="0"/>
                <w:numId w:val="9"/>
              </w:numPr>
              <w:tabs>
                <w:tab w:val="left" w:pos="180"/>
              </w:tabs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Хімічна сумісність проточних комірок (стандарт):  Повністю сумісний з усіма типовими елюентами для іонної хроматографії, включаючи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метансульфонову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 кислоту (MSA)</w:t>
            </w:r>
          </w:p>
          <w:p w14:paraId="320B9724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Автосамплер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</w:p>
        </w:tc>
      </w:tr>
      <w:tr w:rsidR="00AA710B" w:rsidRPr="00AA710B" w14:paraId="1BDCF727" w14:textId="77777777" w:rsidTr="00AA710B">
        <w:tc>
          <w:tcPr>
            <w:tcW w:w="567" w:type="dxa"/>
            <w:vMerge/>
          </w:tcPr>
          <w:p w14:paraId="5EAA5087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46E0439A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248E4EC0" w14:textId="77777777" w:rsidR="00AA710B" w:rsidRPr="00AA710B" w:rsidRDefault="00AA710B" w:rsidP="00AA710B">
            <w:pPr>
              <w:numPr>
                <w:ilvl w:val="0"/>
                <w:numId w:val="10"/>
              </w:numPr>
              <w:tabs>
                <w:tab w:val="left" w:pos="180"/>
              </w:tabs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Коефіцієнт розведення:  від 1:1 до 1:1000 або ширше</w:t>
            </w:r>
          </w:p>
        </w:tc>
      </w:tr>
      <w:tr w:rsidR="00AA710B" w:rsidRPr="00AA710B" w14:paraId="4A049DA8" w14:textId="77777777" w:rsidTr="00AA710B">
        <w:tc>
          <w:tcPr>
            <w:tcW w:w="567" w:type="dxa"/>
            <w:vMerge/>
          </w:tcPr>
          <w:p w14:paraId="07024680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7D5750DF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19C679F1" w14:textId="77777777" w:rsidR="00AA710B" w:rsidRPr="00AA710B" w:rsidRDefault="00AA710B" w:rsidP="00AA710B">
            <w:pPr>
              <w:numPr>
                <w:ilvl w:val="0"/>
                <w:numId w:val="10"/>
              </w:numPr>
              <w:tabs>
                <w:tab w:val="left" w:pos="180"/>
              </w:tabs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Вбудована фільтрація:  наявність</w:t>
            </w:r>
          </w:p>
        </w:tc>
      </w:tr>
      <w:tr w:rsidR="00AA710B" w:rsidRPr="00AA710B" w14:paraId="291EF546" w14:textId="77777777" w:rsidTr="00AA710B">
        <w:tc>
          <w:tcPr>
            <w:tcW w:w="567" w:type="dxa"/>
            <w:vMerge w:val="restart"/>
          </w:tcPr>
          <w:p w14:paraId="2E211C29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123" w:type="dxa"/>
            <w:vMerge w:val="restart"/>
          </w:tcPr>
          <w:p w14:paraId="47421A79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Комбінована система для проведення одночасного флуоресцентного та УФ-Вид аналізу</w:t>
            </w:r>
          </w:p>
        </w:tc>
        <w:tc>
          <w:tcPr>
            <w:tcW w:w="7658" w:type="dxa"/>
          </w:tcPr>
          <w:p w14:paraId="4DFE7C08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Система повинна відповідати наступним вимогам: </w:t>
            </w:r>
          </w:p>
        </w:tc>
      </w:tr>
      <w:tr w:rsidR="00AA710B" w:rsidRPr="00AA710B" w14:paraId="0B537A89" w14:textId="77777777" w:rsidTr="00AA710B">
        <w:tc>
          <w:tcPr>
            <w:tcW w:w="567" w:type="dxa"/>
            <w:vMerge/>
          </w:tcPr>
          <w:p w14:paraId="23B4471D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5618DE5A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13171317" w14:textId="77777777" w:rsidR="00AA710B" w:rsidRPr="00AA710B" w:rsidRDefault="00AA710B" w:rsidP="00AA710B">
            <w:p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Тип спектрометра: Одночасний флуоресцентний  та УФ-Вид спектрометр</w:t>
            </w:r>
          </w:p>
        </w:tc>
      </w:tr>
      <w:tr w:rsidR="00AA710B" w:rsidRPr="00AA710B" w14:paraId="06F40C1C" w14:textId="77777777" w:rsidTr="00AA710B">
        <w:tc>
          <w:tcPr>
            <w:tcW w:w="567" w:type="dxa"/>
            <w:vMerge/>
          </w:tcPr>
          <w:p w14:paraId="1C907F76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6E76935A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55FFDA75" w14:textId="77777777" w:rsidR="00AA710B" w:rsidRPr="00AA710B" w:rsidRDefault="00AA710B" w:rsidP="00AA710B">
            <w:p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Режими роботи:  вимірювання флуоресценції, поглинання і пропускання</w:t>
            </w:r>
          </w:p>
        </w:tc>
      </w:tr>
      <w:tr w:rsidR="00AA710B" w:rsidRPr="00AA710B" w14:paraId="319F7D1E" w14:textId="77777777" w:rsidTr="00AA710B">
        <w:tc>
          <w:tcPr>
            <w:tcW w:w="567" w:type="dxa"/>
            <w:vMerge/>
          </w:tcPr>
          <w:p w14:paraId="5B814F6F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0AD1372F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173EC218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Детектор флуоресценції:  CCD (ПЗС)</w:t>
            </w:r>
          </w:p>
        </w:tc>
      </w:tr>
      <w:tr w:rsidR="00AA710B" w:rsidRPr="00AA710B" w14:paraId="65D2EA34" w14:textId="77777777" w:rsidTr="00AA710B">
        <w:tc>
          <w:tcPr>
            <w:tcW w:w="567" w:type="dxa"/>
            <w:vMerge/>
          </w:tcPr>
          <w:p w14:paraId="4E8FBA78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7AF16DE0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1B1113E0" w14:textId="77777777" w:rsidR="00AA710B" w:rsidRPr="00AA710B" w:rsidRDefault="00AA710B" w:rsidP="00AA710B">
            <w:p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Детектор абсорбції:  Фотодіод</w:t>
            </w:r>
          </w:p>
        </w:tc>
      </w:tr>
      <w:tr w:rsidR="00AA710B" w:rsidRPr="00AA710B" w14:paraId="12305A96" w14:textId="77777777" w:rsidTr="00AA710B">
        <w:tc>
          <w:tcPr>
            <w:tcW w:w="567" w:type="dxa"/>
            <w:vMerge/>
          </w:tcPr>
          <w:p w14:paraId="676FC333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45A07476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37A0B327" w14:textId="77777777" w:rsidR="00AA710B" w:rsidRPr="00AA710B" w:rsidRDefault="00AA710B" w:rsidP="00AA710B">
            <w:p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Діапазон визначення  флуоресценції:250-1100 нм або ширше</w:t>
            </w:r>
          </w:p>
        </w:tc>
      </w:tr>
      <w:tr w:rsidR="00AA710B" w:rsidRPr="00AA710B" w14:paraId="0E2E4AA5" w14:textId="77777777" w:rsidTr="00AA710B">
        <w:tc>
          <w:tcPr>
            <w:tcW w:w="567" w:type="dxa"/>
            <w:vMerge/>
          </w:tcPr>
          <w:p w14:paraId="640FF492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53267B33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06513E87" w14:textId="77777777" w:rsidR="00AA710B" w:rsidRPr="00AA710B" w:rsidRDefault="00AA710B" w:rsidP="00AA710B">
            <w:p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Діапазон визначення  абсорбції: 250-1000 нм або ширше</w:t>
            </w:r>
          </w:p>
        </w:tc>
      </w:tr>
      <w:tr w:rsidR="00AA710B" w:rsidRPr="00AA710B" w14:paraId="5AE0463E" w14:textId="77777777" w:rsidTr="00AA710B">
        <w:tc>
          <w:tcPr>
            <w:tcW w:w="567" w:type="dxa"/>
            <w:vMerge/>
          </w:tcPr>
          <w:p w14:paraId="20F24D06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0A8191AF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27BEAA63" w14:textId="77777777" w:rsidR="00AA710B" w:rsidRPr="00AA710B" w:rsidRDefault="00AA710B" w:rsidP="00AA710B">
            <w:p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Джерело випромінювання:  Ксенонова лампа</w:t>
            </w:r>
          </w:p>
        </w:tc>
      </w:tr>
      <w:tr w:rsidR="00AA710B" w:rsidRPr="00AA710B" w14:paraId="74F614B5" w14:textId="77777777" w:rsidTr="00AA710B">
        <w:tc>
          <w:tcPr>
            <w:tcW w:w="567" w:type="dxa"/>
            <w:vMerge/>
          </w:tcPr>
          <w:p w14:paraId="68F3B20E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6802B4C0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4ADD18A5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 xml:space="preserve">Чутливість флуоресценції (Співвідношення </w:t>
            </w:r>
            <w:proofErr w:type="spellStart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сигнал:шум</w:t>
            </w:r>
            <w:proofErr w:type="spellEnd"/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), RMS: 6000:1 або більше</w:t>
            </w:r>
          </w:p>
        </w:tc>
      </w:tr>
      <w:tr w:rsidR="00AA710B" w:rsidRPr="00AA710B" w14:paraId="142E3164" w14:textId="77777777" w:rsidTr="00AA710B">
        <w:tc>
          <w:tcPr>
            <w:tcW w:w="567" w:type="dxa"/>
            <w:vMerge/>
          </w:tcPr>
          <w:p w14:paraId="1F854E87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14:paraId="582264BD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8" w:type="dxa"/>
          </w:tcPr>
          <w:p w14:paraId="3A7F7C61" w14:textId="77777777" w:rsidR="00AA710B" w:rsidRPr="00AA710B" w:rsidRDefault="00AA710B" w:rsidP="00AA710B">
            <w:pPr>
              <w:tabs>
                <w:tab w:val="left" w:pos="180"/>
              </w:tabs>
              <w:ind w:left="-45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10B">
              <w:rPr>
                <w:rFonts w:ascii="Times New Roman" w:hAnsi="Times New Roman"/>
                <w:bCs/>
                <w:sz w:val="20"/>
                <w:szCs w:val="20"/>
              </w:rPr>
              <w:t>Наявність гарантійного обслуговування не менше 12 місяців; наявність у постачальника сервісної служби та спеціалістів для установки та навчання персоналу замовника (у вигляді листа) в Україні</w:t>
            </w:r>
          </w:p>
        </w:tc>
      </w:tr>
    </w:tbl>
    <w:p w14:paraId="7F9A69BE" w14:textId="77777777" w:rsidR="00A52318" w:rsidRPr="00AA710B" w:rsidRDefault="00A52318" w:rsidP="007D5BB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sectPr w:rsidR="00A52318" w:rsidRPr="00AA71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5B9B"/>
    <w:multiLevelType w:val="hybridMultilevel"/>
    <w:tmpl w:val="2DE03F1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7714EE4"/>
    <w:multiLevelType w:val="hybridMultilevel"/>
    <w:tmpl w:val="8876B876"/>
    <w:lvl w:ilvl="0" w:tplc="0422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383E5DEA"/>
    <w:multiLevelType w:val="hybridMultilevel"/>
    <w:tmpl w:val="603EA8C2"/>
    <w:lvl w:ilvl="0" w:tplc="0422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40316011"/>
    <w:multiLevelType w:val="hybridMultilevel"/>
    <w:tmpl w:val="607E5958"/>
    <w:lvl w:ilvl="0" w:tplc="0422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 w15:restartNumberingAfterBreak="0">
    <w:nsid w:val="4C33169B"/>
    <w:multiLevelType w:val="hybridMultilevel"/>
    <w:tmpl w:val="B6CEA4E8"/>
    <w:lvl w:ilvl="0" w:tplc="0422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D4FD2"/>
    <w:multiLevelType w:val="hybridMultilevel"/>
    <w:tmpl w:val="F42E39D0"/>
    <w:lvl w:ilvl="0" w:tplc="0422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6F7F358C"/>
    <w:multiLevelType w:val="hybridMultilevel"/>
    <w:tmpl w:val="ECAAF6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9" w15:restartNumberingAfterBreak="0">
    <w:nsid w:val="7FA94C44"/>
    <w:multiLevelType w:val="hybridMultilevel"/>
    <w:tmpl w:val="32486BBE"/>
    <w:lvl w:ilvl="0" w:tplc="0422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229220367">
    <w:abstractNumId w:val="8"/>
  </w:num>
  <w:num w:numId="2" w16cid:durableId="2125346191">
    <w:abstractNumId w:val="5"/>
  </w:num>
  <w:num w:numId="3" w16cid:durableId="1801994061">
    <w:abstractNumId w:val="1"/>
  </w:num>
  <w:num w:numId="4" w16cid:durableId="785852588">
    <w:abstractNumId w:val="4"/>
  </w:num>
  <w:num w:numId="5" w16cid:durableId="92554060">
    <w:abstractNumId w:val="9"/>
  </w:num>
  <w:num w:numId="6" w16cid:durableId="10647126">
    <w:abstractNumId w:val="2"/>
  </w:num>
  <w:num w:numId="7" w16cid:durableId="217594057">
    <w:abstractNumId w:val="7"/>
  </w:num>
  <w:num w:numId="8" w16cid:durableId="925453565">
    <w:abstractNumId w:val="0"/>
  </w:num>
  <w:num w:numId="9" w16cid:durableId="1422097098">
    <w:abstractNumId w:val="3"/>
  </w:num>
  <w:num w:numId="10" w16cid:durableId="1646544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226C86"/>
    <w:rsid w:val="002B6E58"/>
    <w:rsid w:val="002B72AC"/>
    <w:rsid w:val="002C7992"/>
    <w:rsid w:val="002E2676"/>
    <w:rsid w:val="00366514"/>
    <w:rsid w:val="005F6CE1"/>
    <w:rsid w:val="00731978"/>
    <w:rsid w:val="007D5BBD"/>
    <w:rsid w:val="0084332E"/>
    <w:rsid w:val="009443DC"/>
    <w:rsid w:val="00A52318"/>
    <w:rsid w:val="00AA710B"/>
    <w:rsid w:val="00D626B8"/>
    <w:rsid w:val="00FA72FC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4650</Words>
  <Characters>2652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PHC02</cp:lastModifiedBy>
  <cp:revision>3</cp:revision>
  <dcterms:created xsi:type="dcterms:W3CDTF">2022-06-17T09:07:00Z</dcterms:created>
  <dcterms:modified xsi:type="dcterms:W3CDTF">2022-06-17T09:12:00Z</dcterms:modified>
</cp:coreProperties>
</file>