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2F92B1" w14:textId="650CF7F8" w:rsidR="00BB3B0D" w:rsidRPr="00BB3B0D" w:rsidRDefault="00BB3B0D" w:rsidP="00BB3B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B0D">
        <w:rPr>
          <w:rFonts w:ascii="Times New Roman" w:hAnsi="Times New Roman"/>
          <w:b/>
          <w:bCs/>
          <w:sz w:val="24"/>
          <w:szCs w:val="24"/>
        </w:rPr>
        <w:t>ДК 021:2015:38340000-0 Прилади для вимірювання величин</w:t>
      </w:r>
    </w:p>
    <w:p w14:paraId="544F6892" w14:textId="3D91DB08" w:rsidR="00BB3B0D" w:rsidRDefault="00BB3B0D" w:rsidP="00BB3B0D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 w:rsidRPr="00BB3B0D">
        <w:rPr>
          <w:rFonts w:ascii="Times New Roman" w:hAnsi="Times New Roman"/>
          <w:b/>
          <w:bCs/>
          <w:sz w:val="24"/>
          <w:szCs w:val="24"/>
        </w:rPr>
        <w:t>(Дозиметр-радіометр пошуковий)</w:t>
      </w:r>
    </w:p>
    <w:p w14:paraId="3673CAB5" w14:textId="6BAFDA1D" w:rsidR="002B72AC" w:rsidRPr="0024553B" w:rsidRDefault="002B72AC" w:rsidP="00BB3B0D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9DBB133" w14:textId="68D0B53A" w:rsidR="002B72AC" w:rsidRPr="0024553B" w:rsidRDefault="002B72AC" w:rsidP="00BB3B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bCs/>
          <w:sz w:val="24"/>
          <w:szCs w:val="24"/>
        </w:rPr>
        <w:t xml:space="preserve">Код </w:t>
      </w:r>
      <w:r w:rsidR="00BB3B0D" w:rsidRPr="00BB3B0D">
        <w:rPr>
          <w:rFonts w:ascii="Times New Roman" w:hAnsi="Times New Roman"/>
          <w:bCs/>
          <w:sz w:val="24"/>
          <w:szCs w:val="24"/>
        </w:rPr>
        <w:t>ДК 021:2015:38340000-0 Прилади для вимірювання величин (Дозиметр-радіометр пошуковий)</w:t>
      </w:r>
      <w:r w:rsidR="00226C86" w:rsidRPr="0024553B">
        <w:rPr>
          <w:rFonts w:ascii="Times New Roman" w:hAnsi="Times New Roman"/>
          <w:bCs/>
          <w:sz w:val="24"/>
          <w:szCs w:val="24"/>
        </w:rPr>
        <w:t>.</w:t>
      </w:r>
    </w:p>
    <w:p w14:paraId="4439A3F5" w14:textId="77777777" w:rsidR="0024553B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30ECBCFA" w14:textId="35326F2C" w:rsidR="0024553B" w:rsidRDefault="00BB3B0D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B0D">
        <w:rPr>
          <w:rFonts w:ascii="Times New Roman" w:hAnsi="Times New Roman"/>
          <w:sz w:val="24"/>
          <w:szCs w:val="24"/>
        </w:rPr>
        <w:t>UA-2022-08-02-008757-a</w:t>
      </w:r>
      <w:r w:rsidR="006C75C1">
        <w:rPr>
          <w:rFonts w:ascii="Times New Roman" w:hAnsi="Times New Roman"/>
          <w:sz w:val="24"/>
          <w:szCs w:val="24"/>
        </w:rPr>
        <w:t>.</w:t>
      </w:r>
    </w:p>
    <w:p w14:paraId="66384113" w14:textId="77777777" w:rsidR="006C75C1" w:rsidRPr="0024553B" w:rsidRDefault="006C75C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930A6C2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BB3B0D" w:rsidRPr="00BB3B0D">
        <w:rPr>
          <w:rFonts w:ascii="Times New Roman" w:hAnsi="Times New Roman"/>
          <w:sz w:val="24"/>
          <w:szCs w:val="24"/>
        </w:rPr>
        <w:t>60 000,00</w:t>
      </w:r>
      <w:r w:rsidR="00BB3B0D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06B5898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BB3B0D" w:rsidRPr="00BB3B0D">
        <w:rPr>
          <w:rFonts w:ascii="Times New Roman" w:eastAsia="Times New Roman" w:hAnsi="Times New Roman"/>
          <w:bCs/>
          <w:sz w:val="24"/>
          <w:szCs w:val="24"/>
          <w:lang w:eastAsia="uk-UA"/>
        </w:rPr>
        <w:t>60 000,00</w:t>
      </w:r>
      <w:r w:rsidR="00BB3B0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08188221" w14:textId="77777777" w:rsidR="00BB3B0D" w:rsidRPr="00BB3B0D" w:rsidRDefault="0024553B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</w:t>
      </w:r>
    </w:p>
    <w:p w14:paraId="67A52DF9" w14:textId="2F44E1B7" w:rsidR="0024553B" w:rsidRPr="0024553B" w:rsidRDefault="00BB3B0D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та їхньої профілактики».</w:t>
      </w:r>
    </w:p>
    <w:p w14:paraId="669E1965" w14:textId="498F8DF6" w:rsidR="00BB3B0D" w:rsidRPr="00BB3B0D" w:rsidRDefault="0024553B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</w:t>
      </w:r>
      <w:r w:rsid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моніторингу, епідеміологічного нагляду, реагування на спалахи захворювання та їхньої профілактики»</w:t>
      </w:r>
      <w:r w:rsid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5A412084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F4A5BA8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BB3B0D">
        <w:rPr>
          <w:rFonts w:ascii="Times New Roman" w:hAnsi="Times New Roman"/>
          <w:b/>
          <w:sz w:val="24"/>
          <w:szCs w:val="24"/>
        </w:rPr>
        <w:t>1</w:t>
      </w:r>
      <w:r w:rsidRPr="0024553B">
        <w:rPr>
          <w:rFonts w:ascii="Times New Roman" w:hAnsi="Times New Roman"/>
          <w:b/>
          <w:sz w:val="24"/>
          <w:szCs w:val="24"/>
        </w:rPr>
        <w:t xml:space="preserve"> </w:t>
      </w:r>
      <w:r w:rsidR="00BB3B0D">
        <w:rPr>
          <w:rFonts w:ascii="Times New Roman" w:hAnsi="Times New Roman"/>
          <w:b/>
          <w:sz w:val="24"/>
          <w:szCs w:val="24"/>
        </w:rPr>
        <w:t>штука</w:t>
      </w:r>
      <w:r w:rsidRPr="0024553B">
        <w:rPr>
          <w:rFonts w:ascii="Times New Roman" w:hAnsi="Times New Roman"/>
          <w:b/>
          <w:sz w:val="24"/>
          <w:szCs w:val="24"/>
        </w:rPr>
        <w:t>.</w:t>
      </w:r>
    </w:p>
    <w:p w14:paraId="14A58F76" w14:textId="08CD699D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BB3B0D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1BF1B336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BB3B0D" w:rsidRPr="00BB3B0D" w14:paraId="0A651F2C" w14:textId="77777777" w:rsidTr="00BB3B0D">
        <w:trPr>
          <w:trHeight w:val="13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7844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Опис предмета закупівлі (технічні, якісні характеристики)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0FF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Параметри</w:t>
            </w:r>
          </w:p>
        </w:tc>
      </w:tr>
      <w:tr w:rsidR="00BB3B0D" w:rsidRPr="00BB3B0D" w14:paraId="114351DD" w14:textId="77777777" w:rsidTr="00BB3B0D">
        <w:trPr>
          <w:trHeight w:val="6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87CA" w14:textId="77777777" w:rsidR="00BB3B0D" w:rsidRPr="00BB3B0D" w:rsidRDefault="00BB3B0D" w:rsidP="00BB3B0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Тип приладу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20D" w14:textId="77777777" w:rsidR="00BB3B0D" w:rsidRPr="00BB3B0D" w:rsidRDefault="00BB3B0D" w:rsidP="00BB3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Дозиметр-радіометр пошуковий</w:t>
            </w:r>
          </w:p>
        </w:tc>
      </w:tr>
      <w:tr w:rsidR="00BB3B0D" w:rsidRPr="00BB3B0D" w14:paraId="7D5B08B3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3731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Діапазон вимірювання ПАЕД фотонного іонізуючого випромінення </w:t>
            </w:r>
            <w:r w:rsidRPr="00BB3B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повинен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3D92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0,1 мкЗв/год </w:t>
            </w:r>
          </w:p>
          <w:p w14:paraId="7EF90405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 100 мЗв/год</w:t>
            </w:r>
          </w:p>
        </w:tc>
      </w:tr>
      <w:tr w:rsidR="00BB3B0D" w:rsidRPr="00BB3B0D" w14:paraId="2476B8EE" w14:textId="77777777" w:rsidTr="00BB3B0D">
        <w:trPr>
          <w:trHeight w:val="8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BDDB" w14:textId="77777777" w:rsidR="00BB3B0D" w:rsidRPr="00BB3B0D" w:rsidRDefault="00BB3B0D" w:rsidP="00BB3B0D">
            <w:pPr>
              <w:tabs>
                <w:tab w:val="left" w:pos="3822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Діапазон відображення ПАЕД фотонного іонізуючого випромінення </w:t>
            </w:r>
            <w:r w:rsidRPr="00BB3B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повинен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33BA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0,01 мкЗв/год </w:t>
            </w:r>
          </w:p>
          <w:p w14:paraId="0BBE571E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до100 мЗв/год</w:t>
            </w:r>
          </w:p>
        </w:tc>
      </w:tr>
      <w:tr w:rsidR="00BB3B0D" w:rsidRPr="00BB3B0D" w14:paraId="46A5971D" w14:textId="77777777" w:rsidTr="00BB3B0D">
        <w:trPr>
          <w:trHeight w:val="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46DE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Радіометр повинен формувати символи переповнення «nnnn» при вимірюванні ПАЕД фотонного іонізуючого випромінення, як ознаку виходу ПАЕД за верхню межу діапазону вимірювання при опроміненні його ПАЕД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ACA2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130 мЗв/год до 1 Зв/год</w:t>
            </w:r>
          </w:p>
        </w:tc>
      </w:tr>
      <w:tr w:rsidR="00BB3B0D" w:rsidRPr="00BB3B0D" w14:paraId="44630ED2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0907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Радіометр повинен формувати символи переповнення «nnnn» при вимірюванні поверхневої густини потоку частинок бета-випромінення, як ознаку виходу за верхню межу діапазону вимірювання при опроміненні його бета-випроміненням з поверхневою густиною потоку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350C" w14:textId="77777777" w:rsidR="00BB3B0D" w:rsidRPr="00BB3B0D" w:rsidRDefault="00BB3B0D" w:rsidP="00BB3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1,3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част./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(см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хв)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 10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част./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(см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2 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хв)</w:t>
            </w:r>
          </w:p>
          <w:p w14:paraId="7665EF96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B3B0D" w:rsidRPr="00BB3B0D" w14:paraId="0BBD3D2B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E0D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Радіометр повинен формувати символи переповнення «nnnn» при вимірюванні поверхневої активності бета-випромінюючих радіонуклідів, як ознаку виходу за верхню межу діапазону вимірювання при вимірюванні поверхневої активності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171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10 000 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14:paraId="1A7C5926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 100 000 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F74CC44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B0D" w:rsidRPr="00BB3B0D" w14:paraId="3CF834C0" w14:textId="77777777" w:rsidTr="00BB3B0D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4FAB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Діапазон вимірювання поверхневої густини потоку частинок альфа-випромінення </w:t>
            </w:r>
            <w:r w:rsidRPr="00BB3B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повинен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440A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5 част./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(см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2 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хв) </w:t>
            </w:r>
          </w:p>
          <w:p w14:paraId="4A080348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 999 999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част./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(см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хв)</w:t>
            </w:r>
          </w:p>
        </w:tc>
      </w:tr>
      <w:tr w:rsidR="00BB3B0D" w:rsidRPr="00BB3B0D" w14:paraId="2D304105" w14:textId="77777777" w:rsidTr="00BB3B0D">
        <w:trPr>
          <w:trHeight w:val="10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6B64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Діапазон вимірювання поверхневої активності альфа-випромінюючих радіонуклідів </w:t>
            </w:r>
            <w:r w:rsidRPr="00BB3B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повинен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34E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0,2 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9FBEC0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 9999 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A65940D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для джерел типу П9 (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239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Pu)</w:t>
            </w:r>
          </w:p>
        </w:tc>
      </w:tr>
      <w:tr w:rsidR="00BB3B0D" w:rsidRPr="00BB3B0D" w14:paraId="208C4BCA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201A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Радіометр повинен формувати символи переповнення «nnnn» при вимірюванні поверхневої густини потоку частинок альфа-випромінення, як ознаку виходу за верхню межу діапазону вимірювання при опроміненні його альфа-випроміненням з поверхневою густиною потоку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3A2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1,3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част./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(см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2 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хв) </w:t>
            </w:r>
          </w:p>
          <w:p w14:paraId="0939FDB2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 10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част./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(см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2 </w:t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ym w:font="Symbol" w:char="F0D7"/>
            </w:r>
            <w:r w:rsidRPr="00BB3B0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хв)</w:t>
            </w:r>
          </w:p>
        </w:tc>
      </w:tr>
      <w:tr w:rsidR="00BB3B0D" w:rsidRPr="00BB3B0D" w14:paraId="4B93B302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43B3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Діапазон індикації швидкості лічби імпульсів від лічильника альфа-бета-гамма-випромінень повинен 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028" w14:textId="77777777" w:rsidR="00BB3B0D" w:rsidRPr="00BB3B0D" w:rsidRDefault="00BB3B0D" w:rsidP="00BB3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0,001 імп./с до 9999 імп./с</w:t>
            </w:r>
          </w:p>
        </w:tc>
      </w:tr>
      <w:tr w:rsidR="00BB3B0D" w:rsidRPr="00BB3B0D" w14:paraId="7EEF42CE" w14:textId="77777777" w:rsidTr="00BB3B0D">
        <w:trPr>
          <w:trHeight w:val="1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0A8" w14:textId="3BF1CAC7" w:rsidR="00BB3B0D" w:rsidRPr="00BB3B0D" w:rsidRDefault="00BB3B0D" w:rsidP="00BB3B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Ref524426896"/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Анізотропія радіометра при падінні гамма-квантів в тілесному куті ±60 відносно основного (перпендикулярного до задньої кришки радіометра, який помічено символом “+”) напрямку вимірювання повинна бути:</w:t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F61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ізотопів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137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Cs та </w:t>
            </w:r>
          </w:p>
          <w:p w14:paraId="4965479E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Co ±25 %</w:t>
            </w:r>
          </w:p>
          <w:p w14:paraId="4D7947E6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для ізотопів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241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Am ±60 %</w:t>
            </w:r>
          </w:p>
          <w:p w14:paraId="40C811AE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B0D" w:rsidRPr="00BB3B0D" w14:paraId="0097F1EB" w14:textId="77777777" w:rsidTr="00BB3B0D">
        <w:trPr>
          <w:trHeight w:val="19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E494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Границя допустимої додаткової відносної похибки при вимірюванні ПАЕД фотонного іонізуючого випромінення, поверхневої густини потоку частинок бета-випромінення та поверхневої густини потоку частинок альфа-випромінення, що викликана зміною температури оточуючого середовища від мінус 20 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С до 50 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повинна 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D278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не більше ніж ±0,5 % на кожен 1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 о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С відхилу від 20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 о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BB3B0D" w:rsidRPr="00BB3B0D" w14:paraId="14E01499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64E3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Значення порогових рівнів ПАЕД фотонного іонізуючого випромінення повинні програмуватися в діапазоні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523A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0 мЗв/год </w:t>
            </w:r>
          </w:p>
          <w:p w14:paraId="62664061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99,9 мЗв/год </w:t>
            </w:r>
          </w:p>
          <w:p w14:paraId="07C0A3C1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з дискретністю 0,01 мкЗв/год</w:t>
            </w:r>
          </w:p>
        </w:tc>
      </w:tr>
      <w:tr w:rsidR="00BB3B0D" w:rsidRPr="00BB3B0D" w14:paraId="512D9FAF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DCD0" w14:textId="77777777" w:rsidR="00BB3B0D" w:rsidRPr="00BB3B0D" w:rsidRDefault="00BB3B0D" w:rsidP="00BB3B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Значення порогових рівнів поверхневої густини потоку частинок бета-випромінення повинні програмуватися в діапазоні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058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0 част./(см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·хв) </w:t>
            </w:r>
          </w:p>
          <w:p w14:paraId="79A5F8AD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 999,9·10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част./(см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·хв)</w:t>
            </w:r>
          </w:p>
          <w:p w14:paraId="6F41F6A9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дискретністю </w:t>
            </w:r>
          </w:p>
          <w:p w14:paraId="50A0AE4D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0,01·10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част./(см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·хв)</w:t>
            </w:r>
          </w:p>
        </w:tc>
      </w:tr>
      <w:tr w:rsidR="00BB3B0D" w:rsidRPr="00BB3B0D" w14:paraId="193CBB8B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DC8E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Значення порогових рівнів поверхневої активності бета-випромінюючих радіонуклідів повинні програмуватися в діапазоні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2793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0 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981323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 9999,99·Бк/см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22EC4B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з дискретністю 0,01 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B0D" w:rsidRPr="00BB3B0D" w14:paraId="4A0793E9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535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Значення порогових рівнів поверхневої густини потоку частинок альфа-випромінення повинні програмуватися в діапазоні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278F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від 0 част./(см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·хв) </w:t>
            </w:r>
          </w:p>
          <w:p w14:paraId="1DDC629B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до 999,9·10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 част./(см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·хв) </w:t>
            </w:r>
          </w:p>
          <w:p w14:paraId="2ABF9CFE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дискретністю </w:t>
            </w:r>
          </w:p>
          <w:p w14:paraId="13F67718" w14:textId="77777777" w:rsidR="00BB3B0D" w:rsidRPr="00BB3B0D" w:rsidRDefault="00BB3B0D" w:rsidP="00BB3B0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0,01·10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част./(см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·хв)</w:t>
            </w:r>
          </w:p>
        </w:tc>
      </w:tr>
      <w:tr w:rsidR="00BB3B0D" w:rsidRPr="00BB3B0D" w14:paraId="09ADD16A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1E4C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Значення порогових рівнів поверхневої активності альфа-випромінюючих радіонуклідів повинні програмуватися в діапазоні від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1C7A" w14:textId="77777777" w:rsidR="00BB3B0D" w:rsidRPr="00BB3B0D" w:rsidRDefault="00BB3B0D" w:rsidP="00BB3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0 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9999,99·Бк/см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дискретністю 0,01 Бк/см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B0D" w:rsidRPr="00BB3B0D" w14:paraId="54C36DC9" w14:textId="77777777" w:rsidTr="00BB3B0D">
        <w:trPr>
          <w:trHeight w:val="7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81DB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Значення порогових рівнів швидкості лічби імпульсів від лічильника альфа-, бета-, гамма-випромінень повинні програмуватися в діапазоні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129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0 cps до 9999 cps </w:t>
            </w:r>
          </w:p>
          <w:p w14:paraId="55923C72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з дискретністю 0,01 cps</w:t>
            </w:r>
          </w:p>
        </w:tc>
      </w:tr>
      <w:tr w:rsidR="00BB3B0D" w:rsidRPr="00BB3B0D" w14:paraId="723CE1B1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ACE8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Радіометр повинен забезпечувати вимірювання за таких умов: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27E9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температура від мінус </w:t>
            </w:r>
          </w:p>
          <w:p w14:paraId="09B4D124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о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до 50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78C80E18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відносна вологість </w:t>
            </w:r>
            <w:r w:rsidRPr="00BB3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(95±3) 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14:paraId="2DD19B84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за температури 35 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5D47E6E6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- атмосферний тиск від 84 кПа до 106,7 кПа</w:t>
            </w:r>
          </w:p>
        </w:tc>
      </w:tr>
      <w:tr w:rsidR="00BB3B0D" w:rsidRPr="00BB3B0D" w14:paraId="06216AF0" w14:textId="77777777" w:rsidTr="00BB3B0D">
        <w:trPr>
          <w:trHeight w:val="10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CCD" w14:textId="77777777" w:rsidR="00BB3B0D" w:rsidRPr="00BB3B0D" w:rsidRDefault="00BB3B0D" w:rsidP="00BB3B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Габаритні розміри </w:t>
            </w:r>
            <w:r w:rsidRPr="00BB3B0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радіометра </w:t>
            </w: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повинні 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84B8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не більші ніж:</w:t>
            </w:r>
          </w:p>
          <w:p w14:paraId="6E0A7549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- довжина – 160,0 мм;</w:t>
            </w:r>
          </w:p>
          <w:p w14:paraId="224267AF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- ширина – 75,0 мм;</w:t>
            </w:r>
          </w:p>
          <w:p w14:paraId="68906948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- товщина – 37,0 мм</w:t>
            </w:r>
          </w:p>
        </w:tc>
      </w:tr>
      <w:tr w:rsidR="00BB3B0D" w:rsidRPr="00BB3B0D" w14:paraId="0488C5CA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A7D" w14:textId="77777777" w:rsidR="00BB3B0D" w:rsidRPr="00BB3B0D" w:rsidRDefault="00BB3B0D" w:rsidP="00BB3B0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Радіометр повинен бути стійким до дії електромагнітного випромінення з напруженістю: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B2E" w14:textId="77777777" w:rsidR="00BB3B0D" w:rsidRPr="00BB3B0D" w:rsidRDefault="00BB3B0D" w:rsidP="00BB3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- 3 В/м в діапазоні частот від 80,0 МГц до 1 ГГц та від 1,4 ГГц до 2 ГГц;</w:t>
            </w:r>
          </w:p>
          <w:p w14:paraId="5D5D2185" w14:textId="77777777" w:rsidR="00BB3B0D" w:rsidRPr="00BB3B0D" w:rsidRDefault="00BB3B0D" w:rsidP="00BB3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- 1 В/м в діапазоні частот від 2 ГГц до 2,7 ГГц</w:t>
            </w:r>
          </w:p>
        </w:tc>
      </w:tr>
      <w:tr w:rsidR="00BB3B0D" w:rsidRPr="00BB3B0D" w14:paraId="237A4334" w14:textId="77777777" w:rsidTr="00BB3B0D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921B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Середній ресурс радіометра до першого капітального ремонту повинен 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05E" w14:textId="77777777" w:rsidR="00BB3B0D" w:rsidRPr="00BB3B0D" w:rsidRDefault="00BB3B0D" w:rsidP="00BB3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не менше ніж 10 000 год</w:t>
            </w:r>
          </w:p>
        </w:tc>
      </w:tr>
      <w:tr w:rsidR="00BB3B0D" w:rsidRPr="00BB3B0D" w14:paraId="7F3AADFE" w14:textId="77777777" w:rsidTr="00BB3B0D">
        <w:trPr>
          <w:trHeight w:val="2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E9E6" w14:textId="77777777" w:rsidR="00BB3B0D" w:rsidRPr="00BB3B0D" w:rsidRDefault="00BB3B0D" w:rsidP="00BB3B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Середній строк служби радіометра повинен бути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563" w14:textId="77777777" w:rsidR="00BB3B0D" w:rsidRPr="00BB3B0D" w:rsidRDefault="00BB3B0D" w:rsidP="00BB3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B3B0D">
              <w:rPr>
                <w:rFonts w:ascii="Times New Roman" w:eastAsia="Calibri" w:hAnsi="Times New Roman" w:cs="Times New Roman"/>
                <w:sz w:val="24"/>
                <w:szCs w:val="24"/>
              </w:rPr>
              <w:t>не менше ніж 6 років</w:t>
            </w:r>
          </w:p>
        </w:tc>
      </w:tr>
    </w:tbl>
    <w:p w14:paraId="2274CFD9" w14:textId="77777777" w:rsidR="00BB3B0D" w:rsidRPr="0024553B" w:rsidRDefault="00BB3B0D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B3B0D" w:rsidRPr="0024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2692" w14:textId="77777777" w:rsidR="003957BF" w:rsidRDefault="003957BF" w:rsidP="0024553B">
      <w:pPr>
        <w:spacing w:after="0" w:line="240" w:lineRule="auto"/>
      </w:pPr>
      <w:r>
        <w:separator/>
      </w:r>
    </w:p>
  </w:endnote>
  <w:endnote w:type="continuationSeparator" w:id="0">
    <w:p w14:paraId="5867E2C1" w14:textId="77777777" w:rsidR="003957BF" w:rsidRDefault="003957B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0F57" w14:textId="77777777" w:rsidR="003957BF" w:rsidRDefault="003957BF" w:rsidP="0024553B">
      <w:pPr>
        <w:spacing w:after="0" w:line="240" w:lineRule="auto"/>
      </w:pPr>
      <w:r>
        <w:separator/>
      </w:r>
    </w:p>
  </w:footnote>
  <w:footnote w:type="continuationSeparator" w:id="0">
    <w:p w14:paraId="6BAFD035" w14:textId="77777777" w:rsidR="003957BF" w:rsidRDefault="003957B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1055A1"/>
    <w:rsid w:val="001C1517"/>
    <w:rsid w:val="00226C86"/>
    <w:rsid w:val="0024553B"/>
    <w:rsid w:val="002B6E58"/>
    <w:rsid w:val="002B72AC"/>
    <w:rsid w:val="002C7992"/>
    <w:rsid w:val="002E2676"/>
    <w:rsid w:val="00366514"/>
    <w:rsid w:val="003957BF"/>
    <w:rsid w:val="0056689E"/>
    <w:rsid w:val="00590320"/>
    <w:rsid w:val="005F6CE1"/>
    <w:rsid w:val="006C75C1"/>
    <w:rsid w:val="0084332E"/>
    <w:rsid w:val="009443DC"/>
    <w:rsid w:val="0095518A"/>
    <w:rsid w:val="00A52318"/>
    <w:rsid w:val="00BB3B0D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5126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5</cp:revision>
  <dcterms:created xsi:type="dcterms:W3CDTF">2022-07-12T06:38:00Z</dcterms:created>
  <dcterms:modified xsi:type="dcterms:W3CDTF">2022-08-03T11:52:00Z</dcterms:modified>
</cp:coreProperties>
</file>