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77777777" w:rsidR="000C70A6" w:rsidRDefault="000C70A6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0C70A6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(Реагенти сумісні з проточними </w:t>
      </w:r>
      <w:proofErr w:type="spellStart"/>
      <w:r w:rsidRPr="000C70A6">
        <w:rPr>
          <w:rFonts w:ascii="Times New Roman" w:hAnsi="Times New Roman"/>
          <w:b/>
          <w:bCs/>
          <w:sz w:val="24"/>
          <w:szCs w:val="24"/>
        </w:rPr>
        <w:t>цитофлюориметрами</w:t>
      </w:r>
      <w:proofErr w:type="spellEnd"/>
      <w:r w:rsidRPr="000C70A6">
        <w:rPr>
          <w:rFonts w:ascii="Times New Roman" w:hAnsi="Times New Roman"/>
          <w:b/>
          <w:bCs/>
          <w:sz w:val="24"/>
          <w:szCs w:val="24"/>
        </w:rPr>
        <w:t xml:space="preserve"> виробництва </w:t>
      </w:r>
      <w:proofErr w:type="spellStart"/>
      <w:r w:rsidRPr="000C70A6">
        <w:rPr>
          <w:rFonts w:ascii="Times New Roman" w:hAnsi="Times New Roman"/>
          <w:b/>
          <w:bCs/>
          <w:sz w:val="24"/>
          <w:szCs w:val="24"/>
        </w:rPr>
        <w:t>Beckman</w:t>
      </w:r>
      <w:proofErr w:type="spellEnd"/>
      <w:r w:rsidRPr="000C70A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70A6">
        <w:rPr>
          <w:rFonts w:ascii="Times New Roman" w:hAnsi="Times New Roman"/>
          <w:b/>
          <w:bCs/>
          <w:sz w:val="24"/>
          <w:szCs w:val="24"/>
        </w:rPr>
        <w:t>Coulter</w:t>
      </w:r>
      <w:proofErr w:type="spellEnd"/>
      <w:r w:rsidRPr="000C70A6">
        <w:rPr>
          <w:rFonts w:ascii="Times New Roman" w:hAnsi="Times New Roman"/>
          <w:b/>
          <w:bCs/>
          <w:sz w:val="24"/>
          <w:szCs w:val="24"/>
        </w:rPr>
        <w:t>)</w:t>
      </w:r>
      <w:r w:rsidRPr="000C70A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77777777" w:rsidR="000C70A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0C70A6" w:rsidRPr="000C70A6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(Реагенти сумісні з проточними </w:t>
      </w:r>
      <w:proofErr w:type="spellStart"/>
      <w:r w:rsidR="000C70A6" w:rsidRPr="000C70A6">
        <w:rPr>
          <w:rFonts w:ascii="Times New Roman" w:hAnsi="Times New Roman"/>
          <w:bCs/>
          <w:sz w:val="24"/>
          <w:szCs w:val="24"/>
        </w:rPr>
        <w:t>цитофлюориметрами</w:t>
      </w:r>
      <w:proofErr w:type="spellEnd"/>
      <w:r w:rsidR="000C70A6" w:rsidRPr="000C70A6">
        <w:rPr>
          <w:rFonts w:ascii="Times New Roman" w:hAnsi="Times New Roman"/>
          <w:bCs/>
          <w:sz w:val="24"/>
          <w:szCs w:val="24"/>
        </w:rPr>
        <w:t xml:space="preserve"> виробництва </w:t>
      </w:r>
      <w:proofErr w:type="spellStart"/>
      <w:r w:rsidR="000C70A6" w:rsidRPr="000C70A6">
        <w:rPr>
          <w:rFonts w:ascii="Times New Roman" w:hAnsi="Times New Roman"/>
          <w:bCs/>
          <w:sz w:val="24"/>
          <w:szCs w:val="24"/>
        </w:rPr>
        <w:t>Beckman</w:t>
      </w:r>
      <w:proofErr w:type="spellEnd"/>
      <w:r w:rsidR="000C70A6" w:rsidRPr="000C70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70A6" w:rsidRPr="000C70A6">
        <w:rPr>
          <w:rFonts w:ascii="Times New Roman" w:hAnsi="Times New Roman"/>
          <w:bCs/>
          <w:sz w:val="24"/>
          <w:szCs w:val="24"/>
        </w:rPr>
        <w:t>Coulter</w:t>
      </w:r>
      <w:proofErr w:type="spellEnd"/>
      <w:r w:rsidR="000C70A6" w:rsidRPr="000C70A6">
        <w:rPr>
          <w:rFonts w:ascii="Times New Roman" w:hAnsi="Times New Roman"/>
          <w:bCs/>
          <w:sz w:val="24"/>
          <w:szCs w:val="24"/>
        </w:rPr>
        <w:t>)</w:t>
      </w:r>
    </w:p>
    <w:p w14:paraId="4439A3F5" w14:textId="59B7E41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C74577A" w14:textId="5B2ADDC5" w:rsidR="000C70A6" w:rsidRDefault="00870D0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D0C">
        <w:rPr>
          <w:rFonts w:ascii="Times New Roman" w:hAnsi="Times New Roman"/>
          <w:sz w:val="24"/>
          <w:szCs w:val="24"/>
        </w:rPr>
        <w:t>UA-2022-08-11-009075-a</w:t>
      </w:r>
    </w:p>
    <w:p w14:paraId="168ABDD6" w14:textId="77777777" w:rsidR="00870D0C" w:rsidRPr="0024553B" w:rsidRDefault="00870D0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46461E9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A68EE">
        <w:rPr>
          <w:rFonts w:ascii="Times New Roman" w:hAnsi="Times New Roman"/>
          <w:sz w:val="24"/>
          <w:szCs w:val="24"/>
        </w:rPr>
        <w:t>95 720</w:t>
      </w:r>
      <w:r w:rsidR="000C70A6" w:rsidRPr="000C70A6">
        <w:rPr>
          <w:rFonts w:ascii="Times New Roman" w:hAnsi="Times New Roman"/>
          <w:sz w:val="24"/>
          <w:szCs w:val="24"/>
        </w:rPr>
        <w:t>,00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489580A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A68EE">
        <w:rPr>
          <w:rFonts w:ascii="Times New Roman" w:hAnsi="Times New Roman"/>
          <w:sz w:val="24"/>
          <w:szCs w:val="24"/>
        </w:rPr>
        <w:t>95 720</w:t>
      </w:r>
      <w:r w:rsidR="000C70A6" w:rsidRPr="000C70A6">
        <w:rPr>
          <w:rFonts w:ascii="Times New Roman" w:hAnsi="Times New Roman"/>
          <w:sz w:val="24"/>
          <w:szCs w:val="24"/>
        </w:rPr>
        <w:t>,00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0734" w:type="dxa"/>
        <w:tblInd w:w="-714" w:type="dxa"/>
        <w:tblLook w:val="04A0" w:firstRow="1" w:lastRow="0" w:firstColumn="1" w:lastColumn="0" w:noHBand="0" w:noVBand="1"/>
      </w:tblPr>
      <w:tblGrid>
        <w:gridCol w:w="540"/>
        <w:gridCol w:w="2242"/>
        <w:gridCol w:w="1136"/>
        <w:gridCol w:w="3945"/>
        <w:gridCol w:w="1601"/>
        <w:gridCol w:w="1270"/>
      </w:tblGrid>
      <w:tr w:rsidR="000C70A6" w:rsidRPr="000C70A6" w14:paraId="1B8FB26F" w14:textId="77777777" w:rsidTr="009467AA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A0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DC3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Предмет закупівлі*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14C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Код НК 024:2019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A2E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Технічні характеристики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44B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Одиниці вимірювання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53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Кількість</w:t>
            </w:r>
          </w:p>
        </w:tc>
      </w:tr>
      <w:tr w:rsidR="000C70A6" w:rsidRPr="000C70A6" w14:paraId="2248F13C" w14:textId="77777777" w:rsidTr="009467AA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FE13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01E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Тетра-1 Панель Tetra-1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Panel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50 тестів,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23533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A6B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56917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D50DCF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1. Реагенти повинні бути сумісні з проточними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цитофлюориметрами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AQUIOS CL виробництва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Beckman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Coulter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.</w:t>
            </w:r>
          </w:p>
          <w:p w14:paraId="457FB077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2. Реагенти повинні бути призначені для діагностики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in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vitro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.</w:t>
            </w:r>
          </w:p>
          <w:p w14:paraId="4EA19F25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3. Термін придатності реагентів на момент поставки отримувачу повинен становити не менше 50% від загального терміну придатності.</w:t>
            </w:r>
          </w:p>
          <w:p w14:paraId="29632715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4.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відповідність. </w:t>
            </w:r>
          </w:p>
          <w:p w14:paraId="5BDF25E5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5. Необхідна наявність копії інструкції (настанови) із експлуатації (застосування) медичного виробу українською мовою.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мовою.</w:t>
            </w:r>
          </w:p>
          <w:p w14:paraId="1ABDB728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6. Зберігання та постачання повинно здійснюватися відповідно до вимог інструкції з використання за необхідності з дотриманням «холодового ланцюга».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41C2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флакон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B393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65EF6B43" w14:textId="77777777" w:rsidTr="009467AA">
        <w:trPr>
          <w:trHeight w:val="1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54AD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E6F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Фокусуючий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розчин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Sheath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Solution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, 10 л, каталожний номер B25697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CD2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FCF99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DB2D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28D7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3A3FF95E" w14:textId="77777777" w:rsidTr="009467AA">
        <w:trPr>
          <w:trHeight w:val="1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DB28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3FF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AQUIOS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IMMUNO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-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TROL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низькі клітини, 2 флакони по 3 мл,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25700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1F01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56919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B53C76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D3F3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7A8C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3</w:t>
            </w:r>
          </w:p>
        </w:tc>
      </w:tr>
      <w:tr w:rsidR="000C70A6" w:rsidRPr="000C70A6" w14:paraId="0D98EC9E" w14:textId="77777777" w:rsidTr="009467AA">
        <w:trPr>
          <w:trHeight w:val="1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60F1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691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Розчин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гіпохлорита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натрію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Sodium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Hypochlorite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Solution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4 флакони по 50 мл,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23536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4A6D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8F197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1E5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247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3C9DDA78" w14:textId="77777777" w:rsidTr="009467AA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A0F50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675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Очисний агент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Cleaning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Agent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0,5 л,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25698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BA89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0A1746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D2CA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5AAF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1601E47F" w14:textId="77777777" w:rsidTr="009467AA">
        <w:trPr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00D8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0A60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Набір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лізуючих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реагентів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Lysing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Reagent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Kit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100 тестів, каталожний номер 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23538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EFA7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86ED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00D8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5AFF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6312" w14:textId="77777777" w:rsidR="007622E0" w:rsidRDefault="007622E0" w:rsidP="0024553B">
      <w:pPr>
        <w:spacing w:after="0" w:line="240" w:lineRule="auto"/>
      </w:pPr>
      <w:r>
        <w:separator/>
      </w:r>
    </w:p>
  </w:endnote>
  <w:endnote w:type="continuationSeparator" w:id="0">
    <w:p w14:paraId="118763F2" w14:textId="77777777" w:rsidR="007622E0" w:rsidRDefault="007622E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5B26" w14:textId="77777777" w:rsidR="007622E0" w:rsidRDefault="007622E0" w:rsidP="0024553B">
      <w:pPr>
        <w:spacing w:after="0" w:line="240" w:lineRule="auto"/>
      </w:pPr>
      <w:r>
        <w:separator/>
      </w:r>
    </w:p>
  </w:footnote>
  <w:footnote w:type="continuationSeparator" w:id="0">
    <w:p w14:paraId="267BAA1A" w14:textId="77777777" w:rsidR="007622E0" w:rsidRDefault="007622E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E58"/>
    <w:rsid w:val="002B72AC"/>
    <w:rsid w:val="002C7992"/>
    <w:rsid w:val="002E2676"/>
    <w:rsid w:val="00366514"/>
    <w:rsid w:val="00590320"/>
    <w:rsid w:val="005F6CE1"/>
    <w:rsid w:val="006C75C1"/>
    <w:rsid w:val="007622E0"/>
    <w:rsid w:val="0084332E"/>
    <w:rsid w:val="00870D0C"/>
    <w:rsid w:val="009443DC"/>
    <w:rsid w:val="0095518A"/>
    <w:rsid w:val="00A52318"/>
    <w:rsid w:val="00AC1C0E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4</cp:revision>
  <dcterms:created xsi:type="dcterms:W3CDTF">2022-08-10T10:32:00Z</dcterms:created>
  <dcterms:modified xsi:type="dcterms:W3CDTF">2022-08-17T10:59:00Z</dcterms:modified>
</cp:coreProperties>
</file>