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9BF974" w14:textId="28418F77" w:rsidR="003A647A" w:rsidRDefault="003A647A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3A647A">
        <w:rPr>
          <w:rFonts w:ascii="Times New Roman" w:hAnsi="Times New Roman"/>
          <w:b/>
          <w:bCs/>
          <w:sz w:val="24"/>
          <w:szCs w:val="24"/>
        </w:rPr>
        <w:t>ДК 021:2015:33190000-8</w:t>
      </w:r>
      <w:r w:rsidRPr="003A647A">
        <w:rPr>
          <w:rFonts w:ascii="Times New Roman" w:hAnsi="Times New Roman"/>
          <w:b/>
          <w:bCs/>
          <w:sz w:val="24"/>
          <w:szCs w:val="24"/>
        </w:rPr>
        <w:tab/>
        <w:t>Медичне обладнання та вироби медичного призначення різні (</w:t>
      </w:r>
      <w:r w:rsidR="008D6F86" w:rsidRPr="008D6F86">
        <w:rPr>
          <w:rFonts w:ascii="Times New Roman" w:hAnsi="Times New Roman"/>
          <w:b/>
          <w:bCs/>
          <w:sz w:val="24"/>
          <w:szCs w:val="24"/>
        </w:rPr>
        <w:t xml:space="preserve">Наконечники з фільтром стерильні, </w:t>
      </w:r>
      <w:proofErr w:type="spellStart"/>
      <w:r w:rsidR="008D6F86" w:rsidRPr="008D6F86">
        <w:rPr>
          <w:rFonts w:ascii="Times New Roman" w:hAnsi="Times New Roman"/>
          <w:b/>
          <w:bCs/>
          <w:sz w:val="24"/>
          <w:szCs w:val="24"/>
        </w:rPr>
        <w:t>мікропробірка</w:t>
      </w:r>
      <w:proofErr w:type="spellEnd"/>
      <w:r w:rsidR="008D6F86" w:rsidRPr="008D6F86">
        <w:rPr>
          <w:rFonts w:ascii="Times New Roman" w:hAnsi="Times New Roman"/>
          <w:b/>
          <w:bCs/>
          <w:sz w:val="24"/>
          <w:szCs w:val="24"/>
        </w:rPr>
        <w:t>, тонкостінна ПЛР пробірка</w:t>
      </w:r>
      <w:r w:rsidRPr="003A647A">
        <w:rPr>
          <w:rFonts w:ascii="Times New Roman" w:hAnsi="Times New Roman"/>
          <w:b/>
          <w:bCs/>
          <w:sz w:val="24"/>
          <w:szCs w:val="24"/>
        </w:rPr>
        <w:t>)</w:t>
      </w:r>
      <w:r w:rsidRPr="003A647A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676D13C2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8563F8C" w14:textId="3EB5940B" w:rsidR="003A647A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3A647A" w:rsidRPr="003A647A">
        <w:rPr>
          <w:rFonts w:ascii="Times New Roman" w:hAnsi="Times New Roman"/>
          <w:bCs/>
          <w:sz w:val="24"/>
          <w:szCs w:val="24"/>
        </w:rPr>
        <w:t>ДК 021:2015:33190000-8</w:t>
      </w:r>
      <w:r w:rsidR="003A647A" w:rsidRPr="003A647A">
        <w:rPr>
          <w:rFonts w:ascii="Times New Roman" w:hAnsi="Times New Roman"/>
          <w:bCs/>
          <w:sz w:val="24"/>
          <w:szCs w:val="24"/>
        </w:rPr>
        <w:tab/>
        <w:t>Медичне обладнання та вироби медичного призначення різні (</w:t>
      </w:r>
      <w:r w:rsidR="008D6F86" w:rsidRPr="008D6F86">
        <w:rPr>
          <w:rFonts w:ascii="Times New Roman" w:hAnsi="Times New Roman"/>
          <w:bCs/>
          <w:sz w:val="24"/>
          <w:szCs w:val="24"/>
        </w:rPr>
        <w:t xml:space="preserve">Наконечники з фільтром стерильні, </w:t>
      </w:r>
      <w:proofErr w:type="spellStart"/>
      <w:r w:rsidR="008D6F86" w:rsidRPr="008D6F86">
        <w:rPr>
          <w:rFonts w:ascii="Times New Roman" w:hAnsi="Times New Roman"/>
          <w:bCs/>
          <w:sz w:val="24"/>
          <w:szCs w:val="24"/>
        </w:rPr>
        <w:t>мікропробірка</w:t>
      </w:r>
      <w:proofErr w:type="spellEnd"/>
      <w:r w:rsidR="008D6F86" w:rsidRPr="008D6F86">
        <w:rPr>
          <w:rFonts w:ascii="Times New Roman" w:hAnsi="Times New Roman"/>
          <w:bCs/>
          <w:sz w:val="24"/>
          <w:szCs w:val="24"/>
        </w:rPr>
        <w:t>, тонкостінна ПЛР пробірка</w:t>
      </w:r>
      <w:r w:rsidR="003A647A" w:rsidRPr="003A647A">
        <w:rPr>
          <w:rFonts w:ascii="Times New Roman" w:hAnsi="Times New Roman"/>
          <w:bCs/>
          <w:sz w:val="24"/>
          <w:szCs w:val="24"/>
        </w:rPr>
        <w:t>)</w:t>
      </w:r>
    </w:p>
    <w:p w14:paraId="4439A3F5" w14:textId="6452D22F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434415CE" w14:textId="5B60E8E5" w:rsidR="00E04C98" w:rsidRDefault="008D6F8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F86">
        <w:rPr>
          <w:rFonts w:ascii="Times New Roman" w:hAnsi="Times New Roman"/>
          <w:sz w:val="24"/>
          <w:szCs w:val="24"/>
        </w:rPr>
        <w:t>UA-2022-08-15-009666-a</w:t>
      </w:r>
    </w:p>
    <w:p w14:paraId="2FD3797A" w14:textId="77777777" w:rsidR="008D6F86" w:rsidRPr="0024553B" w:rsidRDefault="008D6F8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04A53C8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8D6F86" w:rsidRPr="008D6F86">
        <w:rPr>
          <w:rFonts w:ascii="Times New Roman" w:hAnsi="Times New Roman"/>
          <w:sz w:val="24"/>
          <w:szCs w:val="24"/>
          <w:lang w:val="ru-RU"/>
        </w:rPr>
        <w:t>32</w:t>
      </w:r>
      <w:r w:rsidR="00E04C98" w:rsidRPr="00E04C98">
        <w:rPr>
          <w:rFonts w:ascii="Times New Roman" w:hAnsi="Times New Roman"/>
          <w:sz w:val="24"/>
          <w:szCs w:val="24"/>
        </w:rPr>
        <w:t xml:space="preserve"> 000,00</w:t>
      </w:r>
      <w:r w:rsidR="00E04C98" w:rsidRPr="008D6F8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373C44FB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8D6F86" w:rsidRPr="008D6F86">
        <w:rPr>
          <w:rFonts w:ascii="Times New Roman" w:hAnsi="Times New Roman"/>
          <w:sz w:val="24"/>
          <w:szCs w:val="24"/>
          <w:lang w:val="ru-RU"/>
        </w:rPr>
        <w:t>32</w:t>
      </w:r>
      <w:r w:rsidR="00E04C98" w:rsidRPr="00E04C98">
        <w:rPr>
          <w:rFonts w:ascii="Times New Roman" w:hAnsi="Times New Roman"/>
          <w:sz w:val="24"/>
          <w:szCs w:val="24"/>
        </w:rPr>
        <w:t xml:space="preserve"> 000,00</w:t>
      </w:r>
      <w:r w:rsidR="00E04C98" w:rsidRPr="00E04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63A5C537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A8513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tbl>
      <w:tblPr>
        <w:tblStyle w:val="4"/>
        <w:tblW w:w="9912" w:type="dxa"/>
        <w:tblLook w:val="04A0" w:firstRow="1" w:lastRow="0" w:firstColumn="1" w:lastColumn="0" w:noHBand="0" w:noVBand="1"/>
      </w:tblPr>
      <w:tblGrid>
        <w:gridCol w:w="472"/>
        <w:gridCol w:w="2031"/>
        <w:gridCol w:w="1810"/>
        <w:gridCol w:w="3020"/>
        <w:gridCol w:w="1304"/>
        <w:gridCol w:w="1275"/>
      </w:tblGrid>
      <w:tr w:rsidR="008D6F86" w:rsidRPr="008D6F86" w14:paraId="5F2C6026" w14:textId="77777777" w:rsidTr="00355B12">
        <w:trPr>
          <w:tblHeader/>
        </w:trPr>
        <w:tc>
          <w:tcPr>
            <w:tcW w:w="474" w:type="dxa"/>
          </w:tcPr>
          <w:p w14:paraId="0855E7D2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F8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54" w:type="dxa"/>
          </w:tcPr>
          <w:p w14:paraId="62AB2B71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F86">
              <w:rPr>
                <w:rFonts w:ascii="Times New Roman" w:hAnsi="Times New Roman"/>
                <w:b/>
                <w:bCs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859" w:type="dxa"/>
          </w:tcPr>
          <w:p w14:paraId="5BAE8B2E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F86">
              <w:rPr>
                <w:rFonts w:ascii="Times New Roman" w:hAnsi="Times New Roman"/>
                <w:b/>
                <w:bCs/>
                <w:sz w:val="24"/>
                <w:szCs w:val="24"/>
              </w:rPr>
              <w:t>Код НК 024:2019</w:t>
            </w:r>
          </w:p>
        </w:tc>
        <w:tc>
          <w:tcPr>
            <w:tcW w:w="3087" w:type="dxa"/>
          </w:tcPr>
          <w:p w14:paraId="521E4A96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F86">
              <w:rPr>
                <w:rFonts w:ascii="Times New Roman" w:hAnsi="Times New Roman"/>
                <w:b/>
                <w:bCs/>
                <w:sz w:val="24"/>
                <w:szCs w:val="24"/>
              </w:rPr>
              <w:t>Опис предмета закупівлі</w:t>
            </w:r>
          </w:p>
          <w:p w14:paraId="6F204564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F86">
              <w:rPr>
                <w:rFonts w:ascii="Times New Roman" w:hAnsi="Times New Roman"/>
                <w:b/>
                <w:bCs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198" w:type="dxa"/>
          </w:tcPr>
          <w:p w14:paraId="4412F28E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F86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</w:t>
            </w:r>
          </w:p>
          <w:p w14:paraId="25F01AB6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F86">
              <w:rPr>
                <w:rFonts w:ascii="Times New Roman" w:hAnsi="Times New Roman"/>
                <w:b/>
                <w:bCs/>
                <w:sz w:val="24"/>
                <w:szCs w:val="24"/>
              </w:rPr>
              <w:t>виміру</w:t>
            </w:r>
          </w:p>
        </w:tc>
        <w:tc>
          <w:tcPr>
            <w:tcW w:w="1240" w:type="dxa"/>
          </w:tcPr>
          <w:p w14:paraId="073D8BE4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F86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</w:t>
            </w:r>
          </w:p>
        </w:tc>
      </w:tr>
      <w:tr w:rsidR="008D6F86" w:rsidRPr="008D6F86" w14:paraId="031BCBAF" w14:textId="77777777" w:rsidTr="00355B12">
        <w:tc>
          <w:tcPr>
            <w:tcW w:w="474" w:type="dxa"/>
          </w:tcPr>
          <w:p w14:paraId="44718618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</w:tcPr>
          <w:p w14:paraId="52321CF6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Наконечники з фільтром стерильні, універсальні, місткістю 100-1000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  <w:p w14:paraId="678DE5D4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9B6D566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16822</w:t>
            </w:r>
          </w:p>
        </w:tc>
        <w:tc>
          <w:tcPr>
            <w:tcW w:w="3087" w:type="dxa"/>
          </w:tcPr>
          <w:p w14:paraId="06258CAA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Наконечники з фільтром повинні бути вільними від РНК-аз та ДНК-аз,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апирогенними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 xml:space="preserve">, одноразовими, стерильними, виготовленими з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поліпропилену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920ABB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Повинні бути універсальними (підходити для роботи дозаторами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піпетковими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одноканальними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 xml:space="preserve"> будь-якого виробника).</w:t>
            </w:r>
          </w:p>
          <w:p w14:paraId="22B291E2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Повинні забезпечувати можливість дозування рідини у діапазоні від 100 до 1000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935ECC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Повинні бути фасовані у штативи та нараховувати не менше 100 штук в штативі.</w:t>
            </w:r>
          </w:p>
        </w:tc>
        <w:tc>
          <w:tcPr>
            <w:tcW w:w="1198" w:type="dxa"/>
          </w:tcPr>
          <w:p w14:paraId="2BA88DD4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штатив (упаковка)</w:t>
            </w:r>
          </w:p>
        </w:tc>
        <w:tc>
          <w:tcPr>
            <w:tcW w:w="1240" w:type="dxa"/>
          </w:tcPr>
          <w:p w14:paraId="7C55D00F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6F86" w:rsidRPr="008D6F86" w14:paraId="3D1D1D16" w14:textId="77777777" w:rsidTr="00355B12">
        <w:tc>
          <w:tcPr>
            <w:tcW w:w="474" w:type="dxa"/>
          </w:tcPr>
          <w:p w14:paraId="5C61B258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05250485"/>
            <w:r w:rsidRPr="008D6F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4" w:type="dxa"/>
          </w:tcPr>
          <w:p w14:paraId="2B03B589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Наконечники з фільтром стерильні, універсальні, місткістю 1-200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  <w:p w14:paraId="485811E6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B3892E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16822</w:t>
            </w:r>
          </w:p>
        </w:tc>
        <w:tc>
          <w:tcPr>
            <w:tcW w:w="3087" w:type="dxa"/>
          </w:tcPr>
          <w:p w14:paraId="03A2A7BF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Наконечники з фільтром повинні бути вільними від РНК-аз та ДНК-аз,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апирогенними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 xml:space="preserve">, одноразовими, стерильними, виготовленими з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поліпропилену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09EB95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Повинні бути універсальними (підходити для роботи дозаторами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піпетковими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 xml:space="preserve"> одно- та багатоканальними будь-якого виробника).</w:t>
            </w:r>
          </w:p>
          <w:p w14:paraId="219F7884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Повинні забезпечувати можливість дозування рідини у діапазоні від 1 до 200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DF1B11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Повинні бути фасовані у штативи та нараховувати не менше 96 штук в штативі.</w:t>
            </w:r>
          </w:p>
        </w:tc>
        <w:tc>
          <w:tcPr>
            <w:tcW w:w="1198" w:type="dxa"/>
          </w:tcPr>
          <w:p w14:paraId="731E6770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lastRenderedPageBreak/>
              <w:t>штатив</w:t>
            </w:r>
          </w:p>
          <w:p w14:paraId="70733516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(упаковка)</w:t>
            </w:r>
          </w:p>
        </w:tc>
        <w:tc>
          <w:tcPr>
            <w:tcW w:w="1240" w:type="dxa"/>
          </w:tcPr>
          <w:p w14:paraId="0EC88182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bookmarkEnd w:id="0"/>
      <w:tr w:rsidR="008D6F86" w:rsidRPr="008D6F86" w14:paraId="19899666" w14:textId="77777777" w:rsidTr="00355B12">
        <w:tc>
          <w:tcPr>
            <w:tcW w:w="474" w:type="dxa"/>
          </w:tcPr>
          <w:p w14:paraId="20F1AC10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4" w:type="dxa"/>
          </w:tcPr>
          <w:p w14:paraId="726297D5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Наконечники з фільтром стерильні, універсальні, місткістю 1-10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  <w:p w14:paraId="4B67C528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7037642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16822</w:t>
            </w:r>
          </w:p>
        </w:tc>
        <w:tc>
          <w:tcPr>
            <w:tcW w:w="3087" w:type="dxa"/>
          </w:tcPr>
          <w:p w14:paraId="0ADC9CF1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Наконечники з фільтром повинні бути вільними від РНК-аз та ДНК-аз,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апирогенними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 xml:space="preserve">, одноразовими, стерильними, виготовленими з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поліпропилену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7D90A8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Повинні бути універсальними (підходити для роботи дозаторами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піпетковими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 xml:space="preserve"> одно- та багатоканальними будь-якого виробника).</w:t>
            </w:r>
          </w:p>
          <w:p w14:paraId="08236556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Повинні забезпечувати можливість дозування рідини у діапазоні від 1 до 10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F341B9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Повинні бути фасовані у штативи та нараховувати не менше 96 штук в штативі.</w:t>
            </w:r>
          </w:p>
        </w:tc>
        <w:tc>
          <w:tcPr>
            <w:tcW w:w="1198" w:type="dxa"/>
          </w:tcPr>
          <w:p w14:paraId="1F2D39DD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штатив</w:t>
            </w:r>
          </w:p>
          <w:p w14:paraId="25119D17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(упаковка)</w:t>
            </w:r>
          </w:p>
        </w:tc>
        <w:tc>
          <w:tcPr>
            <w:tcW w:w="1240" w:type="dxa"/>
          </w:tcPr>
          <w:p w14:paraId="2FC451F9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D6F86" w:rsidRPr="008D6F86" w14:paraId="0BCD93D8" w14:textId="77777777" w:rsidTr="00355B12">
        <w:tc>
          <w:tcPr>
            <w:tcW w:w="474" w:type="dxa"/>
          </w:tcPr>
          <w:p w14:paraId="4E5B91D5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4" w:type="dxa"/>
          </w:tcPr>
          <w:p w14:paraId="29F67CDC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1,5 мл 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мікропробірки</w:t>
            </w:r>
            <w:proofErr w:type="spellEnd"/>
          </w:p>
        </w:tc>
        <w:tc>
          <w:tcPr>
            <w:tcW w:w="1859" w:type="dxa"/>
          </w:tcPr>
          <w:p w14:paraId="7020CDA6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46238</w:t>
            </w:r>
          </w:p>
        </w:tc>
        <w:tc>
          <w:tcPr>
            <w:tcW w:w="3087" w:type="dxa"/>
          </w:tcPr>
          <w:p w14:paraId="357E4F51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Повинні бути типу «</w:t>
            </w:r>
            <w:proofErr w:type="spellStart"/>
            <w:r w:rsidRPr="008D6F86">
              <w:rPr>
                <w:rFonts w:ascii="Times New Roman" w:hAnsi="Times New Roman"/>
                <w:sz w:val="24"/>
                <w:szCs w:val="24"/>
              </w:rPr>
              <w:t>епендорф</w:t>
            </w:r>
            <w:proofErr w:type="spellEnd"/>
            <w:r w:rsidRPr="008D6F8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9B5B390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Повинні бути вільними від РНК-аз та ДНК-аз, виготовлені з прозорого пластику, стерильні, мати конічне дно та пласкі кришки, прикріплені до пробірки, що щільно закриваються клацанням.</w:t>
            </w:r>
          </w:p>
          <w:p w14:paraId="5AB66CAF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Повинні витримувати високошвидкісне центрифугування при +40С</w:t>
            </w:r>
          </w:p>
          <w:p w14:paraId="23745975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Повинні витримувати температуру до +950С.</w:t>
            </w:r>
          </w:p>
        </w:tc>
        <w:tc>
          <w:tcPr>
            <w:tcW w:w="1198" w:type="dxa"/>
          </w:tcPr>
          <w:p w14:paraId="419895DA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240" w:type="dxa"/>
          </w:tcPr>
          <w:p w14:paraId="15B99674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8D6F86" w:rsidRPr="008D6F86" w14:paraId="0BE69C30" w14:textId="77777777" w:rsidTr="00355B12">
        <w:tc>
          <w:tcPr>
            <w:tcW w:w="474" w:type="dxa"/>
          </w:tcPr>
          <w:p w14:paraId="68AD85AE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54" w:type="dxa"/>
          </w:tcPr>
          <w:p w14:paraId="63EE5799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0,2 мл тонкостінні ПЛР пробірки, плоска кришка</w:t>
            </w:r>
          </w:p>
        </w:tc>
        <w:tc>
          <w:tcPr>
            <w:tcW w:w="1859" w:type="dxa"/>
          </w:tcPr>
          <w:p w14:paraId="49A37E4B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46238</w:t>
            </w:r>
          </w:p>
        </w:tc>
        <w:tc>
          <w:tcPr>
            <w:tcW w:w="3087" w:type="dxa"/>
          </w:tcPr>
          <w:p w14:paraId="2030EACD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 xml:space="preserve">Повинні бути вільними від РНК-аз та ДНК-аз, виготовлені з прозорого пластику, стерильні, мати конічне дно та пласкі </w:t>
            </w:r>
            <w:r w:rsidRPr="008D6F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кришки, прикріплені до пробірки, що щільно закриваються клацанням. </w:t>
            </w:r>
          </w:p>
          <w:p w14:paraId="0FAC6F00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Висота пробірок має складати 20 мм.</w:t>
            </w:r>
          </w:p>
        </w:tc>
        <w:tc>
          <w:tcPr>
            <w:tcW w:w="1198" w:type="dxa"/>
          </w:tcPr>
          <w:p w14:paraId="652B1323" w14:textId="77777777" w:rsidR="008D6F86" w:rsidRPr="008D6F86" w:rsidRDefault="008D6F86" w:rsidP="008D6F86">
            <w:pPr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240" w:type="dxa"/>
          </w:tcPr>
          <w:p w14:paraId="408A1223" w14:textId="77777777" w:rsidR="008D6F86" w:rsidRPr="008D6F86" w:rsidRDefault="008D6F86" w:rsidP="008D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8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</w:tbl>
    <w:p w14:paraId="698BADB0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2DCEC6CB" w14:textId="77777777" w:rsidR="0023658E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FE9F" w14:textId="77777777" w:rsidR="00F143E2" w:rsidRDefault="00F143E2" w:rsidP="0024553B">
      <w:pPr>
        <w:spacing w:after="0" w:line="240" w:lineRule="auto"/>
      </w:pPr>
      <w:r>
        <w:separator/>
      </w:r>
    </w:p>
  </w:endnote>
  <w:endnote w:type="continuationSeparator" w:id="0">
    <w:p w14:paraId="29D2B98D" w14:textId="77777777" w:rsidR="00F143E2" w:rsidRDefault="00F143E2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6527" w14:textId="77777777" w:rsidR="00F143E2" w:rsidRDefault="00F143E2" w:rsidP="0024553B">
      <w:pPr>
        <w:spacing w:after="0" w:line="240" w:lineRule="auto"/>
      </w:pPr>
      <w:r>
        <w:separator/>
      </w:r>
    </w:p>
  </w:footnote>
  <w:footnote w:type="continuationSeparator" w:id="0">
    <w:p w14:paraId="57273BAE" w14:textId="77777777" w:rsidR="00F143E2" w:rsidRDefault="00F143E2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A647A"/>
    <w:rsid w:val="003F0FF4"/>
    <w:rsid w:val="004F0EB2"/>
    <w:rsid w:val="00590320"/>
    <w:rsid w:val="00591D14"/>
    <w:rsid w:val="005F6CE1"/>
    <w:rsid w:val="006454AF"/>
    <w:rsid w:val="006C75C1"/>
    <w:rsid w:val="0084332E"/>
    <w:rsid w:val="008D6F86"/>
    <w:rsid w:val="0092743E"/>
    <w:rsid w:val="009443DC"/>
    <w:rsid w:val="0095518A"/>
    <w:rsid w:val="00A52318"/>
    <w:rsid w:val="00A85135"/>
    <w:rsid w:val="00AC1C0E"/>
    <w:rsid w:val="00C31CCD"/>
    <w:rsid w:val="00D50FEF"/>
    <w:rsid w:val="00D626B8"/>
    <w:rsid w:val="00E04C98"/>
    <w:rsid w:val="00F143E2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3927</Words>
  <Characters>2239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8</cp:revision>
  <dcterms:created xsi:type="dcterms:W3CDTF">2022-08-10T10:32:00Z</dcterms:created>
  <dcterms:modified xsi:type="dcterms:W3CDTF">2022-08-17T08:40:00Z</dcterms:modified>
</cp:coreProperties>
</file>