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E2CC8B" w14:textId="77777777" w:rsidR="005939E4" w:rsidRDefault="005939E4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5939E4">
        <w:rPr>
          <w:rFonts w:ascii="Times New Roman" w:hAnsi="Times New Roman"/>
          <w:b/>
          <w:bCs/>
          <w:sz w:val="24"/>
          <w:szCs w:val="24"/>
        </w:rPr>
        <w:t>ДК 021:2015:33690000-3 Лікарські засоби різні (Реактиви та реагенти лабораторні)</w:t>
      </w:r>
      <w:r w:rsidRPr="005939E4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09C1122C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7D79E74" w14:textId="77777777" w:rsidR="005939E4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5939E4" w:rsidRPr="005939E4">
        <w:rPr>
          <w:rFonts w:ascii="Times New Roman" w:hAnsi="Times New Roman"/>
          <w:bCs/>
          <w:sz w:val="24"/>
          <w:szCs w:val="24"/>
        </w:rPr>
        <w:t>ДК 021:2015:33690000-3 Лікарські засоби різні (Реактиви та реагенти лабораторні)</w:t>
      </w:r>
    </w:p>
    <w:p w14:paraId="4439A3F5" w14:textId="6BE33E3D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75A8F417" w14:textId="0A6B1A58" w:rsidR="00CE3AC2" w:rsidRDefault="005939E4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9E4">
        <w:rPr>
          <w:rFonts w:ascii="Times New Roman" w:hAnsi="Times New Roman"/>
          <w:sz w:val="24"/>
          <w:szCs w:val="24"/>
        </w:rPr>
        <w:t>UA-2022-08-17-010142-a</w:t>
      </w:r>
    </w:p>
    <w:p w14:paraId="49DE5299" w14:textId="77777777" w:rsidR="005939E4" w:rsidRPr="0024553B" w:rsidRDefault="005939E4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132D10A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5939E4">
        <w:rPr>
          <w:rFonts w:ascii="Times New Roman" w:hAnsi="Times New Roman"/>
          <w:sz w:val="24"/>
          <w:szCs w:val="24"/>
        </w:rPr>
        <w:t>1 840 000</w:t>
      </w:r>
      <w:r w:rsidR="00CE3AC2" w:rsidRPr="00CE3AC2">
        <w:rPr>
          <w:rFonts w:ascii="Times New Roman" w:hAnsi="Times New Roman"/>
          <w:sz w:val="24"/>
          <w:szCs w:val="24"/>
        </w:rPr>
        <w:t xml:space="preserve">,00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49B83F7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5939E4">
        <w:rPr>
          <w:rFonts w:ascii="Times New Roman" w:hAnsi="Times New Roman"/>
          <w:sz w:val="24"/>
          <w:szCs w:val="24"/>
        </w:rPr>
        <w:t>1 840 000</w:t>
      </w:r>
      <w:r w:rsidR="00CE3AC2" w:rsidRPr="00CE3AC2">
        <w:rPr>
          <w:rFonts w:ascii="Times New Roman" w:hAnsi="Times New Roman"/>
          <w:sz w:val="24"/>
          <w:szCs w:val="24"/>
        </w:rPr>
        <w:t>,00</w:t>
      </w:r>
      <w:r w:rsidR="00CE3AC2" w:rsidRPr="00CE3A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«Посилення лікування ВІЛ-інфекції, спроможності лабораторної мережі, замісної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63A5C537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A8513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p w14:paraId="698BADB0" w14:textId="77777777" w:rsidR="00A85135" w:rsidRPr="00A85135" w:rsidRDefault="00A85135" w:rsidP="00A85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Style w:val="3"/>
        <w:tblW w:w="9912" w:type="dxa"/>
        <w:tblLook w:val="04A0" w:firstRow="1" w:lastRow="0" w:firstColumn="1" w:lastColumn="0" w:noHBand="0" w:noVBand="1"/>
      </w:tblPr>
      <w:tblGrid>
        <w:gridCol w:w="518"/>
        <w:gridCol w:w="2257"/>
        <w:gridCol w:w="1223"/>
        <w:gridCol w:w="3431"/>
        <w:gridCol w:w="1208"/>
        <w:gridCol w:w="1275"/>
      </w:tblGrid>
      <w:tr w:rsidR="005939E4" w:rsidRPr="005939E4" w14:paraId="193FD335" w14:textId="77777777" w:rsidTr="00467529">
        <w:trPr>
          <w:tblHeader/>
        </w:trPr>
        <w:tc>
          <w:tcPr>
            <w:tcW w:w="518" w:type="dxa"/>
          </w:tcPr>
          <w:p w14:paraId="334F2DC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7F9C274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257" w:type="dxa"/>
          </w:tcPr>
          <w:p w14:paraId="249C800E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223" w:type="dxa"/>
          </w:tcPr>
          <w:p w14:paraId="22E94CDD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Код НК 024:2019</w:t>
            </w:r>
          </w:p>
        </w:tc>
        <w:tc>
          <w:tcPr>
            <w:tcW w:w="3431" w:type="dxa"/>
          </w:tcPr>
          <w:p w14:paraId="6B368177" w14:textId="77777777" w:rsidR="005939E4" w:rsidRPr="005939E4" w:rsidRDefault="005939E4" w:rsidP="005939E4">
            <w:pPr>
              <w:ind w:lef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Опис предмета закупівлі</w:t>
            </w:r>
          </w:p>
          <w:p w14:paraId="2511A180" w14:textId="77777777" w:rsidR="005939E4" w:rsidRPr="005939E4" w:rsidRDefault="005939E4" w:rsidP="005939E4">
            <w:pPr>
              <w:ind w:lef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208" w:type="dxa"/>
          </w:tcPr>
          <w:p w14:paraId="306D7B4D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</w:t>
            </w:r>
          </w:p>
          <w:p w14:paraId="731FFD9B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виміру</w:t>
            </w:r>
          </w:p>
        </w:tc>
        <w:tc>
          <w:tcPr>
            <w:tcW w:w="1275" w:type="dxa"/>
          </w:tcPr>
          <w:p w14:paraId="2D510BD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E4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</w:t>
            </w:r>
          </w:p>
        </w:tc>
      </w:tr>
      <w:tr w:rsidR="005939E4" w:rsidRPr="005939E4" w14:paraId="2A900BD3" w14:textId="77777777" w:rsidTr="00467529">
        <w:tc>
          <w:tcPr>
            <w:tcW w:w="518" w:type="dxa"/>
          </w:tcPr>
          <w:p w14:paraId="40965027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7" w:type="dxa"/>
          </w:tcPr>
          <w:p w14:paraId="618DAEF9" w14:textId="77777777" w:rsidR="005939E4" w:rsidRPr="005939E4" w:rsidRDefault="005939E4" w:rsidP="005939E4">
            <w:pPr>
              <w:spacing w:line="276" w:lineRule="auto"/>
              <w:rPr>
                <w:rFonts w:ascii="Times New Roman" w:hAnsi="Times New Roman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ферментної очистки продуктів ампліфікації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ExoSAP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-IT™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PCR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Product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Cleanup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reagent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78205.10.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223" w:type="dxa"/>
          </w:tcPr>
          <w:p w14:paraId="137E7940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60091</w:t>
            </w:r>
          </w:p>
        </w:tc>
        <w:tc>
          <w:tcPr>
            <w:tcW w:w="3431" w:type="dxa"/>
          </w:tcPr>
          <w:p w14:paraId="75FE4A36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Набір реагентів має бути призначеним для ферментативного очищення продукту ампліфікації. </w:t>
            </w:r>
          </w:p>
          <w:p w14:paraId="3772022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здатним в одну стадію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гідролізувати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надлишок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праймерів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і нуклеотидів для підготовки зразків до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ДНК.</w:t>
            </w:r>
          </w:p>
          <w:p w14:paraId="2BC8D0C2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В кожній упаковці повинно бути достатньо реагенту для проведення 5000 реакцій.</w:t>
            </w:r>
          </w:p>
          <w:p w14:paraId="51FD665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Має бути придатним для використання у 30-хвилинному протоколу інкубації зразку.</w:t>
            </w:r>
          </w:p>
          <w:p w14:paraId="014CC6FF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Повинен бути сумісним з тест-системами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ThermoFisher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інтегразою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797AC38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реагентів на момент поставки отримувачу повинен становити не менше 75% від загального терміну придатності або не менше 12 місяців до кінцевого терміну придатності.</w:t>
            </w:r>
          </w:p>
          <w:p w14:paraId="75AB25C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1D4F053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21148070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E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939E4" w:rsidRPr="005939E4" w14:paraId="7920D7AB" w14:textId="77777777" w:rsidTr="00467529">
        <w:tc>
          <w:tcPr>
            <w:tcW w:w="518" w:type="dxa"/>
          </w:tcPr>
          <w:p w14:paraId="73226DE6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7" w:type="dxa"/>
          </w:tcPr>
          <w:p w14:paraId="0ADEFF01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Набір для видалення незв’язаного барвника для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BigDye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XTerminator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™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Purification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Kit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(каталожний номер 4376484)</w:t>
            </w:r>
          </w:p>
        </w:tc>
        <w:tc>
          <w:tcPr>
            <w:tcW w:w="1223" w:type="dxa"/>
          </w:tcPr>
          <w:p w14:paraId="27E972F3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62173</w:t>
            </w:r>
          </w:p>
        </w:tc>
        <w:tc>
          <w:tcPr>
            <w:tcW w:w="3431" w:type="dxa"/>
          </w:tcPr>
          <w:p w14:paraId="41EBA6D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Набір має бути призначеним для очищення реакцій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ДНК шляхом видалення  неінкорпорованих термінаторів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BigDye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™ та солей. </w:t>
            </w:r>
          </w:p>
          <w:p w14:paraId="086CB31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До складу кожного набору повинно входити два реагенти: 1) розчин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XTerminator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™ для очистки після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неінкорпорованих термінаторів барвників і вільних солей;  2) SAM™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Solution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– для стабілізації реакції після очищення. </w:t>
            </w:r>
          </w:p>
          <w:p w14:paraId="4D20490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3.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з використанням програмного забезпечення з операційними системами Windows™ 2000 і Windows™ XP.</w:t>
            </w:r>
          </w:p>
          <w:p w14:paraId="6A9EAE8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В кожному наборі повинно бути достатньо реагентів для проведення 2500 реакцій.</w:t>
            </w:r>
          </w:p>
          <w:p w14:paraId="6499EC6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Повинен бути сумісним з тест-системами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ThermoFisher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інтегразою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000ED4D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54089A3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9103253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2D67908A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E4" w:rsidRPr="005939E4" w14:paraId="0E946C95" w14:textId="77777777" w:rsidTr="00467529">
        <w:tc>
          <w:tcPr>
            <w:tcW w:w="518" w:type="dxa"/>
          </w:tcPr>
          <w:p w14:paraId="7BFEBDA5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7" w:type="dxa"/>
          </w:tcPr>
          <w:p w14:paraId="76BE4CF6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Реагент полімер РОР-7 для розділення ДНК-фрагментів у генетичному аналізаторі 3500x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(POP-7™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Polymer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for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3500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/3500x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 (каталожний номер 4393713)</w:t>
            </w:r>
          </w:p>
        </w:tc>
        <w:tc>
          <w:tcPr>
            <w:tcW w:w="1223" w:type="dxa"/>
          </w:tcPr>
          <w:p w14:paraId="7D9B7A77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61220</w:t>
            </w:r>
          </w:p>
        </w:tc>
        <w:tc>
          <w:tcPr>
            <w:tcW w:w="3431" w:type="dxa"/>
          </w:tcPr>
          <w:p w14:paraId="50B6263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1. Повинен бути призначений для відокремлення фрагментів ДНК під час капілярного електрофорезу.</w:t>
            </w:r>
          </w:p>
          <w:p w14:paraId="76E5A12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з використанням програмного забезпечення з операційними системами Windows™ 2000 і Windows™ XP.</w:t>
            </w:r>
          </w:p>
          <w:p w14:paraId="6263B7A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фасованим у пакет, пакет повинен мати зовнішню упаковку. В кожній упаковці повинно бути достатньо реагенту для проведення 960 реакцій.</w:t>
            </w:r>
          </w:p>
          <w:p w14:paraId="26891F9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Полімер POP-7™ повинен бути універсальним і розробленим для читання коротких та довгих послідовностей нуклеотидів.</w:t>
            </w:r>
          </w:p>
          <w:p w14:paraId="758CC35B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Повинен бути призначений для діагностики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маркировку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СЕ-IVD.</w:t>
            </w:r>
          </w:p>
          <w:p w14:paraId="342F776A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6.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1C04F30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4EB2A82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4CCA791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39E4" w:rsidRPr="005939E4" w14:paraId="093CFF85" w14:textId="77777777" w:rsidTr="00467529">
        <w:tc>
          <w:tcPr>
            <w:tcW w:w="518" w:type="dxa"/>
          </w:tcPr>
          <w:p w14:paraId="6F1641F4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7" w:type="dxa"/>
          </w:tcPr>
          <w:p w14:paraId="43ED25D3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Набір катодних буферів для генетичного аналізатора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Cathod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Buffer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Chamber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CBC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– Контейнер з катодним буфером 3500 D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series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 (каталожний номер 4408258)</w:t>
            </w:r>
          </w:p>
        </w:tc>
        <w:tc>
          <w:tcPr>
            <w:tcW w:w="1223" w:type="dxa"/>
          </w:tcPr>
          <w:p w14:paraId="7BD0F6FA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62691</w:t>
            </w:r>
          </w:p>
        </w:tc>
        <w:tc>
          <w:tcPr>
            <w:tcW w:w="3431" w:type="dxa"/>
          </w:tcPr>
          <w:p w14:paraId="1A9FC12B" w14:textId="77777777" w:rsidR="005939E4" w:rsidRPr="005939E4" w:rsidRDefault="005939E4" w:rsidP="005939E4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придатним для проведення капілярного електрофорезу.</w:t>
            </w:r>
          </w:p>
          <w:p w14:paraId="7DC25B4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4345F4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фасований в готовий до використання одноразовий контейнер з міткою радіочастотної ідентифікації (RFID).</w:t>
            </w:r>
          </w:p>
          <w:p w14:paraId="0838E2EB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Кожний контейнер повинен містити 1-кратний робочий розчин катодного буферу для проведення капілярного електрофорезу. </w:t>
            </w:r>
          </w:p>
          <w:p w14:paraId="096611F7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Контейнер повинен мати два окремих відсіки: лівий повинен забезпечувати електрофорез, правий -  промивання капілярів і функцію викиду відпрацьованих полімерних відходів між ін'єкціями.</w:t>
            </w:r>
          </w:p>
          <w:p w14:paraId="2BCBD3E0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6. Верхня частина контейнеру повинна бути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герметизована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термогерметичною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пластиковою плівкою, яку легко можна зняти перед установкою на прилад. </w:t>
            </w:r>
          </w:p>
          <w:p w14:paraId="458BF31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7. Контейнер з катодним буфером повинен бути фасований у зовнішню упаковку. Кожна зовнішня упаковка вміщує 4 окремі контейнери.</w:t>
            </w:r>
          </w:p>
          <w:p w14:paraId="24FAAF5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8. Повинен бути призначений для діагностики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4024CC6F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9.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5EC38A86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EA62C7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1804BFC1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E4" w:rsidRPr="005939E4" w14:paraId="49D1B886" w14:textId="77777777" w:rsidTr="00467529">
        <w:tc>
          <w:tcPr>
            <w:tcW w:w="518" w:type="dxa"/>
          </w:tcPr>
          <w:p w14:paraId="042351D5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7" w:type="dxa"/>
          </w:tcPr>
          <w:p w14:paraId="5A071AEA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Набір анодних буферів для генетичного аналізатора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Anode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Buffer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Chamber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ABC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– Контейнер з анодним буфером 3500 D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series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 (каталожний номер 4393925)</w:t>
            </w:r>
          </w:p>
        </w:tc>
        <w:tc>
          <w:tcPr>
            <w:tcW w:w="1223" w:type="dxa"/>
          </w:tcPr>
          <w:p w14:paraId="5DA0683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62691</w:t>
            </w:r>
          </w:p>
        </w:tc>
        <w:tc>
          <w:tcPr>
            <w:tcW w:w="3431" w:type="dxa"/>
          </w:tcPr>
          <w:p w14:paraId="6DCBAED8" w14:textId="77777777" w:rsidR="005939E4" w:rsidRPr="005939E4" w:rsidRDefault="005939E4" w:rsidP="005939E4">
            <w:pPr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придатним для проведення капілярного електрофорезу.</w:t>
            </w:r>
          </w:p>
          <w:p w14:paraId="39FF87A2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B0332B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фасований в готовий до використання одноразовий контейнер з міткою радіочастотної ідентифікації (RFID).</w:t>
            </w:r>
          </w:p>
          <w:p w14:paraId="64BE2AD0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Контейнер повинен містити 1-кратний робочий розчин анодного буферу для проведення капілярного електрофорезу. </w:t>
            </w:r>
          </w:p>
          <w:p w14:paraId="6E7D699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Контейнер повинен мати один відсік, заповнений анодним буфером.</w:t>
            </w:r>
          </w:p>
          <w:p w14:paraId="5C47D11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6. Верхня частина контейнеру повинна бути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герметизована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термогерметичною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пластиковою плівкою, яку легко можна зняти перед установкою на прилад. </w:t>
            </w:r>
          </w:p>
          <w:p w14:paraId="4A2E460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7. Кожний контейнер з анодним буфером повинен бути фасований у зовнішню упаковку. Кожна зовнішня упаковка включає 4 окремі контейнери.</w:t>
            </w:r>
          </w:p>
          <w:p w14:paraId="6C41B4D0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8. Реагент повинен бути призначений для діагностики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2FC27ED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9.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5388812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6D08659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78BEC67E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E4" w:rsidRPr="005939E4" w14:paraId="0019CCBA" w14:textId="77777777" w:rsidTr="00467529">
        <w:tc>
          <w:tcPr>
            <w:tcW w:w="518" w:type="dxa"/>
          </w:tcPr>
          <w:p w14:paraId="0DA0C420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7" w:type="dxa"/>
          </w:tcPr>
          <w:p w14:paraId="6B90B220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Реагент для промивання полімерної помпи капілярного генетичного аналізатора (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Conditioning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lastRenderedPageBreak/>
              <w:t>reagent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3500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 (каталожний номер 4409543)</w:t>
            </w:r>
          </w:p>
        </w:tc>
        <w:tc>
          <w:tcPr>
            <w:tcW w:w="1223" w:type="dxa"/>
          </w:tcPr>
          <w:p w14:paraId="290E5FCD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42693</w:t>
            </w:r>
          </w:p>
        </w:tc>
        <w:tc>
          <w:tcPr>
            <w:tcW w:w="3431" w:type="dxa"/>
          </w:tcPr>
          <w:p w14:paraId="277DFDC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77DD85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2. Повинен бути фасований в готовий до використання одноразовий пакет-мішечок.</w:t>
            </w:r>
          </w:p>
          <w:p w14:paraId="21E1770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3. Кожний пакет-мішечок 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повинен мати достатній обсяг реагенту для заправки полімерного насоса або його промивання між змінами типу полімеру. </w:t>
            </w:r>
          </w:p>
          <w:p w14:paraId="619FC67E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5939E4">
              <w:rPr>
                <w:rFonts w:ascii="Times New Roman" w:hAnsi="Times New Roman"/>
                <w:sz w:val="24"/>
                <w:szCs w:val="24"/>
              </w:rPr>
              <w:t xml:space="preserve">Верхня частина кріплення пакету-мішечка повинна бути закрита поліетиленовою плівкою,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яку легко можна зняти перед установкою на прилад. </w:t>
            </w:r>
          </w:p>
          <w:p w14:paraId="498EBB25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Кожний пакет-мішечок з реагентом повинен бути фасований у зовнішню упаковку. Кожна зовнішня упаковка включає 1 пакет-мішечок.</w:t>
            </w:r>
          </w:p>
          <w:p w14:paraId="03AE5F7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6. Реагент повинен бути призначений для діагностики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СЕ-I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VD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14:paraId="53906C8F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7.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66A1831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D2FCF3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0E2D6F7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9E4" w:rsidRPr="005939E4" w14:paraId="7F65E9A8" w14:textId="77777777" w:rsidTr="00467529">
        <w:tc>
          <w:tcPr>
            <w:tcW w:w="518" w:type="dxa"/>
          </w:tcPr>
          <w:p w14:paraId="78CF9A4A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7" w:type="dxa"/>
          </w:tcPr>
          <w:p w14:paraId="4F5EF4DB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Високоіонізований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формамид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HI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-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DI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Formamide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4404307)</w:t>
            </w:r>
          </w:p>
        </w:tc>
        <w:tc>
          <w:tcPr>
            <w:tcW w:w="1223" w:type="dxa"/>
          </w:tcPr>
          <w:p w14:paraId="08E4534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62510</w:t>
            </w:r>
          </w:p>
        </w:tc>
        <w:tc>
          <w:tcPr>
            <w:tcW w:w="3431" w:type="dxa"/>
          </w:tcPr>
          <w:p w14:paraId="3A5C470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Реагент повинен бути придатним для роботи на генетичному аналізаторі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11CB447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ресуспендування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зразків перед електрокінетичною ін’єкцією в системах капілярного електрофорезу.   </w:t>
            </w:r>
          </w:p>
          <w:p w14:paraId="453CC323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5939E4">
              <w:t xml:space="preserve">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Повинен бути фасованим у флакон, об’ємом 5 мл та мати зовнішню упаковку. Кожна упаковка повинна містити 1 флакон.</w:t>
            </w:r>
          </w:p>
          <w:p w14:paraId="4716EA2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Повинен бути призначений для діагностики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5522010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148E7D7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96F940C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088F601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E4" w:rsidRPr="005939E4" w14:paraId="33CB2E3A" w14:textId="77777777" w:rsidTr="00467529">
        <w:tc>
          <w:tcPr>
            <w:tcW w:w="518" w:type="dxa"/>
          </w:tcPr>
          <w:p w14:paraId="03C1BEAE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57" w:type="dxa"/>
          </w:tcPr>
          <w:p w14:paraId="3ABCDB60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виділення вірусної РНК/ДНК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QIAamp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Viral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RNA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Mini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Kit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52906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Qiagen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223" w:type="dxa"/>
          </w:tcPr>
          <w:p w14:paraId="7A38B442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52521</w:t>
            </w:r>
          </w:p>
        </w:tc>
        <w:tc>
          <w:tcPr>
            <w:tcW w:w="3431" w:type="dxa"/>
          </w:tcPr>
          <w:p w14:paraId="6C6845A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Реагенти мають бути призначеними для виділення вірусної РНК із зразків плазми крові для подальшого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74422DA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Набір повинен містити у своєму складі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мікроколонки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підвищення ефективності очищення вірусної РНК з повним видаленням інгібіторів ПЛР.</w:t>
            </w:r>
          </w:p>
          <w:p w14:paraId="0BF9FEA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В кожному наборі повинно бути достатньо реагентів та витратних матеріалів для виділення вірусної РНК не менше ніж з 250 зразків плазми крові.</w:t>
            </w:r>
          </w:p>
          <w:p w14:paraId="10AB3772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137ABDA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6CB3E3B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1E1F59F8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9E4" w:rsidRPr="005939E4" w14:paraId="35D5D7CB" w14:textId="77777777" w:rsidTr="00467529">
        <w:tc>
          <w:tcPr>
            <w:tcW w:w="518" w:type="dxa"/>
          </w:tcPr>
          <w:p w14:paraId="14B92437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7" w:type="dxa"/>
          </w:tcPr>
          <w:p w14:paraId="1DAF0DDA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Набір реагентів (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ампліфікаційний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модуль та модуль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) для виявлення мутацій резистентності ВІЛ-1 в гені протеази, зворотної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транскриптази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та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інтегрази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HIV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-1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Genotyping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Kit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Amplification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Module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А55120)</w:t>
            </w:r>
          </w:p>
        </w:tc>
        <w:tc>
          <w:tcPr>
            <w:tcW w:w="1223" w:type="dxa"/>
          </w:tcPr>
          <w:p w14:paraId="5FB31CB1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62173</w:t>
            </w:r>
          </w:p>
        </w:tc>
        <w:tc>
          <w:tcPr>
            <w:tcW w:w="3431" w:type="dxa"/>
          </w:tcPr>
          <w:p w14:paraId="75608A7D" w14:textId="77777777" w:rsidR="005939E4" w:rsidRPr="005939E4" w:rsidRDefault="005939E4" w:rsidP="005939E4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Реагенти мають бути призначеними для визначення мутацій резистентності ВІЛ-1 до інгібіторів протеази, зворотної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транскриптази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інтегрази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методом Сенгера.</w:t>
            </w:r>
          </w:p>
          <w:p w14:paraId="13ADD599" w14:textId="77777777" w:rsidR="005939E4" w:rsidRPr="005939E4" w:rsidRDefault="005939E4" w:rsidP="005939E4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ind w:left="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ab/>
              <w:t>Аналітична чутливість реагентів має бути достатньою для виявлення 1000 копій РНК ВІЛ-1 в 1 мл плазми крові</w:t>
            </w:r>
          </w:p>
          <w:p w14:paraId="0EE80F8C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3. В кожній упаковці повинно бути достатньо реагентів для проведення 48 реакцій RT-PCR і 48 реакцій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Nested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PCR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, 48 реакцій циклічного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77A933D7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4. Реагенти повинні бути оптимізовані для роботи з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ампліфікаторами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виробництва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генетичним аналізатором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136B1F9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1A566278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F0C543B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5" w:type="dxa"/>
          </w:tcPr>
          <w:p w14:paraId="170855F2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39E4" w:rsidRPr="005939E4" w14:paraId="3974E2D7" w14:textId="77777777" w:rsidTr="00467529">
        <w:tc>
          <w:tcPr>
            <w:tcW w:w="518" w:type="dxa"/>
          </w:tcPr>
          <w:p w14:paraId="67C44708" w14:textId="77777777" w:rsidR="005939E4" w:rsidRPr="005939E4" w:rsidRDefault="005939E4" w:rsidP="005939E4">
            <w:pPr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57" w:type="dxa"/>
          </w:tcPr>
          <w:p w14:paraId="6FE5F843" w14:textId="77777777" w:rsidR="005939E4" w:rsidRPr="005939E4" w:rsidRDefault="005939E4" w:rsidP="005939E4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Вода для молекулярних досліджень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Molecular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Purified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Water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Laboratory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5939E4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research</w:t>
            </w:r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(каталожний номер АМ 9932)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Nuclease-Free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Water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not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 xml:space="preserve"> DEPC-</w:t>
            </w:r>
            <w:proofErr w:type="spellStart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Treated</w:t>
            </w:r>
            <w:proofErr w:type="spellEnd"/>
            <w:r w:rsidRPr="005939E4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  <w:tc>
          <w:tcPr>
            <w:tcW w:w="1223" w:type="dxa"/>
          </w:tcPr>
          <w:p w14:paraId="647213EE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62509</w:t>
            </w:r>
          </w:p>
        </w:tc>
        <w:tc>
          <w:tcPr>
            <w:tcW w:w="3431" w:type="dxa"/>
          </w:tcPr>
          <w:p w14:paraId="0773796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1. Вода повинна бути вільна від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нуклеаз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РНКаз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, не оброблена DEPC, 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деіонізована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, відфільтрована в кінцеву пляшку та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автоклавована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7404A254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Повинна бути готова до використання без додаткової підготовки, змішування або </w:t>
            </w:r>
            <w:proofErr w:type="spellStart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автоклавування</w:t>
            </w:r>
            <w:proofErr w:type="spellEnd"/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70D468C6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3. Повинна бути придатна для роботи методом ПЛР.</w:t>
            </w:r>
          </w:p>
          <w:p w14:paraId="1FC4624D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E4">
              <w:rPr>
                <w:rFonts w:ascii="Times New Roman" w:eastAsia="Times New Roman" w:hAnsi="Times New Roman"/>
                <w:sz w:val="24"/>
                <w:szCs w:val="24"/>
              </w:rPr>
              <w:t>4. Пляшка з водою повинна бути об’ємом 1000 мл.</w:t>
            </w:r>
          </w:p>
          <w:p w14:paraId="4BFBECE1" w14:textId="77777777" w:rsidR="005939E4" w:rsidRPr="005939E4" w:rsidRDefault="005939E4" w:rsidP="005939E4">
            <w:pPr>
              <w:widowControl w:val="0"/>
              <w:tabs>
                <w:tab w:val="left" w:pos="567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ABB4377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E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5" w:type="dxa"/>
          </w:tcPr>
          <w:p w14:paraId="1D17E9E6" w14:textId="77777777" w:rsidR="005939E4" w:rsidRPr="005939E4" w:rsidRDefault="005939E4" w:rsidP="005939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E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2DCEC6CB" w14:textId="77777777" w:rsidR="0023658E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ED15" w14:textId="77777777" w:rsidR="00B96DCB" w:rsidRDefault="00B96DCB" w:rsidP="0024553B">
      <w:pPr>
        <w:spacing w:after="0" w:line="240" w:lineRule="auto"/>
      </w:pPr>
      <w:r>
        <w:separator/>
      </w:r>
    </w:p>
  </w:endnote>
  <w:endnote w:type="continuationSeparator" w:id="0">
    <w:p w14:paraId="60394D65" w14:textId="77777777" w:rsidR="00B96DCB" w:rsidRDefault="00B96DC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D219" w14:textId="77777777" w:rsidR="00B96DCB" w:rsidRDefault="00B96DCB" w:rsidP="0024553B">
      <w:pPr>
        <w:spacing w:after="0" w:line="240" w:lineRule="auto"/>
      </w:pPr>
      <w:r>
        <w:separator/>
      </w:r>
    </w:p>
  </w:footnote>
  <w:footnote w:type="continuationSeparator" w:id="0">
    <w:p w14:paraId="13F5B32A" w14:textId="77777777" w:rsidR="00B96DCB" w:rsidRDefault="00B96DC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4"/>
  </w:num>
  <w:num w:numId="2" w16cid:durableId="2125346191">
    <w:abstractNumId w:val="2"/>
  </w:num>
  <w:num w:numId="3" w16cid:durableId="1032724204">
    <w:abstractNumId w:val="0"/>
  </w:num>
  <w:num w:numId="4" w16cid:durableId="50615516">
    <w:abstractNumId w:val="3"/>
  </w:num>
  <w:num w:numId="5" w16cid:durableId="84255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3A647A"/>
    <w:rsid w:val="003F0FF4"/>
    <w:rsid w:val="004F0EB2"/>
    <w:rsid w:val="00590320"/>
    <w:rsid w:val="00591D14"/>
    <w:rsid w:val="005939E4"/>
    <w:rsid w:val="005F6CE1"/>
    <w:rsid w:val="006454AF"/>
    <w:rsid w:val="006C75C1"/>
    <w:rsid w:val="0084332E"/>
    <w:rsid w:val="0092743E"/>
    <w:rsid w:val="009443DC"/>
    <w:rsid w:val="0095518A"/>
    <w:rsid w:val="00A52318"/>
    <w:rsid w:val="00A85135"/>
    <w:rsid w:val="00AC1C0E"/>
    <w:rsid w:val="00B96DCB"/>
    <w:rsid w:val="00C31CCD"/>
    <w:rsid w:val="00CE3AC2"/>
    <w:rsid w:val="00D50FEF"/>
    <w:rsid w:val="00D626B8"/>
    <w:rsid w:val="00E04C98"/>
    <w:rsid w:val="00F8561E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939E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8212</Words>
  <Characters>4681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9</cp:revision>
  <dcterms:created xsi:type="dcterms:W3CDTF">2022-08-10T10:32:00Z</dcterms:created>
  <dcterms:modified xsi:type="dcterms:W3CDTF">2022-08-18T06:39:00Z</dcterms:modified>
</cp:coreProperties>
</file>