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ABBB3CF" w14:textId="77777777" w:rsidR="005F0433" w:rsidRDefault="005F0433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5F0433">
        <w:rPr>
          <w:rFonts w:ascii="Times New Roman" w:hAnsi="Times New Roman"/>
          <w:b/>
          <w:bCs/>
          <w:sz w:val="24"/>
          <w:szCs w:val="24"/>
        </w:rPr>
        <w:t xml:space="preserve">ДК 021:2015:33190000-8 - Медичне обладнання та вироби медичного призначення різні (Піпетка транспортна, </w:t>
      </w:r>
      <w:proofErr w:type="spellStart"/>
      <w:r w:rsidRPr="005F0433">
        <w:rPr>
          <w:rFonts w:ascii="Times New Roman" w:hAnsi="Times New Roman"/>
          <w:b/>
          <w:bCs/>
          <w:sz w:val="24"/>
          <w:szCs w:val="24"/>
        </w:rPr>
        <w:t>мікропробірка</w:t>
      </w:r>
      <w:proofErr w:type="spellEnd"/>
      <w:r w:rsidRPr="005F0433">
        <w:rPr>
          <w:rFonts w:ascii="Times New Roman" w:hAnsi="Times New Roman"/>
          <w:b/>
          <w:bCs/>
          <w:sz w:val="24"/>
          <w:szCs w:val="24"/>
        </w:rPr>
        <w:t xml:space="preserve"> та наконечники)</w:t>
      </w:r>
      <w:r w:rsidRPr="005F0433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</w:p>
    <w:p w14:paraId="3673CAB5" w14:textId="7A97C05D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0E2BBAA7" w14:textId="77777777" w:rsidR="005F0433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5F0433" w:rsidRPr="005F0433">
        <w:rPr>
          <w:rFonts w:ascii="Times New Roman" w:hAnsi="Times New Roman"/>
          <w:bCs/>
          <w:sz w:val="24"/>
          <w:szCs w:val="24"/>
        </w:rPr>
        <w:t xml:space="preserve">ДК 021:2015:33190000-8 - Медичне обладнання та вироби медичного призначення різні (Піпетка транспортна, </w:t>
      </w:r>
      <w:proofErr w:type="spellStart"/>
      <w:r w:rsidR="005F0433" w:rsidRPr="005F0433">
        <w:rPr>
          <w:rFonts w:ascii="Times New Roman" w:hAnsi="Times New Roman"/>
          <w:bCs/>
          <w:sz w:val="24"/>
          <w:szCs w:val="24"/>
        </w:rPr>
        <w:t>мікропробірка</w:t>
      </w:r>
      <w:proofErr w:type="spellEnd"/>
      <w:r w:rsidR="005F0433" w:rsidRPr="005F0433">
        <w:rPr>
          <w:rFonts w:ascii="Times New Roman" w:hAnsi="Times New Roman"/>
          <w:bCs/>
          <w:sz w:val="24"/>
          <w:szCs w:val="24"/>
        </w:rPr>
        <w:t xml:space="preserve"> та наконечники)</w:t>
      </w:r>
    </w:p>
    <w:p w14:paraId="4439A3F5" w14:textId="003BB8C3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48F6961A" w14:textId="58798623" w:rsidR="002C519E" w:rsidRDefault="009372AD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72AD">
        <w:rPr>
          <w:rFonts w:ascii="Times New Roman" w:hAnsi="Times New Roman"/>
          <w:sz w:val="24"/>
          <w:szCs w:val="24"/>
        </w:rPr>
        <w:t>UA-2023-03-29-004082-a</w:t>
      </w:r>
    </w:p>
    <w:p w14:paraId="491BBF96" w14:textId="77777777" w:rsidR="009372AD" w:rsidRPr="0024553B" w:rsidRDefault="009372AD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6080E43B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5F0433" w:rsidRPr="005F0433">
        <w:rPr>
          <w:rFonts w:ascii="Times New Roman" w:hAnsi="Times New Roman"/>
          <w:sz w:val="24"/>
          <w:szCs w:val="24"/>
        </w:rPr>
        <w:t>386 786,08</w:t>
      </w:r>
      <w:r w:rsidR="005F0433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5B2E7C8F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5F0433" w:rsidRPr="005F0433">
        <w:rPr>
          <w:rFonts w:ascii="Times New Roman" w:hAnsi="Times New Roman"/>
          <w:sz w:val="24"/>
          <w:szCs w:val="24"/>
        </w:rPr>
        <w:t>386 786,08</w:t>
      </w:r>
      <w:r w:rsidR="005F0433">
        <w:rPr>
          <w:rFonts w:ascii="Times New Roman" w:hAnsi="Times New Roman"/>
          <w:sz w:val="24"/>
          <w:szCs w:val="24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77118DDD" w14:textId="77777777" w:rsidR="002C519E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1D5195A0" w14:textId="77777777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Джерело фінансування – кошти міжнародної технічної допомоги, виділені за проектом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0BCEF31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34C2286B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5F0433">
        <w:rPr>
          <w:rFonts w:ascii="Times New Roman" w:hAnsi="Times New Roman"/>
          <w:sz w:val="24"/>
          <w:szCs w:val="24"/>
        </w:rPr>
        <w:t>30</w:t>
      </w:r>
      <w:r w:rsidR="002C519E" w:rsidRPr="002C519E">
        <w:rPr>
          <w:rFonts w:ascii="Times New Roman" w:hAnsi="Times New Roman"/>
          <w:sz w:val="24"/>
          <w:szCs w:val="24"/>
        </w:rPr>
        <w:t>.</w:t>
      </w:r>
      <w:r w:rsidR="005F0433">
        <w:rPr>
          <w:rFonts w:ascii="Times New Roman" w:hAnsi="Times New Roman"/>
          <w:sz w:val="24"/>
          <w:szCs w:val="24"/>
        </w:rPr>
        <w:t>06</w:t>
      </w:r>
      <w:r w:rsidR="002C519E" w:rsidRPr="002C519E">
        <w:rPr>
          <w:rFonts w:ascii="Times New Roman" w:hAnsi="Times New Roman"/>
          <w:sz w:val="24"/>
          <w:szCs w:val="24"/>
        </w:rPr>
        <w:t>.2023</w:t>
      </w:r>
      <w:r w:rsidR="00366514" w:rsidRPr="0024553B">
        <w:rPr>
          <w:rFonts w:ascii="Times New Roman" w:hAnsi="Times New Roman"/>
          <w:sz w:val="24"/>
          <w:szCs w:val="24"/>
        </w:rPr>
        <w:t>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4865C80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p w14:paraId="719765A6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tbl>
      <w:tblPr>
        <w:tblStyle w:val="42"/>
        <w:tblW w:w="14596" w:type="dxa"/>
        <w:tblLook w:val="04A0" w:firstRow="1" w:lastRow="0" w:firstColumn="1" w:lastColumn="0" w:noHBand="0" w:noVBand="1"/>
      </w:tblPr>
      <w:tblGrid>
        <w:gridCol w:w="474"/>
        <w:gridCol w:w="2042"/>
        <w:gridCol w:w="1831"/>
        <w:gridCol w:w="4012"/>
        <w:gridCol w:w="2835"/>
        <w:gridCol w:w="1559"/>
        <w:gridCol w:w="1843"/>
      </w:tblGrid>
      <w:tr w:rsidR="005F0433" w:rsidRPr="005F0433" w14:paraId="1D093B2B" w14:textId="77777777" w:rsidTr="00E30DFB">
        <w:trPr>
          <w:tblHeader/>
        </w:trPr>
        <w:tc>
          <w:tcPr>
            <w:tcW w:w="474" w:type="dxa"/>
          </w:tcPr>
          <w:p w14:paraId="6DC29E56" w14:textId="77777777" w:rsidR="005F0433" w:rsidRPr="005F0433" w:rsidRDefault="005F0433" w:rsidP="005F04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4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42" w:type="dxa"/>
          </w:tcPr>
          <w:p w14:paraId="5E414386" w14:textId="77777777" w:rsidR="005F0433" w:rsidRPr="005F0433" w:rsidRDefault="005F0433" w:rsidP="005F04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433">
              <w:rPr>
                <w:rFonts w:ascii="Times New Roman" w:hAnsi="Times New Roman"/>
                <w:b/>
                <w:bCs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1831" w:type="dxa"/>
          </w:tcPr>
          <w:p w14:paraId="08C8564E" w14:textId="77777777" w:rsidR="005F0433" w:rsidRPr="005F0433" w:rsidRDefault="005F0433" w:rsidP="005F04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433">
              <w:rPr>
                <w:rFonts w:ascii="Times New Roman" w:hAnsi="Times New Roman"/>
                <w:b/>
                <w:bCs/>
                <w:sz w:val="24"/>
                <w:szCs w:val="24"/>
              </w:rPr>
              <w:t>Код НК 024:2019</w:t>
            </w:r>
          </w:p>
        </w:tc>
        <w:tc>
          <w:tcPr>
            <w:tcW w:w="4012" w:type="dxa"/>
          </w:tcPr>
          <w:p w14:paraId="08A3B406" w14:textId="77777777" w:rsidR="005F0433" w:rsidRPr="005F0433" w:rsidRDefault="005F0433" w:rsidP="005F04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433">
              <w:rPr>
                <w:rFonts w:ascii="Times New Roman" w:hAnsi="Times New Roman"/>
                <w:b/>
                <w:bCs/>
                <w:sz w:val="24"/>
                <w:szCs w:val="24"/>
              </w:rPr>
              <w:t>Опис предмета закупівлі</w:t>
            </w:r>
          </w:p>
          <w:p w14:paraId="0B3DFAD0" w14:textId="77777777" w:rsidR="005F0433" w:rsidRPr="005F0433" w:rsidRDefault="005F0433" w:rsidP="005F04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433">
              <w:rPr>
                <w:rFonts w:ascii="Times New Roman" w:hAnsi="Times New Roman"/>
                <w:b/>
                <w:bCs/>
                <w:sz w:val="24"/>
                <w:szCs w:val="24"/>
              </w:rPr>
              <w:t>(технічні, якісні характеристики)</w:t>
            </w:r>
          </w:p>
        </w:tc>
        <w:tc>
          <w:tcPr>
            <w:tcW w:w="2835" w:type="dxa"/>
          </w:tcPr>
          <w:p w14:paraId="63CBAC9E" w14:textId="77777777" w:rsidR="005F0433" w:rsidRPr="005F0433" w:rsidRDefault="005F0433" w:rsidP="005F04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4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Відповідність: так/ні, значення для запропонованого товару, посилання на сторінку документації виробника, документи, що підтверджують якість</w:t>
            </w:r>
          </w:p>
        </w:tc>
        <w:tc>
          <w:tcPr>
            <w:tcW w:w="1559" w:type="dxa"/>
          </w:tcPr>
          <w:p w14:paraId="17AA05F0" w14:textId="77777777" w:rsidR="005F0433" w:rsidRPr="005F0433" w:rsidRDefault="005F0433" w:rsidP="005F04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433">
              <w:rPr>
                <w:rFonts w:ascii="Times New Roman" w:hAnsi="Times New Roman"/>
                <w:b/>
                <w:bCs/>
                <w:sz w:val="24"/>
                <w:szCs w:val="24"/>
              </w:rPr>
              <w:t>Одиниця</w:t>
            </w:r>
          </w:p>
          <w:p w14:paraId="70B2882C" w14:textId="77777777" w:rsidR="005F0433" w:rsidRPr="005F0433" w:rsidRDefault="005F0433" w:rsidP="005F04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433">
              <w:rPr>
                <w:rFonts w:ascii="Times New Roman" w:hAnsi="Times New Roman"/>
                <w:b/>
                <w:bCs/>
                <w:sz w:val="24"/>
                <w:szCs w:val="24"/>
              </w:rPr>
              <w:t>виміру</w:t>
            </w:r>
          </w:p>
        </w:tc>
        <w:tc>
          <w:tcPr>
            <w:tcW w:w="1843" w:type="dxa"/>
          </w:tcPr>
          <w:p w14:paraId="0C1F04D6" w14:textId="77777777" w:rsidR="005F0433" w:rsidRPr="005F0433" w:rsidRDefault="005F0433" w:rsidP="005F043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0433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</w:t>
            </w:r>
          </w:p>
        </w:tc>
      </w:tr>
      <w:tr w:rsidR="005F0433" w:rsidRPr="005F0433" w14:paraId="7A99B298" w14:textId="77777777" w:rsidTr="00E30DFB">
        <w:tc>
          <w:tcPr>
            <w:tcW w:w="474" w:type="dxa"/>
          </w:tcPr>
          <w:p w14:paraId="062FA7A8" w14:textId="77777777" w:rsidR="005F0433" w:rsidRPr="005F0433" w:rsidRDefault="005F0433" w:rsidP="005F0433">
            <w:pPr>
              <w:rPr>
                <w:rFonts w:ascii="Times New Roman" w:hAnsi="Times New Roman"/>
                <w:sz w:val="24"/>
                <w:szCs w:val="24"/>
              </w:rPr>
            </w:pPr>
            <w:r w:rsidRPr="005F04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2" w:type="dxa"/>
          </w:tcPr>
          <w:p w14:paraId="6D3F92FF" w14:textId="77777777" w:rsidR="005F0433" w:rsidRPr="005F0433" w:rsidRDefault="005F0433" w:rsidP="005F04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Транспортна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піпетка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3.5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ml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(мл)</w:t>
            </w:r>
          </w:p>
        </w:tc>
        <w:tc>
          <w:tcPr>
            <w:tcW w:w="1831" w:type="dxa"/>
          </w:tcPr>
          <w:p w14:paraId="3AF73EF7" w14:textId="77777777" w:rsidR="005F0433" w:rsidRPr="005F0433" w:rsidRDefault="005F0433" w:rsidP="005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33">
              <w:rPr>
                <w:rFonts w:ascii="Times New Roman" w:hAnsi="Times New Roman"/>
                <w:sz w:val="24"/>
                <w:szCs w:val="24"/>
              </w:rPr>
              <w:t>45410</w:t>
            </w:r>
          </w:p>
        </w:tc>
        <w:tc>
          <w:tcPr>
            <w:tcW w:w="4012" w:type="dxa"/>
          </w:tcPr>
          <w:p w14:paraId="3A376D29" w14:textId="77777777" w:rsidR="005F0433" w:rsidRPr="005F0433" w:rsidRDefault="005F0433" w:rsidP="005F0433">
            <w:pPr>
              <w:tabs>
                <w:tab w:val="left" w:pos="7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1.Транспортна піпетка 3,5 мл.</w:t>
            </w:r>
          </w:p>
          <w:p w14:paraId="7B639927" w14:textId="77777777" w:rsidR="005F0433" w:rsidRPr="005F0433" w:rsidRDefault="005F0433" w:rsidP="005F0433">
            <w:pPr>
              <w:tabs>
                <w:tab w:val="left" w:pos="1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Наявність градуювання – 0,50 мл. (0,5- 3,0 мл).</w:t>
            </w:r>
          </w:p>
          <w:p w14:paraId="36F77683" w14:textId="77777777" w:rsidR="005F0433" w:rsidRPr="005F0433" w:rsidRDefault="005F0433" w:rsidP="005F0433">
            <w:pPr>
              <w:tabs>
                <w:tab w:val="left" w:pos="1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Матеріал - поліетилен низької щільності (LD-PE).</w:t>
            </w:r>
          </w:p>
          <w:p w14:paraId="4E8A577B" w14:textId="77777777" w:rsidR="005F0433" w:rsidRPr="005F0433" w:rsidRDefault="005F0433" w:rsidP="005F0433">
            <w:pPr>
              <w:tabs>
                <w:tab w:val="left" w:pos="1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Довжина піпетки - 155 мм</w:t>
            </w:r>
            <w:r w:rsidRPr="005F043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2C4AE5FF" w14:textId="77777777" w:rsidR="005F0433" w:rsidRPr="005F0433" w:rsidRDefault="005F0433" w:rsidP="005F0433">
            <w:pPr>
              <w:tabs>
                <w:tab w:val="left" w:pos="1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Ширина піпетки – 15 мм</w:t>
            </w:r>
            <w:r w:rsidRPr="005F043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</w:p>
          <w:p w14:paraId="50663915" w14:textId="77777777" w:rsidR="005F0433" w:rsidRPr="005F0433" w:rsidRDefault="005F0433" w:rsidP="005F0433">
            <w:pPr>
              <w:tabs>
                <w:tab w:val="left" w:pos="1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Об’єм – 3,5 мл.</w:t>
            </w:r>
          </w:p>
          <w:p w14:paraId="7CA8C579" w14:textId="77777777" w:rsidR="005F0433" w:rsidRPr="005F0433" w:rsidRDefault="005F0433" w:rsidP="005F0433">
            <w:pPr>
              <w:tabs>
                <w:tab w:val="left" w:pos="1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Об’єм краплі – 35-55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мкм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1ACB3E8" w14:textId="77777777" w:rsidR="005F0433" w:rsidRPr="005F0433" w:rsidRDefault="005F0433" w:rsidP="005F0433">
            <w:pPr>
              <w:tabs>
                <w:tab w:val="left" w:pos="18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Стандарт чистоти – стерильна. </w:t>
            </w:r>
          </w:p>
          <w:p w14:paraId="097EBC5A" w14:textId="77777777" w:rsidR="005F0433" w:rsidRPr="005F0433" w:rsidRDefault="005F0433" w:rsidP="005F0433">
            <w:pPr>
              <w:rPr>
                <w:rFonts w:ascii="Times New Roman" w:hAnsi="Times New Roman"/>
                <w:sz w:val="24"/>
                <w:szCs w:val="24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Пакування: 1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/пак. В індивідуальній упаковці..</w:t>
            </w:r>
          </w:p>
        </w:tc>
        <w:tc>
          <w:tcPr>
            <w:tcW w:w="2835" w:type="dxa"/>
          </w:tcPr>
          <w:p w14:paraId="5E0C7FEA" w14:textId="77777777" w:rsidR="005F0433" w:rsidRPr="005F0433" w:rsidRDefault="005F0433" w:rsidP="005F043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942F31" w14:textId="77777777" w:rsidR="005F0433" w:rsidRPr="005F0433" w:rsidRDefault="005F0433" w:rsidP="005F0433">
            <w:pPr>
              <w:rPr>
                <w:rFonts w:ascii="Times New Roman" w:hAnsi="Times New Roman"/>
                <w:sz w:val="24"/>
                <w:szCs w:val="24"/>
              </w:rPr>
            </w:pPr>
            <w:r w:rsidRPr="005F043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43" w:type="dxa"/>
          </w:tcPr>
          <w:p w14:paraId="6FE335F4" w14:textId="77777777" w:rsidR="005F0433" w:rsidRPr="005F0433" w:rsidRDefault="005F0433" w:rsidP="005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33">
              <w:rPr>
                <w:rFonts w:ascii="Times New Roman" w:hAnsi="Times New Roman"/>
                <w:sz w:val="24"/>
                <w:szCs w:val="24"/>
              </w:rPr>
              <w:t>6260</w:t>
            </w:r>
          </w:p>
        </w:tc>
      </w:tr>
      <w:tr w:rsidR="005F0433" w:rsidRPr="005F0433" w14:paraId="49CCD669" w14:textId="77777777" w:rsidTr="00E30DFB">
        <w:tc>
          <w:tcPr>
            <w:tcW w:w="474" w:type="dxa"/>
          </w:tcPr>
          <w:p w14:paraId="75657337" w14:textId="77777777" w:rsidR="005F0433" w:rsidRPr="005F0433" w:rsidRDefault="005F0433" w:rsidP="005F043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105250485"/>
            <w:r w:rsidRPr="005F043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2" w:type="dxa"/>
          </w:tcPr>
          <w:p w14:paraId="50020AE0" w14:textId="77777777" w:rsidR="005F0433" w:rsidRPr="005F0433" w:rsidRDefault="005F0433" w:rsidP="005F04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Мікропробірка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ml (мл) з кришкою</w:t>
            </w:r>
          </w:p>
        </w:tc>
        <w:tc>
          <w:tcPr>
            <w:tcW w:w="1831" w:type="dxa"/>
          </w:tcPr>
          <w:p w14:paraId="796823FD" w14:textId="77777777" w:rsidR="005F0433" w:rsidRPr="005F0433" w:rsidRDefault="005F0433" w:rsidP="005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33">
              <w:rPr>
                <w:rFonts w:ascii="Times New Roman" w:hAnsi="Times New Roman"/>
                <w:sz w:val="24"/>
                <w:szCs w:val="24"/>
              </w:rPr>
              <w:t>43761</w:t>
            </w:r>
          </w:p>
        </w:tc>
        <w:tc>
          <w:tcPr>
            <w:tcW w:w="4012" w:type="dxa"/>
          </w:tcPr>
          <w:p w14:paraId="2B39A157" w14:textId="77777777" w:rsidR="005F0433" w:rsidRPr="005F0433" w:rsidRDefault="005F0433" w:rsidP="005F0433">
            <w:pPr>
              <w:tabs>
                <w:tab w:val="left" w:pos="180"/>
              </w:tabs>
              <w:ind w:lef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Мікропробірка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мл з гвинтовою кришкою та місцем для запису.</w:t>
            </w:r>
          </w:p>
          <w:p w14:paraId="5CEF46F8" w14:textId="77777777" w:rsidR="005F0433" w:rsidRPr="005F0433" w:rsidRDefault="005F0433" w:rsidP="005F0433">
            <w:pPr>
              <w:tabs>
                <w:tab w:val="left" w:pos="180"/>
              </w:tabs>
              <w:ind w:lef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Основа пробірки - конічна з спідницею стійкості</w:t>
            </w:r>
          </w:p>
          <w:p w14:paraId="6282730E" w14:textId="77777777" w:rsidR="005F0433" w:rsidRPr="005F0433" w:rsidRDefault="005F0433" w:rsidP="005F0433">
            <w:pPr>
              <w:tabs>
                <w:tab w:val="left" w:pos="180"/>
              </w:tabs>
              <w:ind w:lef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Наявність градуювання - відсутнє</w:t>
            </w:r>
          </w:p>
          <w:p w14:paraId="4184CD8E" w14:textId="77777777" w:rsidR="005F0433" w:rsidRPr="005F0433" w:rsidRDefault="005F0433" w:rsidP="005F0433">
            <w:pPr>
              <w:tabs>
                <w:tab w:val="left" w:pos="180"/>
              </w:tabs>
              <w:ind w:lef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Макс. центрифугування – 20000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xg</w:t>
            </w:r>
            <w:proofErr w:type="spellEnd"/>
          </w:p>
          <w:p w14:paraId="1ECEA8E3" w14:textId="77777777" w:rsidR="005F0433" w:rsidRPr="005F0433" w:rsidRDefault="005F0433" w:rsidP="005F0433">
            <w:pPr>
              <w:tabs>
                <w:tab w:val="left" w:pos="180"/>
              </w:tabs>
              <w:ind w:lef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Діаметр – 10,8 мм</w:t>
            </w:r>
            <w:r w:rsidRPr="005F043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</w:p>
          <w:p w14:paraId="7931E04E" w14:textId="77777777" w:rsidR="005F0433" w:rsidRPr="005F0433" w:rsidRDefault="005F0433" w:rsidP="005F0433">
            <w:pPr>
              <w:tabs>
                <w:tab w:val="left" w:pos="180"/>
              </w:tabs>
              <w:ind w:lef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Довжина - 44 мм</w:t>
            </w:r>
            <w:r w:rsidRPr="005F043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9771A5C" w14:textId="77777777" w:rsidR="005F0433" w:rsidRPr="005F0433" w:rsidRDefault="005F0433" w:rsidP="005F0433">
            <w:pPr>
              <w:tabs>
                <w:tab w:val="left" w:pos="180"/>
              </w:tabs>
              <w:ind w:lef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Матеріал - поліпропілен (ПП), матеріал кришки - поліпропілен (ПП).</w:t>
            </w:r>
          </w:p>
          <w:p w14:paraId="393ADF03" w14:textId="77777777" w:rsidR="005F0433" w:rsidRPr="005F0433" w:rsidRDefault="005F0433" w:rsidP="005F0433">
            <w:pPr>
              <w:tabs>
                <w:tab w:val="left" w:pos="180"/>
              </w:tabs>
              <w:ind w:lef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Матеріал герметичного кільця –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етиленпропілендієновий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каучук.</w:t>
            </w:r>
          </w:p>
          <w:p w14:paraId="228A5AA5" w14:textId="77777777" w:rsidR="005F0433" w:rsidRPr="005F0433" w:rsidRDefault="005F0433" w:rsidP="005F0433">
            <w:pPr>
              <w:tabs>
                <w:tab w:val="left" w:pos="180"/>
              </w:tabs>
              <w:ind w:lef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Колір – прозорий</w:t>
            </w:r>
          </w:p>
          <w:p w14:paraId="30C43CA4" w14:textId="77777777" w:rsidR="005F0433" w:rsidRPr="005F0433" w:rsidRDefault="005F0433" w:rsidP="005F0433">
            <w:pPr>
              <w:tabs>
                <w:tab w:val="left" w:pos="180"/>
                <w:tab w:val="left" w:pos="360"/>
              </w:tabs>
              <w:ind w:left="-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Стандарт чистоти – не стерильна.</w:t>
            </w:r>
          </w:p>
          <w:p w14:paraId="73572B1A" w14:textId="77777777" w:rsidR="005F0433" w:rsidRPr="005F0433" w:rsidRDefault="005F0433" w:rsidP="005F0433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Пакування – 500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/пак.</w:t>
            </w:r>
          </w:p>
        </w:tc>
        <w:tc>
          <w:tcPr>
            <w:tcW w:w="2835" w:type="dxa"/>
          </w:tcPr>
          <w:p w14:paraId="721D883E" w14:textId="77777777" w:rsidR="005F0433" w:rsidRPr="005F0433" w:rsidRDefault="005F0433" w:rsidP="005F04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009FD7" w14:textId="77777777" w:rsidR="005F0433" w:rsidRPr="005F0433" w:rsidRDefault="005F0433" w:rsidP="005F0433">
            <w:pPr>
              <w:rPr>
                <w:rFonts w:ascii="Times New Roman" w:hAnsi="Times New Roman"/>
                <w:sz w:val="24"/>
                <w:szCs w:val="24"/>
              </w:rPr>
            </w:pPr>
            <w:r w:rsidRPr="005F0433">
              <w:rPr>
                <w:rFonts w:ascii="Times New Roman" w:hAnsi="Times New Roman"/>
                <w:b/>
                <w:bCs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14:paraId="1D00FBE9" w14:textId="77777777" w:rsidR="005F0433" w:rsidRPr="005F0433" w:rsidRDefault="005F0433" w:rsidP="005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33">
              <w:rPr>
                <w:rFonts w:ascii="Times New Roman" w:hAnsi="Times New Roman"/>
                <w:sz w:val="24"/>
                <w:szCs w:val="24"/>
              </w:rPr>
              <w:t>22000</w:t>
            </w:r>
          </w:p>
        </w:tc>
      </w:tr>
      <w:bookmarkEnd w:id="0"/>
      <w:tr w:rsidR="005F0433" w:rsidRPr="005F0433" w14:paraId="6A34C580" w14:textId="77777777" w:rsidTr="00E30DFB">
        <w:tc>
          <w:tcPr>
            <w:tcW w:w="474" w:type="dxa"/>
          </w:tcPr>
          <w:p w14:paraId="524A5FE5" w14:textId="77777777" w:rsidR="005F0433" w:rsidRPr="005F0433" w:rsidRDefault="005F0433" w:rsidP="005F0433">
            <w:pPr>
              <w:rPr>
                <w:rFonts w:ascii="Times New Roman" w:hAnsi="Times New Roman"/>
                <w:sz w:val="24"/>
                <w:szCs w:val="24"/>
              </w:rPr>
            </w:pPr>
            <w:r w:rsidRPr="005F043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2" w:type="dxa"/>
          </w:tcPr>
          <w:p w14:paraId="0A4DC7A9" w14:textId="77777777" w:rsidR="005F0433" w:rsidRPr="005F0433" w:rsidRDefault="005F0433" w:rsidP="005F0433">
            <w:pPr>
              <w:rPr>
                <w:rFonts w:ascii="Times New Roman" w:hAnsi="Times New Roman"/>
                <w:sz w:val="24"/>
                <w:szCs w:val="24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Наконечник 200 µl (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1" w:type="dxa"/>
          </w:tcPr>
          <w:p w14:paraId="64F14E59" w14:textId="77777777" w:rsidR="005F0433" w:rsidRPr="005F0433" w:rsidRDefault="005F0433" w:rsidP="005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33">
              <w:rPr>
                <w:rFonts w:ascii="Times New Roman" w:hAnsi="Times New Roman"/>
                <w:sz w:val="24"/>
                <w:szCs w:val="24"/>
              </w:rPr>
              <w:t>16822</w:t>
            </w:r>
          </w:p>
        </w:tc>
        <w:tc>
          <w:tcPr>
            <w:tcW w:w="4012" w:type="dxa"/>
          </w:tcPr>
          <w:p w14:paraId="18578FC4" w14:textId="77777777" w:rsidR="005F0433" w:rsidRPr="005F0433" w:rsidRDefault="005F0433" w:rsidP="005F0433">
            <w:pPr>
              <w:tabs>
                <w:tab w:val="left" w:pos="18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Наконечник об’ємом 200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 фільтра, прозорий, з калібрувальними кільцями, сумісний з дозаторами типу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Eppendorf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Gilson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Finnpipette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Biohit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Brand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Socorex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 дозаторами структурно ідентичної конструкції. </w:t>
            </w:r>
          </w:p>
          <w:p w14:paraId="7233071A" w14:textId="77777777" w:rsidR="005F0433" w:rsidRPr="005F0433" w:rsidRDefault="005F0433" w:rsidP="005F0433">
            <w:pPr>
              <w:tabs>
                <w:tab w:val="left" w:pos="18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Наявність градуювання - так</w:t>
            </w:r>
          </w:p>
          <w:p w14:paraId="2AA4536D" w14:textId="77777777" w:rsidR="005F0433" w:rsidRPr="005F0433" w:rsidRDefault="005F0433" w:rsidP="005F0433">
            <w:pPr>
              <w:tabs>
                <w:tab w:val="left" w:pos="18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Довжина – 51 мм</w:t>
            </w:r>
            <w:r w:rsidRPr="005F043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</w:p>
          <w:p w14:paraId="7D21547C" w14:textId="77777777" w:rsidR="005F0433" w:rsidRPr="005F0433" w:rsidRDefault="005F0433" w:rsidP="005F0433">
            <w:pPr>
              <w:tabs>
                <w:tab w:val="left" w:pos="18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Макс. об’єм - 200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14:paraId="02B31BBA" w14:textId="77777777" w:rsidR="005F0433" w:rsidRPr="005F0433" w:rsidRDefault="005F0433" w:rsidP="005F0433">
            <w:pPr>
              <w:tabs>
                <w:tab w:val="left" w:pos="18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Матеріал – поліпропілен</w:t>
            </w:r>
          </w:p>
          <w:p w14:paraId="2C3B59A8" w14:textId="77777777" w:rsidR="005F0433" w:rsidRPr="005F0433" w:rsidRDefault="005F0433" w:rsidP="005F0433">
            <w:pPr>
              <w:tabs>
                <w:tab w:val="left" w:pos="18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Автоклавування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.°C)+121°C, температурні коливання +121°C до -60°C. </w:t>
            </w:r>
          </w:p>
          <w:p w14:paraId="7BEB4684" w14:textId="77777777" w:rsidR="005F0433" w:rsidRPr="005F0433" w:rsidRDefault="005F0433" w:rsidP="005F0433">
            <w:pPr>
              <w:tabs>
                <w:tab w:val="left" w:pos="18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Стандарт чистоти – вільний від ДНК, без ДНК-ази /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РНКази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інгібіторів ПЛР</w:t>
            </w:r>
            <w:r w:rsidRPr="005F043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**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0BFD278C" w14:textId="77777777" w:rsidR="005F0433" w:rsidRPr="005F0433" w:rsidRDefault="005F0433" w:rsidP="005F0433">
            <w:pPr>
              <w:tabs>
                <w:tab w:val="left" w:pos="180"/>
                <w:tab w:val="left" w:pos="36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Вільна від ДНК: Людська ДНК &lt;5,0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fg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/µl, або &lt;2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pg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Бактеріальна ДНК &lt;0.2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fg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/µl, або &lt;50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fg</w:t>
            </w:r>
            <w:proofErr w:type="spellEnd"/>
            <w:r w:rsidRPr="005F043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**</w:t>
            </w:r>
          </w:p>
          <w:p w14:paraId="09E2E76D" w14:textId="77777777" w:rsidR="005F0433" w:rsidRPr="005F0433" w:rsidRDefault="005F0433" w:rsidP="005F0433">
            <w:pPr>
              <w:tabs>
                <w:tab w:val="left" w:pos="180"/>
                <w:tab w:val="left" w:pos="218"/>
                <w:tab w:val="left" w:pos="36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7.2.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Вільна від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ДНКази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РНКази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ДНКаза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&lt;5х10-7 U/µl, або &lt;1х10-6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Kunitz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units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РНКаза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&lt;5х10-11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Kunitz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units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/µl, або &lt;1х10-9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Kunitz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units</w:t>
            </w:r>
            <w:proofErr w:type="spellEnd"/>
            <w:r w:rsidRPr="005F043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**</w:t>
            </w:r>
          </w:p>
          <w:p w14:paraId="60D4F199" w14:textId="77777777" w:rsidR="005F0433" w:rsidRPr="005F0433" w:rsidRDefault="005F0433" w:rsidP="005F0433">
            <w:pPr>
              <w:tabs>
                <w:tab w:val="left" w:pos="180"/>
                <w:tab w:val="left" w:pos="36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Вільна від ПЛР інгібіторів: ПЛР у режимі реальному часу &lt;0.5 циклів відхилення значення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Ct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порівняно з контролем.</w:t>
            </w:r>
            <w:r w:rsidRPr="005F043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**</w:t>
            </w:r>
          </w:p>
          <w:p w14:paraId="644572D7" w14:textId="77777777" w:rsidR="005F0433" w:rsidRPr="005F0433" w:rsidRDefault="005F0433" w:rsidP="005F0433">
            <w:pPr>
              <w:tabs>
                <w:tab w:val="left" w:pos="180"/>
                <w:tab w:val="left" w:pos="36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Вільна від АТФ: АТФ &lt;1х10-12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mmol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/µl, або &lt;5,5х10-12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5F043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**</w:t>
            </w:r>
          </w:p>
          <w:p w14:paraId="57539066" w14:textId="77777777" w:rsidR="005F0433" w:rsidRPr="005F0433" w:rsidRDefault="005F0433" w:rsidP="005F0433">
            <w:pPr>
              <w:tabs>
                <w:tab w:val="left" w:pos="180"/>
                <w:tab w:val="left" w:pos="36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Вільна від пірогенів/ендотоксинів: Пірогени/ендотоксини &lt;0,002 EU/ml</w:t>
            </w:r>
            <w:r w:rsidRPr="005F043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**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BD78148" w14:textId="77777777" w:rsidR="005F0433" w:rsidRPr="005F0433" w:rsidRDefault="005F0433" w:rsidP="005F0433">
            <w:pPr>
              <w:tabs>
                <w:tab w:val="left" w:pos="218"/>
              </w:tabs>
              <w:rPr>
                <w:rFonts w:ascii="Times New Roman" w:hAnsi="Times New Roman"/>
                <w:sz w:val="24"/>
                <w:szCs w:val="24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Пакування: 1000 шт./ пак.</w:t>
            </w:r>
          </w:p>
        </w:tc>
        <w:tc>
          <w:tcPr>
            <w:tcW w:w="2835" w:type="dxa"/>
          </w:tcPr>
          <w:p w14:paraId="55877408" w14:textId="77777777" w:rsidR="005F0433" w:rsidRPr="005F0433" w:rsidRDefault="005F0433" w:rsidP="005F04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7B3EAF" w14:textId="77777777" w:rsidR="005F0433" w:rsidRPr="005F0433" w:rsidRDefault="005F0433" w:rsidP="005F0433">
            <w:pPr>
              <w:rPr>
                <w:rFonts w:ascii="Times New Roman" w:hAnsi="Times New Roman"/>
                <w:sz w:val="24"/>
                <w:szCs w:val="24"/>
              </w:rPr>
            </w:pPr>
            <w:r w:rsidRPr="005F0433">
              <w:rPr>
                <w:rFonts w:ascii="Times New Roman" w:hAnsi="Times New Roman"/>
                <w:b/>
                <w:bCs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14:paraId="3B208901" w14:textId="77777777" w:rsidR="005F0433" w:rsidRPr="005F0433" w:rsidRDefault="005F0433" w:rsidP="005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33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</w:tr>
      <w:tr w:rsidR="005F0433" w:rsidRPr="005F0433" w14:paraId="78AEB481" w14:textId="77777777" w:rsidTr="00E30DFB">
        <w:tc>
          <w:tcPr>
            <w:tcW w:w="474" w:type="dxa"/>
          </w:tcPr>
          <w:p w14:paraId="0589AD0D" w14:textId="77777777" w:rsidR="005F0433" w:rsidRPr="005F0433" w:rsidRDefault="005F0433" w:rsidP="005F0433">
            <w:pPr>
              <w:rPr>
                <w:rFonts w:ascii="Times New Roman" w:hAnsi="Times New Roman"/>
                <w:sz w:val="24"/>
                <w:szCs w:val="24"/>
              </w:rPr>
            </w:pPr>
            <w:r w:rsidRPr="005F043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2" w:type="dxa"/>
          </w:tcPr>
          <w:p w14:paraId="0DC06E45" w14:textId="77777777" w:rsidR="005F0433" w:rsidRPr="005F0433" w:rsidRDefault="005F0433" w:rsidP="005F0433">
            <w:pPr>
              <w:rPr>
                <w:rFonts w:ascii="Times New Roman" w:hAnsi="Times New Roman"/>
                <w:sz w:val="24"/>
                <w:szCs w:val="24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Наконечник 10 µl (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1" w:type="dxa"/>
          </w:tcPr>
          <w:p w14:paraId="2A52F66E" w14:textId="77777777" w:rsidR="005F0433" w:rsidRPr="005F0433" w:rsidRDefault="005F0433" w:rsidP="005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33">
              <w:rPr>
                <w:rFonts w:ascii="Times New Roman" w:hAnsi="Times New Roman"/>
                <w:sz w:val="24"/>
                <w:szCs w:val="24"/>
              </w:rPr>
              <w:t>16822</w:t>
            </w:r>
          </w:p>
        </w:tc>
        <w:tc>
          <w:tcPr>
            <w:tcW w:w="4012" w:type="dxa"/>
          </w:tcPr>
          <w:p w14:paraId="4BC497A0" w14:textId="77777777" w:rsidR="005F0433" w:rsidRPr="005F0433" w:rsidRDefault="005F0433" w:rsidP="005F0433">
            <w:pPr>
              <w:tabs>
                <w:tab w:val="left" w:pos="18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Наконечник об’ємом 10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без фільтру, прозорий, з калібрувальними кільцями, сумісний з дозаторами типу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Eppendorf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Gilson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Finnpipette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Biohit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Brand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Socorex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 дозаторами структурно ідентичної конструкції</w:t>
            </w:r>
          </w:p>
          <w:p w14:paraId="4FF9C1C5" w14:textId="77777777" w:rsidR="005F0433" w:rsidRPr="005F0433" w:rsidRDefault="005F0433" w:rsidP="005F0433">
            <w:pPr>
              <w:tabs>
                <w:tab w:val="left" w:pos="18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Наявність градуювання - так</w:t>
            </w:r>
          </w:p>
          <w:p w14:paraId="3B8B8AF1" w14:textId="77777777" w:rsidR="005F0433" w:rsidRPr="005F0433" w:rsidRDefault="005F0433" w:rsidP="005F0433">
            <w:pPr>
              <w:tabs>
                <w:tab w:val="left" w:pos="18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Довжина — 31 мм</w:t>
            </w:r>
            <w:r w:rsidRPr="005F043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</w:p>
          <w:p w14:paraId="735E1A5C" w14:textId="77777777" w:rsidR="005F0433" w:rsidRPr="005F0433" w:rsidRDefault="005F0433" w:rsidP="005F0433">
            <w:pPr>
              <w:tabs>
                <w:tab w:val="left" w:pos="18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Макс. об’єм – 10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мкл</w:t>
            </w:r>
            <w:proofErr w:type="spellEnd"/>
          </w:p>
          <w:p w14:paraId="7C264151" w14:textId="77777777" w:rsidR="005F0433" w:rsidRPr="005F0433" w:rsidRDefault="005F0433" w:rsidP="005F0433">
            <w:pPr>
              <w:tabs>
                <w:tab w:val="left" w:pos="18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Матеріал – поліпропілен</w:t>
            </w:r>
          </w:p>
          <w:p w14:paraId="62A4B10B" w14:textId="77777777" w:rsidR="005F0433" w:rsidRPr="005F0433" w:rsidRDefault="005F0433" w:rsidP="005F0433">
            <w:pPr>
              <w:tabs>
                <w:tab w:val="left" w:pos="18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Автоклавування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.°C)+121°C, температурні коливання +121°C до -60°C. </w:t>
            </w:r>
          </w:p>
          <w:p w14:paraId="6328CD22" w14:textId="77777777" w:rsidR="005F0433" w:rsidRPr="005F0433" w:rsidRDefault="005F0433" w:rsidP="005F0433">
            <w:pPr>
              <w:tabs>
                <w:tab w:val="left" w:pos="18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Стандарт чистоти – вільний від ДНК, без ДНК-ази /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РНКази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інгібіторів ПЛР</w:t>
            </w:r>
            <w:r w:rsidRPr="005F043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**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2F527EE6" w14:textId="77777777" w:rsidR="005F0433" w:rsidRPr="005F0433" w:rsidRDefault="005F0433" w:rsidP="005F0433">
            <w:pPr>
              <w:tabs>
                <w:tab w:val="left" w:pos="180"/>
                <w:tab w:val="left" w:pos="36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Вільна від ДНК: Людська ДНК &lt;5,0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fg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/µl, або &lt;2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pg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Бактеріальна ДНК &lt;0.2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fg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/µl, або &lt;50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fg</w:t>
            </w:r>
            <w:proofErr w:type="spellEnd"/>
          </w:p>
          <w:p w14:paraId="0ADB0677" w14:textId="77777777" w:rsidR="005F0433" w:rsidRPr="005F0433" w:rsidRDefault="005F0433" w:rsidP="005F0433">
            <w:pPr>
              <w:tabs>
                <w:tab w:val="left" w:pos="180"/>
                <w:tab w:val="left" w:pos="36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Вільна від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ДНКази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РНКази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ДНКаза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&lt;5х10-7 U/µl, або &lt;1х10-6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Kunitz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units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РНКаза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&lt;5х10-11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Kunitz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units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/µl, або &lt;1х10-9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Kunitz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units</w:t>
            </w:r>
            <w:proofErr w:type="spellEnd"/>
          </w:p>
          <w:p w14:paraId="0F93AC98" w14:textId="77777777" w:rsidR="005F0433" w:rsidRPr="005F0433" w:rsidRDefault="005F0433" w:rsidP="005F0433">
            <w:pPr>
              <w:tabs>
                <w:tab w:val="left" w:pos="180"/>
                <w:tab w:val="left" w:pos="36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Вільна від ПЛР інгібіторів: ПЛР у режимі реальному часу &lt;0.5 циклів відхилення значення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Ct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порівняно з контролем.</w:t>
            </w:r>
          </w:p>
          <w:p w14:paraId="2F5100E3" w14:textId="77777777" w:rsidR="005F0433" w:rsidRPr="005F0433" w:rsidRDefault="005F0433" w:rsidP="005F0433">
            <w:pPr>
              <w:tabs>
                <w:tab w:val="left" w:pos="180"/>
                <w:tab w:val="left" w:pos="36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Вільна від АТФ: АТФ &lt;1х10-12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mmol</w:t>
            </w:r>
            <w:proofErr w:type="spellEnd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/µl, або &lt;5,5х10-12 </w:t>
            </w:r>
            <w:proofErr w:type="spellStart"/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mg</w:t>
            </w:r>
            <w:proofErr w:type="spellEnd"/>
          </w:p>
          <w:p w14:paraId="519BCABF" w14:textId="77777777" w:rsidR="005F0433" w:rsidRPr="005F0433" w:rsidRDefault="005F0433" w:rsidP="005F0433">
            <w:pPr>
              <w:tabs>
                <w:tab w:val="left" w:pos="180"/>
                <w:tab w:val="left" w:pos="360"/>
              </w:tabs>
              <w:ind w:left="-1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7.5.</w:t>
            </w: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Вільна від пірогенів/ендотоксинів: Пірогени/ендотоксини &lt;0,002 EU/ml.</w:t>
            </w:r>
          </w:p>
          <w:p w14:paraId="60BDE9C3" w14:textId="77777777" w:rsidR="005F0433" w:rsidRPr="005F0433" w:rsidRDefault="005F0433" w:rsidP="005F0433">
            <w:pPr>
              <w:rPr>
                <w:rFonts w:ascii="Times New Roman" w:hAnsi="Times New Roman"/>
                <w:sz w:val="24"/>
                <w:szCs w:val="24"/>
              </w:rPr>
            </w:pPr>
            <w:r w:rsidRPr="005F04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Пакування: 1000 шт./ пак.</w:t>
            </w:r>
          </w:p>
        </w:tc>
        <w:tc>
          <w:tcPr>
            <w:tcW w:w="2835" w:type="dxa"/>
          </w:tcPr>
          <w:p w14:paraId="70BDB8A6" w14:textId="77777777" w:rsidR="005F0433" w:rsidRPr="005F0433" w:rsidRDefault="005F0433" w:rsidP="005F04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61BE34" w14:textId="77777777" w:rsidR="005F0433" w:rsidRPr="005F0433" w:rsidRDefault="005F0433" w:rsidP="005F0433">
            <w:pPr>
              <w:rPr>
                <w:rFonts w:ascii="Times New Roman" w:hAnsi="Times New Roman"/>
                <w:sz w:val="24"/>
                <w:szCs w:val="24"/>
              </w:rPr>
            </w:pPr>
            <w:r w:rsidRPr="005F0433">
              <w:rPr>
                <w:rFonts w:ascii="Times New Roman" w:hAnsi="Times New Roman"/>
                <w:b/>
                <w:bCs/>
                <w:sz w:val="24"/>
                <w:szCs w:val="24"/>
              </w:rPr>
              <w:t>штука</w:t>
            </w:r>
          </w:p>
        </w:tc>
        <w:tc>
          <w:tcPr>
            <w:tcW w:w="1843" w:type="dxa"/>
          </w:tcPr>
          <w:p w14:paraId="75CA9B24" w14:textId="77777777" w:rsidR="005F0433" w:rsidRPr="005F0433" w:rsidRDefault="005F0433" w:rsidP="005F0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433">
              <w:rPr>
                <w:rFonts w:ascii="Times New Roman" w:hAnsi="Times New Roman"/>
                <w:sz w:val="24"/>
                <w:szCs w:val="24"/>
              </w:rPr>
              <w:t>39000</w:t>
            </w:r>
          </w:p>
        </w:tc>
      </w:tr>
    </w:tbl>
    <w:p w14:paraId="7F9A69BE" w14:textId="77777777" w:rsidR="00A52318" w:rsidRPr="0024553B" w:rsidRDefault="00A52318" w:rsidP="000C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5F043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F435" w14:textId="77777777" w:rsidR="00DF6232" w:rsidRDefault="00DF6232" w:rsidP="0024553B">
      <w:pPr>
        <w:spacing w:after="0" w:line="240" w:lineRule="auto"/>
      </w:pPr>
      <w:r>
        <w:separator/>
      </w:r>
    </w:p>
  </w:endnote>
  <w:endnote w:type="continuationSeparator" w:id="0">
    <w:p w14:paraId="779204D5" w14:textId="77777777" w:rsidR="00DF6232" w:rsidRDefault="00DF6232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08DA" w14:textId="77777777" w:rsidR="00DF6232" w:rsidRDefault="00DF6232" w:rsidP="0024553B">
      <w:pPr>
        <w:spacing w:after="0" w:line="240" w:lineRule="auto"/>
      </w:pPr>
      <w:r>
        <w:separator/>
      </w:r>
    </w:p>
  </w:footnote>
  <w:footnote w:type="continuationSeparator" w:id="0">
    <w:p w14:paraId="13F74FE6" w14:textId="77777777" w:rsidR="00DF6232" w:rsidRDefault="00DF6232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7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9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14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6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29220367">
    <w:abstractNumId w:val="15"/>
  </w:num>
  <w:num w:numId="2" w16cid:durableId="2125346191">
    <w:abstractNumId w:val="12"/>
  </w:num>
  <w:num w:numId="3" w16cid:durableId="214203201">
    <w:abstractNumId w:val="3"/>
  </w:num>
  <w:num w:numId="4" w16cid:durableId="1122109709">
    <w:abstractNumId w:val="7"/>
  </w:num>
  <w:num w:numId="5" w16cid:durableId="1654867826">
    <w:abstractNumId w:val="16"/>
  </w:num>
  <w:num w:numId="6" w16cid:durableId="759258068">
    <w:abstractNumId w:val="5"/>
  </w:num>
  <w:num w:numId="7" w16cid:durableId="12211327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812033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8649540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7163862">
    <w:abstractNumId w:val="8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8527588">
    <w:abstractNumId w:val="1"/>
  </w:num>
  <w:num w:numId="12" w16cid:durableId="1151756707">
    <w:abstractNumId w:val="6"/>
  </w:num>
  <w:num w:numId="13" w16cid:durableId="1664432982">
    <w:abstractNumId w:val="0"/>
  </w:num>
  <w:num w:numId="14" w16cid:durableId="376397875">
    <w:abstractNumId w:val="2"/>
  </w:num>
  <w:num w:numId="15" w16cid:durableId="1027486422">
    <w:abstractNumId w:val="9"/>
  </w:num>
  <w:num w:numId="16" w16cid:durableId="1792631290">
    <w:abstractNumId w:val="11"/>
  </w:num>
  <w:num w:numId="17" w16cid:durableId="1946955587">
    <w:abstractNumId w:val="14"/>
  </w:num>
  <w:num w:numId="18" w16cid:durableId="1398087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C1517"/>
    <w:rsid w:val="00226C86"/>
    <w:rsid w:val="0024553B"/>
    <w:rsid w:val="002B6E58"/>
    <w:rsid w:val="002B72AC"/>
    <w:rsid w:val="002C519E"/>
    <w:rsid w:val="002C7992"/>
    <w:rsid w:val="002E2676"/>
    <w:rsid w:val="00366514"/>
    <w:rsid w:val="00393926"/>
    <w:rsid w:val="00590320"/>
    <w:rsid w:val="005F0433"/>
    <w:rsid w:val="005F6CE1"/>
    <w:rsid w:val="006C75C1"/>
    <w:rsid w:val="007622E0"/>
    <w:rsid w:val="0084332E"/>
    <w:rsid w:val="00870D0C"/>
    <w:rsid w:val="009372AD"/>
    <w:rsid w:val="009443DC"/>
    <w:rsid w:val="0095518A"/>
    <w:rsid w:val="00A52318"/>
    <w:rsid w:val="00A71EB1"/>
    <w:rsid w:val="00A775EB"/>
    <w:rsid w:val="00AC1C0E"/>
    <w:rsid w:val="00BA2690"/>
    <w:rsid w:val="00BE1FF8"/>
    <w:rsid w:val="00C15F77"/>
    <w:rsid w:val="00CA68EE"/>
    <w:rsid w:val="00D626B8"/>
    <w:rsid w:val="00DF6232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iPriority w:val="99"/>
    <w:semiHidden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4490</Words>
  <Characters>2560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9</cp:revision>
  <dcterms:created xsi:type="dcterms:W3CDTF">2022-08-10T10:32:00Z</dcterms:created>
  <dcterms:modified xsi:type="dcterms:W3CDTF">2023-04-04T11:37:00Z</dcterms:modified>
</cp:coreProperties>
</file>