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УСТАНОВ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591E4CF9" w14:textId="77777777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7D4D16EB" w14:textId="77777777" w:rsidR="009443DC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ЄДРПОУ </w:t>
      </w: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40524109</w:t>
      </w:r>
    </w:p>
    <w:p w14:paraId="11753B1F" w14:textId="77777777" w:rsidR="009443DC" w:rsidRPr="00930279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02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1C5309AC" w14:textId="7FC3B798" w:rsidR="009443DC" w:rsidRPr="00ED2C79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C79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ED2C79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ED2C79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ED2C79">
        <w:rPr>
          <w:rFonts w:ascii="Times New Roman" w:hAnsi="Times New Roman"/>
          <w:bCs/>
          <w:sz w:val="24"/>
          <w:szCs w:val="24"/>
        </w:rPr>
        <w:t>:</w:t>
      </w:r>
      <w:r w:rsidRPr="00ED2C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9A1FD00" w14:textId="54A0F7C0" w:rsidR="002B72AC" w:rsidRPr="00ED2C79" w:rsidRDefault="00344F9E" w:rsidP="009443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44F9E">
        <w:rPr>
          <w:rFonts w:ascii="Times New Roman" w:hAnsi="Times New Roman"/>
          <w:b/>
          <w:bCs/>
          <w:sz w:val="24"/>
          <w:szCs w:val="24"/>
        </w:rPr>
        <w:t>ДК 021:2015:38430000-8 Детектори та аналізатори</w:t>
      </w:r>
      <w:r w:rsidR="00CB0910" w:rsidRPr="00ED2C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344F9E">
        <w:rPr>
          <w:rFonts w:ascii="Times New Roman" w:hAnsi="Times New Roman"/>
          <w:b/>
          <w:bCs/>
          <w:sz w:val="24"/>
          <w:szCs w:val="24"/>
        </w:rPr>
        <w:t xml:space="preserve">Спектрофотометр портативний видимого діапазону в комплекті з сухо-повітряним термостатом та </w:t>
      </w:r>
      <w:proofErr w:type="spellStart"/>
      <w:r w:rsidRPr="00344F9E">
        <w:rPr>
          <w:rFonts w:ascii="Times New Roman" w:hAnsi="Times New Roman"/>
          <w:b/>
          <w:bCs/>
          <w:sz w:val="24"/>
          <w:szCs w:val="24"/>
        </w:rPr>
        <w:t>реагентними</w:t>
      </w:r>
      <w:proofErr w:type="spellEnd"/>
      <w:r w:rsidRPr="00344F9E">
        <w:rPr>
          <w:rFonts w:ascii="Times New Roman" w:hAnsi="Times New Roman"/>
          <w:b/>
          <w:bCs/>
          <w:sz w:val="24"/>
          <w:szCs w:val="24"/>
        </w:rPr>
        <w:t xml:space="preserve"> наборами</w:t>
      </w:r>
      <w:r w:rsidR="00CB0910" w:rsidRPr="00ED2C79">
        <w:rPr>
          <w:rFonts w:ascii="Times New Roman" w:hAnsi="Times New Roman"/>
          <w:b/>
          <w:bCs/>
          <w:sz w:val="24"/>
          <w:szCs w:val="24"/>
        </w:rPr>
        <w:t>)</w:t>
      </w:r>
      <w:r w:rsidR="009443DC" w:rsidRPr="00ED2C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77777777" w:rsidR="002B72AC" w:rsidRPr="00ED2C79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ED2C79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98F25AD" w:rsidR="002B72AC" w:rsidRPr="00ED2C7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ED2C79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ED2C79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ED2C79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Державна установа: «Центр громадського здоров’я Міністерства охорони здоров’я України», 04071, Київська обл., м. Київ, </w:t>
      </w:r>
      <w:r w:rsidR="0084332E" w:rsidRPr="00ED2C79">
        <w:rPr>
          <w:rStyle w:val="a3"/>
          <w:rFonts w:ascii="Times New Roman" w:hAnsi="Times New Roman"/>
          <w:i w:val="0"/>
          <w:iCs w:val="0"/>
          <w:sz w:val="24"/>
          <w:szCs w:val="24"/>
        </w:rPr>
        <w:br/>
        <w:t>вул. Ярославська, 41, ЄДРПОУ 40524109, категорія замовника - Юридична особа, яка забезпечує потреби держави або територіальної громади</w:t>
      </w:r>
      <w:r w:rsidR="00226C86" w:rsidRPr="00ED2C79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59DBB133" w14:textId="236747F3" w:rsidR="002B72AC" w:rsidRPr="00ED2C7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2C79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ED2C7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ED2C79">
        <w:rPr>
          <w:rFonts w:ascii="Times New Roman" w:hAnsi="Times New Roman"/>
          <w:sz w:val="24"/>
          <w:szCs w:val="24"/>
        </w:rPr>
        <w:t xml:space="preserve"> </w:t>
      </w:r>
      <w:r w:rsidR="000531B2" w:rsidRPr="000531B2">
        <w:rPr>
          <w:rFonts w:ascii="Times New Roman" w:hAnsi="Times New Roman"/>
          <w:bCs/>
          <w:sz w:val="24"/>
          <w:szCs w:val="24"/>
        </w:rPr>
        <w:t xml:space="preserve">ДК 021:2015:38430000-8 Детектори та аналізатори (Спектрофотометр портативний видимого діапазону в комплекті з сухо-повітряним термостатом та </w:t>
      </w:r>
      <w:proofErr w:type="spellStart"/>
      <w:r w:rsidR="000531B2" w:rsidRPr="000531B2">
        <w:rPr>
          <w:rFonts w:ascii="Times New Roman" w:hAnsi="Times New Roman"/>
          <w:bCs/>
          <w:sz w:val="24"/>
          <w:szCs w:val="24"/>
        </w:rPr>
        <w:t>реагентними</w:t>
      </w:r>
      <w:proofErr w:type="spellEnd"/>
      <w:r w:rsidR="000531B2" w:rsidRPr="000531B2">
        <w:rPr>
          <w:rFonts w:ascii="Times New Roman" w:hAnsi="Times New Roman"/>
          <w:bCs/>
          <w:sz w:val="24"/>
          <w:szCs w:val="24"/>
        </w:rPr>
        <w:t xml:space="preserve"> наборами)</w:t>
      </w:r>
      <w:r w:rsidR="00CB0910" w:rsidRPr="00ED2C79">
        <w:rPr>
          <w:rFonts w:ascii="Times New Roman" w:hAnsi="Times New Roman"/>
          <w:bCs/>
          <w:sz w:val="24"/>
          <w:szCs w:val="24"/>
        </w:rPr>
        <w:t>.</w:t>
      </w:r>
    </w:p>
    <w:p w14:paraId="5C29E717" w14:textId="05CD45A6" w:rsidR="002B72AC" w:rsidRPr="00ED2C7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D2C79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ED2C79">
        <w:rPr>
          <w:rFonts w:ascii="Times New Roman" w:hAnsi="Times New Roman"/>
          <w:b/>
          <w:bCs/>
          <w:sz w:val="24"/>
          <w:szCs w:val="24"/>
        </w:rPr>
        <w:t>:</w:t>
      </w:r>
      <w:r w:rsidRPr="00ED2C79">
        <w:rPr>
          <w:rFonts w:ascii="Times New Roman" w:hAnsi="Times New Roman"/>
          <w:sz w:val="24"/>
          <w:szCs w:val="24"/>
        </w:rPr>
        <w:t xml:space="preserve"> </w:t>
      </w:r>
      <w:r w:rsidR="0084332E" w:rsidRPr="00ED2C79">
        <w:rPr>
          <w:rFonts w:ascii="Times New Roman" w:hAnsi="Times New Roman"/>
          <w:sz w:val="24"/>
          <w:szCs w:val="24"/>
        </w:rPr>
        <w:t>Відкриті торги</w:t>
      </w:r>
      <w:r w:rsidR="00615C8E" w:rsidRPr="00ED2C79">
        <w:rPr>
          <w:rFonts w:ascii="Times New Roman" w:hAnsi="Times New Roman"/>
          <w:sz w:val="24"/>
          <w:szCs w:val="24"/>
        </w:rPr>
        <w:t>:</w:t>
      </w:r>
      <w:r w:rsidR="002E2676" w:rsidRPr="00ED2C79">
        <w:rPr>
          <w:rFonts w:ascii="Times New Roman" w:hAnsi="Times New Roman"/>
          <w:sz w:val="24"/>
          <w:szCs w:val="24"/>
        </w:rPr>
        <w:t xml:space="preserve"> </w:t>
      </w:r>
      <w:r w:rsidR="00261210" w:rsidRPr="00261210">
        <w:rPr>
          <w:rFonts w:ascii="Times New Roman" w:hAnsi="Times New Roman"/>
          <w:sz w:val="24"/>
          <w:szCs w:val="24"/>
        </w:rPr>
        <w:t>UA-2023-03-31-007725-a</w:t>
      </w:r>
      <w:r w:rsidR="00226C86" w:rsidRPr="00ED2C79">
        <w:rPr>
          <w:rFonts w:ascii="Times New Roman" w:hAnsi="Times New Roman"/>
          <w:sz w:val="24"/>
          <w:szCs w:val="24"/>
        </w:rPr>
        <w:t>.</w:t>
      </w:r>
    </w:p>
    <w:p w14:paraId="4E9336F8" w14:textId="1329F516" w:rsidR="002B72AC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C79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ED2C79">
        <w:rPr>
          <w:rFonts w:ascii="Times New Roman" w:hAnsi="Times New Roman"/>
          <w:b/>
          <w:bCs/>
          <w:sz w:val="24"/>
          <w:szCs w:val="24"/>
        </w:rPr>
        <w:t>:</w:t>
      </w:r>
      <w:r w:rsidRPr="00ED2C79">
        <w:rPr>
          <w:rFonts w:ascii="Times New Roman" w:hAnsi="Times New Roman"/>
          <w:sz w:val="24"/>
          <w:szCs w:val="24"/>
        </w:rPr>
        <w:t xml:space="preserve"> </w:t>
      </w:r>
      <w:r w:rsidR="00E1590B" w:rsidRPr="00634706">
        <w:rPr>
          <w:rFonts w:ascii="Times New Roman" w:eastAsia="Times New Roman" w:hAnsi="Times New Roman"/>
          <w:bCs/>
          <w:sz w:val="24"/>
          <w:szCs w:val="24"/>
          <w:lang w:eastAsia="uk-UA"/>
        </w:rPr>
        <w:t>1 915 000,00</w:t>
      </w:r>
      <w:r w:rsidR="00E1590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Pr="00ED2C79">
        <w:rPr>
          <w:rFonts w:ascii="Times New Roman" w:hAnsi="Times New Roman"/>
          <w:sz w:val="24"/>
          <w:szCs w:val="24"/>
        </w:rPr>
        <w:t>грн</w:t>
      </w:r>
      <w:r w:rsidR="002C7992" w:rsidRPr="00ED2C79">
        <w:rPr>
          <w:rFonts w:ascii="Times New Roman" w:hAnsi="Times New Roman"/>
          <w:sz w:val="24"/>
          <w:szCs w:val="24"/>
        </w:rPr>
        <w:t xml:space="preserve"> </w:t>
      </w:r>
      <w:r w:rsidR="00E1590B">
        <w:rPr>
          <w:rFonts w:ascii="Times New Roman" w:hAnsi="Times New Roman"/>
          <w:sz w:val="24"/>
          <w:szCs w:val="24"/>
        </w:rPr>
        <w:t>бе</w:t>
      </w:r>
      <w:r w:rsidR="002C7992" w:rsidRPr="00ED2C79">
        <w:rPr>
          <w:rFonts w:ascii="Times New Roman" w:hAnsi="Times New Roman"/>
          <w:sz w:val="24"/>
          <w:szCs w:val="24"/>
        </w:rPr>
        <w:t>з ПДВ</w:t>
      </w:r>
      <w:r w:rsidRPr="00ED2C79">
        <w:rPr>
          <w:rFonts w:ascii="Times New Roman" w:hAnsi="Times New Roman"/>
          <w:sz w:val="24"/>
          <w:szCs w:val="24"/>
        </w:rPr>
        <w:t xml:space="preserve">. </w:t>
      </w:r>
      <w:r w:rsidRPr="00ED2C79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ED2C79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ED2C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C79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ED2C79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ED2C79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0096056B" w14:textId="165A924C" w:rsidR="00A56226" w:rsidRPr="00ED2C79" w:rsidRDefault="00A56226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30AB">
        <w:rPr>
          <w:rFonts w:ascii="Times New Roman" w:hAnsi="Times New Roman" w:cs="Times New Roman"/>
          <w:sz w:val="24"/>
          <w:szCs w:val="24"/>
        </w:rPr>
        <w:t xml:space="preserve">Розрахунок очікуваної вартості предмета закупівлі та розміру бюджетного призначення обрахований відповідно до </w:t>
      </w:r>
      <w:proofErr w:type="spellStart"/>
      <w:r w:rsidRPr="00AE30AB">
        <w:rPr>
          <w:rFonts w:ascii="Times New Roman" w:hAnsi="Times New Roman" w:cs="Times New Roman"/>
          <w:sz w:val="24"/>
          <w:szCs w:val="24"/>
        </w:rPr>
        <w:t>середньоринкового</w:t>
      </w:r>
      <w:proofErr w:type="spellEnd"/>
      <w:r w:rsidRPr="00AE30AB">
        <w:rPr>
          <w:rFonts w:ascii="Times New Roman" w:hAnsi="Times New Roman" w:cs="Times New Roman"/>
          <w:sz w:val="24"/>
          <w:szCs w:val="24"/>
        </w:rPr>
        <w:t xml:space="preserve"> рівня цін на даний вид товару, з метою економ</w:t>
      </w:r>
      <w:r>
        <w:rPr>
          <w:rFonts w:ascii="Times New Roman" w:hAnsi="Times New Roman" w:cs="Times New Roman"/>
          <w:sz w:val="24"/>
          <w:szCs w:val="24"/>
        </w:rPr>
        <w:t xml:space="preserve">ії </w:t>
      </w:r>
      <w:r w:rsidRPr="00AE30AB">
        <w:rPr>
          <w:rFonts w:ascii="Times New Roman" w:hAnsi="Times New Roman" w:cs="Times New Roman"/>
          <w:sz w:val="24"/>
          <w:szCs w:val="24"/>
        </w:rPr>
        <w:t>бюджетн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E30AB">
        <w:rPr>
          <w:rFonts w:ascii="Times New Roman" w:hAnsi="Times New Roman" w:cs="Times New Roman"/>
          <w:sz w:val="24"/>
          <w:szCs w:val="24"/>
        </w:rPr>
        <w:t xml:space="preserve"> кошт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AE30AB">
        <w:rPr>
          <w:rFonts w:ascii="Times New Roman" w:hAnsi="Times New Roman" w:cs="Times New Roman"/>
          <w:sz w:val="24"/>
          <w:szCs w:val="24"/>
        </w:rPr>
        <w:t xml:space="preserve"> та дотримуватись принципів здійснення </w:t>
      </w:r>
      <w:proofErr w:type="spellStart"/>
      <w:r w:rsidRPr="00AE30AB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E30AB">
        <w:rPr>
          <w:rFonts w:ascii="Times New Roman" w:hAnsi="Times New Roman" w:cs="Times New Roman"/>
          <w:sz w:val="24"/>
          <w:szCs w:val="24"/>
        </w:rPr>
        <w:t xml:space="preserve"> Замовник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E30AB">
        <w:rPr>
          <w:rFonts w:ascii="Times New Roman" w:hAnsi="Times New Roman" w:cs="Times New Roman"/>
          <w:sz w:val="24"/>
          <w:szCs w:val="24"/>
        </w:rPr>
        <w:t xml:space="preserve"> здійсн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AE30AB">
        <w:rPr>
          <w:rFonts w:ascii="Times New Roman" w:hAnsi="Times New Roman" w:cs="Times New Roman"/>
          <w:sz w:val="24"/>
          <w:szCs w:val="24"/>
        </w:rPr>
        <w:t xml:space="preserve"> пошук загальнодоступної інформації, яка знаходиться в мережі Інтернет у відкритому доступі на сайтах виробників або постачальників, в електронних каталогах, в електронній системі </w:t>
      </w:r>
      <w:proofErr w:type="spellStart"/>
      <w:r w:rsidRPr="00AE30AB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запитом ціни пропозицій в учасників ринку</w:t>
      </w:r>
    </w:p>
    <w:p w14:paraId="00B0AB3A" w14:textId="32F3A8B0" w:rsidR="002B72AC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ED2C7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ED2C79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34706" w:rsidRPr="00634706">
        <w:rPr>
          <w:rFonts w:ascii="Times New Roman" w:eastAsia="Times New Roman" w:hAnsi="Times New Roman"/>
          <w:bCs/>
          <w:sz w:val="24"/>
          <w:szCs w:val="24"/>
          <w:lang w:eastAsia="uk-UA"/>
        </w:rPr>
        <w:t>1 915 000,00</w:t>
      </w:r>
      <w:r w:rsidR="00366514" w:rsidRPr="00ED2C79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грн</w:t>
      </w:r>
      <w:r w:rsidR="002C7992" w:rsidRPr="00ED2C79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634706">
        <w:rPr>
          <w:rFonts w:ascii="Times New Roman" w:eastAsia="Times New Roman" w:hAnsi="Times New Roman"/>
          <w:bCs/>
          <w:sz w:val="24"/>
          <w:szCs w:val="24"/>
          <w:lang w:eastAsia="uk-UA"/>
        </w:rPr>
        <w:t>бе</w:t>
      </w:r>
      <w:r w:rsidR="002C7992" w:rsidRPr="00ED2C79">
        <w:rPr>
          <w:rFonts w:ascii="Times New Roman" w:eastAsia="Times New Roman" w:hAnsi="Times New Roman"/>
          <w:bCs/>
          <w:sz w:val="24"/>
          <w:szCs w:val="24"/>
          <w:lang w:eastAsia="uk-UA"/>
        </w:rPr>
        <w:t>з ПДВ.</w:t>
      </w:r>
    </w:p>
    <w:p w14:paraId="0CF4BDF6" w14:textId="77777777" w:rsidR="00AA287F" w:rsidRPr="00AA287F" w:rsidRDefault="00AA287F" w:rsidP="00AA28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AA28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«Надання підтримки Центру громадського здоров’я МОЗ України для зміцнення та розбудови </w:t>
      </w:r>
      <w:r w:rsidRPr="00AA28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lastRenderedPageBreak/>
        <w:t>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3ECF396C" w14:textId="3ED91089" w:rsidR="00AA287F" w:rsidRDefault="00AA287F" w:rsidP="00AA287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AA28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- кошти міжнародної технічної допомоги, виділені за </w:t>
      </w:r>
      <w:proofErr w:type="spellStart"/>
      <w:r w:rsidRPr="00AA28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проєктом</w:t>
      </w:r>
      <w:proofErr w:type="spellEnd"/>
      <w:r w:rsidRPr="00AA287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 (ITF).</w:t>
      </w:r>
    </w:p>
    <w:p w14:paraId="197E27C8" w14:textId="77777777" w:rsidR="00AA287F" w:rsidRPr="00ED2C79" w:rsidRDefault="00AA287F" w:rsidP="00590320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</w:p>
    <w:p w14:paraId="7EEF8683" w14:textId="7BA5CBD5" w:rsidR="00226C86" w:rsidRPr="00ED2C79" w:rsidRDefault="002B72AC" w:rsidP="002B72A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2C79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7294013C" w:rsidR="00590320" w:rsidRPr="00ED2C79" w:rsidRDefault="00590320" w:rsidP="002B72A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2C79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615C8E" w:rsidRPr="00ED2C79">
        <w:rPr>
          <w:rFonts w:ascii="Times New Roman" w:hAnsi="Times New Roman"/>
          <w:b/>
          <w:sz w:val="24"/>
          <w:szCs w:val="24"/>
        </w:rPr>
        <w:t>2</w:t>
      </w:r>
      <w:r w:rsidRPr="00ED2C79">
        <w:rPr>
          <w:rFonts w:ascii="Times New Roman" w:hAnsi="Times New Roman"/>
          <w:b/>
          <w:sz w:val="24"/>
          <w:szCs w:val="24"/>
        </w:rPr>
        <w:t xml:space="preserve"> штук</w:t>
      </w:r>
      <w:r w:rsidR="00615C8E" w:rsidRPr="00ED2C79">
        <w:rPr>
          <w:rFonts w:ascii="Times New Roman" w:hAnsi="Times New Roman"/>
          <w:b/>
          <w:sz w:val="24"/>
          <w:szCs w:val="24"/>
        </w:rPr>
        <w:t>и</w:t>
      </w:r>
      <w:r w:rsidRPr="00ED2C79">
        <w:rPr>
          <w:rFonts w:ascii="Times New Roman" w:hAnsi="Times New Roman"/>
          <w:b/>
          <w:sz w:val="24"/>
          <w:szCs w:val="24"/>
        </w:rPr>
        <w:t>.</w:t>
      </w:r>
    </w:p>
    <w:p w14:paraId="14A58F76" w14:textId="3973798F" w:rsidR="002B72AC" w:rsidRPr="00ED2C79" w:rsidRDefault="002B72AC" w:rsidP="002B72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2C79">
        <w:rPr>
          <w:rFonts w:ascii="Times New Roman" w:hAnsi="Times New Roman"/>
          <w:sz w:val="24"/>
          <w:szCs w:val="24"/>
        </w:rPr>
        <w:t xml:space="preserve">Термін постачання — </w:t>
      </w:r>
      <w:r w:rsidR="00634706">
        <w:rPr>
          <w:rFonts w:ascii="Times New Roman" w:hAnsi="Times New Roman"/>
          <w:sz w:val="24"/>
          <w:szCs w:val="24"/>
        </w:rPr>
        <w:t xml:space="preserve">до </w:t>
      </w:r>
      <w:r w:rsidR="00634706" w:rsidRPr="00634706">
        <w:rPr>
          <w:rFonts w:ascii="Times New Roman" w:hAnsi="Times New Roman"/>
          <w:sz w:val="24"/>
          <w:szCs w:val="24"/>
        </w:rPr>
        <w:t>31 серпня 2023</w:t>
      </w:r>
      <w:r w:rsidR="00634706">
        <w:rPr>
          <w:rFonts w:ascii="Times New Roman" w:hAnsi="Times New Roman"/>
          <w:sz w:val="24"/>
          <w:szCs w:val="24"/>
        </w:rPr>
        <w:t xml:space="preserve"> включно</w:t>
      </w:r>
      <w:r w:rsidR="00366514" w:rsidRPr="00ED2C79">
        <w:rPr>
          <w:rFonts w:ascii="Times New Roman" w:hAnsi="Times New Roman"/>
          <w:sz w:val="24"/>
          <w:szCs w:val="24"/>
        </w:rPr>
        <w:t>.</w:t>
      </w:r>
      <w:r w:rsidRPr="00ED2C79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ED2C79" w:rsidRDefault="002B72AC" w:rsidP="002B72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2C79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ED2C79">
        <w:rPr>
          <w:rFonts w:ascii="Times New Roman" w:hAnsi="Times New Roman"/>
          <w:sz w:val="24"/>
          <w:szCs w:val="24"/>
        </w:rPr>
        <w:t>товару</w:t>
      </w:r>
      <w:r w:rsidRPr="00ED2C79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ED2C79">
        <w:rPr>
          <w:rFonts w:ascii="Times New Roman" w:hAnsi="Times New Roman"/>
          <w:sz w:val="24"/>
          <w:szCs w:val="24"/>
        </w:rPr>
        <w:t>установи</w:t>
      </w:r>
      <w:r w:rsidRPr="00ED2C79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ED2C79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ED2C79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ED2C79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3A0046BE" w:rsidR="002B72AC" w:rsidRDefault="002B72AC" w:rsidP="002B72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2C79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37A6C5E2" w14:textId="35EC1FD0" w:rsidR="001B4388" w:rsidRPr="001B4388" w:rsidRDefault="001B4388" w:rsidP="001B438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4388">
        <w:rPr>
          <w:rFonts w:ascii="Times New Roman" w:hAnsi="Times New Roman"/>
          <w:b/>
          <w:bCs/>
          <w:sz w:val="24"/>
          <w:szCs w:val="24"/>
        </w:rPr>
        <w:t>Технічні</w:t>
      </w:r>
      <w:r w:rsidR="00365F44">
        <w:rPr>
          <w:rFonts w:ascii="Times New Roman" w:hAnsi="Times New Roman"/>
          <w:b/>
          <w:bCs/>
          <w:sz w:val="24"/>
          <w:szCs w:val="24"/>
        </w:rPr>
        <w:t xml:space="preserve"> та якісні</w:t>
      </w:r>
      <w:r w:rsidRPr="001B4388">
        <w:rPr>
          <w:rFonts w:ascii="Times New Roman" w:hAnsi="Times New Roman"/>
          <w:b/>
          <w:bCs/>
          <w:sz w:val="24"/>
          <w:szCs w:val="24"/>
        </w:rPr>
        <w:t xml:space="preserve">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5308"/>
        <w:gridCol w:w="3821"/>
      </w:tblGrid>
      <w:tr w:rsidR="005D656F" w:rsidRPr="005D656F" w14:paraId="69E4D0D2" w14:textId="77777777" w:rsidTr="005D656F">
        <w:trPr>
          <w:trHeight w:val="48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0E28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14:paraId="086DC996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п\п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23AE" w14:textId="77777777" w:rsidR="005D656F" w:rsidRPr="005D656F" w:rsidRDefault="005D656F" w:rsidP="005D6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  <w:r w:rsidRPr="005D6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Опис товару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C026" w14:textId="77777777" w:rsidR="005D656F" w:rsidRPr="005D656F" w:rsidRDefault="005D656F" w:rsidP="005D656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</w:pPr>
            <w:r w:rsidRPr="005D656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  <w:t>Значення показника</w:t>
            </w:r>
            <w:r w:rsidRPr="005D6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5D65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(технічні, якісні характеристики)</w:t>
            </w:r>
          </w:p>
        </w:tc>
      </w:tr>
      <w:tr w:rsidR="005D656F" w:rsidRPr="005D656F" w14:paraId="7A8322AE" w14:textId="77777777" w:rsidTr="005D656F">
        <w:trPr>
          <w:trHeight w:val="34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7D4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53D5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товару: Спектрофотометр портативний видимого діапазону в комплекті з сухо-повітряним термостатом та </w:t>
            </w:r>
            <w:proofErr w:type="spellStart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реагентними</w:t>
            </w:r>
            <w:proofErr w:type="spellEnd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наборами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579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D656F" w:rsidRPr="005D656F" w14:paraId="7EFE8F0B" w14:textId="77777777" w:rsidTr="005D656F">
        <w:trPr>
          <w:trHeight w:val="73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D66673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95C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Технічні характеристики товару:</w:t>
            </w:r>
          </w:p>
          <w:p w14:paraId="5C7EFF02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D656F">
              <w:rPr>
                <w:rFonts w:ascii="Times New Roman" w:eastAsia="SimSun" w:hAnsi="Times New Roman" w:cs="Times New Roman"/>
                <w:lang w:eastAsia="ru-RU"/>
              </w:rPr>
              <w:t>С</w:t>
            </w: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пектральний діапазон довжин хвиль, не вужче ніж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DF99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8D3AB54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 340 до 800 нм</w:t>
            </w:r>
          </w:p>
        </w:tc>
      </w:tr>
      <w:tr w:rsidR="005D656F" w:rsidRPr="005D656F" w14:paraId="45AA1961" w14:textId="77777777" w:rsidTr="005D656F">
        <w:trPr>
          <w:trHeight w:val="485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28B91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2CF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Похибка встановлення довжини хвилі, не більше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14B0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±2 нм (у діапазоні 340 – 800 нм)</w:t>
            </w:r>
          </w:p>
        </w:tc>
      </w:tr>
      <w:tr w:rsidR="005D656F" w:rsidRPr="005D656F" w14:paraId="76A6D1B8" w14:textId="77777777" w:rsidTr="005D656F">
        <w:trPr>
          <w:trHeight w:val="228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C839E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1505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Відтворюваність установлення довжини хвилі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BBD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±0,1 нм</w:t>
            </w:r>
          </w:p>
        </w:tc>
      </w:tr>
      <w:tr w:rsidR="005D656F" w:rsidRPr="005D656F" w14:paraId="118D51E8" w14:textId="77777777" w:rsidTr="005D656F">
        <w:trPr>
          <w:trHeight w:val="215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87900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EA43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Ширина спектральної щілини, не більше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F084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нм</w:t>
            </w:r>
          </w:p>
        </w:tc>
      </w:tr>
      <w:tr w:rsidR="005D656F" w:rsidRPr="005D656F" w14:paraId="2E3587A9" w14:textId="77777777" w:rsidTr="005D656F">
        <w:trPr>
          <w:trHeight w:val="485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BE67A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52D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Вибір довжини хвилі: </w:t>
            </w:r>
          </w:p>
          <w:p w14:paraId="479FE6C1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7EC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Автоматичний, на підставі вибраної методики виконання вимірювань</w:t>
            </w:r>
          </w:p>
        </w:tc>
      </w:tr>
      <w:tr w:rsidR="005D656F" w:rsidRPr="005D656F" w14:paraId="7C522958" w14:textId="77777777" w:rsidTr="005D656F">
        <w:trPr>
          <w:trHeight w:val="742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21A1C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9B76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Запрограмовані методи виконання вимірювань за допомогою готових до використання </w:t>
            </w:r>
            <w:proofErr w:type="spellStart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реагентних</w:t>
            </w:r>
            <w:proofErr w:type="spellEnd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тест-наборів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7F1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Наявність</w:t>
            </w:r>
          </w:p>
        </w:tc>
      </w:tr>
      <w:tr w:rsidR="005D656F" w:rsidRPr="005D656F" w14:paraId="5F6ABCBF" w14:textId="77777777" w:rsidTr="005D656F">
        <w:trPr>
          <w:trHeight w:val="157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90429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8804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Кількість програм вимірювання, не менше.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C350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220</w:t>
            </w:r>
          </w:p>
        </w:tc>
      </w:tr>
      <w:tr w:rsidR="005D656F" w:rsidRPr="005D656F" w14:paraId="472D282A" w14:textId="77777777" w:rsidTr="005D656F">
        <w:trPr>
          <w:trHeight w:val="500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7DB2F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DDA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Товар повинен мати інтерфейс керування українською або російською мовою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6B61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Наявність</w:t>
            </w:r>
          </w:p>
        </w:tc>
      </w:tr>
      <w:tr w:rsidR="005D656F" w:rsidRPr="005D656F" w14:paraId="3A23194B" w14:textId="77777777" w:rsidTr="005D656F">
        <w:trPr>
          <w:trHeight w:val="485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B74A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82A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Товар повинен бути в </w:t>
            </w:r>
            <w:proofErr w:type="spellStart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пиловологозахистному</w:t>
            </w:r>
            <w:proofErr w:type="spellEnd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виконані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BA3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Відповідність </w:t>
            </w:r>
          </w:p>
        </w:tc>
      </w:tr>
      <w:tr w:rsidR="005D656F" w:rsidRPr="005D656F" w14:paraId="09D9BC6F" w14:textId="77777777" w:rsidTr="005D656F">
        <w:trPr>
          <w:trHeight w:val="214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E1C6C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54B2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Клаc</w:t>
            </w:r>
            <w:proofErr w:type="spellEnd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захисту, не гірше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F513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IP67</w:t>
            </w:r>
          </w:p>
        </w:tc>
      </w:tr>
      <w:tr w:rsidR="005D656F" w:rsidRPr="005D656F" w14:paraId="727FE53D" w14:textId="77777777" w:rsidTr="005D656F">
        <w:trPr>
          <w:trHeight w:val="200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E9E22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2D7C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Пам'ять результатів вимірювань: не менше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AB30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ніж 500</w:t>
            </w:r>
          </w:p>
        </w:tc>
      </w:tr>
      <w:tr w:rsidR="005D656F" w:rsidRPr="005D656F" w14:paraId="3FC526F4" w14:textId="77777777" w:rsidTr="005D656F">
        <w:trPr>
          <w:trHeight w:val="228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A4B66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53CE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Вага: не більше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F82E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1,8 кг</w:t>
            </w:r>
          </w:p>
        </w:tc>
      </w:tr>
      <w:tr w:rsidR="005D656F" w:rsidRPr="005D656F" w14:paraId="37B816B2" w14:textId="77777777" w:rsidTr="005D656F">
        <w:trPr>
          <w:trHeight w:val="613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FCA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DBC9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Розміри: не більше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8BA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100х180х270 мм</w:t>
            </w:r>
          </w:p>
        </w:tc>
      </w:tr>
      <w:tr w:rsidR="005D656F" w:rsidRPr="005D656F" w14:paraId="44EF99A0" w14:textId="77777777" w:rsidTr="005D656F">
        <w:trPr>
          <w:trHeight w:val="643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B79F1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CCC5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Технічні характеристики термостату</w:t>
            </w: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14:paraId="02698094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Програми нагріву, не менше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D88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40°С, 100°С, 148°С, вільний вибір в діапазоні 37-150°С, 1-480 хв</w:t>
            </w:r>
          </w:p>
        </w:tc>
      </w:tr>
      <w:tr w:rsidR="005D656F" w:rsidRPr="005D656F" w14:paraId="55554D28" w14:textId="77777777" w:rsidTr="005D656F">
        <w:trPr>
          <w:trHeight w:val="229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56B5D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944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Швидкість нагріву, не гірше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E4F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від 20°С до 148°С за 10хв</w:t>
            </w:r>
          </w:p>
        </w:tc>
      </w:tr>
      <w:tr w:rsidR="005D656F" w:rsidRPr="005D656F" w14:paraId="68CBCC7E" w14:textId="77777777" w:rsidTr="005D656F">
        <w:trPr>
          <w:trHeight w:val="214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DE2AE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FD50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Стабільність температури, не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036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більше ±1°С</w:t>
            </w:r>
          </w:p>
        </w:tc>
      </w:tr>
      <w:tr w:rsidR="005D656F" w:rsidRPr="005D656F" w14:paraId="4656FC67" w14:textId="77777777" w:rsidTr="005D656F">
        <w:trPr>
          <w:trHeight w:val="200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ED7D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DF2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Програми користувача, не менше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885E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 режимів температури/часу</w:t>
            </w:r>
          </w:p>
        </w:tc>
      </w:tr>
      <w:tr w:rsidR="005D656F" w:rsidRPr="005D656F" w14:paraId="10314060" w14:textId="77777777" w:rsidTr="005D656F">
        <w:trPr>
          <w:trHeight w:val="243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DCE84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24A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Дисплей, не гірше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D89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РК, 2х16 символів</w:t>
            </w:r>
          </w:p>
        </w:tc>
      </w:tr>
      <w:tr w:rsidR="005D656F" w:rsidRPr="005D656F" w14:paraId="6F5EC31D" w14:textId="77777777" w:rsidTr="005D656F">
        <w:trPr>
          <w:trHeight w:val="229"/>
        </w:trPr>
        <w:tc>
          <w:tcPr>
            <w:tcW w:w="2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F5587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EDCA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Вага, не більше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3EBD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2,8 кг</w:t>
            </w:r>
          </w:p>
        </w:tc>
      </w:tr>
      <w:tr w:rsidR="005D656F" w:rsidRPr="005D656F" w14:paraId="1FC97599" w14:textId="77777777" w:rsidTr="005D656F">
        <w:trPr>
          <w:trHeight w:val="470"/>
        </w:trPr>
        <w:tc>
          <w:tcPr>
            <w:tcW w:w="2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E5B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569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Розміри, не більше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A81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145х250х310 мм</w:t>
            </w:r>
          </w:p>
        </w:tc>
      </w:tr>
      <w:tr w:rsidR="005D656F" w:rsidRPr="005D656F" w14:paraId="27487377" w14:textId="77777777" w:rsidTr="005D656F">
        <w:trPr>
          <w:trHeight w:val="19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80E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0C7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Товар має постачатися із копією декларації відповідності відповідно до Технічного регламенту законодавчо регульованих засобів вимірювальної техніки, затвердженого постановою КМУ №94 від 13 січня 2016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4E7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Наявність</w:t>
            </w:r>
          </w:p>
        </w:tc>
      </w:tr>
      <w:tr w:rsidR="005D656F" w:rsidRPr="005D656F" w14:paraId="3553D22D" w14:textId="77777777" w:rsidTr="005D656F">
        <w:trPr>
          <w:trHeight w:val="91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969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812" w14:textId="77777777" w:rsidR="005D656F" w:rsidRPr="005D656F" w:rsidRDefault="005D656F" w:rsidP="005D656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Комплект поставки товару</w:t>
            </w: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14:paraId="1B60A37D" w14:textId="77777777" w:rsidR="005D656F" w:rsidRPr="005D656F" w:rsidRDefault="005D656F" w:rsidP="005D656F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Спектрофотометр – 1 </w:t>
            </w:r>
            <w:proofErr w:type="spellStart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</w:t>
            </w:r>
            <w:proofErr w:type="spellEnd"/>
          </w:p>
          <w:p w14:paraId="656CA7AF" w14:textId="77777777" w:rsidR="005D656F" w:rsidRPr="005D656F" w:rsidRDefault="005D656F" w:rsidP="005D656F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Термостат </w:t>
            </w:r>
            <w:proofErr w:type="spellStart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сухоповітряний</w:t>
            </w:r>
            <w:proofErr w:type="spellEnd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1шт</w:t>
            </w:r>
          </w:p>
          <w:p w14:paraId="1469C409" w14:textId="77777777" w:rsidR="005D656F" w:rsidRPr="005D656F" w:rsidRDefault="005D656F" w:rsidP="005D656F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Кювета скляна квадратна 1 дюйм – 16 </w:t>
            </w:r>
            <w:proofErr w:type="spellStart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</w:t>
            </w:r>
            <w:proofErr w:type="spellEnd"/>
          </w:p>
          <w:p w14:paraId="3892507B" w14:textId="77777777" w:rsidR="005D656F" w:rsidRPr="005D656F" w:rsidRDefault="005D656F" w:rsidP="005D656F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Пробка </w:t>
            </w:r>
            <w:proofErr w:type="spellStart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неопренова</w:t>
            </w:r>
            <w:proofErr w:type="spellEnd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16 </w:t>
            </w:r>
            <w:proofErr w:type="spellStart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</w:t>
            </w:r>
            <w:proofErr w:type="spellEnd"/>
          </w:p>
          <w:p w14:paraId="602655E6" w14:textId="77777777" w:rsidR="005D656F" w:rsidRPr="005D656F" w:rsidRDefault="005D656F" w:rsidP="005D656F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Тест-набори для визначення показників води – на 200 аналізів кожного:</w:t>
            </w:r>
          </w:p>
          <w:tbl>
            <w:tblPr>
              <w:tblStyle w:val="4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26"/>
              <w:gridCol w:w="1751"/>
            </w:tblGrid>
            <w:tr w:rsidR="005D656F" w:rsidRPr="005D656F" w14:paraId="7718AF1E" w14:textId="77777777" w:rsidTr="00C06BB8">
              <w:tc>
                <w:tcPr>
                  <w:tcW w:w="1894" w:type="dxa"/>
                </w:tcPr>
                <w:p w14:paraId="39BA42E1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Сульфати </w:t>
                  </w:r>
                </w:p>
              </w:tc>
              <w:tc>
                <w:tcPr>
                  <w:tcW w:w="1916" w:type="dxa"/>
                </w:tcPr>
                <w:p w14:paraId="39A481EA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2...70 мг/л</w:t>
                  </w:r>
                </w:p>
              </w:tc>
            </w:tr>
            <w:tr w:rsidR="005D656F" w:rsidRPr="005D656F" w14:paraId="294647ED" w14:textId="77777777" w:rsidTr="00C06BB8">
              <w:tc>
                <w:tcPr>
                  <w:tcW w:w="1894" w:type="dxa"/>
                </w:tcPr>
                <w:p w14:paraId="09030C2F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Фосфати  </w:t>
                  </w:r>
                </w:p>
              </w:tc>
              <w:tc>
                <w:tcPr>
                  <w:tcW w:w="1916" w:type="dxa"/>
                </w:tcPr>
                <w:p w14:paraId="54F72B55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0,02...2,5 мг/л</w:t>
                  </w:r>
                </w:p>
              </w:tc>
            </w:tr>
            <w:tr w:rsidR="005D656F" w:rsidRPr="005D656F" w14:paraId="069C2978" w14:textId="77777777" w:rsidTr="00C06BB8">
              <w:tc>
                <w:tcPr>
                  <w:tcW w:w="1894" w:type="dxa"/>
                </w:tcPr>
                <w:p w14:paraId="08422618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Хлор вільний</w:t>
                  </w:r>
                </w:p>
              </w:tc>
              <w:tc>
                <w:tcPr>
                  <w:tcW w:w="1916" w:type="dxa"/>
                </w:tcPr>
                <w:p w14:paraId="6CBC15C5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0,02…2,00 мг/л</w:t>
                  </w:r>
                </w:p>
              </w:tc>
            </w:tr>
            <w:tr w:rsidR="005D656F" w:rsidRPr="005D656F" w14:paraId="0AE496A4" w14:textId="77777777" w:rsidTr="00C06BB8">
              <w:tc>
                <w:tcPr>
                  <w:tcW w:w="1894" w:type="dxa"/>
                </w:tcPr>
                <w:p w14:paraId="2FEFA0A9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ХСК </w:t>
                  </w:r>
                </w:p>
              </w:tc>
              <w:tc>
                <w:tcPr>
                  <w:tcW w:w="1916" w:type="dxa"/>
                </w:tcPr>
                <w:p w14:paraId="16F3327D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15…150 мг/л</w:t>
                  </w:r>
                </w:p>
              </w:tc>
            </w:tr>
            <w:tr w:rsidR="005D656F" w:rsidRPr="005D656F" w14:paraId="683D2A06" w14:textId="77777777" w:rsidTr="00C06BB8">
              <w:tc>
                <w:tcPr>
                  <w:tcW w:w="1894" w:type="dxa"/>
                </w:tcPr>
                <w:p w14:paraId="7E73D203" w14:textId="77777777" w:rsidR="005D656F" w:rsidRPr="005D656F" w:rsidRDefault="005D656F" w:rsidP="005D656F">
                  <w:pPr>
                    <w:rPr>
                      <w:sz w:val="24"/>
                      <w:szCs w:val="24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ХСК </w:t>
                  </w:r>
                </w:p>
              </w:tc>
              <w:tc>
                <w:tcPr>
                  <w:tcW w:w="1916" w:type="dxa"/>
                </w:tcPr>
                <w:p w14:paraId="3C4CC563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1…1000 мг/л</w:t>
                  </w:r>
                </w:p>
              </w:tc>
            </w:tr>
            <w:tr w:rsidR="005D656F" w:rsidRPr="005D656F" w14:paraId="612B31FB" w14:textId="77777777" w:rsidTr="00C06BB8">
              <w:tc>
                <w:tcPr>
                  <w:tcW w:w="1894" w:type="dxa"/>
                </w:tcPr>
                <w:p w14:paraId="0D8217D4" w14:textId="77777777" w:rsidR="005D656F" w:rsidRPr="005D656F" w:rsidRDefault="005D656F" w:rsidP="005D656F">
                  <w:pPr>
                    <w:rPr>
                      <w:sz w:val="24"/>
                      <w:szCs w:val="24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ХСК </w:t>
                  </w:r>
                </w:p>
              </w:tc>
              <w:tc>
                <w:tcPr>
                  <w:tcW w:w="1916" w:type="dxa"/>
                </w:tcPr>
                <w:p w14:paraId="52D8C5DB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100…2000 мг/л</w:t>
                  </w:r>
                </w:p>
              </w:tc>
            </w:tr>
            <w:tr w:rsidR="005D656F" w:rsidRPr="005D656F" w14:paraId="48D78D68" w14:textId="77777777" w:rsidTr="00C06BB8">
              <w:tc>
                <w:tcPr>
                  <w:tcW w:w="1894" w:type="dxa"/>
                </w:tcPr>
                <w:p w14:paraId="512958B4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Мідь  </w:t>
                  </w:r>
                </w:p>
              </w:tc>
              <w:tc>
                <w:tcPr>
                  <w:tcW w:w="1916" w:type="dxa"/>
                </w:tcPr>
                <w:p w14:paraId="3A3CC829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0.04...5.00 мг/л</w:t>
                  </w:r>
                </w:p>
              </w:tc>
            </w:tr>
            <w:tr w:rsidR="005D656F" w:rsidRPr="005D656F" w14:paraId="1ED878BD" w14:textId="77777777" w:rsidTr="00C06BB8">
              <w:tc>
                <w:tcPr>
                  <w:tcW w:w="1894" w:type="dxa"/>
                </w:tcPr>
                <w:p w14:paraId="1058B7AF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Залізо  загальне </w:t>
                  </w:r>
                </w:p>
              </w:tc>
              <w:tc>
                <w:tcPr>
                  <w:tcW w:w="1916" w:type="dxa"/>
                </w:tcPr>
                <w:p w14:paraId="368B7371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0,02...3,00 мг/л</w:t>
                  </w:r>
                </w:p>
              </w:tc>
            </w:tr>
            <w:tr w:rsidR="005D656F" w:rsidRPr="005D656F" w14:paraId="6EA15C65" w14:textId="77777777" w:rsidTr="00C06BB8">
              <w:tc>
                <w:tcPr>
                  <w:tcW w:w="1894" w:type="dxa"/>
                </w:tcPr>
                <w:p w14:paraId="719CB775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Залізо  (ІI), </w:t>
                  </w:r>
                </w:p>
              </w:tc>
              <w:tc>
                <w:tcPr>
                  <w:tcW w:w="1916" w:type="dxa"/>
                </w:tcPr>
                <w:p w14:paraId="24370AAD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0,02-3,00</w:t>
                  </w:r>
                </w:p>
              </w:tc>
            </w:tr>
            <w:tr w:rsidR="005D656F" w:rsidRPr="005D656F" w14:paraId="05502587" w14:textId="77777777" w:rsidTr="00C06BB8">
              <w:tc>
                <w:tcPr>
                  <w:tcW w:w="1894" w:type="dxa"/>
                </w:tcPr>
                <w:p w14:paraId="3F628ED2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Марганець  </w:t>
                  </w:r>
                </w:p>
              </w:tc>
              <w:tc>
                <w:tcPr>
                  <w:tcW w:w="1916" w:type="dxa"/>
                </w:tcPr>
                <w:p w14:paraId="430DD924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0,2-20 мг/л</w:t>
                  </w:r>
                </w:p>
              </w:tc>
            </w:tr>
            <w:tr w:rsidR="005D656F" w:rsidRPr="005D656F" w14:paraId="760BD6D6" w14:textId="77777777" w:rsidTr="00C06BB8">
              <w:tc>
                <w:tcPr>
                  <w:tcW w:w="1894" w:type="dxa"/>
                </w:tcPr>
                <w:p w14:paraId="6EBC71A6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Нітратний  азот, </w:t>
                  </w:r>
                </w:p>
              </w:tc>
              <w:tc>
                <w:tcPr>
                  <w:tcW w:w="1916" w:type="dxa"/>
                </w:tcPr>
                <w:p w14:paraId="4E60E3B1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0.1/0.3...10.0/30.0 мг/л</w:t>
                  </w:r>
                </w:p>
              </w:tc>
            </w:tr>
            <w:tr w:rsidR="005D656F" w:rsidRPr="005D656F" w14:paraId="59FD0E3B" w14:textId="77777777" w:rsidTr="00C06BB8">
              <w:tc>
                <w:tcPr>
                  <w:tcW w:w="1894" w:type="dxa"/>
                </w:tcPr>
                <w:p w14:paraId="3F3DD245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proofErr w:type="spellStart"/>
                  <w:r w:rsidRPr="005D656F">
                    <w:rPr>
                      <w:sz w:val="21"/>
                      <w:szCs w:val="21"/>
                    </w:rPr>
                    <w:t>Нітритний</w:t>
                  </w:r>
                  <w:proofErr w:type="spellEnd"/>
                  <w:r w:rsidRPr="005D656F">
                    <w:rPr>
                      <w:sz w:val="21"/>
                      <w:szCs w:val="21"/>
                    </w:rPr>
                    <w:t xml:space="preserve"> азот </w:t>
                  </w:r>
                </w:p>
              </w:tc>
              <w:tc>
                <w:tcPr>
                  <w:tcW w:w="1916" w:type="dxa"/>
                </w:tcPr>
                <w:p w14:paraId="41B864BA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0.002...0.300 мг/л</w:t>
                  </w:r>
                </w:p>
              </w:tc>
            </w:tr>
            <w:tr w:rsidR="005D656F" w:rsidRPr="005D656F" w14:paraId="686AF8E1" w14:textId="77777777" w:rsidTr="00C06BB8">
              <w:tc>
                <w:tcPr>
                  <w:tcW w:w="1894" w:type="dxa"/>
                </w:tcPr>
                <w:p w14:paraId="5C17E564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Амонійний  азот </w:t>
                  </w:r>
                </w:p>
              </w:tc>
              <w:tc>
                <w:tcPr>
                  <w:tcW w:w="1916" w:type="dxa"/>
                </w:tcPr>
                <w:p w14:paraId="1BC8261D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0.01...0.50 мг/л</w:t>
                  </w:r>
                </w:p>
              </w:tc>
            </w:tr>
            <w:tr w:rsidR="005D656F" w:rsidRPr="005D656F" w14:paraId="7DDFE945" w14:textId="77777777" w:rsidTr="00C06BB8">
              <w:tc>
                <w:tcPr>
                  <w:tcW w:w="1894" w:type="dxa"/>
                </w:tcPr>
                <w:p w14:paraId="6ADAC17A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Амонійний  азот </w:t>
                  </w:r>
                </w:p>
              </w:tc>
              <w:tc>
                <w:tcPr>
                  <w:tcW w:w="1916" w:type="dxa"/>
                </w:tcPr>
                <w:p w14:paraId="653D5B2E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0.02...2.500 мг/л</w:t>
                  </w:r>
                </w:p>
              </w:tc>
            </w:tr>
            <w:tr w:rsidR="005D656F" w:rsidRPr="005D656F" w14:paraId="6FA55260" w14:textId="77777777" w:rsidTr="00C06BB8">
              <w:tc>
                <w:tcPr>
                  <w:tcW w:w="1894" w:type="dxa"/>
                </w:tcPr>
                <w:p w14:paraId="1204FC0C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Сульфіди  </w:t>
                  </w:r>
                </w:p>
              </w:tc>
              <w:tc>
                <w:tcPr>
                  <w:tcW w:w="1916" w:type="dxa"/>
                </w:tcPr>
                <w:p w14:paraId="64461520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0,1 - 2 мг/л</w:t>
                  </w:r>
                </w:p>
              </w:tc>
            </w:tr>
          </w:tbl>
          <w:p w14:paraId="34562057" w14:textId="77777777" w:rsidR="005D656F" w:rsidRPr="005D656F" w:rsidRDefault="005D656F" w:rsidP="005D656F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Індикаторні смужки на хлориди, 30-600 мг/л – 200 </w:t>
            </w:r>
            <w:proofErr w:type="spellStart"/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шт</w:t>
            </w:r>
            <w:proofErr w:type="spellEnd"/>
          </w:p>
          <w:p w14:paraId="67237FFF" w14:textId="77777777" w:rsidR="005D656F" w:rsidRPr="005D656F" w:rsidRDefault="005D656F" w:rsidP="005D656F">
            <w:pPr>
              <w:numPr>
                <w:ilvl w:val="0"/>
                <w:numId w:val="3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Стандартні розчини - по 500 мл кожного: </w:t>
            </w:r>
          </w:p>
          <w:tbl>
            <w:tblPr>
              <w:tblStyle w:val="4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623"/>
              <w:gridCol w:w="1401"/>
            </w:tblGrid>
            <w:tr w:rsidR="005D656F" w:rsidRPr="005D656F" w14:paraId="2FCF7380" w14:textId="77777777" w:rsidTr="00C06BB8">
              <w:tc>
                <w:tcPr>
                  <w:tcW w:w="1985" w:type="dxa"/>
                </w:tcPr>
                <w:p w14:paraId="57F24409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ХСК</w:t>
                  </w:r>
                </w:p>
              </w:tc>
              <w:tc>
                <w:tcPr>
                  <w:tcW w:w="1843" w:type="dxa"/>
                </w:tcPr>
                <w:p w14:paraId="0428E46A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300мг/л</w:t>
                  </w:r>
                </w:p>
              </w:tc>
            </w:tr>
            <w:tr w:rsidR="005D656F" w:rsidRPr="005D656F" w14:paraId="1D96F747" w14:textId="77777777" w:rsidTr="00C06BB8">
              <w:tc>
                <w:tcPr>
                  <w:tcW w:w="1985" w:type="dxa"/>
                </w:tcPr>
                <w:p w14:paraId="448EC9CB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Амонійний азот</w:t>
                  </w:r>
                </w:p>
              </w:tc>
              <w:tc>
                <w:tcPr>
                  <w:tcW w:w="1843" w:type="dxa"/>
                </w:tcPr>
                <w:p w14:paraId="34E057D9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50мг/л</w:t>
                  </w:r>
                </w:p>
              </w:tc>
            </w:tr>
            <w:tr w:rsidR="005D656F" w:rsidRPr="005D656F" w14:paraId="4C687578" w14:textId="77777777" w:rsidTr="00C06BB8">
              <w:tc>
                <w:tcPr>
                  <w:tcW w:w="1985" w:type="dxa"/>
                </w:tcPr>
                <w:p w14:paraId="4399114B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Залізо </w:t>
                  </w:r>
                </w:p>
              </w:tc>
              <w:tc>
                <w:tcPr>
                  <w:tcW w:w="1843" w:type="dxa"/>
                </w:tcPr>
                <w:p w14:paraId="6239546B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100 мг/л</w:t>
                  </w:r>
                </w:p>
              </w:tc>
            </w:tr>
            <w:tr w:rsidR="005D656F" w:rsidRPr="005D656F" w14:paraId="1E31251A" w14:textId="77777777" w:rsidTr="00C06BB8">
              <w:tc>
                <w:tcPr>
                  <w:tcW w:w="1985" w:type="dxa"/>
                </w:tcPr>
                <w:p w14:paraId="5E6F6C4F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Фосфати </w:t>
                  </w:r>
                </w:p>
              </w:tc>
              <w:tc>
                <w:tcPr>
                  <w:tcW w:w="1843" w:type="dxa"/>
                </w:tcPr>
                <w:p w14:paraId="739B0C3B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50мг/л</w:t>
                  </w:r>
                </w:p>
              </w:tc>
            </w:tr>
            <w:tr w:rsidR="005D656F" w:rsidRPr="005D656F" w14:paraId="7F453856" w14:textId="77777777" w:rsidTr="00C06BB8">
              <w:tc>
                <w:tcPr>
                  <w:tcW w:w="1985" w:type="dxa"/>
                </w:tcPr>
                <w:p w14:paraId="5E691F0D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 xml:space="preserve">Сульфати </w:t>
                  </w:r>
                </w:p>
              </w:tc>
              <w:tc>
                <w:tcPr>
                  <w:tcW w:w="1843" w:type="dxa"/>
                </w:tcPr>
                <w:p w14:paraId="01D90FF1" w14:textId="77777777" w:rsidR="005D656F" w:rsidRPr="005D656F" w:rsidRDefault="005D656F" w:rsidP="005D656F">
                  <w:pPr>
                    <w:spacing w:line="256" w:lineRule="auto"/>
                    <w:jc w:val="both"/>
                    <w:rPr>
                      <w:sz w:val="21"/>
                      <w:szCs w:val="21"/>
                    </w:rPr>
                  </w:pPr>
                  <w:r w:rsidRPr="005D656F">
                    <w:rPr>
                      <w:sz w:val="21"/>
                      <w:szCs w:val="21"/>
                    </w:rPr>
                    <w:t>1000 мг/л</w:t>
                  </w:r>
                </w:p>
              </w:tc>
            </w:tr>
          </w:tbl>
          <w:p w14:paraId="1D8F2665" w14:textId="77777777" w:rsidR="005D656F" w:rsidRPr="005D656F" w:rsidRDefault="005D656F" w:rsidP="005D656F">
            <w:pPr>
              <w:spacing w:after="0" w:line="256" w:lineRule="auto"/>
              <w:ind w:left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182" w14:textId="77777777" w:rsidR="005D656F" w:rsidRPr="005D656F" w:rsidRDefault="005D656F" w:rsidP="005D656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D656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Відповідність </w:t>
            </w:r>
          </w:p>
        </w:tc>
      </w:tr>
    </w:tbl>
    <w:p w14:paraId="30F83D3F" w14:textId="53FE07AB" w:rsidR="0005219A" w:rsidRDefault="0005219A" w:rsidP="0032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21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 w15:restartNumberingAfterBreak="0">
    <w:nsid w:val="7A2529AE"/>
    <w:multiLevelType w:val="hybridMultilevel"/>
    <w:tmpl w:val="C14C1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220367">
    <w:abstractNumId w:val="1"/>
  </w:num>
  <w:num w:numId="2" w16cid:durableId="2125346191">
    <w:abstractNumId w:val="0"/>
  </w:num>
  <w:num w:numId="3" w16cid:durableId="213347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5219A"/>
    <w:rsid w:val="000531B2"/>
    <w:rsid w:val="001B4388"/>
    <w:rsid w:val="00226C86"/>
    <w:rsid w:val="00261210"/>
    <w:rsid w:val="002B651E"/>
    <w:rsid w:val="002B6E58"/>
    <w:rsid w:val="002B72AC"/>
    <w:rsid w:val="002C7992"/>
    <w:rsid w:val="002E2676"/>
    <w:rsid w:val="00320131"/>
    <w:rsid w:val="00344F9E"/>
    <w:rsid w:val="00365F44"/>
    <w:rsid w:val="00366514"/>
    <w:rsid w:val="004C36C8"/>
    <w:rsid w:val="00590320"/>
    <w:rsid w:val="005D656F"/>
    <w:rsid w:val="005F6CE1"/>
    <w:rsid w:val="00615C8E"/>
    <w:rsid w:val="00634706"/>
    <w:rsid w:val="006D01B5"/>
    <w:rsid w:val="00823963"/>
    <w:rsid w:val="0084332E"/>
    <w:rsid w:val="00927F23"/>
    <w:rsid w:val="009443DC"/>
    <w:rsid w:val="0094463F"/>
    <w:rsid w:val="009B0D2E"/>
    <w:rsid w:val="00A52318"/>
    <w:rsid w:val="00A56226"/>
    <w:rsid w:val="00A75588"/>
    <w:rsid w:val="00AA287F"/>
    <w:rsid w:val="00C570E9"/>
    <w:rsid w:val="00C87426"/>
    <w:rsid w:val="00CB0910"/>
    <w:rsid w:val="00D626B8"/>
    <w:rsid w:val="00E1590B"/>
    <w:rsid w:val="00ED2C79"/>
    <w:rsid w:val="00F62FE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ітка таблиці4"/>
    <w:basedOn w:val="a1"/>
    <w:next w:val="a4"/>
    <w:locked/>
    <w:rsid w:val="005D656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4354</Words>
  <Characters>2483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Оксана Іванова</cp:lastModifiedBy>
  <cp:revision>4</cp:revision>
  <dcterms:created xsi:type="dcterms:W3CDTF">2023-04-07T08:51:00Z</dcterms:created>
  <dcterms:modified xsi:type="dcterms:W3CDTF">2023-04-07T08:53:00Z</dcterms:modified>
</cp:coreProperties>
</file>