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6D122F" w14:textId="77777777" w:rsidR="009C351C" w:rsidRDefault="009C351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C351C">
        <w:rPr>
          <w:rFonts w:ascii="Times New Roman" w:hAnsi="Times New Roman"/>
          <w:b/>
          <w:bCs/>
          <w:sz w:val="24"/>
          <w:szCs w:val="24"/>
        </w:rPr>
        <w:t>ДК 021:2015:24450000-3-Агрохімічна продукція (Дезінфекційні засоби)</w:t>
      </w:r>
      <w:r w:rsidRPr="009C351C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021EDF67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3EF5129C" w14:textId="77777777" w:rsidR="009C351C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  <w:r w:rsidR="009C351C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022F0C78" w14:textId="2C7927B5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14E9BD9" w14:textId="4E0D0FA2" w:rsidR="009C351C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9C351C" w:rsidRPr="009C351C">
        <w:rPr>
          <w:rFonts w:ascii="Times New Roman" w:hAnsi="Times New Roman"/>
          <w:bCs/>
          <w:sz w:val="24"/>
          <w:szCs w:val="24"/>
        </w:rPr>
        <w:t>ДК 021:2015:24450000-3-Агрохімічна продукція (Дезінфекційні засоби)</w:t>
      </w:r>
      <w:r w:rsidR="009C351C">
        <w:rPr>
          <w:rFonts w:ascii="Times New Roman" w:hAnsi="Times New Roman"/>
          <w:bCs/>
          <w:sz w:val="24"/>
          <w:szCs w:val="24"/>
        </w:rPr>
        <w:t>.</w:t>
      </w:r>
    </w:p>
    <w:p w14:paraId="4439A3F5" w14:textId="1B21F8B3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8F6961A" w14:textId="5F39D9CC" w:rsidR="002C519E" w:rsidRDefault="009C351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1C">
        <w:rPr>
          <w:rFonts w:ascii="Times New Roman" w:hAnsi="Times New Roman"/>
          <w:sz w:val="24"/>
          <w:szCs w:val="24"/>
        </w:rPr>
        <w:t>UA-2023-05-01-011449-a</w:t>
      </w:r>
    </w:p>
    <w:p w14:paraId="4D1794D6" w14:textId="77777777" w:rsidR="009C351C" w:rsidRPr="0024553B" w:rsidRDefault="009C351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58FA1A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9C351C" w:rsidRPr="009C351C">
        <w:rPr>
          <w:rFonts w:ascii="Times New Roman" w:hAnsi="Times New Roman"/>
          <w:sz w:val="24"/>
          <w:szCs w:val="24"/>
        </w:rPr>
        <w:t>226 140,22</w:t>
      </w:r>
      <w:r w:rsidR="009C351C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B06B922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9C351C" w:rsidRPr="009C351C">
        <w:rPr>
          <w:rFonts w:ascii="Times New Roman" w:hAnsi="Times New Roman"/>
          <w:sz w:val="24"/>
          <w:szCs w:val="24"/>
        </w:rPr>
        <w:t>226 140,22</w:t>
      </w:r>
      <w:r w:rsidR="009C351C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SILTP «Посилення лікування ВІЛ-інфекції, спроможності лабораторної мережі, замісної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C0AA4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9C351C">
        <w:rPr>
          <w:rFonts w:ascii="Times New Roman" w:hAnsi="Times New Roman"/>
          <w:sz w:val="24"/>
          <w:szCs w:val="24"/>
        </w:rPr>
        <w:t>30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9C351C">
        <w:rPr>
          <w:rFonts w:ascii="Times New Roman" w:hAnsi="Times New Roman"/>
          <w:sz w:val="24"/>
          <w:szCs w:val="24"/>
        </w:rPr>
        <w:t>06</w:t>
      </w:r>
      <w:r w:rsidR="002C519E" w:rsidRPr="002C519E">
        <w:rPr>
          <w:rFonts w:ascii="Times New Roman" w:hAnsi="Times New Roman"/>
          <w:sz w:val="24"/>
          <w:szCs w:val="24"/>
        </w:rPr>
        <w:t>.2023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4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66"/>
        <w:gridCol w:w="1136"/>
        <w:gridCol w:w="4105"/>
        <w:gridCol w:w="2552"/>
        <w:gridCol w:w="1843"/>
        <w:gridCol w:w="1417"/>
      </w:tblGrid>
      <w:tr w:rsidR="009C351C" w:rsidRPr="009C351C" w14:paraId="749A67BA" w14:textId="77777777" w:rsidTr="009C351C">
        <w:trPr>
          <w:trHeight w:val="660"/>
        </w:trPr>
        <w:tc>
          <w:tcPr>
            <w:tcW w:w="540" w:type="dxa"/>
            <w:shd w:val="clear" w:color="auto" w:fill="auto"/>
            <w:vAlign w:val="center"/>
            <w:hideMark/>
          </w:tcPr>
          <w:p w14:paraId="387E5F7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129357672"/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63226C5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 закупівлі</w:t>
            </w:r>
            <w:r w:rsidRPr="009C35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AA24FD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 НК 024:2019</w:t>
            </w: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14:paraId="7FDCF07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характеристики</w:t>
            </w:r>
          </w:p>
        </w:tc>
        <w:tc>
          <w:tcPr>
            <w:tcW w:w="2552" w:type="dxa"/>
          </w:tcPr>
          <w:p w14:paraId="5A01385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Відповідність: так/ні, значення для запропонованого товару, посилання на сторінку документації виробника, документи, що підтверджують якість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BC71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Одиниці вимірювання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72650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9C351C" w:rsidRPr="009C351C" w14:paraId="4441CB03" w14:textId="77777777" w:rsidTr="009C351C">
        <w:trPr>
          <w:trHeight w:val="937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628A2E86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66" w:type="dxa"/>
            <w:vMerge w:val="restart"/>
            <w:shd w:val="clear" w:color="auto" w:fill="auto"/>
            <w:hideMark/>
          </w:tcPr>
          <w:p w14:paraId="6A27B08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Дезінфікуючий засіб для антисептичної обробки шкіри рук</w:t>
            </w:r>
          </w:p>
          <w:p w14:paraId="0FAB3F4D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37A818C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41550</w:t>
            </w:r>
          </w:p>
        </w:tc>
        <w:tc>
          <w:tcPr>
            <w:tcW w:w="4105" w:type="dxa"/>
            <w:shd w:val="clear" w:color="auto" w:fill="auto"/>
            <w:hideMark/>
          </w:tcPr>
          <w:p w14:paraId="46CC7AA4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Повинен бути призначений для гігієнічної та хірургічної антисептичної обробки шкіри рук.</w:t>
            </w:r>
          </w:p>
        </w:tc>
        <w:tc>
          <w:tcPr>
            <w:tcW w:w="2552" w:type="dxa"/>
          </w:tcPr>
          <w:p w14:paraId="2D89BD5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1830C12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14:paraId="216F41F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386</w:t>
            </w:r>
          </w:p>
        </w:tc>
      </w:tr>
      <w:tr w:rsidR="009C351C" w:rsidRPr="009C351C" w14:paraId="43CBD9EF" w14:textId="77777777" w:rsidTr="009C351C">
        <w:trPr>
          <w:trHeight w:val="696"/>
        </w:trPr>
        <w:tc>
          <w:tcPr>
            <w:tcW w:w="540" w:type="dxa"/>
            <w:vMerge/>
            <w:shd w:val="clear" w:color="auto" w:fill="auto"/>
            <w:noWrap/>
          </w:tcPr>
          <w:p w14:paraId="2B1613B9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08FF6DB0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A1FA55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3B17FC56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Діюча речовина, мас., %: </w:t>
            </w: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не меньше </w:t>
            </w: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75,0 - спирт етиловий.</w:t>
            </w:r>
          </w:p>
        </w:tc>
        <w:tc>
          <w:tcPr>
            <w:tcW w:w="2552" w:type="dxa"/>
          </w:tcPr>
          <w:p w14:paraId="22384C6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64D6F69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25BFA28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4FF42228" w14:textId="77777777" w:rsidTr="009C351C">
        <w:trPr>
          <w:trHeight w:val="1273"/>
        </w:trPr>
        <w:tc>
          <w:tcPr>
            <w:tcW w:w="540" w:type="dxa"/>
            <w:vMerge/>
            <w:shd w:val="clear" w:color="auto" w:fill="auto"/>
            <w:noWrap/>
          </w:tcPr>
          <w:p w14:paraId="7E74701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3FC8954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A2D423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55531F7C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Засіб повинен бути у вигляді готового до застосування прозорого гелю (допускається легке помутніння і опалесценція)</w:t>
            </w:r>
          </w:p>
        </w:tc>
        <w:tc>
          <w:tcPr>
            <w:tcW w:w="2552" w:type="dxa"/>
          </w:tcPr>
          <w:p w14:paraId="70EBC58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2005414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4A52E7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3618F595" w14:textId="77777777" w:rsidTr="009C351C">
        <w:trPr>
          <w:trHeight w:val="268"/>
        </w:trPr>
        <w:tc>
          <w:tcPr>
            <w:tcW w:w="540" w:type="dxa"/>
            <w:vMerge/>
            <w:shd w:val="clear" w:color="auto" w:fill="auto"/>
            <w:noWrap/>
          </w:tcPr>
          <w:p w14:paraId="63CF48B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2224D1A6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98B7FE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77B5CBE0" w14:textId="77777777" w:rsidR="009C351C" w:rsidRPr="009C351C" w:rsidRDefault="009C351C" w:rsidP="009C351C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засобу має складати - 7±1.5 од.</w:t>
            </w:r>
          </w:p>
        </w:tc>
        <w:tc>
          <w:tcPr>
            <w:tcW w:w="2552" w:type="dxa"/>
          </w:tcPr>
          <w:p w14:paraId="145B5B5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0FCCFCE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460E853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2DC28E6B" w14:textId="77777777" w:rsidTr="009C351C">
        <w:trPr>
          <w:trHeight w:val="1710"/>
        </w:trPr>
        <w:tc>
          <w:tcPr>
            <w:tcW w:w="540" w:type="dxa"/>
            <w:vMerge/>
            <w:shd w:val="clear" w:color="auto" w:fill="auto"/>
            <w:noWrap/>
          </w:tcPr>
          <w:p w14:paraId="769218DC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DD0B7EA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2B2C7FE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5345A7F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Повинен мати антимікробну активність у відношенні грам позитивних і грам негативних бактерій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збудників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внутрішньолікарняних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інфекцій, мікобактерії туберкульозу (відповідає Європейським стандартам EN 14348),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Mycobacterium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avium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Mycobacterium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Terrae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мультирезистентний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стафілокок (MRSA),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ентерогеморагічну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кишкову паличку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Escherichia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coli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синьогнійну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паличку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Aeruginosa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сальмонели дифтерії,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шигели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клебсієли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легіонели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лептоспіри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ієрсінії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коринебактерії,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менінгококи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та інші види бактерій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Listeria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momocytogenes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Enterococcus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faecalis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E.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Faecium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Klebsiella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spp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(у т. ч. K.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Pneumonia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Enterobacter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spp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Proteus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mirabilis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Proteus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vulgaris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Helicobacter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pylori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Acinetobacter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baumannii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стрептококи (у т. ч.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Streptococcus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spp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Streptococcus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agalactiae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S.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Pyogenes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S.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Pneumonia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S.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Mutans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α- та β-гемолітичний),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клостридії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(у т. ч.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Clostridium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spp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Clostridium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difficile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Clostridium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sporogenes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(відповідає Європейським стандартам EN 14561), вірусів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парентеральні вірусні гепатити (В, С), вірус гепатиту А, вірус СНІД (ВІЛ),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папова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адено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поліома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рота-,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ентеро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вакцинія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віруси, віруси ЕСНО,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Коксакі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вірус кору, SARS, віруси герпесу, віруси грипу, вірус «пташиного грипу» A(H5N1), вірус «свинячого грипу» A(H1N1), вірус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Ебола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(ХВВЕ)) (відповідає Європейським стандартам EN 14476), патогенних грибів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збудників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кандидозів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дерматомікозів,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трихофітій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Aspergillus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niger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плісняві гриби) (відповідає Європейським стандартам EN 13624) .</w:t>
            </w:r>
          </w:p>
        </w:tc>
        <w:tc>
          <w:tcPr>
            <w:tcW w:w="2552" w:type="dxa"/>
          </w:tcPr>
          <w:p w14:paraId="2480AB3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734C76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3ED2884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30D7D66B" w14:textId="77777777" w:rsidTr="009C351C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14:paraId="1BDE6010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3D17FA56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BEB9BB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78C2B471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Засіб повинен проявляти високоякісну дію в присутності білка, сироватки, крові.</w:t>
            </w:r>
          </w:p>
        </w:tc>
        <w:tc>
          <w:tcPr>
            <w:tcW w:w="2552" w:type="dxa"/>
          </w:tcPr>
          <w:p w14:paraId="60914CE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13F616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37897EF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6DC960FD" w14:textId="77777777" w:rsidTr="009C351C">
        <w:trPr>
          <w:trHeight w:val="1402"/>
        </w:trPr>
        <w:tc>
          <w:tcPr>
            <w:tcW w:w="540" w:type="dxa"/>
            <w:vMerge/>
            <w:shd w:val="clear" w:color="auto" w:fill="auto"/>
            <w:noWrap/>
          </w:tcPr>
          <w:p w14:paraId="63498BCE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17853BE0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D56B24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32022696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Засіб повинен забезпечувати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антиперспірантну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дію, зменшувати кількість вологи під рукавичками, що перешкоджає виділенню резидентної мікрофлори.</w:t>
            </w:r>
          </w:p>
        </w:tc>
        <w:tc>
          <w:tcPr>
            <w:tcW w:w="2552" w:type="dxa"/>
          </w:tcPr>
          <w:p w14:paraId="178F056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64CF5A7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1CE98D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657BFB75" w14:textId="77777777" w:rsidTr="009C351C">
        <w:trPr>
          <w:trHeight w:val="1607"/>
        </w:trPr>
        <w:tc>
          <w:tcPr>
            <w:tcW w:w="540" w:type="dxa"/>
            <w:vMerge/>
            <w:shd w:val="clear" w:color="auto" w:fill="auto"/>
            <w:noWrap/>
          </w:tcPr>
          <w:p w14:paraId="619ACCA9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0AAA5ED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5042F3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4C94797E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Засіб повинен володіти пролонгованою (реманентною, залишковою) антимікробною дією протягом 3-х годин (у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під медичними рукавичками).</w:t>
            </w:r>
          </w:p>
        </w:tc>
        <w:tc>
          <w:tcPr>
            <w:tcW w:w="2552" w:type="dxa"/>
          </w:tcPr>
          <w:p w14:paraId="7705C42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334386F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409D16A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77EAFCB1" w14:textId="77777777" w:rsidTr="009C351C">
        <w:trPr>
          <w:trHeight w:val="1120"/>
        </w:trPr>
        <w:tc>
          <w:tcPr>
            <w:tcW w:w="540" w:type="dxa"/>
            <w:vMerge/>
            <w:shd w:val="clear" w:color="auto" w:fill="auto"/>
            <w:noWrap/>
          </w:tcPr>
          <w:p w14:paraId="606AA71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7698492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B3A974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1C9AD33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Засіб повинен забезпечувати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знежирююче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очищення шкіри, сприяє ефективному прилипанню хірургічної плівки.</w:t>
            </w:r>
          </w:p>
        </w:tc>
        <w:tc>
          <w:tcPr>
            <w:tcW w:w="2552" w:type="dxa"/>
          </w:tcPr>
          <w:p w14:paraId="5106386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6AF583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3FD8B6D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1F52070C" w14:textId="77777777" w:rsidTr="009C351C">
        <w:trPr>
          <w:trHeight w:val="1120"/>
        </w:trPr>
        <w:tc>
          <w:tcPr>
            <w:tcW w:w="540" w:type="dxa"/>
            <w:vMerge/>
            <w:shd w:val="clear" w:color="auto" w:fill="auto"/>
            <w:noWrap/>
          </w:tcPr>
          <w:p w14:paraId="0CED010C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7B4DEED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7CFB05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75AE34CE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Засіб не повинен виявляти кумулятивних властивостей, специфічних віддалених ефектів (мутагенних,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ембріотоксичних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гонадотропних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тератогенних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канцерогенних тощо).</w:t>
            </w:r>
          </w:p>
        </w:tc>
        <w:tc>
          <w:tcPr>
            <w:tcW w:w="2552" w:type="dxa"/>
          </w:tcPr>
          <w:p w14:paraId="372CAC4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7D94FB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6D332D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49F76EA5" w14:textId="77777777" w:rsidTr="009C351C">
        <w:trPr>
          <w:trHeight w:val="1120"/>
        </w:trPr>
        <w:tc>
          <w:tcPr>
            <w:tcW w:w="540" w:type="dxa"/>
            <w:vMerge/>
            <w:shd w:val="clear" w:color="auto" w:fill="auto"/>
            <w:noWrap/>
          </w:tcPr>
          <w:p w14:paraId="28E51FF7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790820F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7E4B21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B8FFB09" w14:textId="77777777" w:rsidR="009C351C" w:rsidRPr="009C351C" w:rsidRDefault="009C351C" w:rsidP="009C3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засобі не повинно міститись: ЧАС,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пропанол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ізопропанол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феноксіетанол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феноксіпропанол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хлоргексидин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гуанідини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ПГМГ.</w:t>
            </w:r>
          </w:p>
        </w:tc>
        <w:tc>
          <w:tcPr>
            <w:tcW w:w="2552" w:type="dxa"/>
          </w:tcPr>
          <w:p w14:paraId="4D9E5F5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FBC42A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454F2E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0943A4F1" w14:textId="77777777" w:rsidTr="009C351C">
        <w:trPr>
          <w:trHeight w:val="538"/>
        </w:trPr>
        <w:tc>
          <w:tcPr>
            <w:tcW w:w="540" w:type="dxa"/>
            <w:vMerge/>
            <w:shd w:val="clear" w:color="auto" w:fill="auto"/>
            <w:noWrap/>
          </w:tcPr>
          <w:p w14:paraId="345C8AE8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D49AD6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E8D974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48F0DF8C" w14:textId="77777777" w:rsidR="009C351C" w:rsidRPr="009C351C" w:rsidRDefault="009C351C" w:rsidP="009C3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Повинен бути об’ємом не менш ніж 1000 мл з дозатором.</w:t>
            </w:r>
          </w:p>
        </w:tc>
        <w:tc>
          <w:tcPr>
            <w:tcW w:w="2552" w:type="dxa"/>
          </w:tcPr>
          <w:p w14:paraId="5BBCE19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8272EA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1234A8F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3246F2EC" w14:textId="77777777" w:rsidTr="009C351C">
        <w:trPr>
          <w:trHeight w:val="957"/>
        </w:trPr>
        <w:tc>
          <w:tcPr>
            <w:tcW w:w="540" w:type="dxa"/>
            <w:vMerge/>
            <w:shd w:val="clear" w:color="auto" w:fill="auto"/>
            <w:noWrap/>
          </w:tcPr>
          <w:p w14:paraId="031B596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4B42034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3E83ED5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634344F" w14:textId="77777777" w:rsidR="009C351C" w:rsidRPr="009C351C" w:rsidRDefault="009C351C" w:rsidP="009C351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придатності засобу – 3 роки з дати виготовлення. Гарантійний термін після відкриття -12 місяців</w:t>
            </w:r>
          </w:p>
        </w:tc>
        <w:tc>
          <w:tcPr>
            <w:tcW w:w="2552" w:type="dxa"/>
          </w:tcPr>
          <w:p w14:paraId="7BC7AC8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36321A6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3B2C6C6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615087EB" w14:textId="77777777" w:rsidTr="009C351C">
        <w:trPr>
          <w:trHeight w:val="1215"/>
        </w:trPr>
        <w:tc>
          <w:tcPr>
            <w:tcW w:w="540" w:type="dxa"/>
            <w:vMerge w:val="restart"/>
            <w:shd w:val="clear" w:color="auto" w:fill="auto"/>
            <w:noWrap/>
          </w:tcPr>
          <w:p w14:paraId="66E22338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66" w:type="dxa"/>
            <w:vMerge w:val="restart"/>
            <w:shd w:val="clear" w:color="auto" w:fill="auto"/>
          </w:tcPr>
          <w:p w14:paraId="0C6E133C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Готовий засіб для екстреної дезінфекції невеликих за площею поверхонь та некритичних медичних виробів (з розпилювачем)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75E489E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58082</w:t>
            </w:r>
          </w:p>
        </w:tc>
        <w:tc>
          <w:tcPr>
            <w:tcW w:w="4105" w:type="dxa"/>
            <w:shd w:val="clear" w:color="auto" w:fill="auto"/>
          </w:tcPr>
          <w:p w14:paraId="5B8A9FEE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Повинен бути призначений для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екстренної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дезінфекції невеликих за площею поверхонь та некритичних медичних виробів.</w:t>
            </w:r>
          </w:p>
        </w:tc>
        <w:tc>
          <w:tcPr>
            <w:tcW w:w="2552" w:type="dxa"/>
          </w:tcPr>
          <w:p w14:paraId="70265EF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</w:tcPr>
          <w:p w14:paraId="0B167DC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14:paraId="78E416E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20</w:t>
            </w:r>
          </w:p>
        </w:tc>
      </w:tr>
      <w:tr w:rsidR="009C351C" w:rsidRPr="009C351C" w14:paraId="68BF1B46" w14:textId="77777777" w:rsidTr="009C351C">
        <w:trPr>
          <w:trHeight w:val="1165"/>
        </w:trPr>
        <w:tc>
          <w:tcPr>
            <w:tcW w:w="540" w:type="dxa"/>
            <w:vMerge/>
            <w:shd w:val="clear" w:color="auto" w:fill="auto"/>
            <w:noWrap/>
          </w:tcPr>
          <w:p w14:paraId="697B2C18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355779DF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7EB4217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175363A5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Діючі речовини, мас., %: не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32% - 1-пропанол, не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18,0% - етанол, не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0,025% -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дидецилдиметиламоній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хлорид.</w:t>
            </w:r>
          </w:p>
        </w:tc>
        <w:tc>
          <w:tcPr>
            <w:tcW w:w="2552" w:type="dxa"/>
          </w:tcPr>
          <w:p w14:paraId="75226B0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470232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1D01CA6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7CE824AF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0686334F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656B203C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9C0830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496F663B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повинен являти собою готову до застосування прозору безбарвну рідину з характерним специфічним запахом .</w:t>
            </w:r>
          </w:p>
        </w:tc>
        <w:tc>
          <w:tcPr>
            <w:tcW w:w="2552" w:type="dxa"/>
          </w:tcPr>
          <w:p w14:paraId="51B1B23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290F889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53F86FD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6AF78852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70D43EA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1973F72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0DDDB2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A2D394B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бути об’ємом не більше 1000 мл, з розпилювачем.</w:t>
            </w:r>
          </w:p>
        </w:tc>
        <w:tc>
          <w:tcPr>
            <w:tcW w:w="2552" w:type="dxa"/>
          </w:tcPr>
          <w:p w14:paraId="23FBA8B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088476B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5CCACBC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142066F0" w14:textId="77777777" w:rsidTr="009C351C">
        <w:trPr>
          <w:trHeight w:val="454"/>
        </w:trPr>
        <w:tc>
          <w:tcPr>
            <w:tcW w:w="540" w:type="dxa"/>
            <w:vMerge/>
            <w:shd w:val="clear" w:color="auto" w:fill="auto"/>
            <w:noWrap/>
          </w:tcPr>
          <w:p w14:paraId="3535B07E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67C0B19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66A6D5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1BF24B66" w14:textId="77777777" w:rsidR="009C351C" w:rsidRPr="009C351C" w:rsidRDefault="009C351C" w:rsidP="009C351C">
            <w:pPr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засобу 7,8±1,0од.</w:t>
            </w:r>
          </w:p>
        </w:tc>
        <w:tc>
          <w:tcPr>
            <w:tcW w:w="2552" w:type="dxa"/>
            <w:vAlign w:val="center"/>
          </w:tcPr>
          <w:p w14:paraId="39434DE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660FE26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A6D09D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07CD68F2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3A19BE2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089FF9FE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C463E5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DD385B9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повинен мати антимікробні властивості щодо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грамнегативних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грампозитивних бактерій (включаючи збудників туберкульозу,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terrae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кишкових і крапельних інфекцій бактеріальної етіології, 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резистентні штами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внутрішньолікарняних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інфекцій,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зокрема,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мультирезистентний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золотистий стафілокок 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MRSA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ентерокок,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синьогнійну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паличку, протей,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Helicobacter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pylory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ешерихії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Enterohaemorrhagic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coli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0157 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EHEC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Enterococcus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faecalis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Klebsiella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pneumoniae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Proteus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mirabilis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Helicobacter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pylori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aeruginosa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-резистентний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єнтерококк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VRE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штами бактерій, продукуючі бета-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широкого і розширеного спектрів 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ESBL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та збудники інших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внутрішньолікарняних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інфекцій, 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антибіотикорезистентні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сальмонели,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клебсієли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легіонели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лептоспіри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ієрсінії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коринебактерії, стрептококи, стафілококи,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менінгококи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особливо-небезпечні інфекції: чума, туляремія, черевний тиф, холера та інші види бактерій, вірусів (в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збудників гепатитів А, В, С,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ВІЛ-інфекції, герпес-, рота-, корона-, каліці-,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параміксо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ханта-,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вакцинія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рота-,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папова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ентеро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(в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поліовірусні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респіраторно-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синцитіальні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аденовірусні інфекції,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SARS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лихоманка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Ебола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збудників різних видів грипу та парагрипу, зокрема: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«пташиний грип»,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«свинячий грип»), фунгіцидні (включаючи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кандидози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дерматомікози (у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трихофітії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плісняві гриби, (у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аспергильози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та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спороцидні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властивості (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subtilis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anthracoides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сибірка); засіб має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овоцидні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властивості проти збудників паразитарних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(цист,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ооцист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найпростіших, яєць і личинок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гельминтів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гостриків).</w:t>
            </w:r>
          </w:p>
        </w:tc>
        <w:tc>
          <w:tcPr>
            <w:tcW w:w="2552" w:type="dxa"/>
          </w:tcPr>
          <w:p w14:paraId="26BDE18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5D80B66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2DE3660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5C1C40B4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6E3FB5F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1D34014C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F22882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1ACE9F02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повинен бути ефективний проти груп мікроорганізмів 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біоплівках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(руйнує та видаляє біологічні плівки) та володіє пролонгованою у часі антимікробною дією протягом 3-х годин. </w:t>
            </w:r>
          </w:p>
        </w:tc>
        <w:tc>
          <w:tcPr>
            <w:tcW w:w="2552" w:type="dxa"/>
          </w:tcPr>
          <w:p w14:paraId="03B6CB0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1696661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22D8395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47A018E7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42EB1687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4FCC0A6A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1B8686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7A897CAC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повинен зберігати усі властивості та забезпечує високоефективну антимікробну дію у присутності забруднень органічного походження (кров, сироватка, мокротиння, сеча тощо), навіть при наявності великої кількості органічного забруднення.</w:t>
            </w:r>
          </w:p>
        </w:tc>
        <w:tc>
          <w:tcPr>
            <w:tcW w:w="2552" w:type="dxa"/>
          </w:tcPr>
          <w:p w14:paraId="0780C31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1C9969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5DA2BFA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19DB4946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63E83394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E0F908D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6295E9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4C1FB4BB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повинен бути протестований у відповідності до Європейських стандартів: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1040,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13624,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13727,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13697,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14348,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14476 ,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14561,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14562, 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EN</w:t>
            </w: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14563, 16615).</w:t>
            </w:r>
          </w:p>
        </w:tc>
        <w:tc>
          <w:tcPr>
            <w:tcW w:w="2552" w:type="dxa"/>
          </w:tcPr>
          <w:p w14:paraId="776541E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029DF7D7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1399A2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497C1973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0C96C60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0F3721AA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11321B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602881D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параметрами гострої токсичності відноситься до 4 класу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малонебезпечних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речовин при введенні в шлунок та нанесенні на шкіру; подразнює слизові оболонки очей, не спричиняє шкірно-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резорбтивної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сенсибілізуючої дії: не виявляє мутагенних, канцерогенних,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тератогенних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властивостей.</w:t>
            </w:r>
          </w:p>
        </w:tc>
        <w:tc>
          <w:tcPr>
            <w:tcW w:w="2552" w:type="dxa"/>
          </w:tcPr>
          <w:p w14:paraId="0A2CA9E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6E7E2BC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962419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76BA3090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38E91C88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61F8596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F89E57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38359A91" w14:textId="77777777" w:rsidR="009C351C" w:rsidRPr="009C351C" w:rsidRDefault="009C351C" w:rsidP="009C3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засобі не повинно міститись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ізопропанолу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феноксієтанолу,перекису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водню, кислоти.</w:t>
            </w:r>
          </w:p>
        </w:tc>
        <w:tc>
          <w:tcPr>
            <w:tcW w:w="2552" w:type="dxa"/>
          </w:tcPr>
          <w:p w14:paraId="7B77825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32CF4ED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561174C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50715FC4" w14:textId="77777777" w:rsidTr="009C351C">
        <w:trPr>
          <w:trHeight w:val="630"/>
        </w:trPr>
        <w:tc>
          <w:tcPr>
            <w:tcW w:w="540" w:type="dxa"/>
            <w:vMerge/>
            <w:shd w:val="clear" w:color="auto" w:fill="auto"/>
            <w:noWrap/>
          </w:tcPr>
          <w:p w14:paraId="5FE5F394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13BE6AEE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B18F11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56E60E3E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зберігання (термін придатності) – 3 роки з дати виготовлення.</w:t>
            </w:r>
          </w:p>
        </w:tc>
        <w:tc>
          <w:tcPr>
            <w:tcW w:w="2552" w:type="dxa"/>
          </w:tcPr>
          <w:p w14:paraId="52BD494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2B0D9B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159D592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5BF623B5" w14:textId="77777777" w:rsidTr="009C351C">
        <w:trPr>
          <w:trHeight w:val="1860"/>
        </w:trPr>
        <w:tc>
          <w:tcPr>
            <w:tcW w:w="540" w:type="dxa"/>
            <w:vMerge w:val="restart"/>
            <w:shd w:val="clear" w:color="auto" w:fill="auto"/>
            <w:noWrap/>
          </w:tcPr>
          <w:p w14:paraId="2873CA0E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66" w:type="dxa"/>
            <w:vMerge w:val="restart"/>
            <w:shd w:val="clear" w:color="auto" w:fill="auto"/>
          </w:tcPr>
          <w:p w14:paraId="7D1B4B7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Рідкий концентрований засіб у </w:t>
            </w:r>
            <w:proofErr w:type="spellStart"/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сошетах</w:t>
            </w:r>
            <w:proofErr w:type="spellEnd"/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для дезінфекції, </w:t>
            </w:r>
            <w:proofErr w:type="spellStart"/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достерилізаційного</w:t>
            </w:r>
            <w:proofErr w:type="spellEnd"/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очищення та стерилізації 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B2BAA11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51C">
              <w:rPr>
                <w:rFonts w:ascii="Times New Roman" w:eastAsia="Calibri" w:hAnsi="Times New Roman" w:cs="Times New Roman"/>
                <w:sz w:val="24"/>
                <w:szCs w:val="24"/>
              </w:rPr>
              <w:t>38713</w:t>
            </w:r>
          </w:p>
        </w:tc>
        <w:tc>
          <w:tcPr>
            <w:tcW w:w="4105" w:type="dxa"/>
            <w:shd w:val="clear" w:color="auto" w:fill="auto"/>
          </w:tcPr>
          <w:p w14:paraId="752815BB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бути призначений для знезараження використаних виробів медичного призначення одноразового використання, медичних відходів з текстильних матеріалів перед їх утилізацією.</w:t>
            </w:r>
          </w:p>
        </w:tc>
        <w:tc>
          <w:tcPr>
            <w:tcW w:w="2552" w:type="dxa"/>
          </w:tcPr>
          <w:p w14:paraId="1DD692AF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</w:tcPr>
          <w:p w14:paraId="4BC5FED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3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14:paraId="05CE71F3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C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710</w:t>
            </w:r>
          </w:p>
        </w:tc>
      </w:tr>
      <w:tr w:rsidR="009C351C" w:rsidRPr="009C351C" w14:paraId="4F2CCD8B" w14:textId="77777777" w:rsidTr="009C351C">
        <w:trPr>
          <w:trHeight w:val="210"/>
        </w:trPr>
        <w:tc>
          <w:tcPr>
            <w:tcW w:w="540" w:type="dxa"/>
            <w:vMerge/>
            <w:shd w:val="clear" w:color="auto" w:fill="auto"/>
            <w:noWrap/>
          </w:tcPr>
          <w:p w14:paraId="0CC4CBF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74D0B9AF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670665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111C8BB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має бути з наступним складом: не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15,0–20,0% – N-(3-амінопро-піл)-N-додецилпропан-1,3-діамін, не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10,0-15,0 %–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дидецилдиметиламоніум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хлорид.</w:t>
            </w:r>
          </w:p>
        </w:tc>
        <w:tc>
          <w:tcPr>
            <w:tcW w:w="2552" w:type="dxa"/>
          </w:tcPr>
          <w:p w14:paraId="424E7437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56CD4A5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1CAA5FE0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1E329D2A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04D63E0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2A16D8BB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985424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184C1DB9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повинен являти собою однорідну прозору концентровану рідину зі слабким характерним запахом.</w:t>
            </w:r>
          </w:p>
        </w:tc>
        <w:tc>
          <w:tcPr>
            <w:tcW w:w="2552" w:type="dxa"/>
          </w:tcPr>
          <w:p w14:paraId="3B1CEEB7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5FFEB84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49F02E72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32BB9824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16C40E4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7A639DB7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AA667F8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3CEF83EA" w14:textId="77777777" w:rsidR="009C351C" w:rsidRPr="009C351C" w:rsidRDefault="009C351C" w:rsidP="009C351C">
            <w:pPr>
              <w:tabs>
                <w:tab w:val="left" w:pos="97"/>
                <w:tab w:val="left" w:pos="10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бактерицидні властивості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Mycobacterium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tuberculosis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також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Escherichia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Еnterohemorrhagic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(EHEC),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Vancomycin-Resistant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Enterococci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(VRE),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Pseudomonas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aeruginosa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Staphylococcus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aureus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MRSA,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Staphylococcus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epidermidis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Listeria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monocytogenes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typhi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choleraesuis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enteritidis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Klebsiella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mirabilis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vulgaris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dysenteriae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pyogenes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збудників особливо-небезпечних інфекцій – чуми, холери, черевного тифу, а також туляремії та інших (відповідають Європейським стандартам EN 1276, EN 1650, EN 13697, EN 14561, EN 14348);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віруліцидні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(включаючи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парантеральні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гепатити В, С, ВІЛ, герпес, грип, парагрип А (Н5N1), А (Н1N1), SARS, лихоманка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Ебола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рота-, корона-, ханта-,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вакцинія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коксакі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поліові-руси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респіраторно-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синцитіальні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аденовіруси (відповідають Європейським стандартам EN 14476); фунгіцидні (відповідають Європейським стандартам EN 13624), 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відношенню до грибів роду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збудників дерматомікозів та пліснявих грибів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Aspergillus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niger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спороцидні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властивості (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B.subtilis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B.anthracoides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сибірка) (відповідають Європейським стандартам EN 13704).</w:t>
            </w:r>
          </w:p>
        </w:tc>
        <w:tc>
          <w:tcPr>
            <w:tcW w:w="2552" w:type="dxa"/>
          </w:tcPr>
          <w:p w14:paraId="4BA4744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F0DEAE9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53F9D70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4E9117F1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61C85A11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E3438D5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4752A7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DEB881F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не повинен виявляти мутагенних,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ембріотоксичних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тератогенних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канцерогенних та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гонадотропних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властивостей.</w:t>
            </w:r>
          </w:p>
        </w:tc>
        <w:tc>
          <w:tcPr>
            <w:tcW w:w="2552" w:type="dxa"/>
          </w:tcPr>
          <w:p w14:paraId="7FD20C7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383601B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AED598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775DA80F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2F50485A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35F46955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C79A40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196FC61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придатності робочих розчинів засобу – 16 діб за умови зберігання у тарі зі щільно закритою кришкою.</w:t>
            </w:r>
          </w:p>
        </w:tc>
        <w:tc>
          <w:tcPr>
            <w:tcW w:w="2552" w:type="dxa"/>
          </w:tcPr>
          <w:p w14:paraId="785D130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25B065D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B40933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27FAC87C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5F052F13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64EBCDD5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5444DB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6866C13E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Водні розчини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засобуповинні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прозорі, майже без кольору та без запаху, показник активності іонів водню </w:t>
            </w:r>
            <w:proofErr w:type="spellStart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1,0 %, водного розчину становить 7,5-10.Миюча здатність не менше 85%.</w:t>
            </w:r>
          </w:p>
        </w:tc>
        <w:tc>
          <w:tcPr>
            <w:tcW w:w="2552" w:type="dxa"/>
          </w:tcPr>
          <w:p w14:paraId="49105E3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13FB0CA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2121C7CD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6979E817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5AE9FBB0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5D696315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2F0AF5CC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52844C6E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засобі не повинно міститись хлору, альдегідів, кислот, ферментів, ПГМГ, спиртів та їх похідні, барвників та ароматизаторів.</w:t>
            </w:r>
          </w:p>
        </w:tc>
        <w:tc>
          <w:tcPr>
            <w:tcW w:w="2552" w:type="dxa"/>
          </w:tcPr>
          <w:p w14:paraId="3874F014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792AFA1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0CA3C5A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351C" w:rsidRPr="009C351C" w14:paraId="3DF9C1E9" w14:textId="77777777" w:rsidTr="009C351C">
        <w:trPr>
          <w:trHeight w:val="662"/>
        </w:trPr>
        <w:tc>
          <w:tcPr>
            <w:tcW w:w="540" w:type="dxa"/>
            <w:vMerge/>
            <w:shd w:val="clear" w:color="auto" w:fill="auto"/>
            <w:noWrap/>
          </w:tcPr>
          <w:p w14:paraId="04C99852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44E53830" w14:textId="77777777" w:rsidR="009C351C" w:rsidRPr="009C351C" w:rsidRDefault="009C351C" w:rsidP="009C3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28A95E55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0494B501" w14:textId="77777777" w:rsidR="009C351C" w:rsidRPr="009C351C" w:rsidRDefault="009C351C" w:rsidP="009C351C">
            <w:pPr>
              <w:tabs>
                <w:tab w:val="left" w:pos="97"/>
                <w:tab w:val="left" w:pos="2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Гарантійний термін зберігання повинен бути 5 років з дати виробництва.</w:t>
            </w:r>
          </w:p>
        </w:tc>
        <w:tc>
          <w:tcPr>
            <w:tcW w:w="2552" w:type="dxa"/>
          </w:tcPr>
          <w:p w14:paraId="57F09DD6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14:paraId="44E3F69B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878664E" w14:textId="77777777" w:rsidR="009C351C" w:rsidRPr="009C351C" w:rsidRDefault="009C351C" w:rsidP="009C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bookmarkEnd w:id="0"/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9C351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A793" w14:textId="77777777" w:rsidR="002B6C6C" w:rsidRDefault="002B6C6C" w:rsidP="0024553B">
      <w:pPr>
        <w:spacing w:after="0" w:line="240" w:lineRule="auto"/>
      </w:pPr>
      <w:r>
        <w:separator/>
      </w:r>
    </w:p>
  </w:endnote>
  <w:endnote w:type="continuationSeparator" w:id="0">
    <w:p w14:paraId="5CE328EF" w14:textId="77777777" w:rsidR="002B6C6C" w:rsidRDefault="002B6C6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3E80" w14:textId="77777777" w:rsidR="002B6C6C" w:rsidRDefault="002B6C6C" w:rsidP="0024553B">
      <w:pPr>
        <w:spacing w:after="0" w:line="240" w:lineRule="auto"/>
      </w:pPr>
      <w:r>
        <w:separator/>
      </w:r>
    </w:p>
  </w:footnote>
  <w:footnote w:type="continuationSeparator" w:id="0">
    <w:p w14:paraId="4E477DB1" w14:textId="77777777" w:rsidR="002B6C6C" w:rsidRDefault="002B6C6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5"/>
  </w:num>
  <w:num w:numId="2" w16cid:durableId="2125346191">
    <w:abstractNumId w:val="12"/>
  </w:num>
  <w:num w:numId="3" w16cid:durableId="214203201">
    <w:abstractNumId w:val="3"/>
  </w:num>
  <w:num w:numId="4" w16cid:durableId="1122109709">
    <w:abstractNumId w:val="7"/>
  </w:num>
  <w:num w:numId="5" w16cid:durableId="1654867826">
    <w:abstractNumId w:val="16"/>
  </w:num>
  <w:num w:numId="6" w16cid:durableId="759258068">
    <w:abstractNumId w:val="5"/>
  </w:num>
  <w:num w:numId="7" w16cid:durableId="122113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12033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9540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163862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527588">
    <w:abstractNumId w:val="1"/>
  </w:num>
  <w:num w:numId="12" w16cid:durableId="1151756707">
    <w:abstractNumId w:val="6"/>
  </w:num>
  <w:num w:numId="13" w16cid:durableId="1664432982">
    <w:abstractNumId w:val="0"/>
  </w:num>
  <w:num w:numId="14" w16cid:durableId="376397875">
    <w:abstractNumId w:val="2"/>
  </w:num>
  <w:num w:numId="15" w16cid:durableId="1027486422">
    <w:abstractNumId w:val="9"/>
  </w:num>
  <w:num w:numId="16" w16cid:durableId="1792631290">
    <w:abstractNumId w:val="11"/>
  </w:num>
  <w:num w:numId="17" w16cid:durableId="1946955587">
    <w:abstractNumId w:val="14"/>
  </w:num>
  <w:num w:numId="18" w16cid:durableId="139808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C6C"/>
    <w:rsid w:val="002B6E58"/>
    <w:rsid w:val="002B72AC"/>
    <w:rsid w:val="002C519E"/>
    <w:rsid w:val="002C7992"/>
    <w:rsid w:val="002E2676"/>
    <w:rsid w:val="00366514"/>
    <w:rsid w:val="00393926"/>
    <w:rsid w:val="00590320"/>
    <w:rsid w:val="005F6CE1"/>
    <w:rsid w:val="006C75C1"/>
    <w:rsid w:val="007622E0"/>
    <w:rsid w:val="0084332E"/>
    <w:rsid w:val="00870D0C"/>
    <w:rsid w:val="009443DC"/>
    <w:rsid w:val="0095518A"/>
    <w:rsid w:val="009C351C"/>
    <w:rsid w:val="00A52318"/>
    <w:rsid w:val="00A71EB1"/>
    <w:rsid w:val="00A775EB"/>
    <w:rsid w:val="00AC1C0E"/>
    <w:rsid w:val="00BE1FF8"/>
    <w:rsid w:val="00C15F77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7961</Words>
  <Characters>4538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8</cp:revision>
  <dcterms:created xsi:type="dcterms:W3CDTF">2022-08-10T10:32:00Z</dcterms:created>
  <dcterms:modified xsi:type="dcterms:W3CDTF">2023-05-01T13:56:00Z</dcterms:modified>
</cp:coreProperties>
</file>