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B166982" w14:textId="77777777" w:rsidR="007B5C52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bookmarkStart w:id="0" w:name="_Hlk139641146"/>
      <w:r w:rsidRPr="007B5C52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 (Реагенти для підготовки та проведення постійного моніторингу рівня набутої резистентності до ВІЛ-інфекції)</w:t>
      </w:r>
      <w:r w:rsidRPr="007B5C52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bookmarkEnd w:id="0"/>
    <w:p w14:paraId="3673CAB5" w14:textId="1B21646D" w:rsidR="002B72AC" w:rsidRDefault="002B72AC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23375803" w14:textId="77777777" w:rsid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bCs/>
          <w:sz w:val="24"/>
          <w:szCs w:val="24"/>
        </w:rPr>
        <w:t xml:space="preserve">ДК 021:2015:33690000-3 - Лікарські засоби різні (Реагенти для підготовки та проведення постійного моніторингу рівня набутої резистентності до ВІЛ-інфекції) </w:t>
      </w:r>
    </w:p>
    <w:p w14:paraId="4439A3F5" w14:textId="139055C6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449C34DE" w14:textId="613770F2" w:rsidR="000B6D9F" w:rsidRDefault="007B5C5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C52">
        <w:rPr>
          <w:rFonts w:ascii="Times New Roman" w:hAnsi="Times New Roman"/>
          <w:sz w:val="24"/>
          <w:szCs w:val="24"/>
        </w:rPr>
        <w:t>UA-2023-06-21-012543-a</w:t>
      </w:r>
    </w:p>
    <w:p w14:paraId="1A43C2BE" w14:textId="77777777" w:rsidR="007B5C52" w:rsidRPr="0024553B" w:rsidRDefault="007B5C5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25E096F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B5C52" w:rsidRPr="007B5C52">
        <w:rPr>
          <w:rFonts w:ascii="Times New Roman" w:hAnsi="Times New Roman"/>
          <w:sz w:val="24"/>
          <w:szCs w:val="24"/>
        </w:rPr>
        <w:t>1 300 000 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6AB910B6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>1 300 000 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SILTP «Посилення лікування ВІЛ-інфекції, спроможності лабораторної мережі, замісної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Style w:val="1c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290"/>
        <w:gridCol w:w="1254"/>
        <w:gridCol w:w="3123"/>
        <w:gridCol w:w="1419"/>
        <w:gridCol w:w="1276"/>
      </w:tblGrid>
      <w:tr w:rsidR="007B5C52" w:rsidRPr="007B5C52" w14:paraId="4CC7D787" w14:textId="77777777" w:rsidTr="00B52288">
        <w:trPr>
          <w:tblHeader/>
        </w:trPr>
        <w:tc>
          <w:tcPr>
            <w:tcW w:w="562" w:type="dxa"/>
          </w:tcPr>
          <w:p w14:paraId="643D1FD7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14:paraId="17FB62F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254" w:type="dxa"/>
          </w:tcPr>
          <w:p w14:paraId="22102167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Код НК 024:2023</w:t>
            </w:r>
          </w:p>
        </w:tc>
        <w:tc>
          <w:tcPr>
            <w:tcW w:w="3123" w:type="dxa"/>
          </w:tcPr>
          <w:p w14:paraId="5FDE426F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Опис предмета закупівлі</w:t>
            </w:r>
          </w:p>
          <w:p w14:paraId="6CA78A3E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419" w:type="dxa"/>
          </w:tcPr>
          <w:p w14:paraId="726F584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Одиниця</w:t>
            </w:r>
          </w:p>
          <w:p w14:paraId="349A30B3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виміру</w:t>
            </w:r>
          </w:p>
        </w:tc>
        <w:tc>
          <w:tcPr>
            <w:tcW w:w="1276" w:type="dxa"/>
          </w:tcPr>
          <w:p w14:paraId="1A4B109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  <w:tr w:rsidR="007B5C52" w:rsidRPr="007B5C52" w14:paraId="2ECF38ED" w14:textId="77777777" w:rsidTr="00B52288">
        <w:tc>
          <w:tcPr>
            <w:tcW w:w="562" w:type="dxa"/>
          </w:tcPr>
          <w:p w14:paraId="29A4471D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</w:tcPr>
          <w:p w14:paraId="1E48DAAF" w14:textId="77777777" w:rsidR="007B5C52" w:rsidRPr="007B5C52" w:rsidRDefault="007B5C52" w:rsidP="007B5C52">
            <w:pPr>
              <w:spacing w:line="276" w:lineRule="auto"/>
              <w:rPr>
                <w:rFonts w:ascii="Times New Roman" w:hAnsi="Times New Roman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ферментної очистки продуктів ампліфікації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ExoSAP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-IT™ PCR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Product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Cleanup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reagent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6BFA396C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60091</w:t>
            </w:r>
          </w:p>
        </w:tc>
        <w:tc>
          <w:tcPr>
            <w:tcW w:w="3123" w:type="dxa"/>
          </w:tcPr>
          <w:p w14:paraId="7979D9D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 Набір реагентів має бути призначеним для ферментативного очищення продукту ампліфікації. </w:t>
            </w:r>
          </w:p>
          <w:p w14:paraId="52A820B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здатним в одну стадію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гідролізувати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надлишок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праймерів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і нуклеотидів для підготовки зразків до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ДНК.</w:t>
            </w:r>
          </w:p>
          <w:p w14:paraId="16FD060C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3.В кожній упаковці повинно бути достатньо реагенту для проведення 5000 реакцій.</w:t>
            </w:r>
          </w:p>
          <w:p w14:paraId="03DDB8D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4. Має бути придатним для використання у 30-хвилинному протоколу інкубації зразку.</w:t>
            </w:r>
          </w:p>
          <w:p w14:paraId="6C094967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5. Повинен бути сумісним з тест-системами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ThermoFisher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інтегразою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3B51D5D3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5.Термін придатності реагентів на момент поставки отримувачу повинен становити не менше 75% від загального терміну придатності або не менше 12 місяців до кінцевого терміну придатності.</w:t>
            </w:r>
          </w:p>
          <w:p w14:paraId="4D84DE9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D5BFFA6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4D6B775E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01107E3F" w14:textId="77777777" w:rsidTr="00B52288">
        <w:tc>
          <w:tcPr>
            <w:tcW w:w="562" w:type="dxa"/>
          </w:tcPr>
          <w:p w14:paraId="5EC7A587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</w:tcPr>
          <w:p w14:paraId="2C26062F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для видалення незв’язаного барвника для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BigDye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XTerminator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™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Purification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Kit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49C80041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62173</w:t>
            </w:r>
          </w:p>
        </w:tc>
        <w:tc>
          <w:tcPr>
            <w:tcW w:w="3123" w:type="dxa"/>
          </w:tcPr>
          <w:p w14:paraId="18BEACE2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1.Набір має бути призначеним для очищення реакцій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ДНК шляхом видалення  неінкорпорованих термінаторів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BigDye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™ та солей. </w:t>
            </w:r>
          </w:p>
          <w:p w14:paraId="65FB29D3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2.До складу кожного набору повинно входити два реагенти: 1) розчин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XTerminator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™ для очистки після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неінкорпорованих термінаторів барвників і вільних солей;  2) SAM™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Solution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– для стабілізації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реакції після очищення. </w:t>
            </w:r>
          </w:p>
          <w:p w14:paraId="6F8067AE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3.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 використанням програмного забезпечення з операційними системами Windows™ 2000 і Windows™ XP.</w:t>
            </w:r>
          </w:p>
          <w:p w14:paraId="2C166ADC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 В кожному наборі повинно бути достатньо реагентів для проведення 2500 реакцій.</w:t>
            </w:r>
          </w:p>
          <w:p w14:paraId="730E3C15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сумісним з тест-системами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ThermoFisher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інтегразою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0423DA62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6E7D92AD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270F613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229D213A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2F2119BC" w14:textId="77777777" w:rsidTr="00B52288">
        <w:tc>
          <w:tcPr>
            <w:tcW w:w="562" w:type="dxa"/>
          </w:tcPr>
          <w:p w14:paraId="70C7F7FF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</w:tcPr>
          <w:p w14:paraId="4281EBEC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Реагент полімер РОР-7 для розділення ДНК-фрагментів у генетичному аналізаторі 3500xl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(POP-7™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Polymer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3500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/3500xl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0D448C89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61220</w:t>
            </w:r>
          </w:p>
        </w:tc>
        <w:tc>
          <w:tcPr>
            <w:tcW w:w="3123" w:type="dxa"/>
          </w:tcPr>
          <w:p w14:paraId="19D02868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1.Повинен бути призначений для відокремлення фрагментів ДНК під час капілярного електрофорезу.</w:t>
            </w:r>
          </w:p>
          <w:p w14:paraId="61AADFF1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 використанням програмного забезпечення з операційними системами Windows™ 2000 і Windows™ XP.</w:t>
            </w:r>
          </w:p>
          <w:p w14:paraId="735E094C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фасованим у пакет, пакет повинен мати зовнішню упаковку. В кожній упаковці повинно бути достатньо реагенту для проведення 960 реакцій.</w:t>
            </w:r>
          </w:p>
          <w:p w14:paraId="7997A643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Полімер POP-7™ повинен бути універсальним і розробленим для читання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коротких та довгих послідовностей нуклеотидів.</w:t>
            </w:r>
          </w:p>
          <w:p w14:paraId="49D249B5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5.Повинен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236277DA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6.Термін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139CAA88" w14:textId="77777777" w:rsidR="007B5C52" w:rsidRPr="007B5C52" w:rsidRDefault="007B5C52" w:rsidP="007B5C52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C46F00E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48744252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B5C52" w:rsidRPr="007B5C52" w14:paraId="46BC7237" w14:textId="77777777" w:rsidTr="00B52288">
        <w:tc>
          <w:tcPr>
            <w:tcW w:w="562" w:type="dxa"/>
          </w:tcPr>
          <w:p w14:paraId="23E501E3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</w:tcPr>
          <w:p w14:paraId="23862AF9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Набір катодних буферів для генетичного аналізатора 3500</w:t>
            </w:r>
            <w:r w:rsidRPr="007B5C52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xl</w:t>
            </w: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Cathod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Buffer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Chamber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(CBC)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3500xl – Контейнер з катодним буфером 3500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series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6D2B4D33" w14:textId="77777777" w:rsidR="007B5C52" w:rsidRPr="007B5C52" w:rsidRDefault="007B5C52" w:rsidP="007B5C52">
            <w:pPr>
              <w:widowControl w:val="0"/>
              <w:tabs>
                <w:tab w:val="left" w:pos="315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123" w:type="dxa"/>
          </w:tcPr>
          <w:p w14:paraId="313D86F4" w14:textId="77777777" w:rsidR="007B5C52" w:rsidRPr="007B5C52" w:rsidRDefault="007B5C52" w:rsidP="007B5C52">
            <w:pPr>
              <w:widowControl w:val="0"/>
              <w:numPr>
                <w:ilvl w:val="0"/>
                <w:numId w:val="20"/>
              </w:numPr>
              <w:tabs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206F07FF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E9294C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38639481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4.Кожний контейнер повинен містити 1-кратний робочий розчин катодного буферу для проведення капілярного електрофорезу. </w:t>
            </w:r>
          </w:p>
          <w:p w14:paraId="5F44E16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два окремих відсіки: лівий повинен забезпечувати електрофорез, правий -  промивання капілярів і функцію викиду відпрацьованих полімерних відходів між ін'єкціями.</w:t>
            </w:r>
          </w:p>
          <w:p w14:paraId="7087B2EF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6.Верхня частина контейнеру повинна бути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герметизована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термогерметичною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пластиковою плівкою, яку легко можна зняти перед установкою на прилад. </w:t>
            </w:r>
          </w:p>
          <w:p w14:paraId="20E8737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7. Контейнер з катодним буфером повинен бути фасований у зовнішню упаковку. Кожна зовнішня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упаковка вміщує 4 окремі контейнери.</w:t>
            </w:r>
          </w:p>
          <w:p w14:paraId="10A23A6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8.Повинен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3AA84928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9.Термін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650B4A09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D24388C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19A47AB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C52" w:rsidRPr="007B5C52" w14:paraId="573A9C11" w14:textId="77777777" w:rsidTr="00B52288">
        <w:tc>
          <w:tcPr>
            <w:tcW w:w="562" w:type="dxa"/>
          </w:tcPr>
          <w:p w14:paraId="46769500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</w:tcPr>
          <w:p w14:paraId="4E3F05DA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анодних буферів для генетичного аналізатора 3500xl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Anode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Buffer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Chamber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(ABC)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3500xl – Контейнер з анодним буфером 3500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series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62D068C4" w14:textId="77777777" w:rsidR="007B5C52" w:rsidRPr="007B5C52" w:rsidRDefault="007B5C52" w:rsidP="007B5C52">
            <w:pPr>
              <w:widowControl w:val="0"/>
              <w:tabs>
                <w:tab w:val="left" w:pos="315"/>
              </w:tabs>
              <w:ind w:left="3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62691</w:t>
            </w:r>
          </w:p>
        </w:tc>
        <w:tc>
          <w:tcPr>
            <w:tcW w:w="3123" w:type="dxa"/>
          </w:tcPr>
          <w:p w14:paraId="7050089B" w14:textId="77777777" w:rsidR="007B5C52" w:rsidRPr="007B5C52" w:rsidRDefault="007B5C52" w:rsidP="007B5C52">
            <w:pPr>
              <w:widowControl w:val="0"/>
              <w:numPr>
                <w:ilvl w:val="0"/>
                <w:numId w:val="21"/>
              </w:numPr>
              <w:tabs>
                <w:tab w:val="left" w:pos="315"/>
              </w:tabs>
              <w:ind w:left="0" w:firstLine="3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придатним для проведення капілярного електрофорезу.</w:t>
            </w:r>
          </w:p>
          <w:p w14:paraId="4967279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567448C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 Повинен бути фасований в готовий до використання одноразовий контейнер з міткою радіочастотної ідентифікації (RFID).</w:t>
            </w:r>
          </w:p>
          <w:p w14:paraId="35BD5D2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4.Контейнер повинен містити 1-кратний робочий розчин анодного буферу для проведення капілярного електрофорезу. </w:t>
            </w:r>
          </w:p>
          <w:p w14:paraId="3CABF7D7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Контейнер повинен мати один відсік, заповнений анодним буфером.</w:t>
            </w:r>
          </w:p>
          <w:p w14:paraId="2C4FB5F1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6.Верхня частина контейнеру повинна бути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герметизована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термогерметичною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пластиковою плівкою, яку легко можна зняти перед установкою на прилад. </w:t>
            </w:r>
          </w:p>
          <w:p w14:paraId="0903B94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7. Кожний контейнер з анодним буфером повинен бути фасований у зовнішню упаковку. Кожна зовнішня упаковка включає 4 окремі контейнери.</w:t>
            </w:r>
          </w:p>
          <w:p w14:paraId="6EE82472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8. Реагент 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5ACB1E13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3D4DB810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99B0CA3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C40A659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C52" w:rsidRPr="007B5C52" w14:paraId="44B90F9A" w14:textId="77777777" w:rsidTr="00B52288">
        <w:tc>
          <w:tcPr>
            <w:tcW w:w="562" w:type="dxa"/>
          </w:tcPr>
          <w:p w14:paraId="7E821C34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0" w:type="dxa"/>
          </w:tcPr>
          <w:p w14:paraId="6080E389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Реагент для промивання полімерної помпи капілярного генетичного аналізатора (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Conditioning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reagent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3500xl) </w:t>
            </w:r>
          </w:p>
        </w:tc>
        <w:tc>
          <w:tcPr>
            <w:tcW w:w="1254" w:type="dxa"/>
          </w:tcPr>
          <w:p w14:paraId="4BA5E74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42693</w:t>
            </w:r>
          </w:p>
        </w:tc>
        <w:tc>
          <w:tcPr>
            <w:tcW w:w="3123" w:type="dxa"/>
          </w:tcPr>
          <w:p w14:paraId="36A710FF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243DDE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2. Повинен бути фасований в готовий до використання одноразовий пакет-мішечок.</w:t>
            </w:r>
          </w:p>
          <w:p w14:paraId="40A5BE6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3. Кожний пакет-мішечок  повинен мати достатній обсяг реагенту для заправки полімерного насоса або його промивання між змінами типу полімеру. </w:t>
            </w:r>
          </w:p>
          <w:p w14:paraId="3185CE62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7B5C52">
              <w:rPr>
                <w:rFonts w:ascii="Times New Roman" w:hAnsi="Times New Roman"/>
                <w:sz w:val="24"/>
                <w:szCs w:val="24"/>
              </w:rPr>
              <w:t xml:space="preserve">Верхня частина кріплення пакету-мішечка повинна бути закрита поліетиленовою плівкою,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яку легко можна зняти перед установкою на прилад. </w:t>
            </w:r>
          </w:p>
          <w:p w14:paraId="754B471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Кожний пакет-мішечок з реагентом повинен бути фасований у зовнішню упаковку. Кожна зовнішня упаковка включає 1 пакет-мішечок.</w:t>
            </w:r>
          </w:p>
          <w:p w14:paraId="63F30DC0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6. Реагент 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СЕ-IVD.</w:t>
            </w:r>
          </w:p>
          <w:p w14:paraId="7E637B3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7.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497A6EC7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8F8AFEA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7781AC39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C52" w:rsidRPr="007B5C52" w14:paraId="14144C90" w14:textId="77777777" w:rsidTr="00B52288">
        <w:tc>
          <w:tcPr>
            <w:tcW w:w="562" w:type="dxa"/>
          </w:tcPr>
          <w:p w14:paraId="0A985B65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0" w:type="dxa"/>
          </w:tcPr>
          <w:p w14:paraId="11F6DA02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Високоіонізований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формамид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HI-DI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Formamide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46162790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62510</w:t>
            </w:r>
          </w:p>
        </w:tc>
        <w:tc>
          <w:tcPr>
            <w:tcW w:w="3123" w:type="dxa"/>
          </w:tcPr>
          <w:p w14:paraId="5AF898ED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 Реагент повинен бути придатним для роботи на генетичному аналізаторі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E0F9F3B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Повинен бути придатним для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ресуспендування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зразків перед електрокінетичною ін’єкцією в системах капілярного електрофорезу.   </w:t>
            </w:r>
          </w:p>
          <w:p w14:paraId="085C59D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7B5C52">
              <w:t xml:space="preserve">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фасованим у флакон, об’ємом 5 мл та мати зовнішню упаковку. Кожна упаковка повинна містити 1 флакон.</w:t>
            </w:r>
          </w:p>
          <w:p w14:paraId="59EEC0C1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Повинен бути призначений для діагностики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vitro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мати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маркировку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СЕ-IVD.  </w:t>
            </w:r>
          </w:p>
          <w:p w14:paraId="3765826E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реагенту на момент поставки отримувачу повинен становити не менше 75% від загального терміну придатності.</w:t>
            </w:r>
          </w:p>
          <w:p w14:paraId="4C499964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E8E6C97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8E8BFD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C52" w:rsidRPr="007B5C52" w14:paraId="641011FA" w14:textId="77777777" w:rsidTr="00B52288">
        <w:tc>
          <w:tcPr>
            <w:tcW w:w="562" w:type="dxa"/>
          </w:tcPr>
          <w:p w14:paraId="69C9DF4A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</w:tcPr>
          <w:p w14:paraId="008815D2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виділення вірусної РНК/ДНК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QIAamp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Viral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RNA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Mini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Kit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7FB9B708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52521</w:t>
            </w:r>
          </w:p>
        </w:tc>
        <w:tc>
          <w:tcPr>
            <w:tcW w:w="3123" w:type="dxa"/>
          </w:tcPr>
          <w:p w14:paraId="12AFB262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1. Реагенти мають бути призначеними для виділення вірусної РНК із зразків плазми крові для подальшого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95B1E02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2. Набір повинен містити у своєму складі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мікроколонки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підвищення ефективності очищення вірусної РНК з повним видаленням інгібіторів ПЛР.</w:t>
            </w:r>
          </w:p>
          <w:p w14:paraId="379B2CB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3.В кожному наборі повинно бути достатньо реагентів та витратних матеріалів для виділення вірусної РНК не менше ніж з 250 зразків плазми крові.</w:t>
            </w:r>
          </w:p>
          <w:p w14:paraId="570F10DE" w14:textId="77777777" w:rsidR="007B5C52" w:rsidRPr="007B5C52" w:rsidRDefault="007B5C52" w:rsidP="007B5C52">
            <w:pPr>
              <w:widowControl w:val="0"/>
              <w:tabs>
                <w:tab w:val="left" w:pos="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4.Термін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7806EAD0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C6B296B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7620D173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0D6DF26D" w14:textId="77777777" w:rsidTr="00B52288">
        <w:tc>
          <w:tcPr>
            <w:tcW w:w="562" w:type="dxa"/>
          </w:tcPr>
          <w:p w14:paraId="578E7E8F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0" w:type="dxa"/>
          </w:tcPr>
          <w:p w14:paraId="109A0C85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Набір реагентів для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генотипування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ВІЛ-1 з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інтегразою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7B5C52"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HIV-1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Genotyping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Kit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with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Integrase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00DEF242" w14:textId="77777777" w:rsidR="007B5C52" w:rsidRPr="007B5C52" w:rsidRDefault="007B5C52" w:rsidP="007B5C52">
            <w:pPr>
              <w:widowControl w:val="0"/>
              <w:tabs>
                <w:tab w:val="left" w:pos="97"/>
                <w:tab w:val="left" w:pos="315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62173</w:t>
            </w:r>
          </w:p>
        </w:tc>
        <w:tc>
          <w:tcPr>
            <w:tcW w:w="3123" w:type="dxa"/>
          </w:tcPr>
          <w:p w14:paraId="04007A57" w14:textId="77777777" w:rsidR="007B5C52" w:rsidRPr="007B5C52" w:rsidRDefault="007B5C52" w:rsidP="007B5C52">
            <w:pPr>
              <w:widowControl w:val="0"/>
              <w:numPr>
                <w:ilvl w:val="0"/>
                <w:numId w:val="19"/>
              </w:numPr>
              <w:tabs>
                <w:tab w:val="left" w:pos="97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Реагенти мають бути призначеними для визначення мутацій резистентності ВІЛ-1 до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інгібіторів протеази, зворотної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транскриптази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інтегрази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методом Сенгера.</w:t>
            </w:r>
          </w:p>
          <w:p w14:paraId="2161FD1A" w14:textId="77777777" w:rsidR="007B5C52" w:rsidRPr="007B5C52" w:rsidRDefault="007B5C52" w:rsidP="007B5C52">
            <w:pPr>
              <w:widowControl w:val="0"/>
              <w:numPr>
                <w:ilvl w:val="0"/>
                <w:numId w:val="19"/>
              </w:numPr>
              <w:tabs>
                <w:tab w:val="left" w:pos="97"/>
                <w:tab w:val="left" w:pos="315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Аналітична чутливість реагентів має бути достатньою для виявлення 1000 копій РНК ВІЛ-1 в 1 мл плазми крові</w:t>
            </w:r>
          </w:p>
          <w:p w14:paraId="473794D6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3.В кожній упаковці повинно бути достатньо реагентів для проведення 48 реакцій RT-PCR, 48 реакцій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Nested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PCR, 48 реакцій циклічного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секвенування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геному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ВІЛ.</w:t>
            </w:r>
          </w:p>
          <w:p w14:paraId="3A55ADBF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 Реагенти повинні бути оптимізовані для роботи з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ампліфікаторами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виробництва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та генетичним аналізатором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Applied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Biosystems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3500xl 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Dx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Genetic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Analyzers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F74C03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5. 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  <w:p w14:paraId="412BB77A" w14:textId="77777777" w:rsidR="007B5C52" w:rsidRPr="007B5C52" w:rsidRDefault="007B5C52" w:rsidP="007B5C52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52A997D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0E4F25E8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C52" w:rsidRPr="007B5C52" w14:paraId="63CFAA84" w14:textId="77777777" w:rsidTr="00B52288">
        <w:tc>
          <w:tcPr>
            <w:tcW w:w="562" w:type="dxa"/>
          </w:tcPr>
          <w:p w14:paraId="4DF9FB77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0" w:type="dxa"/>
          </w:tcPr>
          <w:p w14:paraId="0A30E318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Агароза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для гель-електрофорезу (в таблетках)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Top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Vision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Agarose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Tablets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(0,5 g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per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tablet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1084C18D" w14:textId="77777777" w:rsidR="007B5C52" w:rsidRPr="007B5C52" w:rsidRDefault="007B5C52" w:rsidP="007B5C52">
            <w:pPr>
              <w:widowControl w:val="0"/>
              <w:tabs>
                <w:tab w:val="left" w:pos="150"/>
              </w:tabs>
              <w:ind w:left="-4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41906</w:t>
            </w:r>
          </w:p>
        </w:tc>
        <w:tc>
          <w:tcPr>
            <w:tcW w:w="3123" w:type="dxa"/>
          </w:tcPr>
          <w:p w14:paraId="5001E9AE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150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Повинна бути придатна для проведення гель-електрофорезу </w:t>
            </w:r>
          </w:p>
          <w:p w14:paraId="746E9F89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0"/>
                <w:tab w:val="left" w:pos="150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Повинна мати стандартну температуру плавлення, що дає високу роздільну здатність, чіткі смуги ДНК з високою чіткістю та низьким фоном.</w:t>
            </w:r>
          </w:p>
          <w:p w14:paraId="52EB371D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Повинна бути фасована у вигляді таблеток, в зручній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блістерній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упаковці.</w:t>
            </w:r>
          </w:p>
          <w:p w14:paraId="24AE468D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Таблетки повинні мати легкорозчинну структуру.</w:t>
            </w:r>
          </w:p>
          <w:p w14:paraId="4CD56218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Кожна таблетка повинна мати вагу 0,5 грам.</w:t>
            </w:r>
          </w:p>
          <w:p w14:paraId="31210883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В упаковці повинно бути не менше 200 таблеток. </w:t>
            </w:r>
          </w:p>
          <w:p w14:paraId="5B50629A" w14:textId="77777777" w:rsidR="007B5C52" w:rsidRPr="007B5C52" w:rsidRDefault="007B5C52" w:rsidP="007B5C52">
            <w:pPr>
              <w:widowControl w:val="0"/>
              <w:numPr>
                <w:ilvl w:val="0"/>
                <w:numId w:val="22"/>
              </w:numPr>
              <w:tabs>
                <w:tab w:val="left" w:pos="238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Термін придатності реагентів на момент поставки отримувачу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повинен становити не менше 75% від загального терміну придатності.</w:t>
            </w:r>
          </w:p>
        </w:tc>
        <w:tc>
          <w:tcPr>
            <w:tcW w:w="1419" w:type="dxa"/>
          </w:tcPr>
          <w:p w14:paraId="35E3A60E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9664771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C52" w:rsidRPr="007B5C52" w14:paraId="3C53A620" w14:textId="77777777" w:rsidTr="00B52288">
        <w:tc>
          <w:tcPr>
            <w:tcW w:w="562" w:type="dxa"/>
          </w:tcPr>
          <w:p w14:paraId="30CD7C85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0" w:type="dxa"/>
          </w:tcPr>
          <w:p w14:paraId="562EC9BD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10-кратний буфер для електрофорезу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UltraPure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10x TBE (1 x 1L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bottle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5BFE462E" w14:textId="77777777" w:rsidR="007B5C52" w:rsidRPr="007B5C52" w:rsidRDefault="007B5C52" w:rsidP="007B5C52">
            <w:pPr>
              <w:widowControl w:val="0"/>
              <w:tabs>
                <w:tab w:val="left" w:pos="0"/>
                <w:tab w:val="left" w:pos="29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58237</w:t>
            </w:r>
          </w:p>
        </w:tc>
        <w:tc>
          <w:tcPr>
            <w:tcW w:w="3123" w:type="dxa"/>
          </w:tcPr>
          <w:p w14:paraId="44D7297A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придатним для електрофорезу в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агарозному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гелі.</w:t>
            </w:r>
          </w:p>
          <w:p w14:paraId="0D5F1433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мати 10-кратну концентрацію для приготування 1-кратного робочого розчину.</w:t>
            </w:r>
          </w:p>
          <w:p w14:paraId="1396AB11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містити розчин 1 М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Трис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, 0,9 М борної кислоти та 0,01 М EDTA.</w:t>
            </w:r>
          </w:p>
          <w:p w14:paraId="162D6A0B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фасований у пластикову пляшку/флакон об’ємом 1 мл.</w:t>
            </w:r>
          </w:p>
          <w:p w14:paraId="6749EAAE" w14:textId="77777777" w:rsidR="007B5C52" w:rsidRPr="007B5C52" w:rsidRDefault="007B5C52" w:rsidP="007B5C52">
            <w:pPr>
              <w:widowControl w:val="0"/>
              <w:numPr>
                <w:ilvl w:val="0"/>
                <w:numId w:val="23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Термін придатності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419" w:type="dxa"/>
          </w:tcPr>
          <w:p w14:paraId="19BD0861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76" w:type="dxa"/>
          </w:tcPr>
          <w:p w14:paraId="03F72BB0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11A0EE23" w14:textId="77777777" w:rsidTr="00B52288">
        <w:tc>
          <w:tcPr>
            <w:tcW w:w="562" w:type="dxa"/>
          </w:tcPr>
          <w:p w14:paraId="7018F363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0" w:type="dxa"/>
          </w:tcPr>
          <w:p w14:paraId="083E0E09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6-кратний ДНК маркер для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агарозного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електрофорезу 6xDNA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Loading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Dye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(5 x 1.0mL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tubes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4FAD267E" w14:textId="77777777" w:rsidR="007B5C52" w:rsidRPr="007B5C52" w:rsidRDefault="007B5C52" w:rsidP="007B5C52">
            <w:pPr>
              <w:widowControl w:val="0"/>
              <w:tabs>
                <w:tab w:val="left" w:pos="-49"/>
                <w:tab w:val="left" w:pos="29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41906</w:t>
            </w:r>
          </w:p>
        </w:tc>
        <w:tc>
          <w:tcPr>
            <w:tcW w:w="3123" w:type="dxa"/>
          </w:tcPr>
          <w:p w14:paraId="40AA8498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придатний для підготовки зразків ДНК для нанесення на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агарозний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гель.</w:t>
            </w:r>
          </w:p>
          <w:p w14:paraId="68AD865F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містити два різних барвники (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бромфеноловий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синій і ксилол-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ціанол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FF) для візуального відстеження міграції ДНК під час електрофорезу.</w:t>
            </w:r>
          </w:p>
          <w:p w14:paraId="6408CB78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мати 6-кратну концентрацію.</w:t>
            </w:r>
          </w:p>
          <w:p w14:paraId="40729615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фасований у пробірку, а пробірка – у зовнішню упаковку. </w:t>
            </w:r>
          </w:p>
          <w:p w14:paraId="06F47528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Кожна пробірка повинна містити об’єм ДНК маркеру не менше 1 мл.</w:t>
            </w:r>
          </w:p>
          <w:p w14:paraId="6B3F249E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  <w:tab w:val="left" w:pos="567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Кожна упаковка повинна містити не менш 5 пробірок, об’ємом не менш 1 мл кожна.</w:t>
            </w:r>
          </w:p>
          <w:p w14:paraId="706CBE3A" w14:textId="77777777" w:rsidR="007B5C52" w:rsidRPr="007B5C52" w:rsidRDefault="007B5C52" w:rsidP="007B5C52">
            <w:pPr>
              <w:widowControl w:val="0"/>
              <w:numPr>
                <w:ilvl w:val="0"/>
                <w:numId w:val="24"/>
              </w:numPr>
              <w:tabs>
                <w:tab w:val="left" w:pos="-49"/>
                <w:tab w:val="left" w:pos="93"/>
                <w:tab w:val="left" w:pos="292"/>
                <w:tab w:val="left" w:pos="567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4.Термін придатності на момент поставки отримувачу повинен становити не менше 75% від загального терміну </w:t>
            </w: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придатності.</w:t>
            </w:r>
          </w:p>
        </w:tc>
        <w:tc>
          <w:tcPr>
            <w:tcW w:w="1419" w:type="dxa"/>
          </w:tcPr>
          <w:p w14:paraId="16CAA897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</w:tcPr>
          <w:p w14:paraId="77B26385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2F8D534F" w14:textId="77777777" w:rsidTr="00B52288">
        <w:tc>
          <w:tcPr>
            <w:tcW w:w="562" w:type="dxa"/>
          </w:tcPr>
          <w:p w14:paraId="65DC8243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90" w:type="dxa"/>
          </w:tcPr>
          <w:p w14:paraId="577E4477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ДНК-маркер для кількісної оцінки ДНК в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агарозному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гелі </w:t>
            </w:r>
          </w:p>
          <w:p w14:paraId="22157A4D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FastRuler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Middle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Range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DNA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Ladder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(1 x 1mL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bottle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254" w:type="dxa"/>
          </w:tcPr>
          <w:p w14:paraId="2D01931F" w14:textId="77777777" w:rsidR="007B5C52" w:rsidRPr="007B5C52" w:rsidRDefault="007B5C52" w:rsidP="007B5C52">
            <w:pPr>
              <w:widowControl w:val="0"/>
              <w:tabs>
                <w:tab w:val="left" w:pos="0"/>
                <w:tab w:val="left" w:pos="29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41906</w:t>
            </w:r>
          </w:p>
        </w:tc>
        <w:tc>
          <w:tcPr>
            <w:tcW w:w="3123" w:type="dxa"/>
          </w:tcPr>
          <w:p w14:paraId="3075DA1D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придатний для електрофорезу продуктів ПЛР.</w:t>
            </w:r>
          </w:p>
          <w:p w14:paraId="343D59CF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придатний для швидкого визначення розміру та приблизної кількісної оцінки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дволанцюгової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ДНК в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агарозних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гелях.</w:t>
            </w:r>
          </w:p>
          <w:p w14:paraId="30AB3AC8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мати у складі розчин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бромфенолового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синього.</w:t>
            </w:r>
          </w:p>
          <w:p w14:paraId="33FAE9AB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готовий для використання.</w:t>
            </w:r>
          </w:p>
          <w:p w14:paraId="3BE304E3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поставлятися у наборі із завантажувальним розчином барвника для зразку ДНК.</w:t>
            </w:r>
          </w:p>
          <w:p w14:paraId="0F3F420C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бути фасованим у пробірку, об’ємом 1 мл, а пробірка - у зовнішню упаковку.</w:t>
            </w:r>
          </w:p>
          <w:p w14:paraId="08D58813" w14:textId="77777777" w:rsidR="007B5C52" w:rsidRPr="007B5C52" w:rsidRDefault="007B5C52" w:rsidP="007B5C52">
            <w:pPr>
              <w:widowControl w:val="0"/>
              <w:numPr>
                <w:ilvl w:val="0"/>
                <w:numId w:val="25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Термін придатності реагентів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419" w:type="dxa"/>
          </w:tcPr>
          <w:p w14:paraId="02D1FFD9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4D50CB1F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C52" w:rsidRPr="007B5C52" w14:paraId="1E9F8A17" w14:textId="77777777" w:rsidTr="00B52288">
        <w:tc>
          <w:tcPr>
            <w:tcW w:w="562" w:type="dxa"/>
          </w:tcPr>
          <w:p w14:paraId="5BC1CF85" w14:textId="77777777" w:rsidR="007B5C52" w:rsidRPr="007B5C52" w:rsidRDefault="007B5C52" w:rsidP="007B5C52">
            <w:pPr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90" w:type="dxa"/>
          </w:tcPr>
          <w:p w14:paraId="354308A5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Барвник для візуалізації ДНК в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агарозному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гелі </w:t>
            </w:r>
          </w:p>
          <w:p w14:paraId="67AF67EC" w14:textId="77777777" w:rsidR="007B5C52" w:rsidRPr="007B5C52" w:rsidRDefault="007B5C52" w:rsidP="007B5C5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SYBR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Safe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DNA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Gel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>Stain</w:t>
            </w:r>
            <w:proofErr w:type="spellEnd"/>
            <w:r w:rsidRPr="007B5C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</w:tcPr>
          <w:p w14:paraId="4F32BB99" w14:textId="77777777" w:rsidR="007B5C52" w:rsidRPr="007B5C52" w:rsidRDefault="007B5C52" w:rsidP="007B5C52">
            <w:pPr>
              <w:widowControl w:val="0"/>
              <w:tabs>
                <w:tab w:val="left" w:pos="0"/>
                <w:tab w:val="left" w:pos="292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41906</w:t>
            </w:r>
          </w:p>
        </w:tc>
        <w:tc>
          <w:tcPr>
            <w:tcW w:w="3123" w:type="dxa"/>
          </w:tcPr>
          <w:p w14:paraId="6853C7E1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придатний для візуалізації ДНК в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агарозному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 гелі.</w:t>
            </w:r>
          </w:p>
          <w:p w14:paraId="7127E0C5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Повинен забезпечувати високу чутливість у візуалізації та документуванні нуклеїнових кислот за допомогою УФ-збудження або синього світла.</w:t>
            </w:r>
          </w:p>
          <w:p w14:paraId="21E6E433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Повинен бути фасований у пробірку і мати об’єм не менше 400 </w:t>
            </w:r>
            <w:proofErr w:type="spellStart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мкл</w:t>
            </w:r>
            <w:proofErr w:type="spellEnd"/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1CD2B1B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 xml:space="preserve">Пробірка повинна мати зовнішню упаковку. </w:t>
            </w:r>
          </w:p>
          <w:p w14:paraId="26FB7597" w14:textId="77777777" w:rsidR="007B5C52" w:rsidRPr="007B5C52" w:rsidRDefault="007B5C52" w:rsidP="007B5C52">
            <w:pPr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292"/>
              </w:tabs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C52">
              <w:rPr>
                <w:rFonts w:ascii="Times New Roman" w:eastAsia="Times New Roman" w:hAnsi="Times New Roman"/>
                <w:sz w:val="24"/>
                <w:szCs w:val="24"/>
              </w:rPr>
              <w:t>4.Термін придатності на момент поставки отримувачу повинен становити не менше 75% від загального терміну придатності.</w:t>
            </w:r>
          </w:p>
        </w:tc>
        <w:tc>
          <w:tcPr>
            <w:tcW w:w="1419" w:type="dxa"/>
          </w:tcPr>
          <w:p w14:paraId="17DADFF9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</w:tcPr>
          <w:p w14:paraId="42CF1D30" w14:textId="77777777" w:rsidR="007B5C52" w:rsidRPr="007B5C52" w:rsidRDefault="007B5C52" w:rsidP="007B5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BEF6" w14:textId="77777777" w:rsidR="008F229E" w:rsidRDefault="008F229E" w:rsidP="0024553B">
      <w:pPr>
        <w:spacing w:after="0" w:line="240" w:lineRule="auto"/>
      </w:pPr>
      <w:r>
        <w:separator/>
      </w:r>
    </w:p>
  </w:endnote>
  <w:endnote w:type="continuationSeparator" w:id="0">
    <w:p w14:paraId="259FAC3E" w14:textId="77777777" w:rsidR="008F229E" w:rsidRDefault="008F229E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7903" w14:textId="77777777" w:rsidR="008F229E" w:rsidRDefault="008F229E" w:rsidP="0024553B">
      <w:pPr>
        <w:spacing w:after="0" w:line="240" w:lineRule="auto"/>
      </w:pPr>
      <w:r>
        <w:separator/>
      </w:r>
    </w:p>
  </w:footnote>
  <w:footnote w:type="continuationSeparator" w:id="0">
    <w:p w14:paraId="47AEFD24" w14:textId="77777777" w:rsidR="008F229E" w:rsidRDefault="008F229E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 w16cid:durableId="625702347">
    <w:abstractNumId w:val="22"/>
  </w:num>
  <w:num w:numId="2" w16cid:durableId="2125691822">
    <w:abstractNumId w:val="18"/>
  </w:num>
  <w:num w:numId="3" w16cid:durableId="95293173">
    <w:abstractNumId w:val="3"/>
  </w:num>
  <w:num w:numId="4" w16cid:durableId="1097018080">
    <w:abstractNumId w:val="9"/>
  </w:num>
  <w:num w:numId="5" w16cid:durableId="312297965">
    <w:abstractNumId w:val="23"/>
  </w:num>
  <w:num w:numId="6" w16cid:durableId="397752336">
    <w:abstractNumId w:val="6"/>
  </w:num>
  <w:num w:numId="7" w16cid:durableId="11815039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8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4"/>
  </w:num>
  <w:num w:numId="16" w16cid:durableId="2039314345">
    <w:abstractNumId w:val="17"/>
  </w:num>
  <w:num w:numId="17" w16cid:durableId="224612994">
    <w:abstractNumId w:val="20"/>
  </w:num>
  <w:num w:numId="18" w16cid:durableId="1751346895">
    <w:abstractNumId w:val="15"/>
  </w:num>
  <w:num w:numId="19" w16cid:durableId="1435906346">
    <w:abstractNumId w:val="7"/>
  </w:num>
  <w:num w:numId="20" w16cid:durableId="1576696269">
    <w:abstractNumId w:val="21"/>
  </w:num>
  <w:num w:numId="21" w16cid:durableId="2133359081">
    <w:abstractNumId w:val="11"/>
  </w:num>
  <w:num w:numId="22" w16cid:durableId="608203045">
    <w:abstractNumId w:val="5"/>
  </w:num>
  <w:num w:numId="23" w16cid:durableId="1859586909">
    <w:abstractNumId w:val="13"/>
  </w:num>
  <w:num w:numId="24" w16cid:durableId="623772542">
    <w:abstractNumId w:val="24"/>
  </w:num>
  <w:num w:numId="25" w16cid:durableId="527529484">
    <w:abstractNumId w:val="16"/>
  </w:num>
  <w:num w:numId="26" w16cid:durableId="246573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366514"/>
    <w:rsid w:val="00393926"/>
    <w:rsid w:val="00590320"/>
    <w:rsid w:val="005F6CE1"/>
    <w:rsid w:val="006C75C1"/>
    <w:rsid w:val="007622E0"/>
    <w:rsid w:val="007B5C52"/>
    <w:rsid w:val="0084332E"/>
    <w:rsid w:val="00870D0C"/>
    <w:rsid w:val="008F229E"/>
    <w:rsid w:val="009443DC"/>
    <w:rsid w:val="0095518A"/>
    <w:rsid w:val="00A52318"/>
    <w:rsid w:val="00A71EB1"/>
    <w:rsid w:val="00A775EB"/>
    <w:rsid w:val="00AC1C0E"/>
    <w:rsid w:val="00BE1FF8"/>
    <w:rsid w:val="00C15F77"/>
    <w:rsid w:val="00CA68E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9708</Words>
  <Characters>5535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2</cp:revision>
  <dcterms:created xsi:type="dcterms:W3CDTF">2023-07-07T13:56:00Z</dcterms:created>
  <dcterms:modified xsi:type="dcterms:W3CDTF">2023-07-07T13:56:00Z</dcterms:modified>
</cp:coreProperties>
</file>