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673CAB5" w14:textId="27CFBBB8" w:rsidR="002B72AC" w:rsidRDefault="00881B3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81B32">
        <w:rPr>
          <w:rFonts w:ascii="Times New Roman" w:hAnsi="Times New Roman"/>
          <w:b/>
          <w:bCs/>
          <w:sz w:val="24"/>
          <w:szCs w:val="24"/>
        </w:rPr>
        <w:t xml:space="preserve">ДК 021:2015:33190000-8 - Медичне обладнання та вироби медичного призначення різні (Наконечники та </w:t>
      </w:r>
      <w:proofErr w:type="spellStart"/>
      <w:r w:rsidRPr="00881B32">
        <w:rPr>
          <w:rFonts w:ascii="Times New Roman" w:hAnsi="Times New Roman"/>
          <w:b/>
          <w:bCs/>
          <w:sz w:val="24"/>
          <w:szCs w:val="24"/>
        </w:rPr>
        <w:t>мікропробірка</w:t>
      </w:r>
      <w:proofErr w:type="spellEnd"/>
      <w:r w:rsidRPr="00881B32">
        <w:rPr>
          <w:rFonts w:ascii="Times New Roman" w:hAnsi="Times New Roman"/>
          <w:b/>
          <w:bCs/>
          <w:sz w:val="24"/>
          <w:szCs w:val="24"/>
        </w:rPr>
        <w:t>)</w:t>
      </w:r>
      <w:r w:rsidRPr="00881B32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24553B" w:rsidRDefault="007B5C52" w:rsidP="007B5C52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8B76309" w14:textId="77777777" w:rsidR="00881B3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81B32" w:rsidRPr="00881B32">
        <w:rPr>
          <w:rFonts w:ascii="Times New Roman" w:hAnsi="Times New Roman"/>
          <w:bCs/>
          <w:sz w:val="24"/>
          <w:szCs w:val="24"/>
        </w:rPr>
        <w:t xml:space="preserve">ДК 021:2015:33190000-8 - Медичне обладнання та вироби медичного призначення різні (Наконечники та </w:t>
      </w:r>
      <w:proofErr w:type="spellStart"/>
      <w:r w:rsidR="00881B32" w:rsidRPr="00881B32">
        <w:rPr>
          <w:rFonts w:ascii="Times New Roman" w:hAnsi="Times New Roman"/>
          <w:bCs/>
          <w:sz w:val="24"/>
          <w:szCs w:val="24"/>
        </w:rPr>
        <w:t>мікропробірка</w:t>
      </w:r>
      <w:proofErr w:type="spellEnd"/>
      <w:r w:rsidR="00881B32" w:rsidRPr="00881B32">
        <w:rPr>
          <w:rFonts w:ascii="Times New Roman" w:hAnsi="Times New Roman"/>
          <w:bCs/>
          <w:sz w:val="24"/>
          <w:szCs w:val="24"/>
        </w:rPr>
        <w:t>)</w:t>
      </w:r>
    </w:p>
    <w:p w14:paraId="4439A3F5" w14:textId="3F173775" w:rsidR="0024553B" w:rsidRPr="007B5C52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>Відкриті торги</w:t>
      </w:r>
      <w:r w:rsidR="007B5C52" w:rsidRPr="007B5C52">
        <w:rPr>
          <w:rFonts w:ascii="Times New Roman" w:hAnsi="Times New Roman"/>
          <w:sz w:val="24"/>
          <w:szCs w:val="24"/>
        </w:rPr>
        <w:t xml:space="preserve"> особливостями</w:t>
      </w:r>
    </w:p>
    <w:p w14:paraId="31CBE3F9" w14:textId="72A9AEBE" w:rsidR="004D5770" w:rsidRDefault="00881B32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B32">
        <w:rPr>
          <w:rFonts w:ascii="Times New Roman" w:hAnsi="Times New Roman"/>
          <w:sz w:val="24"/>
          <w:szCs w:val="24"/>
        </w:rPr>
        <w:t>UA-2023-07-07-011667-a</w:t>
      </w:r>
    </w:p>
    <w:p w14:paraId="3E732556" w14:textId="77777777" w:rsidR="00881B32" w:rsidRPr="0024553B" w:rsidRDefault="00881B32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1F1EE50A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881B32">
        <w:rPr>
          <w:rFonts w:ascii="Times New Roman" w:hAnsi="Times New Roman"/>
          <w:sz w:val="24"/>
          <w:szCs w:val="24"/>
        </w:rPr>
        <w:t>113 000</w:t>
      </w:r>
      <w:r w:rsidR="004D5770">
        <w:rPr>
          <w:rFonts w:ascii="Times New Roman" w:hAnsi="Times New Roman"/>
          <w:sz w:val="24"/>
          <w:szCs w:val="24"/>
        </w:rPr>
        <w:t>,00</w:t>
      </w:r>
      <w:r w:rsidR="007B5C52" w:rsidRPr="007B5C52">
        <w:rPr>
          <w:rFonts w:ascii="Times New Roman" w:hAnsi="Times New Roman"/>
          <w:sz w:val="24"/>
          <w:szCs w:val="24"/>
        </w:rPr>
        <w:t xml:space="preserve"> грн без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018FCBA4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881B32">
        <w:rPr>
          <w:rFonts w:ascii="Times New Roman" w:hAnsi="Times New Roman"/>
          <w:sz w:val="24"/>
          <w:szCs w:val="24"/>
        </w:rPr>
        <w:t>113 000</w:t>
      </w:r>
      <w:r w:rsidR="00E44481">
        <w:rPr>
          <w:rFonts w:ascii="Times New Roman" w:hAnsi="Times New Roman"/>
          <w:sz w:val="24"/>
          <w:szCs w:val="24"/>
        </w:rPr>
        <w:t>,00</w:t>
      </w:r>
      <w:r w:rsidR="007B5C52" w:rsidRPr="007B5C52">
        <w:rPr>
          <w:rFonts w:ascii="Times New Roman" w:hAnsi="Times New Roman"/>
          <w:sz w:val="24"/>
          <w:szCs w:val="24"/>
        </w:rPr>
        <w:t xml:space="preserve"> грн без ПДВ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.</w:t>
      </w:r>
    </w:p>
    <w:p w14:paraId="77118DDD" w14:textId="77777777" w:rsidR="002C519E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1D5195A0" w14:textId="77777777" w:rsidR="002C519E" w:rsidRDefault="00A71EB1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A71EB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– кошти міжнародної технічної допомоги, виділені за проектом </w:t>
      </w:r>
      <w:r w:rsidR="002C519E" w:rsidRPr="002C519E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SILTP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0BCEF31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lastRenderedPageBreak/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6699A11E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</w:t>
      </w:r>
      <w:r w:rsidR="00A71EB1">
        <w:rPr>
          <w:rFonts w:ascii="Times New Roman" w:hAnsi="Times New Roman"/>
          <w:sz w:val="24"/>
          <w:szCs w:val="24"/>
        </w:rPr>
        <w:t>д</w:t>
      </w:r>
      <w:r w:rsidR="00366514" w:rsidRPr="0024553B">
        <w:rPr>
          <w:rFonts w:ascii="Times New Roman" w:hAnsi="Times New Roman"/>
          <w:sz w:val="24"/>
          <w:szCs w:val="24"/>
        </w:rPr>
        <w:t xml:space="preserve">о 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29</w:t>
      </w:r>
      <w:r w:rsidR="002C519E" w:rsidRPr="002C519E">
        <w:rPr>
          <w:rFonts w:ascii="Times New Roman" w:hAnsi="Times New Roman"/>
          <w:sz w:val="24"/>
          <w:szCs w:val="24"/>
        </w:rPr>
        <w:t>.</w:t>
      </w:r>
      <w:r w:rsidR="000B6D9F" w:rsidRPr="007B5C52">
        <w:rPr>
          <w:rFonts w:ascii="Times New Roman" w:hAnsi="Times New Roman"/>
          <w:sz w:val="24"/>
          <w:szCs w:val="24"/>
          <w:lang w:val="ru-RU"/>
        </w:rPr>
        <w:t>09.</w:t>
      </w:r>
      <w:r w:rsidR="002C519E" w:rsidRPr="002C519E">
        <w:rPr>
          <w:rFonts w:ascii="Times New Roman" w:hAnsi="Times New Roman"/>
          <w:sz w:val="24"/>
          <w:szCs w:val="24"/>
        </w:rPr>
        <w:t>2023</w:t>
      </w:r>
      <w:r w:rsidR="007B5C52">
        <w:rPr>
          <w:rFonts w:ascii="Times New Roman" w:hAnsi="Times New Roman"/>
          <w:sz w:val="24"/>
          <w:szCs w:val="24"/>
        </w:rPr>
        <w:t xml:space="preserve"> року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5D74E357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52DE8A8F" w14:textId="77777777" w:rsidR="00A71EB1" w:rsidRDefault="00A71EB1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71EB1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4865C80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0C70A6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lastRenderedPageBreak/>
        <w:t xml:space="preserve">МЕДИКО-ТЕХНІЧНІ ВИМОГИ </w:t>
      </w:r>
    </w:p>
    <w:p w14:paraId="719765A6" w14:textId="77777777" w:rsidR="000C70A6" w:rsidRPr="000C70A6" w:rsidRDefault="000C70A6" w:rsidP="000C70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tbl>
      <w:tblPr>
        <w:tblStyle w:val="1c"/>
        <w:tblW w:w="9557" w:type="dxa"/>
        <w:tblLayout w:type="fixed"/>
        <w:tblLook w:val="04A0" w:firstRow="1" w:lastRow="0" w:firstColumn="1" w:lastColumn="0" w:noHBand="0" w:noVBand="1"/>
      </w:tblPr>
      <w:tblGrid>
        <w:gridCol w:w="461"/>
        <w:gridCol w:w="1830"/>
        <w:gridCol w:w="1123"/>
        <w:gridCol w:w="3669"/>
        <w:gridCol w:w="1265"/>
        <w:gridCol w:w="1209"/>
      </w:tblGrid>
      <w:tr w:rsidR="00881B32" w:rsidRPr="00881B32" w14:paraId="4E8F4A53" w14:textId="77777777" w:rsidTr="00976CD0">
        <w:trPr>
          <w:tblHeader/>
        </w:trPr>
        <w:tc>
          <w:tcPr>
            <w:tcW w:w="461" w:type="dxa"/>
          </w:tcPr>
          <w:p w14:paraId="153E66AF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30" w:type="dxa"/>
          </w:tcPr>
          <w:p w14:paraId="15F607DE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Назва предмету закупівлі</w:t>
            </w:r>
          </w:p>
        </w:tc>
        <w:tc>
          <w:tcPr>
            <w:tcW w:w="1123" w:type="dxa"/>
          </w:tcPr>
          <w:p w14:paraId="1A987D48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Код НК 024:2023</w:t>
            </w:r>
          </w:p>
        </w:tc>
        <w:tc>
          <w:tcPr>
            <w:tcW w:w="3669" w:type="dxa"/>
          </w:tcPr>
          <w:p w14:paraId="670AFE62" w14:textId="77777777" w:rsidR="00881B32" w:rsidRPr="00881B32" w:rsidRDefault="00881B32" w:rsidP="00881B32">
            <w:pPr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Опис предмета закупівлі</w:t>
            </w:r>
          </w:p>
          <w:p w14:paraId="2BCDDD87" w14:textId="77777777" w:rsidR="00881B32" w:rsidRPr="00881B32" w:rsidRDefault="00881B32" w:rsidP="00881B32">
            <w:pPr>
              <w:ind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(технічні, якісні характеристики)</w:t>
            </w:r>
          </w:p>
        </w:tc>
        <w:tc>
          <w:tcPr>
            <w:tcW w:w="1265" w:type="dxa"/>
          </w:tcPr>
          <w:p w14:paraId="13B85B6A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Одиниця</w:t>
            </w:r>
          </w:p>
          <w:p w14:paraId="22979D0B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виміру</w:t>
            </w:r>
          </w:p>
        </w:tc>
        <w:tc>
          <w:tcPr>
            <w:tcW w:w="1209" w:type="dxa"/>
          </w:tcPr>
          <w:p w14:paraId="2D7076EE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</w:tr>
      <w:tr w:rsidR="00881B32" w:rsidRPr="00881B32" w14:paraId="127213EC" w14:textId="77777777" w:rsidTr="00976CD0">
        <w:tc>
          <w:tcPr>
            <w:tcW w:w="461" w:type="dxa"/>
          </w:tcPr>
          <w:p w14:paraId="6A231F07" w14:textId="77777777" w:rsidR="00881B32" w:rsidRPr="00881B32" w:rsidRDefault="00881B32" w:rsidP="00881B32">
            <w:pPr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30" w:type="dxa"/>
          </w:tcPr>
          <w:p w14:paraId="606A3751" w14:textId="77777777" w:rsidR="00881B32" w:rsidRPr="00881B32" w:rsidRDefault="00881B32" w:rsidP="00881B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 xml:space="preserve">Наконечники з фільтром стерильні, універсальні, місткістю 100-1000 </w:t>
            </w:r>
            <w:proofErr w:type="spellStart"/>
            <w:r w:rsidRPr="00881B32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  <w:p w14:paraId="65D90E38" w14:textId="77777777" w:rsidR="00881B32" w:rsidRPr="00881B32" w:rsidRDefault="00881B32" w:rsidP="00881B3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303547B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16822</w:t>
            </w:r>
          </w:p>
        </w:tc>
        <w:tc>
          <w:tcPr>
            <w:tcW w:w="3669" w:type="dxa"/>
          </w:tcPr>
          <w:p w14:paraId="41CCE03B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Наконечник об’ємом 1000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фільтром, прозорий, з калібрувальними кільцями, сумісний з дозаторами типу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Eppendorf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Gilson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Finnpipette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Biohit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Brand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Socorex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 дозаторами структурно ідентичної конструкції. </w:t>
            </w:r>
          </w:p>
          <w:p w14:paraId="6BC30056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Наявність градуювання - так</w:t>
            </w:r>
          </w:p>
          <w:p w14:paraId="32F0D955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Макс. об’єм - 1000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5CCE4F8B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Матеріал – поліпропілен</w:t>
            </w:r>
          </w:p>
          <w:p w14:paraId="71CE7424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Автоклавування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.°C)+121°C, температурні коливання +121°C до -60°C. </w:t>
            </w:r>
          </w:p>
          <w:p w14:paraId="184A7175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Стандарт чистоти – вільний від ДНК, без ДНК-ази /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інгібіторів ПЛР**:</w:t>
            </w:r>
          </w:p>
          <w:p w14:paraId="7AEF4A06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ДНК: Людська ДНК &lt;5,0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Бактеріальна ДНК &lt;0.2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/µl, або &lt;50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48F7D50B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ДНКаза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&lt;5х10-7 U/µl, або &lt;1х10-6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РНКаза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&lt;5х10-11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&lt;1х10-9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66B4F36A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ПЛР інгібіторів: ПЛР у режимі реальному часу &lt;0.5 циклів відхилення значення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Ct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порівняно з контролем.</w:t>
            </w:r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46EB2357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АТФ: АТФ &lt;1х10-12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mmol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&lt;5,5х10-12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45B7A7C8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Повинні бути фасовані у штативи та нараховувати не менше 96 штук в штативі (упаковці).</w:t>
            </w:r>
          </w:p>
        </w:tc>
        <w:tc>
          <w:tcPr>
            <w:tcW w:w="1265" w:type="dxa"/>
          </w:tcPr>
          <w:p w14:paraId="31AC8211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09" w:type="dxa"/>
          </w:tcPr>
          <w:p w14:paraId="42069AEB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881B32" w:rsidRPr="00881B32" w14:paraId="44ECE1E7" w14:textId="77777777" w:rsidTr="00976CD0">
        <w:tc>
          <w:tcPr>
            <w:tcW w:w="461" w:type="dxa"/>
          </w:tcPr>
          <w:p w14:paraId="3D730373" w14:textId="77777777" w:rsidR="00881B32" w:rsidRPr="00881B32" w:rsidRDefault="00881B32" w:rsidP="00881B32">
            <w:pPr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30" w:type="dxa"/>
          </w:tcPr>
          <w:p w14:paraId="00582DE5" w14:textId="77777777" w:rsidR="00881B32" w:rsidRPr="00881B32" w:rsidRDefault="00881B32" w:rsidP="00881B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 xml:space="preserve">Наконечники з фільтром стерильні, універсальні, місткістю </w:t>
            </w:r>
            <w:r w:rsidRPr="00881B3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81B32">
              <w:rPr>
                <w:rFonts w:ascii="Times New Roman" w:hAnsi="Times New Roman"/>
                <w:sz w:val="24"/>
                <w:szCs w:val="24"/>
              </w:rPr>
              <w:t xml:space="preserve">-200 </w:t>
            </w:r>
            <w:proofErr w:type="spellStart"/>
            <w:r w:rsidRPr="00881B32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  <w:p w14:paraId="51E558DF" w14:textId="77777777" w:rsidR="00881B32" w:rsidRPr="00881B32" w:rsidRDefault="00881B32" w:rsidP="00881B3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668F4312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16822</w:t>
            </w:r>
          </w:p>
        </w:tc>
        <w:tc>
          <w:tcPr>
            <w:tcW w:w="3669" w:type="dxa"/>
          </w:tcPr>
          <w:p w14:paraId="210CEC86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Наконечник об’ємом 200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фільтром, прозорий, з калібрувальними кільцями, сумісний з дозаторами типу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Eppendorf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Gilson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Finnpipette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Biohit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Brand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Socorex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 дозаторами структурно ідентичної конструкції. </w:t>
            </w:r>
          </w:p>
          <w:p w14:paraId="07DA8223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Наявність градуювання - так</w:t>
            </w:r>
          </w:p>
          <w:p w14:paraId="64BF27B1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Довжина – 51 мм</w:t>
            </w:r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14:paraId="1462AD3C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Макс. об’єм - 200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14:paraId="289C9AE9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Матеріал – поліпропілен</w:t>
            </w:r>
          </w:p>
          <w:p w14:paraId="1AEF9465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Автоклавування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.°C)+121°C, температурні коливання +121°C до -60°C. </w:t>
            </w:r>
          </w:p>
          <w:p w14:paraId="741C9F8F" w14:textId="77777777" w:rsidR="00881B32" w:rsidRPr="00881B32" w:rsidRDefault="00881B32" w:rsidP="00881B32">
            <w:pPr>
              <w:widowControl w:val="0"/>
              <w:tabs>
                <w:tab w:val="left" w:pos="327"/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Стандарт чистоти – вільний від ДНК, без ДНК-ази /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інгібіторів ПЛР**:</w:t>
            </w:r>
          </w:p>
          <w:p w14:paraId="09222BFC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7.1.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ДНК: Людська ДНК &lt;5,0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Бактеріальна ДНК &lt;0.2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/µl, або &lt;50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7EFE1FE9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7.2.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ДНКаза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&lt;5х10-7 U/µl, або &lt;1х10-6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РНКаза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&lt;5х10-11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&lt;1х10-9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761B24C7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7.3.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ПЛР інгібіторів: ПЛР у режимі реальному часу &lt;0.5 циклів відхилення значення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Ct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порівняно з контролем.</w:t>
            </w:r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0A5EDF4E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7.4.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АТФ: АТФ &lt;1х10-12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mmol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&lt;5,5х10-12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74A9744C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Повинні бути фасовані у штативи та нараховувати не менше 96 штук в штативі (упаковці)..</w:t>
            </w:r>
          </w:p>
        </w:tc>
        <w:tc>
          <w:tcPr>
            <w:tcW w:w="1265" w:type="dxa"/>
          </w:tcPr>
          <w:p w14:paraId="23DF73F5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09" w:type="dxa"/>
          </w:tcPr>
          <w:p w14:paraId="4E704AA8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881B3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81B32" w:rsidRPr="00881B32" w14:paraId="021C6E47" w14:textId="77777777" w:rsidTr="00976CD0">
        <w:tc>
          <w:tcPr>
            <w:tcW w:w="461" w:type="dxa"/>
          </w:tcPr>
          <w:p w14:paraId="4EA330B6" w14:textId="77777777" w:rsidR="00881B32" w:rsidRPr="00881B32" w:rsidRDefault="00881B32" w:rsidP="00881B32">
            <w:pPr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30" w:type="dxa"/>
          </w:tcPr>
          <w:p w14:paraId="65908F21" w14:textId="77777777" w:rsidR="00881B32" w:rsidRPr="00881B32" w:rsidRDefault="00881B32" w:rsidP="00881B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 xml:space="preserve">Наконечники з фільтром стерильні, універсальні, місткістю </w:t>
            </w:r>
            <w:r w:rsidRPr="00881B3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81B32">
              <w:rPr>
                <w:rFonts w:ascii="Times New Roman" w:hAnsi="Times New Roman"/>
                <w:sz w:val="24"/>
                <w:szCs w:val="24"/>
              </w:rPr>
              <w:t>-</w:t>
            </w:r>
            <w:r w:rsidRPr="00881B3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881B32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 w:rsidRPr="00881B32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  <w:p w14:paraId="75CFDD18" w14:textId="77777777" w:rsidR="00881B32" w:rsidRPr="00881B32" w:rsidRDefault="00881B32" w:rsidP="00881B3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4261E871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16822</w:t>
            </w:r>
          </w:p>
        </w:tc>
        <w:tc>
          <w:tcPr>
            <w:tcW w:w="3669" w:type="dxa"/>
          </w:tcPr>
          <w:p w14:paraId="411F014E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Наконечник об’ємом 20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 фільтром, прозорий, з калібрувальними кільцями, сумісний з дозаторами типу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Eppendorf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Gilson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Finnpipette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Biohit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Brand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Socorex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 дозаторами структурно ідентичної конструкції. </w:t>
            </w:r>
          </w:p>
          <w:p w14:paraId="5D81E766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Наявність градуювання - так</w:t>
            </w:r>
          </w:p>
          <w:p w14:paraId="5B971AA1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Макс. об’єм - 20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4EE585E1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Матеріал – поліпропілен</w:t>
            </w:r>
          </w:p>
          <w:p w14:paraId="564DD816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Автоклавування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.°C)+121°C, температурні коливання +121°C до -60°C. </w:t>
            </w:r>
          </w:p>
          <w:p w14:paraId="0367AB8C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Стандарт чистоти – вільний від ДНК, без ДНК-ази /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інгібіторів ПЛР**:</w:t>
            </w:r>
          </w:p>
          <w:p w14:paraId="3B2CCE62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ДНК: Людська ДНК &lt;5,0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Бактеріальна ДНК &lt;0.2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/µl, або &lt;50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fg</w:t>
            </w:r>
            <w:proofErr w:type="spellEnd"/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40F66C1B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ДНКаза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&lt;5х10-7 U/µl, або &lt;1х10-6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РНКаза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&lt;5х10-11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&lt;1х10-9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units</w:t>
            </w:r>
            <w:proofErr w:type="spellEnd"/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489E0DDE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ПЛР інгібіторів: 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ПЛР у режимі реальному часу &lt;0.5 циклів відхилення значення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Ct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порівняно з контролем.</w:t>
            </w:r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7286D11E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Вільна від АТФ: АТФ &lt;1х10-12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mmol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/µl, або &lt;5,5х10-12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**</w:t>
            </w:r>
          </w:p>
          <w:p w14:paraId="39115313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Повинні бути фасовані у штативи та нараховувати не менше 96 штук в штативі (упаковці)..</w:t>
            </w:r>
          </w:p>
        </w:tc>
        <w:tc>
          <w:tcPr>
            <w:tcW w:w="1265" w:type="dxa"/>
          </w:tcPr>
          <w:p w14:paraId="68ACDE62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209" w:type="dxa"/>
          </w:tcPr>
          <w:p w14:paraId="4ADC57AD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881B32" w:rsidRPr="00881B32" w14:paraId="4D67CD91" w14:textId="77777777" w:rsidTr="00976CD0">
        <w:tc>
          <w:tcPr>
            <w:tcW w:w="461" w:type="dxa"/>
          </w:tcPr>
          <w:p w14:paraId="17BF58E3" w14:textId="77777777" w:rsidR="00881B32" w:rsidRPr="00881B32" w:rsidRDefault="00881B32" w:rsidP="00881B32">
            <w:pPr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30" w:type="dxa"/>
          </w:tcPr>
          <w:p w14:paraId="22C1ADB2" w14:textId="77777777" w:rsidR="00881B32" w:rsidRPr="00881B32" w:rsidRDefault="00881B32" w:rsidP="00881B3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 xml:space="preserve">Наконечники з фільтром стерильні, універсальні, місткістю </w:t>
            </w:r>
            <w:r w:rsidRPr="00881B32">
              <w:rPr>
                <w:rFonts w:ascii="Times New Roman" w:hAnsi="Times New Roman"/>
                <w:sz w:val="24"/>
                <w:szCs w:val="24"/>
                <w:lang w:val="en-US"/>
              </w:rPr>
              <w:t>0,5-10</w:t>
            </w:r>
            <w:r w:rsidRPr="00881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B32"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</w:p>
          <w:p w14:paraId="7B315D1A" w14:textId="77777777" w:rsidR="00881B32" w:rsidRPr="00881B32" w:rsidRDefault="00881B32" w:rsidP="00881B3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14:paraId="2FCDADAD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left="-109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16822</w:t>
            </w:r>
          </w:p>
        </w:tc>
        <w:tc>
          <w:tcPr>
            <w:tcW w:w="3669" w:type="dxa"/>
          </w:tcPr>
          <w:p w14:paraId="008C89D0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Наконечник об’ємом 10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мкл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, з фільтром, прозорий, з калібрувальними кільцями, сумісний з дозаторами типу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Eppendorf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Gilson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Finnpipette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Biohit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Brand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Socorex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 та з дозаторами структурно ідентичної конструкції</w:t>
            </w:r>
          </w:p>
          <w:p w14:paraId="2A8F9A60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  <w:t>Наявність градуювання - так</w:t>
            </w:r>
          </w:p>
          <w:p w14:paraId="622215FD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  <w:t>Довжина — 31 мм</w:t>
            </w:r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*</w:t>
            </w:r>
          </w:p>
          <w:p w14:paraId="50B26A55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Макс. об’єм – 10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мкл</w:t>
            </w:r>
            <w:proofErr w:type="spellEnd"/>
          </w:p>
          <w:p w14:paraId="67A611BF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  <w:t>Матеріал – поліпропілен</w:t>
            </w:r>
          </w:p>
          <w:p w14:paraId="6903C88A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Автоклавування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макс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.°C)+121°C, температурні коливання +121°C до -60°C. </w:t>
            </w:r>
          </w:p>
          <w:p w14:paraId="51315583" w14:textId="77777777" w:rsidR="00881B32" w:rsidRPr="00881B32" w:rsidRDefault="00881B32" w:rsidP="00881B32">
            <w:pPr>
              <w:widowControl w:val="0"/>
              <w:tabs>
                <w:tab w:val="left" w:pos="32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Стандарт чистоти – вільний від ДНК, без ДНК-ази /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РНКази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, інгібіторів ПЛР</w:t>
            </w:r>
            <w:r w:rsidRPr="00881B32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**:</w:t>
            </w:r>
          </w:p>
          <w:p w14:paraId="6CAA5456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7.1.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Вільна від ДНК: Людська ДНК &lt;5,0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fg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/µl, або &lt;2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pg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; Бактеріальна ДНК &lt;0.2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fg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 /µl, або &lt;50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fg</w:t>
            </w:r>
            <w:proofErr w:type="spellEnd"/>
          </w:p>
          <w:p w14:paraId="5D724799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Вільна від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ДНКази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РНКази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ДНКаза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 &lt;5х10-7 U/µl, або &lt;1х10-6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units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РНКаза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 &lt;5х10-11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units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/µl, або &lt;1х10-9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Kunitz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units</w:t>
            </w:r>
            <w:proofErr w:type="spellEnd"/>
          </w:p>
          <w:p w14:paraId="0431A934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7.3.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Вільна від ПЛР інгібіторів: ПЛР у режимі реальному часу &lt;0.5 циклів відхилення значення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Ct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 порівняно з контролем.</w:t>
            </w:r>
          </w:p>
          <w:p w14:paraId="0034E398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7.4.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Вільна від АТФ: АТФ &lt;1х10-12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mmol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 xml:space="preserve">/µl, або &lt;5,5х10-12 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mg</w:t>
            </w:r>
            <w:proofErr w:type="spellEnd"/>
          </w:p>
          <w:p w14:paraId="080BFE70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7.5.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ab/>
              <w:t>Вільна від пірогенів/ендотоксинів: Пірогени/ендотоксини &lt;0,002 EU/ml.</w:t>
            </w:r>
          </w:p>
          <w:p w14:paraId="4F2CB55A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Фасовані у штативи та нараховувати не менше 96 штук в штативі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(упаковці)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14:paraId="01361B6D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1209" w:type="dxa"/>
          </w:tcPr>
          <w:p w14:paraId="13C6D1B5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1B32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  <w:tr w:rsidR="00881B32" w:rsidRPr="00881B32" w14:paraId="58966F5C" w14:textId="77777777" w:rsidTr="00976CD0">
        <w:tc>
          <w:tcPr>
            <w:tcW w:w="461" w:type="dxa"/>
          </w:tcPr>
          <w:p w14:paraId="22461D97" w14:textId="77777777" w:rsidR="00881B32" w:rsidRPr="00881B32" w:rsidRDefault="00881B32" w:rsidP="00881B32">
            <w:pPr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30" w:type="dxa"/>
          </w:tcPr>
          <w:p w14:paraId="76E9E6D8" w14:textId="77777777" w:rsidR="00881B32" w:rsidRPr="00881B32" w:rsidRDefault="00881B32" w:rsidP="00881B32">
            <w:pPr>
              <w:spacing w:line="276" w:lineRule="auto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 w:rsidRPr="00881B3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Мікропробірка</w:t>
            </w:r>
            <w:proofErr w:type="spellEnd"/>
            <w:r w:rsidRPr="00881B3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1,5 мл</w:t>
            </w:r>
          </w:p>
        </w:tc>
        <w:tc>
          <w:tcPr>
            <w:tcW w:w="1123" w:type="dxa"/>
          </w:tcPr>
          <w:p w14:paraId="0649E721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</w:rPr>
              <w:t>46238</w:t>
            </w:r>
          </w:p>
        </w:tc>
        <w:tc>
          <w:tcPr>
            <w:tcW w:w="3669" w:type="dxa"/>
          </w:tcPr>
          <w:p w14:paraId="5C349DCD" w14:textId="77777777" w:rsidR="00881B32" w:rsidRPr="00881B32" w:rsidRDefault="00881B32" w:rsidP="00881B32">
            <w:pPr>
              <w:widowControl w:val="0"/>
              <w:numPr>
                <w:ilvl w:val="0"/>
                <w:numId w:val="30"/>
              </w:numPr>
              <w:tabs>
                <w:tab w:val="left" w:pos="327"/>
              </w:tabs>
              <w:ind w:left="0" w:firstLine="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Повинні бути типу «</w:t>
            </w:r>
            <w:proofErr w:type="spellStart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епендорф</w:t>
            </w:r>
            <w:proofErr w:type="spellEnd"/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14:paraId="69969FE1" w14:textId="77777777" w:rsidR="00881B32" w:rsidRPr="00881B32" w:rsidRDefault="00881B32" w:rsidP="00881B32">
            <w:pPr>
              <w:widowControl w:val="0"/>
              <w:numPr>
                <w:ilvl w:val="0"/>
                <w:numId w:val="30"/>
              </w:numPr>
              <w:tabs>
                <w:tab w:val="left" w:pos="327"/>
              </w:tabs>
              <w:ind w:left="0" w:firstLine="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Повинні бути вільними від РНК-аз та ДНК-аз, виготовлені з прозорого пластику, стерильні, мати конічне дно та пласкі кришки, прикріплені до пробірки, що щільно закриваються клацанням.</w:t>
            </w:r>
          </w:p>
          <w:p w14:paraId="528075D8" w14:textId="77777777" w:rsidR="00881B32" w:rsidRPr="00881B32" w:rsidRDefault="00881B32" w:rsidP="00881B32">
            <w:pPr>
              <w:widowControl w:val="0"/>
              <w:numPr>
                <w:ilvl w:val="0"/>
                <w:numId w:val="30"/>
              </w:numPr>
              <w:tabs>
                <w:tab w:val="left" w:pos="327"/>
              </w:tabs>
              <w:ind w:left="0" w:firstLine="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Повинні витримувати високошвидкісне центрифугування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при +4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ru-RU" w:eastAsia="ru-RU"/>
              </w:rPr>
              <w:t>0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</w:t>
            </w:r>
          </w:p>
          <w:p w14:paraId="2535CA05" w14:textId="77777777" w:rsidR="00881B32" w:rsidRPr="00881B32" w:rsidRDefault="00881B32" w:rsidP="00881B32">
            <w:pPr>
              <w:widowControl w:val="0"/>
              <w:tabs>
                <w:tab w:val="left" w:pos="567"/>
              </w:tabs>
              <w:ind w:firstLine="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Повинні витримувати температуру до +95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881B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265" w:type="dxa"/>
          </w:tcPr>
          <w:p w14:paraId="1B93E089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1209" w:type="dxa"/>
          </w:tcPr>
          <w:p w14:paraId="13199C86" w14:textId="77777777" w:rsidR="00881B32" w:rsidRPr="00881B32" w:rsidRDefault="00881B32" w:rsidP="00881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32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</w:tbl>
    <w:p w14:paraId="7F9A69BE" w14:textId="77777777" w:rsidR="00A52318" w:rsidRPr="0024553B" w:rsidRDefault="00A52318" w:rsidP="000C70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52318" w:rsidRPr="0024553B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9A76" w14:textId="77777777" w:rsidR="00392139" w:rsidRDefault="00392139" w:rsidP="0024553B">
      <w:pPr>
        <w:spacing w:after="0" w:line="240" w:lineRule="auto"/>
      </w:pPr>
      <w:r>
        <w:separator/>
      </w:r>
    </w:p>
  </w:endnote>
  <w:endnote w:type="continuationSeparator" w:id="0">
    <w:p w14:paraId="15EDD7CB" w14:textId="77777777" w:rsidR="00392139" w:rsidRDefault="00392139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16C3" w14:textId="77777777" w:rsidR="00392139" w:rsidRDefault="00392139" w:rsidP="0024553B">
      <w:pPr>
        <w:spacing w:after="0" w:line="240" w:lineRule="auto"/>
      </w:pPr>
      <w:r>
        <w:separator/>
      </w:r>
    </w:p>
  </w:footnote>
  <w:footnote w:type="continuationSeparator" w:id="0">
    <w:p w14:paraId="1C542099" w14:textId="77777777" w:rsidR="00392139" w:rsidRDefault="00392139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315F"/>
    <w:multiLevelType w:val="hybridMultilevel"/>
    <w:tmpl w:val="8892D76A"/>
    <w:lvl w:ilvl="0" w:tplc="A1E45A38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10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4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8" w15:restartNumberingAfterBreak="0">
    <w:nsid w:val="557B07D1"/>
    <w:multiLevelType w:val="hybridMultilevel"/>
    <w:tmpl w:val="5410565E"/>
    <w:lvl w:ilvl="0" w:tplc="A782BC6E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2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1CA31CC"/>
    <w:multiLevelType w:val="hybridMultilevel"/>
    <w:tmpl w:val="0096F930"/>
    <w:lvl w:ilvl="0" w:tplc="A3A09C6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6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8" w15:restartNumberingAfterBreak="0">
    <w:nsid w:val="7F2A3C48"/>
    <w:multiLevelType w:val="hybridMultilevel"/>
    <w:tmpl w:val="300E0F1E"/>
    <w:lvl w:ilvl="0" w:tplc="E7C2C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702347">
    <w:abstractNumId w:val="25"/>
  </w:num>
  <w:num w:numId="2" w16cid:durableId="2125691822">
    <w:abstractNumId w:val="20"/>
  </w:num>
  <w:num w:numId="3" w16cid:durableId="95293173">
    <w:abstractNumId w:val="4"/>
  </w:num>
  <w:num w:numId="4" w16cid:durableId="1097018080">
    <w:abstractNumId w:val="10"/>
  </w:num>
  <w:num w:numId="5" w16cid:durableId="312297965">
    <w:abstractNumId w:val="26"/>
  </w:num>
  <w:num w:numId="6" w16cid:durableId="397752336">
    <w:abstractNumId w:val="7"/>
  </w:num>
  <w:num w:numId="7" w16cid:durableId="11815039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5103531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415518">
    <w:abstractNumId w:val="5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5169909">
    <w:abstractNumId w:val="13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13433">
    <w:abstractNumId w:val="1"/>
  </w:num>
  <w:num w:numId="12" w16cid:durableId="662123343">
    <w:abstractNumId w:val="9"/>
  </w:num>
  <w:num w:numId="13" w16cid:durableId="173152445">
    <w:abstractNumId w:val="0"/>
  </w:num>
  <w:num w:numId="14" w16cid:durableId="1450587329">
    <w:abstractNumId w:val="2"/>
  </w:num>
  <w:num w:numId="15" w16cid:durableId="1148665655">
    <w:abstractNumId w:val="15"/>
  </w:num>
  <w:num w:numId="16" w16cid:durableId="2039314345">
    <w:abstractNumId w:val="19"/>
  </w:num>
  <w:num w:numId="17" w16cid:durableId="224612994">
    <w:abstractNumId w:val="22"/>
  </w:num>
  <w:num w:numId="18" w16cid:durableId="1751346895">
    <w:abstractNumId w:val="16"/>
  </w:num>
  <w:num w:numId="19" w16cid:durableId="1435906346">
    <w:abstractNumId w:val="8"/>
  </w:num>
  <w:num w:numId="20" w16cid:durableId="1576696269">
    <w:abstractNumId w:val="23"/>
  </w:num>
  <w:num w:numId="21" w16cid:durableId="2133359081">
    <w:abstractNumId w:val="12"/>
  </w:num>
  <w:num w:numId="22" w16cid:durableId="608203045">
    <w:abstractNumId w:val="6"/>
  </w:num>
  <w:num w:numId="23" w16cid:durableId="1859586909">
    <w:abstractNumId w:val="14"/>
  </w:num>
  <w:num w:numId="24" w16cid:durableId="623772542">
    <w:abstractNumId w:val="27"/>
  </w:num>
  <w:num w:numId="25" w16cid:durableId="527529484">
    <w:abstractNumId w:val="17"/>
  </w:num>
  <w:num w:numId="26" w16cid:durableId="246573444">
    <w:abstractNumId w:val="11"/>
  </w:num>
  <w:num w:numId="27" w16cid:durableId="422804416">
    <w:abstractNumId w:val="18"/>
  </w:num>
  <w:num w:numId="28" w16cid:durableId="1148597764">
    <w:abstractNumId w:val="3"/>
  </w:num>
  <w:num w:numId="29" w16cid:durableId="2073773897">
    <w:abstractNumId w:val="28"/>
  </w:num>
  <w:num w:numId="30" w16cid:durableId="14579908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B6D9F"/>
    <w:rsid w:val="000C70A6"/>
    <w:rsid w:val="001055A1"/>
    <w:rsid w:val="001C1517"/>
    <w:rsid w:val="00226C86"/>
    <w:rsid w:val="0024553B"/>
    <w:rsid w:val="002B6E58"/>
    <w:rsid w:val="002B72AC"/>
    <w:rsid w:val="002C519E"/>
    <w:rsid w:val="002C7992"/>
    <w:rsid w:val="002E2676"/>
    <w:rsid w:val="002F70F7"/>
    <w:rsid w:val="00366514"/>
    <w:rsid w:val="00392139"/>
    <w:rsid w:val="00393926"/>
    <w:rsid w:val="004D5770"/>
    <w:rsid w:val="00590320"/>
    <w:rsid w:val="005F6CE1"/>
    <w:rsid w:val="006C75C1"/>
    <w:rsid w:val="007622E0"/>
    <w:rsid w:val="007B5C52"/>
    <w:rsid w:val="0084332E"/>
    <w:rsid w:val="00870D0C"/>
    <w:rsid w:val="00881B32"/>
    <w:rsid w:val="008F229E"/>
    <w:rsid w:val="009443DC"/>
    <w:rsid w:val="0095518A"/>
    <w:rsid w:val="00A52318"/>
    <w:rsid w:val="00A71EB1"/>
    <w:rsid w:val="00A775EB"/>
    <w:rsid w:val="00AC1C0E"/>
    <w:rsid w:val="00BE1FF8"/>
    <w:rsid w:val="00C15F77"/>
    <w:rsid w:val="00CA68EE"/>
    <w:rsid w:val="00D169A9"/>
    <w:rsid w:val="00D626B8"/>
    <w:rsid w:val="00E44481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Заголовок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о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ы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а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10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3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10">
    <w:name w:val="Основной текст с отступом 3 Знак1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выноски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о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интервала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4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5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10"/>
    <w:uiPriority w:val="99"/>
    <w:semiHidden/>
    <w:unhideWhenUsed/>
    <w:rsid w:val="00A71EB1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5467</Words>
  <Characters>3117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Анна Бугай</cp:lastModifiedBy>
  <cp:revision>6</cp:revision>
  <dcterms:created xsi:type="dcterms:W3CDTF">2023-07-07T13:56:00Z</dcterms:created>
  <dcterms:modified xsi:type="dcterms:W3CDTF">2023-07-07T14:11:00Z</dcterms:modified>
</cp:coreProperties>
</file>