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67583A3B" w:rsidR="002B72AC" w:rsidRDefault="00C37569" w:rsidP="007B5C52">
      <w:pPr>
        <w:spacing w:after="0" w:line="240" w:lineRule="auto"/>
        <w:jc w:val="both"/>
        <w:rPr>
          <w:rStyle w:val="a3"/>
          <w:rFonts w:ascii="Times New Roman" w:hAnsi="Times New Roman"/>
          <w:bCs/>
          <w:sz w:val="24"/>
          <w:szCs w:val="24"/>
        </w:rPr>
      </w:pPr>
      <w:bookmarkStart w:id="0" w:name="_Hlk151977342"/>
      <w:r>
        <w:rPr>
          <w:rFonts w:ascii="Times New Roman" w:hAnsi="Times New Roman" w:cs="Times New Roman"/>
          <w:b/>
          <w:color w:val="000000"/>
          <w:sz w:val="24"/>
          <w:szCs w:val="24"/>
          <w:lang w:eastAsia="ru-RU"/>
        </w:rPr>
        <w:t xml:space="preserve">ДК 021:2015:33690000-3 - Лікарські засоби різні (Реагенти сумісні з проточними </w:t>
      </w:r>
      <w:proofErr w:type="spellStart"/>
      <w:r>
        <w:rPr>
          <w:rFonts w:ascii="Times New Roman" w:hAnsi="Times New Roman" w:cs="Times New Roman"/>
          <w:b/>
          <w:color w:val="000000"/>
          <w:sz w:val="24"/>
          <w:szCs w:val="24"/>
          <w:lang w:eastAsia="ru-RU"/>
        </w:rPr>
        <w:t>цитофлюориметрами</w:t>
      </w:r>
      <w:proofErr w:type="spellEnd"/>
      <w:r>
        <w:rPr>
          <w:rFonts w:ascii="Times New Roman" w:hAnsi="Times New Roman" w:cs="Times New Roman"/>
          <w:b/>
          <w:color w:val="000000"/>
          <w:sz w:val="24"/>
          <w:szCs w:val="24"/>
          <w:lang w:eastAsia="ru-RU"/>
        </w:rPr>
        <w:t xml:space="preserve"> виробництва </w:t>
      </w:r>
      <w:proofErr w:type="spellStart"/>
      <w:r>
        <w:rPr>
          <w:rFonts w:ascii="Times New Roman" w:hAnsi="Times New Roman" w:cs="Times New Roman"/>
          <w:b/>
          <w:color w:val="000000"/>
          <w:sz w:val="24"/>
          <w:szCs w:val="24"/>
          <w:lang w:eastAsia="ru-RU"/>
        </w:rPr>
        <w:t>Beckman</w:t>
      </w:r>
      <w:proofErr w:type="spellEnd"/>
      <w:r>
        <w:rPr>
          <w:rFonts w:ascii="Times New Roman" w:hAnsi="Times New Roman" w:cs="Times New Roman"/>
          <w:b/>
          <w:color w:val="000000"/>
          <w:sz w:val="24"/>
          <w:szCs w:val="24"/>
          <w:lang w:eastAsia="ru-RU"/>
        </w:rPr>
        <w:t xml:space="preserve"> </w:t>
      </w:r>
      <w:proofErr w:type="spellStart"/>
      <w:r>
        <w:rPr>
          <w:rFonts w:ascii="Times New Roman" w:hAnsi="Times New Roman" w:cs="Times New Roman"/>
          <w:b/>
          <w:color w:val="000000"/>
          <w:sz w:val="24"/>
          <w:szCs w:val="24"/>
          <w:lang w:eastAsia="ru-RU"/>
        </w:rPr>
        <w:t>Coulter</w:t>
      </w:r>
      <w:proofErr w:type="spellEnd"/>
      <w:r>
        <w:rPr>
          <w:rFonts w:ascii="Times New Roman" w:hAnsi="Times New Roman" w:cs="Times New Roman"/>
          <w:b/>
          <w:color w:val="000000"/>
          <w:sz w:val="24"/>
          <w:szCs w:val="24"/>
          <w:lang w:eastAsia="ru-RU"/>
        </w:rPr>
        <w:t>)</w:t>
      </w:r>
      <w:r w:rsidR="00570486" w:rsidRPr="00570486">
        <w:rPr>
          <w:rStyle w:val="a3"/>
          <w:rFonts w:ascii="Times New Roman" w:hAnsi="Times New Roman"/>
          <w:b/>
          <w:bCs/>
          <w:i w:val="0"/>
          <w:iCs w:val="0"/>
          <w:sz w:val="24"/>
          <w:szCs w:val="24"/>
        </w:rPr>
        <w:t xml:space="preserve"> </w:t>
      </w:r>
      <w:bookmarkEnd w:id="0"/>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DCEC262" w14:textId="4B104851" w:rsidR="008201EB"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8201EB" w:rsidRPr="006F592A">
        <w:rPr>
          <w:rFonts w:ascii="Times New Roman" w:hAnsi="Times New Roman" w:cs="Times New Roman"/>
          <w:b/>
          <w:color w:val="000000"/>
          <w:sz w:val="24"/>
          <w:szCs w:val="24"/>
          <w:lang w:eastAsia="ru-RU"/>
        </w:rPr>
        <w:t xml:space="preserve">ДК 021:2015:33690000-3 - Лікарські засоби різні </w:t>
      </w:r>
      <w:r w:rsidR="008201EB">
        <w:rPr>
          <w:rFonts w:ascii="Times New Roman" w:hAnsi="Times New Roman" w:cs="Times New Roman"/>
          <w:b/>
          <w:color w:val="000000"/>
          <w:sz w:val="24"/>
          <w:szCs w:val="24"/>
          <w:lang w:eastAsia="ru-RU"/>
        </w:rPr>
        <w:t xml:space="preserve">(Швидкий тест на сифіліс для виявлення антитіл до </w:t>
      </w:r>
      <w:proofErr w:type="spellStart"/>
      <w:r w:rsidR="008201EB">
        <w:rPr>
          <w:rFonts w:ascii="Times New Roman" w:hAnsi="Times New Roman" w:cs="Times New Roman"/>
          <w:b/>
          <w:color w:val="000000"/>
          <w:sz w:val="24"/>
          <w:szCs w:val="24"/>
          <w:lang w:eastAsia="ru-RU"/>
        </w:rPr>
        <w:t>Treponema</w:t>
      </w:r>
      <w:proofErr w:type="spellEnd"/>
      <w:r w:rsidR="008201EB">
        <w:rPr>
          <w:rFonts w:ascii="Times New Roman" w:hAnsi="Times New Roman" w:cs="Times New Roman"/>
          <w:b/>
          <w:color w:val="000000"/>
          <w:sz w:val="24"/>
          <w:szCs w:val="24"/>
          <w:lang w:eastAsia="ru-RU"/>
        </w:rPr>
        <w:t xml:space="preserve"> </w:t>
      </w:r>
      <w:proofErr w:type="spellStart"/>
      <w:r w:rsidR="008201EB">
        <w:rPr>
          <w:rFonts w:ascii="Times New Roman" w:hAnsi="Times New Roman" w:cs="Times New Roman"/>
          <w:b/>
          <w:color w:val="000000"/>
          <w:sz w:val="24"/>
          <w:szCs w:val="24"/>
          <w:lang w:eastAsia="ru-RU"/>
        </w:rPr>
        <w:t>pallidum</w:t>
      </w:r>
      <w:proofErr w:type="spellEnd"/>
      <w:r w:rsidR="008201EB">
        <w:rPr>
          <w:rFonts w:ascii="Times New Roman" w:hAnsi="Times New Roman" w:cs="Times New Roman"/>
          <w:b/>
          <w:color w:val="000000"/>
          <w:sz w:val="24"/>
          <w:szCs w:val="24"/>
          <w:lang w:eastAsia="ru-RU"/>
        </w:rPr>
        <w:t xml:space="preserve"> у цільній крові/сироватці/плазмі крові людини)</w:t>
      </w:r>
    </w:p>
    <w:p w14:paraId="039A125F" w14:textId="15B5E2E9"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w:t>
      </w:r>
      <w:bookmarkStart w:id="1" w:name="_GoBack"/>
      <w:bookmarkEnd w:id="1"/>
      <w:r w:rsidRPr="0024553B">
        <w:rPr>
          <w:rFonts w:ascii="Times New Roman" w:hAnsi="Times New Roman"/>
          <w:b/>
          <w:sz w:val="24"/>
          <w:szCs w:val="24"/>
        </w:rPr>
        <w:t xml:space="preserve">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BB808E3" w14:textId="600E62B3" w:rsidR="006D3EBF" w:rsidRDefault="00C15314" w:rsidP="0024553B">
      <w:pPr>
        <w:spacing w:after="0" w:line="240" w:lineRule="auto"/>
        <w:jc w:val="both"/>
        <w:rPr>
          <w:rFonts w:ascii="Times New Roman" w:hAnsi="Times New Roman"/>
          <w:sz w:val="24"/>
          <w:szCs w:val="24"/>
        </w:rPr>
      </w:pPr>
      <w:r w:rsidRPr="00C15314">
        <w:rPr>
          <w:rFonts w:ascii="Times New Roman" w:hAnsi="Times New Roman"/>
          <w:sz w:val="24"/>
          <w:szCs w:val="24"/>
        </w:rPr>
        <w:t>UA-2024-03-13-007515-a</w:t>
      </w:r>
    </w:p>
    <w:p w14:paraId="22ED5AE0" w14:textId="77777777" w:rsidR="00C15314" w:rsidRPr="0024553B" w:rsidRDefault="00C15314" w:rsidP="0024553B">
      <w:pPr>
        <w:spacing w:after="0" w:line="240" w:lineRule="auto"/>
        <w:jc w:val="both"/>
        <w:rPr>
          <w:rFonts w:ascii="Times New Roman" w:hAnsi="Times New Roman"/>
          <w:sz w:val="24"/>
          <w:szCs w:val="24"/>
        </w:rPr>
      </w:pPr>
    </w:p>
    <w:p w14:paraId="4E9336F8" w14:textId="311E3A1E"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C37569" w:rsidRPr="004B5823">
        <w:rPr>
          <w:rFonts w:ascii="Times New Roman" w:eastAsia="Calibri" w:hAnsi="Times New Roman" w:cs="Times New Roman"/>
          <w:sz w:val="24"/>
          <w:szCs w:val="24"/>
        </w:rPr>
        <w:t>156</w:t>
      </w:r>
      <w:r w:rsidR="00C37569">
        <w:rPr>
          <w:rFonts w:ascii="Times New Roman" w:eastAsia="Calibri" w:hAnsi="Times New Roman" w:cs="Times New Roman"/>
          <w:sz w:val="24"/>
          <w:szCs w:val="24"/>
        </w:rPr>
        <w:t> </w:t>
      </w:r>
      <w:r w:rsidR="00C37569" w:rsidRPr="004B5823">
        <w:rPr>
          <w:rFonts w:ascii="Times New Roman" w:eastAsia="Calibri" w:hAnsi="Times New Roman" w:cs="Times New Roman"/>
          <w:sz w:val="24"/>
          <w:szCs w:val="24"/>
        </w:rPr>
        <w:t>198</w:t>
      </w:r>
      <w:r w:rsidR="00C37569">
        <w:rPr>
          <w:rFonts w:ascii="Times New Roman" w:eastAsia="Calibri" w:hAnsi="Times New Roman" w:cs="Times New Roman"/>
          <w:sz w:val="24"/>
          <w:szCs w:val="24"/>
        </w:rPr>
        <w:t>,</w:t>
      </w:r>
      <w:r w:rsidR="00C37569" w:rsidRPr="004B5823">
        <w:rPr>
          <w:rFonts w:ascii="Times New Roman" w:eastAsia="Calibri" w:hAnsi="Times New Roman" w:cs="Times New Roman"/>
          <w:sz w:val="24"/>
          <w:szCs w:val="24"/>
        </w:rPr>
        <w:t>10</w:t>
      </w:r>
      <w:r w:rsidR="00C37569" w:rsidRPr="007F0AFB">
        <w:rPr>
          <w:rFonts w:ascii="Times New Roman" w:eastAsia="Calibri" w:hAnsi="Times New Roman" w:cs="Times New Roman"/>
          <w:sz w:val="24"/>
          <w:szCs w:val="24"/>
        </w:rPr>
        <w:t xml:space="preserve"> </w:t>
      </w:r>
      <w:r w:rsidR="008201EB" w:rsidRPr="00C37569">
        <w:rPr>
          <w:rFonts w:ascii="Times New Roman" w:eastAsia="Calibri" w:hAnsi="Times New Roman" w:cs="Times New Roman"/>
          <w:sz w:val="24"/>
          <w:szCs w:val="24"/>
        </w:rPr>
        <w:t xml:space="preserve"> </w:t>
      </w:r>
      <w:r w:rsidR="00E92067" w:rsidRPr="008201EB">
        <w:rPr>
          <w:rFonts w:ascii="Times New Roman" w:hAnsi="Times New Roman"/>
          <w:sz w:val="24"/>
          <w:szCs w:val="24"/>
        </w:rPr>
        <w:t xml:space="preserve"> </w:t>
      </w:r>
      <w:r w:rsidR="007B5C52" w:rsidRPr="008201EB">
        <w:rPr>
          <w:rFonts w:ascii="Times New Roman" w:hAnsi="Times New Roman"/>
          <w:sz w:val="24"/>
          <w:szCs w:val="24"/>
        </w:rPr>
        <w:t xml:space="preserve">грн </w:t>
      </w:r>
      <w:r w:rsidR="008201EB" w:rsidRPr="008201EB">
        <w:rPr>
          <w:rFonts w:ascii="Times New Roman" w:hAnsi="Times New Roman"/>
          <w:sz w:val="24"/>
          <w:szCs w:val="24"/>
        </w:rPr>
        <w:t>без</w:t>
      </w:r>
      <w:r w:rsidR="00570486" w:rsidRPr="008201EB">
        <w:rPr>
          <w:rFonts w:ascii="Times New Roman" w:hAnsi="Times New Roman"/>
          <w:sz w:val="24"/>
          <w:szCs w:val="24"/>
        </w:rPr>
        <w:t xml:space="preserve"> </w:t>
      </w:r>
      <w:r w:rsidR="007B5C52" w:rsidRPr="008201EB">
        <w:rPr>
          <w:rFonts w:ascii="Times New Roman" w:hAnsi="Times New Roman"/>
          <w:sz w:val="24"/>
          <w:szCs w:val="24"/>
        </w:rPr>
        <w:t>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2B13A655"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C37569" w:rsidRPr="004B5823">
        <w:rPr>
          <w:rFonts w:ascii="Times New Roman" w:eastAsia="Calibri" w:hAnsi="Times New Roman" w:cs="Times New Roman"/>
          <w:sz w:val="24"/>
          <w:szCs w:val="24"/>
        </w:rPr>
        <w:t>156</w:t>
      </w:r>
      <w:r w:rsidR="00C37569">
        <w:rPr>
          <w:rFonts w:ascii="Times New Roman" w:eastAsia="Calibri" w:hAnsi="Times New Roman" w:cs="Times New Roman"/>
          <w:sz w:val="24"/>
          <w:szCs w:val="24"/>
        </w:rPr>
        <w:t> </w:t>
      </w:r>
      <w:r w:rsidR="00C37569" w:rsidRPr="004B5823">
        <w:rPr>
          <w:rFonts w:ascii="Times New Roman" w:eastAsia="Calibri" w:hAnsi="Times New Roman" w:cs="Times New Roman"/>
          <w:sz w:val="24"/>
          <w:szCs w:val="24"/>
        </w:rPr>
        <w:t>198</w:t>
      </w:r>
      <w:r w:rsidR="00C37569">
        <w:rPr>
          <w:rFonts w:ascii="Times New Roman" w:eastAsia="Calibri" w:hAnsi="Times New Roman" w:cs="Times New Roman"/>
          <w:sz w:val="24"/>
          <w:szCs w:val="24"/>
        </w:rPr>
        <w:t>,</w:t>
      </w:r>
      <w:r w:rsidR="00C37569" w:rsidRPr="004B5823">
        <w:rPr>
          <w:rFonts w:ascii="Times New Roman" w:eastAsia="Calibri" w:hAnsi="Times New Roman" w:cs="Times New Roman"/>
          <w:sz w:val="24"/>
          <w:szCs w:val="24"/>
        </w:rPr>
        <w:t>10</w:t>
      </w:r>
      <w:r w:rsidR="00C37569" w:rsidRPr="007F0AFB">
        <w:rPr>
          <w:rFonts w:ascii="Times New Roman" w:eastAsia="Calibri" w:hAnsi="Times New Roman" w:cs="Times New Roman"/>
          <w:sz w:val="24"/>
          <w:szCs w:val="24"/>
        </w:rPr>
        <w:t xml:space="preserve"> </w:t>
      </w:r>
      <w:r w:rsidR="007975BE" w:rsidRPr="008201EB">
        <w:rPr>
          <w:rFonts w:ascii="Times New Roman" w:hAnsi="Times New Roman"/>
          <w:sz w:val="24"/>
          <w:szCs w:val="24"/>
        </w:rPr>
        <w:t xml:space="preserve">грн </w:t>
      </w:r>
      <w:r w:rsidR="008201EB" w:rsidRPr="008201EB">
        <w:rPr>
          <w:rFonts w:ascii="Times New Roman" w:hAnsi="Times New Roman"/>
          <w:sz w:val="24"/>
          <w:szCs w:val="24"/>
        </w:rPr>
        <w:t>без</w:t>
      </w:r>
      <w:r w:rsidR="007975BE" w:rsidRPr="008201EB">
        <w:rPr>
          <w:rFonts w:ascii="Times New Roman" w:hAnsi="Times New Roman"/>
          <w:sz w:val="24"/>
          <w:szCs w:val="24"/>
        </w:rPr>
        <w:t xml:space="preserve"> ПДВ</w:t>
      </w:r>
      <w:r w:rsidR="002C7992" w:rsidRPr="008201EB">
        <w:rPr>
          <w:rFonts w:ascii="Times New Roman" w:eastAsia="Times New Roman" w:hAnsi="Times New Roman"/>
          <w:bCs/>
          <w:sz w:val="24"/>
          <w:szCs w:val="24"/>
          <w:lang w:eastAsia="uk-UA"/>
        </w:rPr>
        <w:t>.</w:t>
      </w:r>
    </w:p>
    <w:p w14:paraId="369371FE" w14:textId="107976C8"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8201EB" w:rsidRPr="008201EB">
        <w:rPr>
          <w:rFonts w:ascii="Times New Roman" w:eastAsia="Times New Roman" w:hAnsi="Times New Roman"/>
          <w:bCs/>
          <w:iCs/>
          <w:color w:val="000000"/>
          <w:sz w:val="24"/>
          <w:szCs w:val="24"/>
          <w:lang w:eastAsia="uk-UA"/>
        </w:rPr>
        <w:t>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sidR="007E6230">
        <w:rPr>
          <w:rFonts w:ascii="Times New Roman" w:eastAsia="Times New Roman" w:hAnsi="Times New Roman"/>
          <w:bCs/>
          <w:iCs/>
          <w:color w:val="000000"/>
          <w:sz w:val="24"/>
          <w:szCs w:val="24"/>
          <w:lang w:eastAsia="uk-UA"/>
        </w:rPr>
        <w:t>.</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1E44319E"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C37569">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C37569">
        <w:rPr>
          <w:rFonts w:ascii="Times New Roman" w:hAnsi="Times New Roman"/>
          <w:sz w:val="24"/>
          <w:szCs w:val="24"/>
          <w:lang w:val="ru-RU"/>
        </w:rPr>
        <w:t>7</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02264E" w:rsidRPr="0002264E">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AC841BF" w14:textId="77777777" w:rsidR="00C37569" w:rsidRDefault="00C37569" w:rsidP="00C37569">
      <w:pPr>
        <w:spacing w:after="0" w:line="240" w:lineRule="auto"/>
        <w:rPr>
          <w:rFonts w:ascii="Times New Roman" w:hAnsi="Times New Roman" w:cs="Times New Roman"/>
          <w:b/>
          <w:bCs/>
          <w:color w:val="000000"/>
          <w:sz w:val="24"/>
          <w:szCs w:val="24"/>
          <w:lang w:eastAsia="ru-RU"/>
        </w:rPr>
      </w:pPr>
    </w:p>
    <w:p w14:paraId="6F8F2D87" w14:textId="77777777" w:rsidR="00C37569" w:rsidRDefault="00C37569" w:rsidP="00C37569">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p>
    <w:p w14:paraId="62D278AB" w14:textId="77777777" w:rsidR="00C37569" w:rsidRDefault="00C37569" w:rsidP="00C3756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w:t>
      </w:r>
    </w:p>
    <w:p w14:paraId="3F6C363A" w14:textId="77777777" w:rsidR="00C37569" w:rsidRDefault="00C37569" w:rsidP="00C37569">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ДК 021:2015:33690000-3 - Лікарські засоби різні (Реагенти сумісні з проточними </w:t>
      </w:r>
      <w:proofErr w:type="spellStart"/>
      <w:r>
        <w:rPr>
          <w:rFonts w:ascii="Times New Roman" w:hAnsi="Times New Roman" w:cs="Times New Roman"/>
          <w:b/>
          <w:color w:val="000000"/>
          <w:sz w:val="24"/>
          <w:szCs w:val="24"/>
          <w:lang w:eastAsia="ru-RU"/>
        </w:rPr>
        <w:t>цитофлюориметрами</w:t>
      </w:r>
      <w:proofErr w:type="spellEnd"/>
      <w:r>
        <w:rPr>
          <w:rFonts w:ascii="Times New Roman" w:hAnsi="Times New Roman" w:cs="Times New Roman"/>
          <w:b/>
          <w:color w:val="000000"/>
          <w:sz w:val="24"/>
          <w:szCs w:val="24"/>
          <w:lang w:eastAsia="ru-RU"/>
        </w:rPr>
        <w:t xml:space="preserve"> виробництва </w:t>
      </w:r>
      <w:proofErr w:type="spellStart"/>
      <w:r>
        <w:rPr>
          <w:rFonts w:ascii="Times New Roman" w:hAnsi="Times New Roman" w:cs="Times New Roman"/>
          <w:b/>
          <w:color w:val="000000"/>
          <w:sz w:val="24"/>
          <w:szCs w:val="24"/>
          <w:lang w:eastAsia="ru-RU"/>
        </w:rPr>
        <w:t>Beckman</w:t>
      </w:r>
      <w:proofErr w:type="spellEnd"/>
      <w:r>
        <w:rPr>
          <w:rFonts w:ascii="Times New Roman" w:hAnsi="Times New Roman" w:cs="Times New Roman"/>
          <w:b/>
          <w:color w:val="000000"/>
          <w:sz w:val="24"/>
          <w:szCs w:val="24"/>
          <w:lang w:eastAsia="ru-RU"/>
        </w:rPr>
        <w:t xml:space="preserve"> </w:t>
      </w:r>
      <w:proofErr w:type="spellStart"/>
      <w:r>
        <w:rPr>
          <w:rFonts w:ascii="Times New Roman" w:hAnsi="Times New Roman" w:cs="Times New Roman"/>
          <w:b/>
          <w:color w:val="000000"/>
          <w:sz w:val="24"/>
          <w:szCs w:val="24"/>
          <w:lang w:eastAsia="ru-RU"/>
        </w:rPr>
        <w:t>Coulter</w:t>
      </w:r>
      <w:proofErr w:type="spellEnd"/>
      <w:r>
        <w:rPr>
          <w:rFonts w:ascii="Times New Roman" w:hAnsi="Times New Roman" w:cs="Times New Roman"/>
          <w:b/>
          <w:color w:val="000000"/>
          <w:sz w:val="24"/>
          <w:szCs w:val="24"/>
          <w:lang w:eastAsia="ru-RU"/>
        </w:rPr>
        <w:t>)</w:t>
      </w:r>
    </w:p>
    <w:p w14:paraId="35691D72" w14:textId="77777777" w:rsidR="00C37569" w:rsidRDefault="00C37569" w:rsidP="00C37569">
      <w:pPr>
        <w:spacing w:after="0" w:line="252" w:lineRule="auto"/>
        <w:rPr>
          <w:rFonts w:ascii="Times New Roman" w:hAnsi="Times New Roman" w:cs="Calibri"/>
          <w:b/>
          <w:iCs/>
          <w:sz w:val="24"/>
          <w:szCs w:val="24"/>
          <w:lang w:eastAsia="uk-UA"/>
        </w:rPr>
      </w:pPr>
    </w:p>
    <w:p w14:paraId="1C9B781B" w14:textId="77777777" w:rsidR="00C37569" w:rsidRDefault="00C37569" w:rsidP="00C37569">
      <w:pPr>
        <w:spacing w:after="0" w:line="252" w:lineRule="auto"/>
        <w:ind w:firstLine="709"/>
        <w:rPr>
          <w:rFonts w:ascii="Times New Roman" w:hAnsi="Times New Roman"/>
          <w:b/>
          <w:iCs/>
          <w:sz w:val="24"/>
          <w:szCs w:val="24"/>
        </w:rPr>
      </w:pPr>
      <w:r>
        <w:rPr>
          <w:rFonts w:ascii="Times New Roman" w:hAnsi="Times New Roman"/>
          <w:b/>
          <w:iCs/>
          <w:sz w:val="24"/>
          <w:szCs w:val="24"/>
        </w:rPr>
        <w:t>Обґрунтування необхідності посилання на конкретного виробника та торгову марку:</w:t>
      </w:r>
    </w:p>
    <w:p w14:paraId="135B678C" w14:textId="77777777" w:rsidR="00C37569" w:rsidRDefault="00C37569" w:rsidP="00C37569">
      <w:pPr>
        <w:spacing w:after="0" w:line="240" w:lineRule="auto"/>
        <w:ind w:firstLine="709"/>
        <w:jc w:val="both"/>
        <w:rPr>
          <w:rFonts w:ascii="Times New Roman" w:hAnsi="Times New Roman"/>
          <w:sz w:val="24"/>
          <w:szCs w:val="24"/>
        </w:rPr>
      </w:pPr>
      <w:r>
        <w:rPr>
          <w:rFonts w:ascii="Times New Roman" w:hAnsi="Times New Roman"/>
          <w:sz w:val="24"/>
          <w:szCs w:val="24"/>
        </w:rPr>
        <w:t>Замовник здійснює закупівлю контрольних панелей зразків плазми крові для кількісного визначення концентрації РНК ВІЛ-1 для оцінки компетентності персоналу, який виконує дослідження з кількісного визначення копій РНК вірусу імунодефіциту людини першого типу із застосуванням різних типів приладів для оцінки ефективності лікування ВІЛ-інфікованих пацієнтів на всій території України.</w:t>
      </w:r>
    </w:p>
    <w:p w14:paraId="34A02121" w14:textId="77777777" w:rsidR="00C37569" w:rsidRDefault="00C37569" w:rsidP="00C37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Контрольні панелі зразків  призначені для </w:t>
      </w:r>
      <w:proofErr w:type="spellStart"/>
      <w:r>
        <w:rPr>
          <w:rFonts w:ascii="Times New Roman" w:hAnsi="Times New Roman"/>
          <w:sz w:val="24"/>
          <w:szCs w:val="24"/>
        </w:rPr>
        <w:t>міжлабораторного</w:t>
      </w:r>
      <w:proofErr w:type="spellEnd"/>
      <w:r>
        <w:rPr>
          <w:rFonts w:ascii="Times New Roman" w:hAnsi="Times New Roman"/>
          <w:sz w:val="24"/>
          <w:szCs w:val="24"/>
        </w:rPr>
        <w:t xml:space="preserve"> порівняння отриманих персоналом лабораторій результатів досліджень та дозволяють оцінити їх точність.</w:t>
      </w:r>
    </w:p>
    <w:p w14:paraId="7E23BC76" w14:textId="77777777" w:rsidR="00C37569" w:rsidRDefault="00C37569" w:rsidP="00C37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умовах динамічного спостереження за станом здоров’я ВІЛ-інфікованих пацієнтів на АРТ, особливої ваги набуває можливість забезпечення </w:t>
      </w:r>
      <w:proofErr w:type="spellStart"/>
      <w:r>
        <w:rPr>
          <w:rFonts w:ascii="Times New Roman" w:hAnsi="Times New Roman"/>
          <w:sz w:val="24"/>
          <w:szCs w:val="24"/>
        </w:rPr>
        <w:t>співставності</w:t>
      </w:r>
      <w:proofErr w:type="spellEnd"/>
      <w:r>
        <w:rPr>
          <w:rFonts w:ascii="Times New Roman" w:hAnsi="Times New Roman"/>
          <w:sz w:val="24"/>
          <w:szCs w:val="24"/>
        </w:rPr>
        <w:t xml:space="preserve"> результатів дослідження незалежно від того, яка саме лабораторія їх отримала. Це дозволяє економити державні ресурси на організацію та проведення таких досліджень, особливо у випадках зміни пацієнтом місця свого проживання/адреси ЗОЗ для надання йому медичної допомоги.</w:t>
      </w:r>
    </w:p>
    <w:p w14:paraId="3C01F407" w14:textId="77777777" w:rsidR="00C37569" w:rsidRDefault="00C37569" w:rsidP="00C37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визначенні предмету закупівлі Замовник посилається на  торгову назву конкретного виробника та каталожний номер, тому що дані панелі зразків плазми крові найбільше відповідають поставленим перед  </w:t>
      </w:r>
      <w:proofErr w:type="spellStart"/>
      <w:r>
        <w:rPr>
          <w:rFonts w:ascii="Times New Roman" w:hAnsi="Times New Roman"/>
          <w:sz w:val="24"/>
          <w:szCs w:val="24"/>
        </w:rPr>
        <w:t>Референс</w:t>
      </w:r>
      <w:proofErr w:type="spellEnd"/>
      <w:r>
        <w:rPr>
          <w:rFonts w:ascii="Times New Roman" w:hAnsi="Times New Roman"/>
          <w:sz w:val="24"/>
          <w:szCs w:val="24"/>
        </w:rPr>
        <w:t>-лабораторією з діагностики ВІЛ/СНІДу  цілям.</w:t>
      </w:r>
    </w:p>
    <w:p w14:paraId="31FB7F72" w14:textId="77777777" w:rsidR="00C37569" w:rsidRDefault="00C37569" w:rsidP="00C37569">
      <w:pPr>
        <w:spacing w:after="0" w:line="240" w:lineRule="auto"/>
        <w:ind w:firstLine="709"/>
        <w:jc w:val="both"/>
        <w:rPr>
          <w:rFonts w:ascii="Times New Roman" w:hAnsi="Times New Roman"/>
          <w:sz w:val="24"/>
          <w:szCs w:val="24"/>
        </w:rPr>
      </w:pPr>
      <w:r>
        <w:rPr>
          <w:rFonts w:ascii="Times New Roman" w:hAnsi="Times New Roman"/>
          <w:sz w:val="24"/>
          <w:szCs w:val="24"/>
        </w:rPr>
        <w:t>Отже, для дотримання принципів Закону, а саме досягнення максимальної економії та ефективності, Замовником було прийнято рішення  провести закупівлю даних реагентів або їх еквіваленту.</w:t>
      </w:r>
    </w:p>
    <w:tbl>
      <w:tblPr>
        <w:tblStyle w:val="27"/>
        <w:tblW w:w="14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1"/>
        <w:gridCol w:w="8642"/>
        <w:gridCol w:w="1276"/>
        <w:gridCol w:w="1417"/>
      </w:tblGrid>
      <w:tr w:rsidR="00C37569" w14:paraId="0E7429C9" w14:textId="77777777" w:rsidTr="00C37569">
        <w:trPr>
          <w:trHeight w:val="867"/>
          <w:tblHeader/>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54F628" w14:textId="77777777" w:rsidR="00C37569" w:rsidRDefault="00C37569">
            <w:pPr>
              <w:jc w:val="center"/>
              <w:rPr>
                <w:b/>
                <w:bCs/>
                <w:color w:val="000000"/>
                <w:spacing w:val="-5"/>
                <w:sz w:val="24"/>
                <w:szCs w:val="24"/>
                <w:highlight w:val="yellow"/>
                <w:lang w:eastAsia="ru-RU"/>
              </w:rPr>
            </w:pPr>
            <w:r>
              <w:rPr>
                <w:bCs/>
                <w:color w:val="000000"/>
                <w:spacing w:val="-5"/>
                <w:sz w:val="24"/>
                <w:szCs w:val="24"/>
                <w:lang w:eastAsia="ru-RU"/>
              </w:rPr>
              <w:t>МЕДИКО-ТЕХНІЧНІ ВИМОГИ</w:t>
            </w:r>
          </w:p>
        </w:tc>
      </w:tr>
      <w:tr w:rsidR="00C37569" w14:paraId="6DC04771" w14:textId="77777777" w:rsidTr="00C37569">
        <w:trPr>
          <w:trHeight w:val="867"/>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3C1EA" w14:textId="77777777" w:rsidR="00C37569" w:rsidRDefault="00C37569">
            <w:pPr>
              <w:jc w:val="center"/>
              <w:rPr>
                <w:b/>
                <w:color w:val="000000"/>
                <w:sz w:val="24"/>
                <w:szCs w:val="24"/>
                <w:lang w:eastAsia="de-DE"/>
              </w:rPr>
            </w:pPr>
            <w:bookmarkStart w:id="2" w:name="_Hlk129627399"/>
            <w:r>
              <w:rPr>
                <w:b/>
                <w:color w:val="000000"/>
                <w:sz w:val="24"/>
                <w:szCs w:val="24"/>
                <w:lang w:eastAsia="de-DE"/>
              </w:rPr>
              <w:t>№ з/п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2E2D6" w14:textId="77777777" w:rsidR="00C37569" w:rsidRDefault="00C37569">
            <w:pPr>
              <w:jc w:val="center"/>
              <w:rPr>
                <w:b/>
                <w:color w:val="000000"/>
                <w:sz w:val="24"/>
                <w:szCs w:val="24"/>
                <w:lang w:eastAsia="de-DE"/>
              </w:rPr>
            </w:pPr>
            <w:r>
              <w:rPr>
                <w:b/>
                <w:color w:val="000000"/>
                <w:sz w:val="24"/>
                <w:szCs w:val="24"/>
                <w:lang w:eastAsia="de-DE"/>
              </w:rPr>
              <w:t>Назва предмету закупівлі</w:t>
            </w: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4E165" w14:textId="77777777" w:rsidR="00C37569" w:rsidRDefault="00C37569">
            <w:pPr>
              <w:jc w:val="center"/>
              <w:rPr>
                <w:b/>
                <w:color w:val="000000"/>
                <w:sz w:val="24"/>
                <w:szCs w:val="24"/>
                <w:lang w:eastAsia="de-DE"/>
              </w:rPr>
            </w:pPr>
            <w:r>
              <w:rPr>
                <w:b/>
                <w:color w:val="000000"/>
                <w:sz w:val="24"/>
                <w:szCs w:val="24"/>
                <w:lang w:eastAsia="de-DE"/>
              </w:rPr>
              <w:t>Опис предмета закупівлі</w:t>
            </w:r>
          </w:p>
          <w:p w14:paraId="38E79544" w14:textId="77777777" w:rsidR="00C37569" w:rsidRDefault="00C37569">
            <w:pPr>
              <w:jc w:val="center"/>
              <w:rPr>
                <w:b/>
                <w:color w:val="000000"/>
                <w:sz w:val="24"/>
                <w:szCs w:val="24"/>
                <w:lang w:eastAsia="de-DE"/>
              </w:rPr>
            </w:pPr>
            <w:r>
              <w:rPr>
                <w:b/>
                <w:color w:val="000000"/>
                <w:sz w:val="24"/>
                <w:szCs w:val="24"/>
                <w:lang w:eastAsia="de-DE"/>
              </w:rPr>
              <w:t>(технічні, якісні характеристики)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626AD" w14:textId="77777777" w:rsidR="00C37569" w:rsidRDefault="00C37569">
            <w:pPr>
              <w:jc w:val="center"/>
              <w:rPr>
                <w:b/>
                <w:color w:val="000000"/>
                <w:sz w:val="24"/>
                <w:szCs w:val="24"/>
                <w:lang w:eastAsia="de-DE"/>
              </w:rPr>
            </w:pPr>
            <w:r>
              <w:rPr>
                <w:b/>
                <w:color w:val="000000"/>
                <w:sz w:val="24"/>
                <w:szCs w:val="24"/>
                <w:lang w:eastAsia="de-DE"/>
              </w:rPr>
              <w:t>Одиниця</w:t>
            </w:r>
          </w:p>
          <w:p w14:paraId="2F168494" w14:textId="77777777" w:rsidR="00C37569" w:rsidRDefault="00C37569">
            <w:pPr>
              <w:jc w:val="center"/>
              <w:rPr>
                <w:b/>
                <w:color w:val="000000"/>
                <w:sz w:val="24"/>
                <w:szCs w:val="24"/>
                <w:lang w:eastAsia="de-DE"/>
              </w:rPr>
            </w:pPr>
            <w:r>
              <w:rPr>
                <w:b/>
                <w:color w:val="000000"/>
                <w:sz w:val="24"/>
                <w:szCs w:val="24"/>
                <w:lang w:eastAsia="de-DE"/>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DE8F16B" w14:textId="77777777" w:rsidR="00C37569" w:rsidRDefault="00C37569">
            <w:pPr>
              <w:jc w:val="center"/>
              <w:rPr>
                <w:b/>
                <w:color w:val="000000"/>
                <w:sz w:val="24"/>
                <w:szCs w:val="24"/>
                <w:lang w:eastAsia="de-DE"/>
              </w:rPr>
            </w:pPr>
          </w:p>
          <w:p w14:paraId="3C824C92" w14:textId="77777777" w:rsidR="00C37569" w:rsidRDefault="00C37569">
            <w:pPr>
              <w:jc w:val="center"/>
              <w:rPr>
                <w:b/>
                <w:color w:val="000000"/>
                <w:sz w:val="24"/>
                <w:szCs w:val="24"/>
                <w:lang w:eastAsia="de-DE"/>
              </w:rPr>
            </w:pPr>
            <w:r>
              <w:rPr>
                <w:b/>
                <w:color w:val="000000"/>
                <w:sz w:val="24"/>
                <w:szCs w:val="24"/>
                <w:lang w:eastAsia="de-DE"/>
              </w:rPr>
              <w:t>Кількість</w:t>
            </w:r>
          </w:p>
        </w:tc>
      </w:tr>
      <w:tr w:rsidR="00C37569" w14:paraId="07926F5D" w14:textId="77777777" w:rsidTr="00C37569">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81A20E" w14:textId="77777777" w:rsidR="00C37569" w:rsidRDefault="00C37569">
            <w:pPr>
              <w:tabs>
                <w:tab w:val="left" w:pos="180"/>
              </w:tabs>
              <w:spacing w:line="276" w:lineRule="auto"/>
              <w:ind w:left="-45" w:firstLine="45"/>
              <w:contextualSpacing/>
              <w:jc w:val="both"/>
              <w:rPr>
                <w:sz w:val="24"/>
                <w:szCs w:val="24"/>
                <w:lang w:eastAsia="de-DE"/>
              </w:rPr>
            </w:pPr>
            <w:r>
              <w:rPr>
                <w:sz w:val="24"/>
                <w:szCs w:val="24"/>
                <w:lang w:eastAsia="de-DE"/>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2AB0E" w14:textId="77777777" w:rsidR="00C37569" w:rsidRDefault="00C37569">
            <w:pPr>
              <w:jc w:val="both"/>
              <w:rPr>
                <w:color w:val="000000"/>
                <w:sz w:val="24"/>
                <w:szCs w:val="24"/>
              </w:rPr>
            </w:pPr>
            <w:r>
              <w:rPr>
                <w:rFonts w:eastAsia="Calibri" w:cs="Calibri"/>
                <w:bCs/>
                <w:sz w:val="24"/>
                <w:szCs w:val="24"/>
              </w:rPr>
              <w:t xml:space="preserve">AQUIOS Тетра-1 Панель Tetra-1 </w:t>
            </w:r>
            <w:proofErr w:type="spellStart"/>
            <w:r>
              <w:rPr>
                <w:rFonts w:eastAsia="Calibri" w:cs="Calibri"/>
                <w:bCs/>
                <w:sz w:val="24"/>
                <w:szCs w:val="24"/>
              </w:rPr>
              <w:t>Panel</w:t>
            </w:r>
            <w:proofErr w:type="spellEnd"/>
            <w:r>
              <w:rPr>
                <w:rFonts w:eastAsia="Calibri" w:cs="Calibri"/>
                <w:bCs/>
                <w:sz w:val="24"/>
                <w:szCs w:val="24"/>
              </w:rPr>
              <w:t xml:space="preserve">, 50 тестів, каталожний номер </w:t>
            </w:r>
            <w:r>
              <w:rPr>
                <w:rFonts w:eastAsia="Calibri" w:cs="Calibri"/>
                <w:bCs/>
                <w:sz w:val="24"/>
                <w:szCs w:val="24"/>
                <w:lang w:val="en-US"/>
              </w:rPr>
              <w:t>B</w:t>
            </w:r>
            <w:r>
              <w:rPr>
                <w:rFonts w:eastAsia="Calibri" w:cs="Calibri"/>
                <w:bCs/>
                <w:sz w:val="24"/>
                <w:szCs w:val="24"/>
              </w:rPr>
              <w:t>23533</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D92C3A" w14:textId="77777777" w:rsidR="00C37569" w:rsidRDefault="00C37569">
            <w:pPr>
              <w:jc w:val="both"/>
              <w:rPr>
                <w:color w:val="000000"/>
                <w:sz w:val="24"/>
                <w:szCs w:val="24"/>
              </w:rPr>
            </w:pPr>
            <w:r>
              <w:rPr>
                <w:color w:val="000000"/>
                <w:sz w:val="24"/>
                <w:szCs w:val="24"/>
              </w:rPr>
              <w:t xml:space="preserve">1. Реагенти повинні бути сумісні з проточними </w:t>
            </w:r>
            <w:proofErr w:type="spellStart"/>
            <w:r>
              <w:rPr>
                <w:color w:val="000000"/>
                <w:sz w:val="24"/>
                <w:szCs w:val="24"/>
              </w:rPr>
              <w:t>цитофлюориметрами</w:t>
            </w:r>
            <w:proofErr w:type="spellEnd"/>
            <w:r>
              <w:rPr>
                <w:color w:val="000000"/>
                <w:sz w:val="24"/>
                <w:szCs w:val="24"/>
              </w:rPr>
              <w:t xml:space="preserve"> AQUIOS CL виробництва </w:t>
            </w:r>
            <w:proofErr w:type="spellStart"/>
            <w:r>
              <w:rPr>
                <w:color w:val="000000"/>
                <w:sz w:val="24"/>
                <w:szCs w:val="24"/>
              </w:rPr>
              <w:t>Beckman</w:t>
            </w:r>
            <w:proofErr w:type="spellEnd"/>
            <w:r>
              <w:rPr>
                <w:color w:val="000000"/>
                <w:sz w:val="24"/>
                <w:szCs w:val="24"/>
              </w:rPr>
              <w:t xml:space="preserve"> </w:t>
            </w:r>
            <w:proofErr w:type="spellStart"/>
            <w:r>
              <w:rPr>
                <w:color w:val="000000"/>
                <w:sz w:val="24"/>
                <w:szCs w:val="24"/>
              </w:rPr>
              <w:t>Coulter</w:t>
            </w:r>
            <w:proofErr w:type="spellEnd"/>
            <w:r>
              <w:rPr>
                <w:color w:val="000000"/>
                <w:sz w:val="24"/>
                <w:szCs w:val="24"/>
              </w:rPr>
              <w:t>.</w:t>
            </w:r>
          </w:p>
          <w:p w14:paraId="2C827587" w14:textId="77777777" w:rsidR="00C37569" w:rsidRDefault="00C37569">
            <w:pPr>
              <w:jc w:val="both"/>
              <w:rPr>
                <w:color w:val="000000"/>
                <w:sz w:val="24"/>
                <w:szCs w:val="24"/>
              </w:rPr>
            </w:pPr>
            <w:r>
              <w:rPr>
                <w:color w:val="000000"/>
                <w:sz w:val="24"/>
                <w:szCs w:val="24"/>
              </w:rPr>
              <w:t xml:space="preserve">2. Реагенти повинні бути призначені для діагностики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vitro</w:t>
            </w:r>
            <w:proofErr w:type="spellEnd"/>
            <w:r>
              <w:rPr>
                <w:color w:val="000000"/>
                <w:sz w:val="24"/>
                <w:szCs w:val="24"/>
              </w:rPr>
              <w:t>.</w:t>
            </w:r>
          </w:p>
          <w:p w14:paraId="23E38852" w14:textId="77777777" w:rsidR="00C37569" w:rsidRDefault="00C37569">
            <w:pPr>
              <w:jc w:val="both"/>
              <w:rPr>
                <w:color w:val="000000"/>
                <w:sz w:val="24"/>
                <w:szCs w:val="24"/>
              </w:rPr>
            </w:pPr>
            <w:r>
              <w:rPr>
                <w:color w:val="000000"/>
                <w:sz w:val="24"/>
                <w:szCs w:val="24"/>
              </w:rPr>
              <w:t>3. Термін придатності реагентів на момент поставки отримувачу повинен становити не менше 50% від загального терміну придатності.</w:t>
            </w:r>
          </w:p>
          <w:p w14:paraId="6AF1882E" w14:textId="77777777" w:rsidR="00C37569" w:rsidRDefault="00C37569">
            <w:pPr>
              <w:jc w:val="both"/>
              <w:rPr>
                <w:color w:val="000000"/>
                <w:sz w:val="24"/>
                <w:szCs w:val="24"/>
              </w:rPr>
            </w:pPr>
            <w:r>
              <w:rPr>
                <w:color w:val="000000"/>
                <w:sz w:val="24"/>
                <w:szCs w:val="24"/>
              </w:rPr>
              <w:t xml:space="preserve">4. Медичні вироби повинні відповідати вимогам Технічного регламенту щодо медичних виробів, затвердженого постановою Кабінету Міністрів України від 02.10.2013 № 753, що підтверджується на момент постачання завіреною копією декларації та, за наявності, сертифікатом про відповідність. </w:t>
            </w:r>
          </w:p>
          <w:p w14:paraId="4F02371C" w14:textId="77777777" w:rsidR="00C37569" w:rsidRDefault="00C37569">
            <w:pPr>
              <w:jc w:val="both"/>
              <w:rPr>
                <w:color w:val="000000"/>
                <w:sz w:val="24"/>
                <w:szCs w:val="24"/>
              </w:rPr>
            </w:pPr>
            <w:r>
              <w:rPr>
                <w:color w:val="000000"/>
                <w:sz w:val="24"/>
                <w:szCs w:val="24"/>
              </w:rPr>
              <w:lastRenderedPageBreak/>
              <w:t>5. Необхідна наявність копії інструкції (настанови) із експлуатації (застосування) медичного виробу українською мовою.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w:t>
            </w:r>
          </w:p>
          <w:p w14:paraId="23090451" w14:textId="77777777" w:rsidR="00C37569" w:rsidRDefault="00C37569">
            <w:pPr>
              <w:jc w:val="both"/>
              <w:rPr>
                <w:color w:val="000000"/>
                <w:sz w:val="24"/>
                <w:szCs w:val="24"/>
              </w:rPr>
            </w:pPr>
            <w:r>
              <w:rPr>
                <w:color w:val="000000"/>
                <w:sz w:val="24"/>
                <w:szCs w:val="24"/>
              </w:rPr>
              <w:t>6. Зберігання та постачання повинно здійснюватися відповідно до вимог інструкції з використання за необхідності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F7546B" w14:textId="77777777" w:rsidR="00C37569" w:rsidRDefault="00C37569">
            <w:pPr>
              <w:tabs>
                <w:tab w:val="left" w:pos="180"/>
              </w:tabs>
              <w:spacing w:after="200" w:line="276" w:lineRule="auto"/>
              <w:ind w:left="-45" w:firstLine="45"/>
              <w:contextualSpacing/>
              <w:rPr>
                <w:color w:val="000000"/>
                <w:sz w:val="24"/>
                <w:szCs w:val="24"/>
              </w:rPr>
            </w:pPr>
            <w:r>
              <w:rPr>
                <w:sz w:val="24"/>
                <w:szCs w:val="24"/>
              </w:rPr>
              <w:lastRenderedPageBreak/>
              <w:t>флакон</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6E612A" w14:textId="77777777" w:rsidR="00C37569" w:rsidRDefault="00C37569">
            <w:pPr>
              <w:tabs>
                <w:tab w:val="left" w:pos="180"/>
              </w:tabs>
              <w:spacing w:after="200" w:line="276" w:lineRule="auto"/>
              <w:ind w:left="-45" w:firstLine="45"/>
              <w:contextualSpacing/>
              <w:jc w:val="center"/>
              <w:rPr>
                <w:color w:val="000000"/>
                <w:sz w:val="24"/>
                <w:szCs w:val="24"/>
              </w:rPr>
            </w:pPr>
            <w:r>
              <w:rPr>
                <w:sz w:val="24"/>
                <w:szCs w:val="24"/>
              </w:rPr>
              <w:t>1</w:t>
            </w:r>
          </w:p>
        </w:tc>
      </w:tr>
      <w:tr w:rsidR="00C37569" w14:paraId="7E63DF64" w14:textId="77777777" w:rsidTr="00C37569">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7C6F3DE" w14:textId="77777777" w:rsidR="00C37569" w:rsidRDefault="00C37569">
            <w:pPr>
              <w:tabs>
                <w:tab w:val="left" w:pos="180"/>
              </w:tabs>
              <w:spacing w:line="276" w:lineRule="auto"/>
              <w:ind w:left="-45" w:firstLine="45"/>
              <w:contextualSpacing/>
              <w:jc w:val="both"/>
              <w:rPr>
                <w:sz w:val="24"/>
                <w:szCs w:val="24"/>
                <w:lang w:eastAsia="de-DE"/>
              </w:rPr>
            </w:pPr>
            <w:r>
              <w:rPr>
                <w:sz w:val="24"/>
                <w:szCs w:val="24"/>
                <w:lang w:eastAsia="de-DE"/>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863E26" w14:textId="77777777" w:rsidR="00C37569" w:rsidRDefault="00C37569">
            <w:pPr>
              <w:jc w:val="both"/>
              <w:rPr>
                <w:sz w:val="24"/>
                <w:szCs w:val="24"/>
              </w:rPr>
            </w:pPr>
            <w:r>
              <w:rPr>
                <w:rFonts w:eastAsia="Calibri" w:cs="Calibri"/>
                <w:bCs/>
                <w:sz w:val="24"/>
                <w:szCs w:val="24"/>
              </w:rPr>
              <w:t xml:space="preserve">AQUIOS </w:t>
            </w:r>
            <w:proofErr w:type="spellStart"/>
            <w:r>
              <w:rPr>
                <w:rFonts w:eastAsia="Calibri" w:cs="Calibri"/>
                <w:bCs/>
                <w:sz w:val="24"/>
                <w:szCs w:val="24"/>
              </w:rPr>
              <w:t>Фокусуючий</w:t>
            </w:r>
            <w:proofErr w:type="spellEnd"/>
            <w:r>
              <w:rPr>
                <w:rFonts w:eastAsia="Calibri" w:cs="Calibri"/>
                <w:bCs/>
                <w:sz w:val="24"/>
                <w:szCs w:val="24"/>
              </w:rPr>
              <w:t xml:space="preserve"> розчин </w:t>
            </w:r>
            <w:proofErr w:type="spellStart"/>
            <w:r>
              <w:rPr>
                <w:rFonts w:eastAsia="Calibri" w:cs="Calibri"/>
                <w:bCs/>
                <w:sz w:val="24"/>
                <w:szCs w:val="24"/>
              </w:rPr>
              <w:t>Sheath</w:t>
            </w:r>
            <w:proofErr w:type="spellEnd"/>
            <w:r>
              <w:rPr>
                <w:rFonts w:eastAsia="Calibri" w:cs="Calibri"/>
                <w:bCs/>
                <w:sz w:val="24"/>
                <w:szCs w:val="24"/>
              </w:rPr>
              <w:t xml:space="preserve"> </w:t>
            </w:r>
            <w:proofErr w:type="spellStart"/>
            <w:r>
              <w:rPr>
                <w:rFonts w:eastAsia="Calibri" w:cs="Calibri"/>
                <w:bCs/>
                <w:sz w:val="24"/>
                <w:szCs w:val="24"/>
              </w:rPr>
              <w:t>Solution</w:t>
            </w:r>
            <w:proofErr w:type="spellEnd"/>
            <w:r>
              <w:rPr>
                <w:rFonts w:eastAsia="Calibri" w:cs="Calibri"/>
                <w:bCs/>
                <w:sz w:val="24"/>
                <w:szCs w:val="24"/>
              </w:rPr>
              <w:t>, 10 л, каталожний номер B25697</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70B21FB" w14:textId="77777777" w:rsidR="00C37569" w:rsidRDefault="00C37569">
            <w:pPr>
              <w:jc w:val="both"/>
              <w:rPr>
                <w:color w:val="000000"/>
                <w:sz w:val="24"/>
                <w:szCs w:val="24"/>
              </w:rPr>
            </w:pPr>
            <w:r>
              <w:rPr>
                <w:color w:val="000000"/>
                <w:sz w:val="24"/>
                <w:szCs w:val="24"/>
              </w:rPr>
              <w:t xml:space="preserve">1. Реагенти повинні бути сумісні з проточними </w:t>
            </w:r>
            <w:proofErr w:type="spellStart"/>
            <w:r>
              <w:rPr>
                <w:color w:val="000000"/>
                <w:sz w:val="24"/>
                <w:szCs w:val="24"/>
              </w:rPr>
              <w:t>цитофлюориметрами</w:t>
            </w:r>
            <w:proofErr w:type="spellEnd"/>
            <w:r>
              <w:rPr>
                <w:color w:val="000000"/>
                <w:sz w:val="24"/>
                <w:szCs w:val="24"/>
              </w:rPr>
              <w:t xml:space="preserve"> AQUIOS CL виробництва </w:t>
            </w:r>
            <w:proofErr w:type="spellStart"/>
            <w:r>
              <w:rPr>
                <w:color w:val="000000"/>
                <w:sz w:val="24"/>
                <w:szCs w:val="24"/>
              </w:rPr>
              <w:t>Beckman</w:t>
            </w:r>
            <w:proofErr w:type="spellEnd"/>
            <w:r>
              <w:rPr>
                <w:color w:val="000000"/>
                <w:sz w:val="24"/>
                <w:szCs w:val="24"/>
              </w:rPr>
              <w:t xml:space="preserve"> </w:t>
            </w:r>
            <w:proofErr w:type="spellStart"/>
            <w:r>
              <w:rPr>
                <w:color w:val="000000"/>
                <w:sz w:val="24"/>
                <w:szCs w:val="24"/>
              </w:rPr>
              <w:t>Coulter</w:t>
            </w:r>
            <w:proofErr w:type="spellEnd"/>
            <w:r>
              <w:rPr>
                <w:color w:val="000000"/>
                <w:sz w:val="24"/>
                <w:szCs w:val="24"/>
              </w:rPr>
              <w:t>.</w:t>
            </w:r>
          </w:p>
          <w:p w14:paraId="71235C6B" w14:textId="77777777" w:rsidR="00C37569" w:rsidRDefault="00C37569">
            <w:pPr>
              <w:jc w:val="both"/>
              <w:rPr>
                <w:color w:val="000000"/>
                <w:sz w:val="24"/>
                <w:szCs w:val="24"/>
              </w:rPr>
            </w:pPr>
            <w:r>
              <w:rPr>
                <w:color w:val="000000"/>
                <w:sz w:val="24"/>
                <w:szCs w:val="24"/>
              </w:rPr>
              <w:t xml:space="preserve">2. Реагенти повинні бути призначені для діагностики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vitro</w:t>
            </w:r>
            <w:proofErr w:type="spellEnd"/>
            <w:r>
              <w:rPr>
                <w:color w:val="000000"/>
                <w:sz w:val="24"/>
                <w:szCs w:val="24"/>
              </w:rPr>
              <w:t>.</w:t>
            </w:r>
          </w:p>
          <w:p w14:paraId="749D6496" w14:textId="77777777" w:rsidR="00C37569" w:rsidRDefault="00C37569">
            <w:pPr>
              <w:jc w:val="both"/>
              <w:rPr>
                <w:color w:val="000000"/>
                <w:sz w:val="24"/>
                <w:szCs w:val="24"/>
              </w:rPr>
            </w:pPr>
            <w:r>
              <w:rPr>
                <w:color w:val="000000"/>
                <w:sz w:val="24"/>
                <w:szCs w:val="24"/>
              </w:rPr>
              <w:t>3. Термін придатності реагентів на момент поставки отримувачу повинен становити не менше 50% від загального терміну придатності.</w:t>
            </w:r>
          </w:p>
          <w:p w14:paraId="5528C81A" w14:textId="77777777" w:rsidR="00C37569" w:rsidRDefault="00C37569">
            <w:pPr>
              <w:jc w:val="both"/>
              <w:rPr>
                <w:color w:val="000000"/>
                <w:sz w:val="24"/>
                <w:szCs w:val="24"/>
              </w:rPr>
            </w:pPr>
            <w:r>
              <w:rPr>
                <w:color w:val="000000"/>
                <w:sz w:val="24"/>
                <w:szCs w:val="24"/>
              </w:rPr>
              <w:t xml:space="preserve">4. Медичні вироби повинні відповідати вимогам Технічного регламенту щодо медичних виробів, затвердженого постановою Кабінету Міністрів України від 02.10.2013 № 753, що підтверджується на момент постачання завіреною копією декларації та, за наявності, сертифікатом про відповідність. </w:t>
            </w:r>
          </w:p>
          <w:p w14:paraId="18915FCB" w14:textId="77777777" w:rsidR="00C37569" w:rsidRDefault="00C37569">
            <w:pPr>
              <w:jc w:val="both"/>
              <w:rPr>
                <w:color w:val="000000"/>
                <w:sz w:val="24"/>
                <w:szCs w:val="24"/>
              </w:rPr>
            </w:pPr>
            <w:r>
              <w:rPr>
                <w:color w:val="000000"/>
                <w:sz w:val="24"/>
                <w:szCs w:val="24"/>
              </w:rPr>
              <w:t>5. Необхідна наявність копії інструкції (настанови) із експлуатації (застосування) медичного виробу українською мовою.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w:t>
            </w:r>
          </w:p>
          <w:p w14:paraId="1C14BA20" w14:textId="77777777" w:rsidR="00C37569" w:rsidRDefault="00C37569">
            <w:pPr>
              <w:jc w:val="both"/>
              <w:rPr>
                <w:sz w:val="24"/>
                <w:szCs w:val="24"/>
              </w:rPr>
            </w:pPr>
            <w:r>
              <w:rPr>
                <w:color w:val="000000"/>
                <w:sz w:val="24"/>
                <w:szCs w:val="24"/>
              </w:rPr>
              <w:t>6. Зберігання та постачання повинно здійснюватися відповідно до вимог інструкції з використання за необхідності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352D1F" w14:textId="77777777" w:rsidR="00C37569" w:rsidRDefault="00C37569">
            <w:pPr>
              <w:tabs>
                <w:tab w:val="left" w:pos="180"/>
              </w:tabs>
              <w:spacing w:after="200" w:line="276" w:lineRule="auto"/>
              <w:ind w:left="-45" w:firstLine="45"/>
              <w:contextualSpacing/>
              <w:rPr>
                <w:sz w:val="24"/>
                <w:szCs w:val="24"/>
              </w:rPr>
            </w:pPr>
            <w:r>
              <w:rPr>
                <w:sz w:val="24"/>
                <w:szCs w:val="24"/>
              </w:rPr>
              <w:t>упаковка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10F3C0" w14:textId="77777777" w:rsidR="00C37569" w:rsidRDefault="00C37569">
            <w:pPr>
              <w:tabs>
                <w:tab w:val="left" w:pos="180"/>
              </w:tabs>
              <w:spacing w:after="200" w:line="276" w:lineRule="auto"/>
              <w:ind w:left="-45" w:firstLine="45"/>
              <w:contextualSpacing/>
              <w:jc w:val="center"/>
              <w:rPr>
                <w:sz w:val="24"/>
                <w:szCs w:val="24"/>
              </w:rPr>
            </w:pPr>
            <w:r>
              <w:rPr>
                <w:sz w:val="24"/>
                <w:szCs w:val="24"/>
              </w:rPr>
              <w:t>1</w:t>
            </w:r>
          </w:p>
        </w:tc>
      </w:tr>
      <w:tr w:rsidR="00C37569" w14:paraId="0E511895" w14:textId="77777777" w:rsidTr="00C37569">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7E0CF1" w14:textId="77777777" w:rsidR="00C37569" w:rsidRDefault="00C37569">
            <w:pPr>
              <w:tabs>
                <w:tab w:val="left" w:pos="180"/>
              </w:tabs>
              <w:spacing w:line="276" w:lineRule="auto"/>
              <w:ind w:left="-45" w:firstLine="45"/>
              <w:contextualSpacing/>
              <w:jc w:val="both"/>
              <w:rPr>
                <w:sz w:val="24"/>
                <w:szCs w:val="24"/>
                <w:lang w:eastAsia="de-DE"/>
              </w:rPr>
            </w:pPr>
            <w:r>
              <w:rPr>
                <w:sz w:val="24"/>
                <w:szCs w:val="24"/>
                <w:lang w:eastAsia="de-DE"/>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C35F13" w14:textId="77777777" w:rsidR="00C37569" w:rsidRDefault="00C37569">
            <w:pPr>
              <w:jc w:val="both"/>
              <w:rPr>
                <w:sz w:val="24"/>
                <w:szCs w:val="24"/>
              </w:rPr>
            </w:pPr>
            <w:r>
              <w:rPr>
                <w:rFonts w:eastAsia="Calibri" w:cs="Calibri"/>
                <w:bCs/>
                <w:sz w:val="24"/>
                <w:szCs w:val="24"/>
                <w:lang w:val="en-US"/>
              </w:rPr>
              <w:t>AQUIOS</w:t>
            </w:r>
            <w:r w:rsidRPr="00C37569">
              <w:rPr>
                <w:rFonts w:eastAsia="Calibri" w:cs="Calibri"/>
                <w:bCs/>
                <w:sz w:val="24"/>
                <w:szCs w:val="24"/>
              </w:rPr>
              <w:t xml:space="preserve"> </w:t>
            </w:r>
            <w:r>
              <w:rPr>
                <w:rFonts w:eastAsia="Calibri" w:cs="Calibri"/>
                <w:bCs/>
                <w:sz w:val="24"/>
                <w:szCs w:val="24"/>
                <w:lang w:val="en-US"/>
              </w:rPr>
              <w:t>IMMUNO</w:t>
            </w:r>
            <w:r>
              <w:rPr>
                <w:rFonts w:eastAsia="Calibri" w:cs="Calibri"/>
                <w:bCs/>
                <w:sz w:val="24"/>
                <w:szCs w:val="24"/>
              </w:rPr>
              <w:t>-</w:t>
            </w:r>
            <w:r>
              <w:rPr>
                <w:rFonts w:eastAsia="Calibri" w:cs="Calibri"/>
                <w:bCs/>
                <w:sz w:val="24"/>
                <w:szCs w:val="24"/>
                <w:lang w:val="en-US"/>
              </w:rPr>
              <w:t>TROL</w:t>
            </w:r>
            <w:r>
              <w:rPr>
                <w:rFonts w:eastAsia="Calibri" w:cs="Calibri"/>
                <w:bCs/>
                <w:sz w:val="24"/>
                <w:szCs w:val="24"/>
              </w:rPr>
              <w:t xml:space="preserve">, низькі клітини, 2 флакони по 3 мл, каталожний номер </w:t>
            </w:r>
            <w:r>
              <w:rPr>
                <w:rFonts w:eastAsia="Calibri" w:cs="Calibri"/>
                <w:bCs/>
                <w:sz w:val="24"/>
                <w:szCs w:val="24"/>
                <w:lang w:val="en-US"/>
              </w:rPr>
              <w:t>B</w:t>
            </w:r>
            <w:r>
              <w:rPr>
                <w:rFonts w:eastAsia="Calibri" w:cs="Calibri"/>
                <w:bCs/>
                <w:sz w:val="24"/>
                <w:szCs w:val="24"/>
              </w:rPr>
              <w:t>25700</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2360D3" w14:textId="77777777" w:rsidR="00C37569" w:rsidRDefault="00C37569">
            <w:pPr>
              <w:jc w:val="both"/>
              <w:rPr>
                <w:color w:val="000000"/>
                <w:sz w:val="24"/>
                <w:szCs w:val="24"/>
              </w:rPr>
            </w:pPr>
            <w:r>
              <w:rPr>
                <w:color w:val="000000"/>
                <w:sz w:val="24"/>
                <w:szCs w:val="24"/>
              </w:rPr>
              <w:t xml:space="preserve">1. Реагенти повинні бути сумісні з проточними </w:t>
            </w:r>
            <w:proofErr w:type="spellStart"/>
            <w:r>
              <w:rPr>
                <w:color w:val="000000"/>
                <w:sz w:val="24"/>
                <w:szCs w:val="24"/>
              </w:rPr>
              <w:t>цитофлюориметрами</w:t>
            </w:r>
            <w:proofErr w:type="spellEnd"/>
            <w:r>
              <w:rPr>
                <w:color w:val="000000"/>
                <w:sz w:val="24"/>
                <w:szCs w:val="24"/>
              </w:rPr>
              <w:t xml:space="preserve"> AQUIOS CL виробництва </w:t>
            </w:r>
            <w:proofErr w:type="spellStart"/>
            <w:r>
              <w:rPr>
                <w:color w:val="000000"/>
                <w:sz w:val="24"/>
                <w:szCs w:val="24"/>
              </w:rPr>
              <w:t>Beckman</w:t>
            </w:r>
            <w:proofErr w:type="spellEnd"/>
            <w:r>
              <w:rPr>
                <w:color w:val="000000"/>
                <w:sz w:val="24"/>
                <w:szCs w:val="24"/>
              </w:rPr>
              <w:t xml:space="preserve"> </w:t>
            </w:r>
            <w:proofErr w:type="spellStart"/>
            <w:r>
              <w:rPr>
                <w:color w:val="000000"/>
                <w:sz w:val="24"/>
                <w:szCs w:val="24"/>
              </w:rPr>
              <w:t>Coulter</w:t>
            </w:r>
            <w:proofErr w:type="spellEnd"/>
            <w:r>
              <w:rPr>
                <w:color w:val="000000"/>
                <w:sz w:val="24"/>
                <w:szCs w:val="24"/>
              </w:rPr>
              <w:t>.</w:t>
            </w:r>
          </w:p>
          <w:p w14:paraId="2846617C" w14:textId="77777777" w:rsidR="00C37569" w:rsidRDefault="00C37569">
            <w:pPr>
              <w:jc w:val="both"/>
              <w:rPr>
                <w:color w:val="000000"/>
                <w:sz w:val="24"/>
                <w:szCs w:val="24"/>
              </w:rPr>
            </w:pPr>
            <w:r>
              <w:rPr>
                <w:color w:val="000000"/>
                <w:sz w:val="24"/>
                <w:szCs w:val="24"/>
              </w:rPr>
              <w:t xml:space="preserve">2. Реагенти повинні бути призначені для діагностики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vitro</w:t>
            </w:r>
            <w:proofErr w:type="spellEnd"/>
            <w:r>
              <w:rPr>
                <w:color w:val="000000"/>
                <w:sz w:val="24"/>
                <w:szCs w:val="24"/>
              </w:rPr>
              <w:t>.</w:t>
            </w:r>
          </w:p>
          <w:p w14:paraId="2F169BED" w14:textId="77777777" w:rsidR="00C37569" w:rsidRDefault="00C37569">
            <w:pPr>
              <w:jc w:val="both"/>
              <w:rPr>
                <w:color w:val="000000"/>
                <w:sz w:val="24"/>
                <w:szCs w:val="24"/>
              </w:rPr>
            </w:pPr>
            <w:r>
              <w:rPr>
                <w:color w:val="000000"/>
                <w:sz w:val="24"/>
                <w:szCs w:val="24"/>
              </w:rPr>
              <w:t>3. Термін придатності реагентів на момент поставки отримувачу повинен становити не менше 50% від загального терміну придатності.</w:t>
            </w:r>
          </w:p>
          <w:p w14:paraId="1168B0B0" w14:textId="77777777" w:rsidR="00C37569" w:rsidRDefault="00C37569">
            <w:pPr>
              <w:jc w:val="both"/>
              <w:rPr>
                <w:color w:val="000000"/>
                <w:sz w:val="24"/>
                <w:szCs w:val="24"/>
              </w:rPr>
            </w:pPr>
            <w:r>
              <w:rPr>
                <w:color w:val="000000"/>
                <w:sz w:val="24"/>
                <w:szCs w:val="24"/>
              </w:rPr>
              <w:t xml:space="preserve">4. Медичні вироби повинні відповідати вимогам Технічного регламенту щодо медичних виробів, затвердженого постановою Кабінету Міністрів України від </w:t>
            </w:r>
            <w:r>
              <w:rPr>
                <w:color w:val="000000"/>
                <w:sz w:val="24"/>
                <w:szCs w:val="24"/>
              </w:rPr>
              <w:lastRenderedPageBreak/>
              <w:t xml:space="preserve">02.10.2013 № 753, що підтверджується на момент постачання завіреною копією декларації та, за наявності, сертифікатом про відповідність. </w:t>
            </w:r>
          </w:p>
          <w:p w14:paraId="784EFE64" w14:textId="77777777" w:rsidR="00C37569" w:rsidRDefault="00C37569">
            <w:pPr>
              <w:jc w:val="both"/>
              <w:rPr>
                <w:color w:val="000000"/>
                <w:sz w:val="24"/>
                <w:szCs w:val="24"/>
              </w:rPr>
            </w:pPr>
            <w:r>
              <w:rPr>
                <w:color w:val="000000"/>
                <w:sz w:val="24"/>
                <w:szCs w:val="24"/>
              </w:rPr>
              <w:t>5. Необхідна наявність копії інструкції (настанови) із експлуатації (застосування) медичного виробу українською мовою.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w:t>
            </w:r>
          </w:p>
          <w:p w14:paraId="098233D9" w14:textId="77777777" w:rsidR="00C37569" w:rsidRDefault="00C37569">
            <w:pPr>
              <w:jc w:val="both"/>
              <w:rPr>
                <w:color w:val="000000"/>
                <w:sz w:val="24"/>
                <w:szCs w:val="24"/>
              </w:rPr>
            </w:pPr>
            <w:r>
              <w:rPr>
                <w:color w:val="000000"/>
                <w:sz w:val="24"/>
                <w:szCs w:val="24"/>
              </w:rPr>
              <w:t xml:space="preserve">6. Зберігання та постачання повинно здійснюватися відповідно до вимог інструкції з використання за необхідності з дотриманням «холодового ланцюга». 1. Реагенти повинні бути сумісні з проточними </w:t>
            </w:r>
            <w:proofErr w:type="spellStart"/>
            <w:r>
              <w:rPr>
                <w:color w:val="000000"/>
                <w:sz w:val="24"/>
                <w:szCs w:val="24"/>
              </w:rPr>
              <w:t>цитофлюориметрами</w:t>
            </w:r>
            <w:proofErr w:type="spellEnd"/>
            <w:r>
              <w:rPr>
                <w:color w:val="000000"/>
                <w:sz w:val="24"/>
                <w:szCs w:val="24"/>
              </w:rPr>
              <w:t xml:space="preserve"> AQUIOS CL виробництва </w:t>
            </w:r>
            <w:proofErr w:type="spellStart"/>
            <w:r>
              <w:rPr>
                <w:color w:val="000000"/>
                <w:sz w:val="24"/>
                <w:szCs w:val="24"/>
              </w:rPr>
              <w:t>Beckman</w:t>
            </w:r>
            <w:proofErr w:type="spellEnd"/>
            <w:r>
              <w:rPr>
                <w:color w:val="000000"/>
                <w:sz w:val="24"/>
                <w:szCs w:val="24"/>
              </w:rPr>
              <w:t xml:space="preserve"> </w:t>
            </w:r>
            <w:proofErr w:type="spellStart"/>
            <w:r>
              <w:rPr>
                <w:color w:val="000000"/>
                <w:sz w:val="24"/>
                <w:szCs w:val="24"/>
              </w:rPr>
              <w:t>Coulter</w:t>
            </w:r>
            <w:proofErr w:type="spellEnd"/>
            <w:r>
              <w:rPr>
                <w:color w:val="000000"/>
                <w:sz w:val="24"/>
                <w:szCs w:val="24"/>
              </w:rPr>
              <w:t>.</w:t>
            </w:r>
          </w:p>
          <w:p w14:paraId="630BC680" w14:textId="77777777" w:rsidR="00C37569" w:rsidRDefault="00C37569">
            <w:pPr>
              <w:jc w:val="both"/>
              <w:rPr>
                <w:color w:val="000000"/>
                <w:sz w:val="24"/>
                <w:szCs w:val="24"/>
              </w:rPr>
            </w:pPr>
            <w:r>
              <w:rPr>
                <w:color w:val="000000"/>
                <w:sz w:val="24"/>
                <w:szCs w:val="24"/>
              </w:rPr>
              <w:t xml:space="preserve">2. Реагенти повинні бути призначені для діагностики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vitro</w:t>
            </w:r>
            <w:proofErr w:type="spellEnd"/>
            <w:r>
              <w:rPr>
                <w:color w:val="000000"/>
                <w:sz w:val="24"/>
                <w:szCs w:val="24"/>
              </w:rPr>
              <w:t>.</w:t>
            </w:r>
          </w:p>
          <w:p w14:paraId="55CAFEF4" w14:textId="77777777" w:rsidR="00C37569" w:rsidRDefault="00C37569">
            <w:pPr>
              <w:jc w:val="both"/>
              <w:rPr>
                <w:color w:val="000000"/>
                <w:sz w:val="24"/>
                <w:szCs w:val="24"/>
              </w:rPr>
            </w:pPr>
            <w:r>
              <w:rPr>
                <w:color w:val="000000"/>
                <w:sz w:val="24"/>
                <w:szCs w:val="24"/>
              </w:rPr>
              <w:t>3. Термін придатності реагентів на момент поставки отримувачу повинен становити не менше 50% від загального терміну придатності.</w:t>
            </w:r>
          </w:p>
          <w:p w14:paraId="67A3CA67" w14:textId="77777777" w:rsidR="00C37569" w:rsidRDefault="00C37569">
            <w:pPr>
              <w:jc w:val="both"/>
              <w:rPr>
                <w:color w:val="000000"/>
                <w:sz w:val="24"/>
                <w:szCs w:val="24"/>
              </w:rPr>
            </w:pPr>
            <w:r>
              <w:rPr>
                <w:color w:val="000000"/>
                <w:sz w:val="24"/>
                <w:szCs w:val="24"/>
              </w:rPr>
              <w:t xml:space="preserve">4. Медичні вироби повинні відповідати вимогам Технічного регламенту щодо медичних виробів, затвердженого постановою Кабінету Міністрів України від 02.10.2013 № 753, що підтверджується на момент постачання завіреною копією декларації та, за наявності, сертифікатом про відповідність. </w:t>
            </w:r>
          </w:p>
          <w:p w14:paraId="1198C39D" w14:textId="77777777" w:rsidR="00C37569" w:rsidRDefault="00C37569">
            <w:pPr>
              <w:jc w:val="both"/>
              <w:rPr>
                <w:color w:val="000000"/>
                <w:sz w:val="24"/>
                <w:szCs w:val="24"/>
              </w:rPr>
            </w:pPr>
            <w:r>
              <w:rPr>
                <w:color w:val="000000"/>
                <w:sz w:val="24"/>
                <w:szCs w:val="24"/>
              </w:rPr>
              <w:t>5. Необхідна наявність копії інструкції (настанови) із експлуатації (застосування) медичного виробу українською мовою.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w:t>
            </w:r>
          </w:p>
          <w:p w14:paraId="2C950A9E" w14:textId="77777777" w:rsidR="00C37569" w:rsidRDefault="00C37569">
            <w:pPr>
              <w:jc w:val="both"/>
              <w:rPr>
                <w:sz w:val="24"/>
                <w:szCs w:val="24"/>
              </w:rPr>
            </w:pPr>
            <w:r>
              <w:rPr>
                <w:color w:val="000000"/>
                <w:sz w:val="24"/>
                <w:szCs w:val="24"/>
              </w:rPr>
              <w:t>6. Зберігання та постачання повинно здійснюватися відповідно до вимог інструкції з використання за необхідності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C52C28" w14:textId="77777777" w:rsidR="00C37569" w:rsidRDefault="00C37569">
            <w:pPr>
              <w:tabs>
                <w:tab w:val="left" w:pos="180"/>
              </w:tabs>
              <w:spacing w:after="200" w:line="276" w:lineRule="auto"/>
              <w:ind w:left="-45" w:firstLine="45"/>
              <w:contextualSpacing/>
              <w:rPr>
                <w:sz w:val="24"/>
                <w:szCs w:val="24"/>
              </w:rPr>
            </w:pPr>
            <w:r>
              <w:rPr>
                <w:sz w:val="24"/>
                <w:szCs w:val="24"/>
              </w:rPr>
              <w:lastRenderedPageBreak/>
              <w:t>упаковка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3BF5C9" w14:textId="77777777" w:rsidR="00C37569" w:rsidRDefault="00C37569">
            <w:pPr>
              <w:tabs>
                <w:tab w:val="left" w:pos="180"/>
              </w:tabs>
              <w:spacing w:after="200" w:line="276" w:lineRule="auto"/>
              <w:ind w:left="-45" w:firstLine="45"/>
              <w:contextualSpacing/>
              <w:jc w:val="center"/>
              <w:rPr>
                <w:sz w:val="24"/>
                <w:szCs w:val="24"/>
              </w:rPr>
            </w:pPr>
            <w:r>
              <w:rPr>
                <w:sz w:val="24"/>
                <w:szCs w:val="24"/>
              </w:rPr>
              <w:t>5</w:t>
            </w:r>
          </w:p>
        </w:tc>
      </w:tr>
      <w:tr w:rsidR="00C37569" w14:paraId="21EF403B" w14:textId="77777777" w:rsidTr="00C37569">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28C992" w14:textId="77777777" w:rsidR="00C37569" w:rsidRDefault="00C37569">
            <w:pPr>
              <w:tabs>
                <w:tab w:val="left" w:pos="180"/>
              </w:tabs>
              <w:spacing w:line="276" w:lineRule="auto"/>
              <w:ind w:left="-45" w:firstLine="45"/>
              <w:contextualSpacing/>
              <w:jc w:val="both"/>
              <w:rPr>
                <w:sz w:val="24"/>
                <w:szCs w:val="24"/>
                <w:lang w:eastAsia="de-DE"/>
              </w:rPr>
            </w:pPr>
            <w:r>
              <w:rPr>
                <w:sz w:val="24"/>
                <w:szCs w:val="24"/>
                <w:lang w:eastAsia="de-DE"/>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C9BDC8" w14:textId="77777777" w:rsidR="00C37569" w:rsidRDefault="00C37569">
            <w:pPr>
              <w:jc w:val="both"/>
              <w:rPr>
                <w:sz w:val="24"/>
                <w:szCs w:val="24"/>
              </w:rPr>
            </w:pPr>
            <w:r>
              <w:rPr>
                <w:rFonts w:eastAsia="Calibri" w:cs="Calibri"/>
                <w:bCs/>
                <w:sz w:val="24"/>
                <w:szCs w:val="24"/>
              </w:rPr>
              <w:t xml:space="preserve">AQUIOS Розчин </w:t>
            </w:r>
            <w:proofErr w:type="spellStart"/>
            <w:r>
              <w:rPr>
                <w:rFonts w:eastAsia="Calibri" w:cs="Calibri"/>
                <w:bCs/>
                <w:sz w:val="24"/>
                <w:szCs w:val="24"/>
              </w:rPr>
              <w:t>гіпохлорита</w:t>
            </w:r>
            <w:proofErr w:type="spellEnd"/>
            <w:r>
              <w:rPr>
                <w:rFonts w:eastAsia="Calibri" w:cs="Calibri"/>
                <w:bCs/>
                <w:sz w:val="24"/>
                <w:szCs w:val="24"/>
              </w:rPr>
              <w:t xml:space="preserve"> натрію </w:t>
            </w:r>
            <w:proofErr w:type="spellStart"/>
            <w:r>
              <w:rPr>
                <w:rFonts w:eastAsia="Calibri" w:cs="Calibri"/>
                <w:bCs/>
                <w:sz w:val="24"/>
                <w:szCs w:val="24"/>
              </w:rPr>
              <w:t>Sodium</w:t>
            </w:r>
            <w:proofErr w:type="spellEnd"/>
            <w:r>
              <w:rPr>
                <w:rFonts w:eastAsia="Calibri" w:cs="Calibri"/>
                <w:bCs/>
                <w:sz w:val="24"/>
                <w:szCs w:val="24"/>
              </w:rPr>
              <w:t xml:space="preserve"> </w:t>
            </w:r>
            <w:proofErr w:type="spellStart"/>
            <w:r>
              <w:rPr>
                <w:rFonts w:eastAsia="Calibri" w:cs="Calibri"/>
                <w:bCs/>
                <w:sz w:val="24"/>
                <w:szCs w:val="24"/>
              </w:rPr>
              <w:t>Hypochlorite</w:t>
            </w:r>
            <w:proofErr w:type="spellEnd"/>
            <w:r>
              <w:rPr>
                <w:rFonts w:eastAsia="Calibri" w:cs="Calibri"/>
                <w:bCs/>
                <w:sz w:val="24"/>
                <w:szCs w:val="24"/>
              </w:rPr>
              <w:t xml:space="preserve"> </w:t>
            </w:r>
            <w:proofErr w:type="spellStart"/>
            <w:r>
              <w:rPr>
                <w:rFonts w:eastAsia="Calibri" w:cs="Calibri"/>
                <w:bCs/>
                <w:sz w:val="24"/>
                <w:szCs w:val="24"/>
              </w:rPr>
              <w:t>Solution</w:t>
            </w:r>
            <w:proofErr w:type="spellEnd"/>
            <w:r>
              <w:rPr>
                <w:rFonts w:eastAsia="Calibri" w:cs="Calibri"/>
                <w:bCs/>
                <w:sz w:val="24"/>
                <w:szCs w:val="24"/>
              </w:rPr>
              <w:t xml:space="preserve">, 4 флакони по </w:t>
            </w:r>
            <w:r>
              <w:rPr>
                <w:rFonts w:eastAsia="Calibri" w:cs="Calibri"/>
                <w:bCs/>
                <w:sz w:val="24"/>
                <w:szCs w:val="24"/>
              </w:rPr>
              <w:lastRenderedPageBreak/>
              <w:t xml:space="preserve">50 мл, каталожний номер </w:t>
            </w:r>
            <w:r>
              <w:rPr>
                <w:rFonts w:eastAsia="Calibri" w:cs="Calibri"/>
                <w:bCs/>
                <w:sz w:val="24"/>
                <w:szCs w:val="24"/>
                <w:lang w:val="en-US"/>
              </w:rPr>
              <w:t>B</w:t>
            </w:r>
            <w:r>
              <w:rPr>
                <w:rFonts w:eastAsia="Calibri" w:cs="Calibri"/>
                <w:bCs/>
                <w:sz w:val="24"/>
                <w:szCs w:val="24"/>
              </w:rPr>
              <w:t>23536</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827007" w14:textId="77777777" w:rsidR="00C37569" w:rsidRDefault="00C37569">
            <w:pPr>
              <w:jc w:val="both"/>
              <w:rPr>
                <w:color w:val="000000"/>
                <w:sz w:val="24"/>
                <w:szCs w:val="24"/>
              </w:rPr>
            </w:pPr>
            <w:r>
              <w:rPr>
                <w:color w:val="000000"/>
                <w:sz w:val="24"/>
                <w:szCs w:val="24"/>
              </w:rPr>
              <w:lastRenderedPageBreak/>
              <w:t xml:space="preserve">1. Реагенти повинні бути сумісні з проточними </w:t>
            </w:r>
            <w:proofErr w:type="spellStart"/>
            <w:r>
              <w:rPr>
                <w:color w:val="000000"/>
                <w:sz w:val="24"/>
                <w:szCs w:val="24"/>
              </w:rPr>
              <w:t>цитофлюориметрами</w:t>
            </w:r>
            <w:proofErr w:type="spellEnd"/>
            <w:r>
              <w:rPr>
                <w:color w:val="000000"/>
                <w:sz w:val="24"/>
                <w:szCs w:val="24"/>
              </w:rPr>
              <w:t xml:space="preserve"> AQUIOS CL виробництва </w:t>
            </w:r>
            <w:proofErr w:type="spellStart"/>
            <w:r>
              <w:rPr>
                <w:color w:val="000000"/>
                <w:sz w:val="24"/>
                <w:szCs w:val="24"/>
              </w:rPr>
              <w:t>Beckman</w:t>
            </w:r>
            <w:proofErr w:type="spellEnd"/>
            <w:r>
              <w:rPr>
                <w:color w:val="000000"/>
                <w:sz w:val="24"/>
                <w:szCs w:val="24"/>
              </w:rPr>
              <w:t xml:space="preserve"> </w:t>
            </w:r>
            <w:proofErr w:type="spellStart"/>
            <w:r>
              <w:rPr>
                <w:color w:val="000000"/>
                <w:sz w:val="24"/>
                <w:szCs w:val="24"/>
              </w:rPr>
              <w:t>Coulter</w:t>
            </w:r>
            <w:proofErr w:type="spellEnd"/>
            <w:r>
              <w:rPr>
                <w:color w:val="000000"/>
                <w:sz w:val="24"/>
                <w:szCs w:val="24"/>
              </w:rPr>
              <w:t>.</w:t>
            </w:r>
          </w:p>
          <w:p w14:paraId="4C10BC98" w14:textId="77777777" w:rsidR="00C37569" w:rsidRDefault="00C37569">
            <w:pPr>
              <w:jc w:val="both"/>
              <w:rPr>
                <w:color w:val="000000"/>
                <w:sz w:val="24"/>
                <w:szCs w:val="24"/>
              </w:rPr>
            </w:pPr>
            <w:r>
              <w:rPr>
                <w:color w:val="000000"/>
                <w:sz w:val="24"/>
                <w:szCs w:val="24"/>
              </w:rPr>
              <w:t xml:space="preserve">2. Реагенти повинні бути призначені для діагностики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vitro</w:t>
            </w:r>
            <w:proofErr w:type="spellEnd"/>
            <w:r>
              <w:rPr>
                <w:color w:val="000000"/>
                <w:sz w:val="24"/>
                <w:szCs w:val="24"/>
              </w:rPr>
              <w:t>.</w:t>
            </w:r>
          </w:p>
          <w:p w14:paraId="391FFD51" w14:textId="77777777" w:rsidR="00C37569" w:rsidRDefault="00C37569">
            <w:pPr>
              <w:jc w:val="both"/>
              <w:rPr>
                <w:color w:val="000000"/>
                <w:sz w:val="24"/>
                <w:szCs w:val="24"/>
              </w:rPr>
            </w:pPr>
            <w:r>
              <w:rPr>
                <w:color w:val="000000"/>
                <w:sz w:val="24"/>
                <w:szCs w:val="24"/>
              </w:rPr>
              <w:t>3. Термін придатності реагентів на момент поставки отримувачу повинен становити не менше 50% від загального терміну придатності.</w:t>
            </w:r>
          </w:p>
          <w:p w14:paraId="1B45EE0F" w14:textId="77777777" w:rsidR="00C37569" w:rsidRDefault="00C37569">
            <w:pPr>
              <w:jc w:val="both"/>
              <w:rPr>
                <w:color w:val="000000"/>
                <w:sz w:val="24"/>
                <w:szCs w:val="24"/>
              </w:rPr>
            </w:pPr>
            <w:r>
              <w:rPr>
                <w:color w:val="000000"/>
                <w:sz w:val="24"/>
                <w:szCs w:val="24"/>
              </w:rPr>
              <w:lastRenderedPageBreak/>
              <w:t xml:space="preserve">4. Медичні вироби повинні відповідати вимогам Технічного регламенту щодо медичних виробів, затвердженого постановою Кабінету Міністрів України від 02.10.2013 № 753, що підтверджується на момент постачання завіреною копією декларації та, за наявності, сертифікатом про відповідність. </w:t>
            </w:r>
          </w:p>
          <w:p w14:paraId="64CA82EC" w14:textId="77777777" w:rsidR="00C37569" w:rsidRDefault="00C37569">
            <w:pPr>
              <w:jc w:val="both"/>
              <w:rPr>
                <w:color w:val="000000"/>
                <w:sz w:val="24"/>
                <w:szCs w:val="24"/>
              </w:rPr>
            </w:pPr>
            <w:r>
              <w:rPr>
                <w:color w:val="000000"/>
                <w:sz w:val="24"/>
                <w:szCs w:val="24"/>
              </w:rPr>
              <w:t>5. Необхідна наявність копії інструкції (настанови) із експлуатації (застосування) медичного виробу українською мовою.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w:t>
            </w:r>
          </w:p>
          <w:p w14:paraId="480D90E5" w14:textId="77777777" w:rsidR="00C37569" w:rsidRDefault="00C37569">
            <w:pPr>
              <w:jc w:val="both"/>
              <w:rPr>
                <w:sz w:val="24"/>
                <w:szCs w:val="24"/>
              </w:rPr>
            </w:pPr>
            <w:r>
              <w:rPr>
                <w:color w:val="000000"/>
                <w:sz w:val="24"/>
                <w:szCs w:val="24"/>
              </w:rPr>
              <w:t>6. Зберігання та постачання повинно здійснюватися відповідно до вимог інструкції з використання за необхідності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7C7004" w14:textId="77777777" w:rsidR="00C37569" w:rsidRDefault="00C37569">
            <w:pPr>
              <w:tabs>
                <w:tab w:val="left" w:pos="180"/>
              </w:tabs>
              <w:spacing w:after="200" w:line="276" w:lineRule="auto"/>
              <w:ind w:left="-45" w:firstLine="45"/>
              <w:contextualSpacing/>
              <w:rPr>
                <w:sz w:val="24"/>
                <w:szCs w:val="24"/>
              </w:rPr>
            </w:pPr>
            <w:r>
              <w:rPr>
                <w:sz w:val="24"/>
                <w:szCs w:val="24"/>
              </w:rPr>
              <w:lastRenderedPageBreak/>
              <w:t>упаковка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E22696" w14:textId="77777777" w:rsidR="00C37569" w:rsidRDefault="00C37569">
            <w:pPr>
              <w:tabs>
                <w:tab w:val="left" w:pos="180"/>
              </w:tabs>
              <w:spacing w:after="200" w:line="276" w:lineRule="auto"/>
              <w:ind w:left="-45" w:firstLine="45"/>
              <w:contextualSpacing/>
              <w:jc w:val="center"/>
              <w:rPr>
                <w:sz w:val="24"/>
                <w:szCs w:val="24"/>
              </w:rPr>
            </w:pPr>
            <w:r>
              <w:rPr>
                <w:sz w:val="24"/>
                <w:szCs w:val="24"/>
              </w:rPr>
              <w:t>1</w:t>
            </w:r>
          </w:p>
        </w:tc>
      </w:tr>
      <w:tr w:rsidR="00C37569" w14:paraId="2E01C3D6" w14:textId="77777777" w:rsidTr="00C37569">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7FD519" w14:textId="77777777" w:rsidR="00C37569" w:rsidRDefault="00C37569">
            <w:pPr>
              <w:tabs>
                <w:tab w:val="left" w:pos="180"/>
              </w:tabs>
              <w:spacing w:line="276" w:lineRule="auto"/>
              <w:ind w:left="-45" w:firstLine="45"/>
              <w:contextualSpacing/>
              <w:jc w:val="both"/>
              <w:rPr>
                <w:sz w:val="24"/>
                <w:szCs w:val="24"/>
                <w:lang w:eastAsia="de-DE"/>
              </w:rPr>
            </w:pPr>
            <w:r>
              <w:rPr>
                <w:sz w:val="24"/>
                <w:szCs w:val="24"/>
                <w:lang w:eastAsia="de-DE"/>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1F0CBB" w14:textId="77777777" w:rsidR="00C37569" w:rsidRDefault="00C37569">
            <w:pPr>
              <w:jc w:val="both"/>
              <w:rPr>
                <w:sz w:val="24"/>
                <w:szCs w:val="24"/>
              </w:rPr>
            </w:pPr>
            <w:r>
              <w:rPr>
                <w:rFonts w:eastAsia="Calibri" w:cs="Calibri"/>
                <w:bCs/>
                <w:sz w:val="24"/>
                <w:szCs w:val="24"/>
              </w:rPr>
              <w:t xml:space="preserve">AQUIOS Очисний агент </w:t>
            </w:r>
            <w:proofErr w:type="spellStart"/>
            <w:r>
              <w:rPr>
                <w:rFonts w:eastAsia="Calibri" w:cs="Calibri"/>
                <w:bCs/>
                <w:sz w:val="24"/>
                <w:szCs w:val="24"/>
              </w:rPr>
              <w:t>Cleaning</w:t>
            </w:r>
            <w:proofErr w:type="spellEnd"/>
            <w:r>
              <w:rPr>
                <w:rFonts w:eastAsia="Calibri" w:cs="Calibri"/>
                <w:bCs/>
                <w:sz w:val="24"/>
                <w:szCs w:val="24"/>
              </w:rPr>
              <w:t xml:space="preserve"> </w:t>
            </w:r>
            <w:proofErr w:type="spellStart"/>
            <w:r>
              <w:rPr>
                <w:rFonts w:eastAsia="Calibri" w:cs="Calibri"/>
                <w:bCs/>
                <w:sz w:val="24"/>
                <w:szCs w:val="24"/>
              </w:rPr>
              <w:t>Agent</w:t>
            </w:r>
            <w:proofErr w:type="spellEnd"/>
            <w:r>
              <w:rPr>
                <w:rFonts w:eastAsia="Calibri" w:cs="Calibri"/>
                <w:bCs/>
                <w:sz w:val="24"/>
                <w:szCs w:val="24"/>
              </w:rPr>
              <w:t xml:space="preserve">, 0,5 л, каталожний номер </w:t>
            </w:r>
            <w:r>
              <w:rPr>
                <w:rFonts w:eastAsia="Calibri" w:cs="Calibri"/>
                <w:bCs/>
                <w:sz w:val="24"/>
                <w:szCs w:val="24"/>
                <w:lang w:val="en-US"/>
              </w:rPr>
              <w:t>B</w:t>
            </w:r>
            <w:r>
              <w:rPr>
                <w:rFonts w:eastAsia="Calibri" w:cs="Calibri"/>
                <w:bCs/>
                <w:sz w:val="24"/>
                <w:szCs w:val="24"/>
              </w:rPr>
              <w:t>25698</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B382419" w14:textId="77777777" w:rsidR="00C37569" w:rsidRDefault="00C37569">
            <w:pPr>
              <w:jc w:val="both"/>
              <w:rPr>
                <w:color w:val="000000"/>
                <w:sz w:val="24"/>
                <w:szCs w:val="24"/>
              </w:rPr>
            </w:pPr>
            <w:r>
              <w:rPr>
                <w:color w:val="000000"/>
                <w:sz w:val="24"/>
                <w:szCs w:val="24"/>
              </w:rPr>
              <w:t xml:space="preserve">1. Реагенти повинні бути сумісні з проточними </w:t>
            </w:r>
            <w:proofErr w:type="spellStart"/>
            <w:r>
              <w:rPr>
                <w:color w:val="000000"/>
                <w:sz w:val="24"/>
                <w:szCs w:val="24"/>
              </w:rPr>
              <w:t>цитофлюориметрами</w:t>
            </w:r>
            <w:proofErr w:type="spellEnd"/>
            <w:r>
              <w:rPr>
                <w:color w:val="000000"/>
                <w:sz w:val="24"/>
                <w:szCs w:val="24"/>
              </w:rPr>
              <w:t xml:space="preserve"> AQUIOS CL виробництва </w:t>
            </w:r>
            <w:proofErr w:type="spellStart"/>
            <w:r>
              <w:rPr>
                <w:color w:val="000000"/>
                <w:sz w:val="24"/>
                <w:szCs w:val="24"/>
              </w:rPr>
              <w:t>Beckman</w:t>
            </w:r>
            <w:proofErr w:type="spellEnd"/>
            <w:r>
              <w:rPr>
                <w:color w:val="000000"/>
                <w:sz w:val="24"/>
                <w:szCs w:val="24"/>
              </w:rPr>
              <w:t xml:space="preserve"> </w:t>
            </w:r>
            <w:proofErr w:type="spellStart"/>
            <w:r>
              <w:rPr>
                <w:color w:val="000000"/>
                <w:sz w:val="24"/>
                <w:szCs w:val="24"/>
              </w:rPr>
              <w:t>Coulter</w:t>
            </w:r>
            <w:proofErr w:type="spellEnd"/>
            <w:r>
              <w:rPr>
                <w:color w:val="000000"/>
                <w:sz w:val="24"/>
                <w:szCs w:val="24"/>
              </w:rPr>
              <w:t>.</w:t>
            </w:r>
          </w:p>
          <w:p w14:paraId="53CD9578" w14:textId="77777777" w:rsidR="00C37569" w:rsidRDefault="00C37569">
            <w:pPr>
              <w:jc w:val="both"/>
              <w:rPr>
                <w:color w:val="000000"/>
                <w:sz w:val="24"/>
                <w:szCs w:val="24"/>
              </w:rPr>
            </w:pPr>
            <w:r>
              <w:rPr>
                <w:color w:val="000000"/>
                <w:sz w:val="24"/>
                <w:szCs w:val="24"/>
              </w:rPr>
              <w:t xml:space="preserve">2. Реагенти повинні бути призначені для діагностики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vitro</w:t>
            </w:r>
            <w:proofErr w:type="spellEnd"/>
            <w:r>
              <w:rPr>
                <w:color w:val="000000"/>
                <w:sz w:val="24"/>
                <w:szCs w:val="24"/>
              </w:rPr>
              <w:t>.</w:t>
            </w:r>
          </w:p>
          <w:p w14:paraId="10EBF3E3" w14:textId="77777777" w:rsidR="00C37569" w:rsidRDefault="00C37569">
            <w:pPr>
              <w:jc w:val="both"/>
              <w:rPr>
                <w:color w:val="000000"/>
                <w:sz w:val="24"/>
                <w:szCs w:val="24"/>
              </w:rPr>
            </w:pPr>
            <w:r>
              <w:rPr>
                <w:color w:val="000000"/>
                <w:sz w:val="24"/>
                <w:szCs w:val="24"/>
              </w:rPr>
              <w:t>3. Термін придатності реагентів на момент поставки отримувачу повинен становити не менше 50% від загального терміну придатності.</w:t>
            </w:r>
          </w:p>
          <w:p w14:paraId="46F81665" w14:textId="77777777" w:rsidR="00C37569" w:rsidRDefault="00C37569">
            <w:pPr>
              <w:jc w:val="both"/>
              <w:rPr>
                <w:color w:val="000000"/>
                <w:sz w:val="24"/>
                <w:szCs w:val="24"/>
              </w:rPr>
            </w:pPr>
            <w:r>
              <w:rPr>
                <w:color w:val="000000"/>
                <w:sz w:val="24"/>
                <w:szCs w:val="24"/>
              </w:rPr>
              <w:t xml:space="preserve">4. Медичні вироби повинні відповідати вимогам Технічного регламенту щодо медичних виробів, затвердженого постановою Кабінету Міністрів України від 02.10.2013 № 753, що підтверджується на момент постачання завіреною копією декларації та, за наявності, сертифікатом про відповідність. </w:t>
            </w:r>
          </w:p>
          <w:p w14:paraId="367FECBF" w14:textId="77777777" w:rsidR="00C37569" w:rsidRDefault="00C37569">
            <w:pPr>
              <w:jc w:val="both"/>
              <w:rPr>
                <w:color w:val="000000"/>
                <w:sz w:val="24"/>
                <w:szCs w:val="24"/>
              </w:rPr>
            </w:pPr>
            <w:r>
              <w:rPr>
                <w:color w:val="000000"/>
                <w:sz w:val="24"/>
                <w:szCs w:val="24"/>
              </w:rPr>
              <w:t>5. Необхідна наявність копії інструкції (настанови) із експлуатації (застосування) медичного виробу українською мовою.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w:t>
            </w:r>
          </w:p>
          <w:p w14:paraId="64AA1CDF" w14:textId="77777777" w:rsidR="00C37569" w:rsidRDefault="00C37569">
            <w:pPr>
              <w:jc w:val="both"/>
              <w:rPr>
                <w:sz w:val="24"/>
                <w:szCs w:val="24"/>
              </w:rPr>
            </w:pPr>
            <w:r>
              <w:rPr>
                <w:color w:val="000000"/>
                <w:sz w:val="24"/>
                <w:szCs w:val="24"/>
              </w:rPr>
              <w:t>6. Зберігання та постачання повинно здійснюватися відповідно до вимог інструкції з використання за необхідності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228DC5" w14:textId="77777777" w:rsidR="00C37569" w:rsidRDefault="00C37569">
            <w:pPr>
              <w:tabs>
                <w:tab w:val="left" w:pos="180"/>
              </w:tabs>
              <w:spacing w:after="200" w:line="276" w:lineRule="auto"/>
              <w:ind w:left="-45" w:firstLine="45"/>
              <w:contextualSpacing/>
              <w:rPr>
                <w:sz w:val="24"/>
                <w:szCs w:val="24"/>
              </w:rPr>
            </w:pPr>
            <w:r>
              <w:rPr>
                <w:sz w:val="24"/>
                <w:szCs w:val="24"/>
              </w:rPr>
              <w:t>упаковка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A5BAF2" w14:textId="77777777" w:rsidR="00C37569" w:rsidRDefault="00C37569">
            <w:pPr>
              <w:tabs>
                <w:tab w:val="left" w:pos="180"/>
              </w:tabs>
              <w:spacing w:after="200" w:line="276" w:lineRule="auto"/>
              <w:ind w:left="-45" w:firstLine="45"/>
              <w:contextualSpacing/>
              <w:jc w:val="center"/>
              <w:rPr>
                <w:sz w:val="24"/>
                <w:szCs w:val="24"/>
              </w:rPr>
            </w:pPr>
            <w:r>
              <w:rPr>
                <w:sz w:val="24"/>
                <w:szCs w:val="24"/>
              </w:rPr>
              <w:t>1</w:t>
            </w:r>
          </w:p>
        </w:tc>
      </w:tr>
      <w:tr w:rsidR="00C37569" w14:paraId="0A4E3E4C" w14:textId="77777777" w:rsidTr="00C37569">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C2AE21" w14:textId="77777777" w:rsidR="00C37569" w:rsidRDefault="00C37569">
            <w:pPr>
              <w:tabs>
                <w:tab w:val="left" w:pos="180"/>
              </w:tabs>
              <w:spacing w:line="276" w:lineRule="auto"/>
              <w:ind w:left="-45" w:firstLine="45"/>
              <w:contextualSpacing/>
              <w:jc w:val="both"/>
              <w:rPr>
                <w:sz w:val="24"/>
                <w:szCs w:val="24"/>
                <w:lang w:eastAsia="de-DE"/>
              </w:rPr>
            </w:pPr>
            <w:r>
              <w:rPr>
                <w:sz w:val="24"/>
                <w:szCs w:val="24"/>
                <w:lang w:eastAsia="de-DE"/>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9EE31C" w14:textId="77777777" w:rsidR="00C37569" w:rsidRDefault="00C37569">
            <w:pPr>
              <w:jc w:val="both"/>
              <w:rPr>
                <w:sz w:val="24"/>
                <w:szCs w:val="24"/>
              </w:rPr>
            </w:pPr>
            <w:r>
              <w:rPr>
                <w:rFonts w:eastAsia="Calibri" w:cs="Calibri"/>
                <w:bCs/>
                <w:sz w:val="24"/>
                <w:szCs w:val="24"/>
              </w:rPr>
              <w:t xml:space="preserve">AQUIOS Набір </w:t>
            </w:r>
            <w:proofErr w:type="spellStart"/>
            <w:r>
              <w:rPr>
                <w:rFonts w:eastAsia="Calibri" w:cs="Calibri"/>
                <w:bCs/>
                <w:sz w:val="24"/>
                <w:szCs w:val="24"/>
              </w:rPr>
              <w:t>лізуючих</w:t>
            </w:r>
            <w:proofErr w:type="spellEnd"/>
            <w:r>
              <w:rPr>
                <w:rFonts w:eastAsia="Calibri" w:cs="Calibri"/>
                <w:bCs/>
                <w:sz w:val="24"/>
                <w:szCs w:val="24"/>
              </w:rPr>
              <w:t xml:space="preserve"> реагентів </w:t>
            </w:r>
            <w:proofErr w:type="spellStart"/>
            <w:r>
              <w:rPr>
                <w:rFonts w:eastAsia="Calibri" w:cs="Calibri"/>
                <w:bCs/>
                <w:sz w:val="24"/>
                <w:szCs w:val="24"/>
              </w:rPr>
              <w:t>Lysing</w:t>
            </w:r>
            <w:proofErr w:type="spellEnd"/>
            <w:r>
              <w:rPr>
                <w:rFonts w:eastAsia="Calibri" w:cs="Calibri"/>
                <w:bCs/>
                <w:sz w:val="24"/>
                <w:szCs w:val="24"/>
              </w:rPr>
              <w:t xml:space="preserve"> </w:t>
            </w:r>
            <w:proofErr w:type="spellStart"/>
            <w:r>
              <w:rPr>
                <w:rFonts w:eastAsia="Calibri" w:cs="Calibri"/>
                <w:bCs/>
                <w:sz w:val="24"/>
                <w:szCs w:val="24"/>
              </w:rPr>
              <w:t>Reagent</w:t>
            </w:r>
            <w:proofErr w:type="spellEnd"/>
            <w:r>
              <w:rPr>
                <w:rFonts w:eastAsia="Calibri" w:cs="Calibri"/>
                <w:bCs/>
                <w:sz w:val="24"/>
                <w:szCs w:val="24"/>
              </w:rPr>
              <w:t xml:space="preserve"> </w:t>
            </w:r>
            <w:proofErr w:type="spellStart"/>
            <w:r>
              <w:rPr>
                <w:rFonts w:eastAsia="Calibri" w:cs="Calibri"/>
                <w:bCs/>
                <w:sz w:val="24"/>
                <w:szCs w:val="24"/>
              </w:rPr>
              <w:t>Kit</w:t>
            </w:r>
            <w:proofErr w:type="spellEnd"/>
            <w:r>
              <w:rPr>
                <w:rFonts w:eastAsia="Calibri" w:cs="Calibri"/>
                <w:bCs/>
                <w:sz w:val="24"/>
                <w:szCs w:val="24"/>
              </w:rPr>
              <w:t xml:space="preserve">, 100 </w:t>
            </w:r>
            <w:r>
              <w:rPr>
                <w:rFonts w:eastAsia="Calibri" w:cs="Calibri"/>
                <w:bCs/>
                <w:sz w:val="24"/>
                <w:szCs w:val="24"/>
              </w:rPr>
              <w:lastRenderedPageBreak/>
              <w:t xml:space="preserve">тестів, каталожний номер  </w:t>
            </w:r>
            <w:r>
              <w:rPr>
                <w:rFonts w:eastAsia="Calibri" w:cs="Calibri"/>
                <w:bCs/>
                <w:sz w:val="24"/>
                <w:szCs w:val="24"/>
                <w:lang w:val="en-US"/>
              </w:rPr>
              <w:t>B</w:t>
            </w:r>
            <w:r>
              <w:rPr>
                <w:rFonts w:eastAsia="Calibri" w:cs="Calibri"/>
                <w:bCs/>
                <w:sz w:val="24"/>
                <w:szCs w:val="24"/>
              </w:rPr>
              <w:t>23538</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7B68B5" w14:textId="77777777" w:rsidR="00C37569" w:rsidRDefault="00C37569">
            <w:pPr>
              <w:jc w:val="both"/>
              <w:rPr>
                <w:color w:val="000000"/>
                <w:sz w:val="24"/>
                <w:szCs w:val="24"/>
              </w:rPr>
            </w:pPr>
            <w:r>
              <w:rPr>
                <w:color w:val="000000"/>
                <w:sz w:val="24"/>
                <w:szCs w:val="24"/>
              </w:rPr>
              <w:lastRenderedPageBreak/>
              <w:t xml:space="preserve">1. Реагенти повинні бути сумісні з проточними </w:t>
            </w:r>
            <w:proofErr w:type="spellStart"/>
            <w:r>
              <w:rPr>
                <w:color w:val="000000"/>
                <w:sz w:val="24"/>
                <w:szCs w:val="24"/>
              </w:rPr>
              <w:t>цитофлюориметрами</w:t>
            </w:r>
            <w:proofErr w:type="spellEnd"/>
            <w:r>
              <w:rPr>
                <w:color w:val="000000"/>
                <w:sz w:val="24"/>
                <w:szCs w:val="24"/>
              </w:rPr>
              <w:t xml:space="preserve"> AQUIOS CL виробництва </w:t>
            </w:r>
            <w:proofErr w:type="spellStart"/>
            <w:r>
              <w:rPr>
                <w:color w:val="000000"/>
                <w:sz w:val="24"/>
                <w:szCs w:val="24"/>
              </w:rPr>
              <w:t>Beckman</w:t>
            </w:r>
            <w:proofErr w:type="spellEnd"/>
            <w:r>
              <w:rPr>
                <w:color w:val="000000"/>
                <w:sz w:val="24"/>
                <w:szCs w:val="24"/>
              </w:rPr>
              <w:t xml:space="preserve"> </w:t>
            </w:r>
            <w:proofErr w:type="spellStart"/>
            <w:r>
              <w:rPr>
                <w:color w:val="000000"/>
                <w:sz w:val="24"/>
                <w:szCs w:val="24"/>
              </w:rPr>
              <w:t>Coulter</w:t>
            </w:r>
            <w:proofErr w:type="spellEnd"/>
            <w:r>
              <w:rPr>
                <w:color w:val="000000"/>
                <w:sz w:val="24"/>
                <w:szCs w:val="24"/>
              </w:rPr>
              <w:t>.</w:t>
            </w:r>
          </w:p>
          <w:p w14:paraId="3E6CE928" w14:textId="77777777" w:rsidR="00C37569" w:rsidRDefault="00C37569">
            <w:pPr>
              <w:jc w:val="both"/>
              <w:rPr>
                <w:color w:val="000000"/>
                <w:sz w:val="24"/>
                <w:szCs w:val="24"/>
              </w:rPr>
            </w:pPr>
            <w:r>
              <w:rPr>
                <w:color w:val="000000"/>
                <w:sz w:val="24"/>
                <w:szCs w:val="24"/>
              </w:rPr>
              <w:t xml:space="preserve">2. Реагенти повинні бути призначені для діагностики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vitro</w:t>
            </w:r>
            <w:proofErr w:type="spellEnd"/>
            <w:r>
              <w:rPr>
                <w:color w:val="000000"/>
                <w:sz w:val="24"/>
                <w:szCs w:val="24"/>
              </w:rPr>
              <w:t>.</w:t>
            </w:r>
          </w:p>
          <w:p w14:paraId="7339719B" w14:textId="77777777" w:rsidR="00C37569" w:rsidRDefault="00C37569">
            <w:pPr>
              <w:jc w:val="both"/>
              <w:rPr>
                <w:color w:val="000000"/>
                <w:sz w:val="24"/>
                <w:szCs w:val="24"/>
              </w:rPr>
            </w:pPr>
            <w:r>
              <w:rPr>
                <w:color w:val="000000"/>
                <w:sz w:val="24"/>
                <w:szCs w:val="24"/>
              </w:rPr>
              <w:lastRenderedPageBreak/>
              <w:t>3. Термін придатності реагентів на момент поставки отримувачу повинен становити не менше 50% від загального терміну придатності.</w:t>
            </w:r>
          </w:p>
          <w:p w14:paraId="7DC82B7C" w14:textId="77777777" w:rsidR="00C37569" w:rsidRDefault="00C37569">
            <w:pPr>
              <w:jc w:val="both"/>
              <w:rPr>
                <w:color w:val="000000"/>
                <w:sz w:val="24"/>
                <w:szCs w:val="24"/>
              </w:rPr>
            </w:pPr>
            <w:r>
              <w:rPr>
                <w:color w:val="000000"/>
                <w:sz w:val="24"/>
                <w:szCs w:val="24"/>
              </w:rPr>
              <w:t xml:space="preserve">4. Медичні вироби повинні відповідати вимогам Технічного регламенту щодо медичних виробів, затвердженого постановою Кабінету Міністрів України від 02.10.2013 № 753, що підтверджується на момент постачання завіреною копією декларації та, за наявності, сертифікатом про відповідність. </w:t>
            </w:r>
          </w:p>
          <w:p w14:paraId="03392EB5" w14:textId="77777777" w:rsidR="00C37569" w:rsidRDefault="00C37569">
            <w:pPr>
              <w:jc w:val="both"/>
              <w:rPr>
                <w:color w:val="000000"/>
                <w:sz w:val="24"/>
                <w:szCs w:val="24"/>
              </w:rPr>
            </w:pPr>
            <w:r>
              <w:rPr>
                <w:color w:val="000000"/>
                <w:sz w:val="24"/>
                <w:szCs w:val="24"/>
              </w:rPr>
              <w:t>5. Необхідна наявність копії інструкції (настанови) із експлуатації (застосування) медичного виробу українською мовою.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w:t>
            </w:r>
          </w:p>
          <w:p w14:paraId="43C19691" w14:textId="77777777" w:rsidR="00C37569" w:rsidRDefault="00C37569">
            <w:pPr>
              <w:jc w:val="both"/>
              <w:rPr>
                <w:sz w:val="24"/>
                <w:szCs w:val="24"/>
              </w:rPr>
            </w:pPr>
            <w:r>
              <w:rPr>
                <w:color w:val="000000"/>
                <w:sz w:val="24"/>
                <w:szCs w:val="24"/>
              </w:rPr>
              <w:t>6. Зберігання та постачання повинно здійснюватися відповідно до вимог інструкції з використання за необхідності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BA1716" w14:textId="77777777" w:rsidR="00C37569" w:rsidRDefault="00C37569">
            <w:pPr>
              <w:tabs>
                <w:tab w:val="left" w:pos="180"/>
              </w:tabs>
              <w:spacing w:after="200" w:line="276" w:lineRule="auto"/>
              <w:ind w:left="-45" w:firstLine="45"/>
              <w:contextualSpacing/>
              <w:rPr>
                <w:sz w:val="24"/>
                <w:szCs w:val="24"/>
              </w:rPr>
            </w:pPr>
            <w:r>
              <w:rPr>
                <w:sz w:val="24"/>
                <w:szCs w:val="24"/>
              </w:rPr>
              <w:lastRenderedPageBreak/>
              <w:t>набір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1492BE" w14:textId="77777777" w:rsidR="00C37569" w:rsidRDefault="00C37569">
            <w:pPr>
              <w:tabs>
                <w:tab w:val="left" w:pos="180"/>
              </w:tabs>
              <w:spacing w:after="200" w:line="276" w:lineRule="auto"/>
              <w:ind w:left="-45" w:firstLine="45"/>
              <w:contextualSpacing/>
              <w:jc w:val="center"/>
              <w:rPr>
                <w:sz w:val="24"/>
                <w:szCs w:val="24"/>
              </w:rPr>
            </w:pPr>
            <w:r>
              <w:rPr>
                <w:sz w:val="24"/>
                <w:szCs w:val="24"/>
              </w:rPr>
              <w:t>1</w:t>
            </w:r>
          </w:p>
        </w:tc>
      </w:tr>
    </w:tbl>
    <w:p w14:paraId="76B890B8" w14:textId="77777777" w:rsidR="00C37569" w:rsidRDefault="00C37569" w:rsidP="00C37569">
      <w:pPr>
        <w:spacing w:before="100" w:beforeAutospacing="1" w:after="100" w:afterAutospacing="1"/>
        <w:ind w:firstLine="709"/>
        <w:contextualSpacing/>
        <w:jc w:val="both"/>
        <w:rPr>
          <w:rFonts w:ascii="Times New Roman" w:hAnsi="Times New Roman" w:cs="Times New Roman"/>
          <w:color w:val="000000"/>
          <w:sz w:val="24"/>
          <w:szCs w:val="24"/>
        </w:rPr>
      </w:pPr>
      <w:bookmarkStart w:id="3" w:name="_Hlk150327973"/>
      <w:bookmarkEnd w:id="2"/>
      <w:r>
        <w:rPr>
          <w:rFonts w:ascii="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2194DC01" w14:textId="77777777" w:rsidR="00C37569" w:rsidRDefault="00C37569" w:rsidP="00C37569">
      <w:pPr>
        <w:spacing w:before="100" w:beforeAutospacing="1" w:after="100" w:afterAutospacing="1"/>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cs="Times New Roman"/>
          <w:b/>
          <w:color w:val="000000"/>
          <w:sz w:val="24"/>
          <w:szCs w:val="24"/>
        </w:rPr>
        <w:t xml:space="preserve"> «або еквівалент», </w:t>
      </w:r>
      <w:r>
        <w:rPr>
          <w:rFonts w:ascii="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66C8E143" w14:textId="77777777" w:rsidR="00C37569" w:rsidRDefault="00C37569" w:rsidP="00C37569">
      <w:pPr>
        <w:tabs>
          <w:tab w:val="left" w:pos="142"/>
        </w:tabs>
        <w:spacing w:before="100" w:beforeAutospacing="1" w:after="100" w:afterAutospacing="1" w:line="240" w:lineRule="auto"/>
        <w:ind w:left="142" w:firstLine="709"/>
        <w:contextualSpacing/>
        <w:jc w:val="both"/>
        <w:rPr>
          <w:rFonts w:ascii="Calibri" w:hAnsi="Calibri" w:cs="Calibri"/>
        </w:rPr>
      </w:pPr>
      <w:r>
        <w:rPr>
          <w:rFonts w:ascii="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Pr>
          <w:rFonts w:ascii="Times New Roman" w:hAnsi="Times New Roman" w:cs="Times New Roman"/>
          <w:bCs/>
          <w:sz w:val="24"/>
          <w:szCs w:val="24"/>
        </w:rPr>
        <w:t xml:space="preserve"> або офіційного представника</w:t>
      </w:r>
      <w:r>
        <w:rPr>
          <w:rFonts w:ascii="Times New Roman" w:hAnsi="Times New Roman" w:cs="Times New Roman"/>
          <w:bCs/>
          <w:color w:val="000000"/>
          <w:sz w:val="24"/>
          <w:szCs w:val="24"/>
          <w:shd w:val="clear" w:color="auto" w:fill="FFFFFF"/>
        </w:rPr>
        <w:t xml:space="preserve"> товару</w:t>
      </w:r>
      <w:r>
        <w:rPr>
          <w:rFonts w:ascii="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w:t>
      </w:r>
      <w:r>
        <w:t xml:space="preserve"> </w:t>
      </w:r>
    </w:p>
    <w:p w14:paraId="4376AB72" w14:textId="77777777" w:rsidR="00C37569" w:rsidRDefault="00C37569" w:rsidP="00C37569">
      <w:pPr>
        <w:tabs>
          <w:tab w:val="left" w:pos="142"/>
        </w:tabs>
        <w:spacing w:before="100" w:beforeAutospacing="1" w:after="100" w:afterAutospacing="1" w:line="240" w:lineRule="auto"/>
        <w:ind w:firstLine="709"/>
        <w:contextualSpacing/>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Загальні вимоги до предмету закупівлі:</w:t>
      </w:r>
    </w:p>
    <w:p w14:paraId="3A9C01AA" w14:textId="77777777" w:rsidR="00C37569" w:rsidRDefault="00C37569" w:rsidP="00C37569">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color w:val="000000"/>
          <w:spacing w:val="-4"/>
          <w:sz w:val="24"/>
          <w:szCs w:val="24"/>
          <w:lang w:eastAsia="ru-RU"/>
        </w:rPr>
      </w:pPr>
      <w:bookmarkStart w:id="4" w:name="_Hlk153869988"/>
      <w:r>
        <w:rPr>
          <w:rFonts w:ascii="Times New Roman" w:eastAsia="Times New Roman" w:hAnsi="Times New Roman" w:cs="Times New Roman"/>
          <w:color w:val="000000"/>
          <w:spacing w:val="-4"/>
          <w:sz w:val="24"/>
          <w:szCs w:val="24"/>
          <w:lang w:eastAsia="ru-RU"/>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DF8BB04" w14:textId="77777777" w:rsidR="00C37569" w:rsidRDefault="00C37569" w:rsidP="00C37569">
      <w:pPr>
        <w:numPr>
          <w:ilvl w:val="0"/>
          <w:numId w:val="32"/>
        </w:numPr>
        <w:tabs>
          <w:tab w:val="left" w:pos="142"/>
          <w:tab w:val="left" w:pos="993"/>
        </w:tabs>
        <w:spacing w:after="0" w:line="240" w:lineRule="auto"/>
        <w:ind w:left="0"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1A2B3D48" w14:textId="77777777" w:rsidR="00C37569" w:rsidRDefault="00C37569" w:rsidP="00C37569">
      <w:pPr>
        <w:pStyle w:val="af2"/>
        <w:numPr>
          <w:ilvl w:val="0"/>
          <w:numId w:val="32"/>
        </w:numPr>
        <w:tabs>
          <w:tab w:val="left" w:pos="993"/>
        </w:tabs>
        <w:spacing w:line="254" w:lineRule="auto"/>
        <w:ind w:left="0" w:firstLine="709"/>
        <w:contextualSpacing/>
        <w:jc w:val="both"/>
        <w:rPr>
          <w:color w:val="000000"/>
          <w:spacing w:val="-4"/>
          <w:sz w:val="24"/>
          <w:szCs w:val="24"/>
          <w:lang w:val="uk-UA"/>
        </w:rPr>
      </w:pPr>
      <w:r>
        <w:rPr>
          <w:sz w:val="24"/>
          <w:szCs w:val="24"/>
          <w:lang w:val="uk-UA"/>
        </w:rPr>
        <w:lastRenderedPageBreak/>
        <w:t xml:space="preserve">Термін придатності Товару на дату його поставки Замовнику </w:t>
      </w:r>
      <w:r>
        <w:rPr>
          <w:color w:val="000000"/>
          <w:spacing w:val="-4"/>
          <w:sz w:val="24"/>
          <w:szCs w:val="24"/>
          <w:lang w:val="uk-UA"/>
        </w:rPr>
        <w:t>повинен становити не менше 50% загального терміну придатності Товару.</w:t>
      </w:r>
    </w:p>
    <w:p w14:paraId="07DAA8CF" w14:textId="77777777" w:rsidR="00C37569" w:rsidRDefault="00C37569" w:rsidP="00C37569">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6A8AC2C5" w14:textId="77777777" w:rsidR="00C37569" w:rsidRDefault="00C37569" w:rsidP="00C37569">
      <w:pPr>
        <w:numPr>
          <w:ilvl w:val="0"/>
          <w:numId w:val="32"/>
        </w:numPr>
        <w:tabs>
          <w:tab w:val="left" w:pos="142"/>
          <w:tab w:val="left" w:pos="567"/>
          <w:tab w:val="left" w:pos="993"/>
        </w:tabs>
        <w:suppressAutoHyphen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685EFAE5" w14:textId="77777777" w:rsidR="00C37569" w:rsidRDefault="00C37569" w:rsidP="00C37569">
      <w:p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Зберігання</w:t>
      </w:r>
      <w:proofErr w:type="spellEnd"/>
      <w:r>
        <w:rPr>
          <w:rFonts w:ascii="Times New Roman" w:eastAsia="Times New Roman" w:hAnsi="Times New Roman" w:cs="Times New Roman"/>
          <w:color w:val="000000"/>
          <w:sz w:val="24"/>
          <w:szCs w:val="24"/>
          <w:lang w:val="ru-RU" w:eastAsia="ru-RU"/>
        </w:rPr>
        <w:t xml:space="preserve"> та </w:t>
      </w:r>
      <w:proofErr w:type="spellStart"/>
      <w:r>
        <w:rPr>
          <w:rFonts w:ascii="Times New Roman" w:eastAsia="Times New Roman" w:hAnsi="Times New Roman" w:cs="Times New Roman"/>
          <w:color w:val="000000"/>
          <w:sz w:val="24"/>
          <w:szCs w:val="24"/>
          <w:lang w:val="ru-RU" w:eastAsia="ru-RU"/>
        </w:rPr>
        <w:t>постачання</w:t>
      </w:r>
      <w:proofErr w:type="spellEnd"/>
      <w:r>
        <w:rPr>
          <w:rFonts w:ascii="Times New Roman" w:eastAsia="Times New Roman" w:hAnsi="Times New Roman" w:cs="Times New Roman"/>
          <w:color w:val="000000"/>
          <w:sz w:val="24"/>
          <w:szCs w:val="24"/>
          <w:lang w:val="ru-RU" w:eastAsia="ru-RU"/>
        </w:rPr>
        <w:t xml:space="preserve"> товару повинно </w:t>
      </w:r>
      <w:proofErr w:type="spellStart"/>
      <w:r>
        <w:rPr>
          <w:rFonts w:ascii="Times New Roman" w:eastAsia="Times New Roman" w:hAnsi="Times New Roman" w:cs="Times New Roman"/>
          <w:color w:val="000000"/>
          <w:sz w:val="24"/>
          <w:szCs w:val="24"/>
          <w:lang w:val="ru-RU" w:eastAsia="ru-RU"/>
        </w:rPr>
        <w:t>здійснюватися</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відповідно</w:t>
      </w:r>
      <w:proofErr w:type="spellEnd"/>
      <w:r>
        <w:rPr>
          <w:rFonts w:ascii="Times New Roman" w:eastAsia="Times New Roman" w:hAnsi="Times New Roman" w:cs="Times New Roman"/>
          <w:color w:val="000000"/>
          <w:sz w:val="24"/>
          <w:szCs w:val="24"/>
          <w:lang w:val="ru-RU" w:eastAsia="ru-RU"/>
        </w:rPr>
        <w:t xml:space="preserve"> до </w:t>
      </w:r>
      <w:proofErr w:type="spellStart"/>
      <w:r>
        <w:rPr>
          <w:rFonts w:ascii="Times New Roman" w:eastAsia="Times New Roman" w:hAnsi="Times New Roman" w:cs="Times New Roman"/>
          <w:color w:val="000000"/>
          <w:sz w:val="24"/>
          <w:szCs w:val="24"/>
          <w:lang w:val="ru-RU" w:eastAsia="ru-RU"/>
        </w:rPr>
        <w:t>вимог</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інструкції</w:t>
      </w:r>
      <w:proofErr w:type="spellEnd"/>
      <w:r>
        <w:rPr>
          <w:rFonts w:ascii="Times New Roman" w:eastAsia="Times New Roman" w:hAnsi="Times New Roman" w:cs="Times New Roman"/>
          <w:color w:val="000000"/>
          <w:sz w:val="24"/>
          <w:szCs w:val="24"/>
          <w:lang w:val="ru-RU" w:eastAsia="ru-RU"/>
        </w:rPr>
        <w:t xml:space="preserve"> з </w:t>
      </w:r>
      <w:proofErr w:type="spellStart"/>
      <w:r>
        <w:rPr>
          <w:rFonts w:ascii="Times New Roman" w:eastAsia="Times New Roman" w:hAnsi="Times New Roman" w:cs="Times New Roman"/>
          <w:color w:val="000000"/>
          <w:sz w:val="24"/>
          <w:szCs w:val="24"/>
          <w:lang w:val="ru-RU" w:eastAsia="ru-RU"/>
        </w:rPr>
        <w:t>використання</w:t>
      </w:r>
      <w:proofErr w:type="spellEnd"/>
      <w:r>
        <w:rPr>
          <w:rFonts w:ascii="Times New Roman" w:eastAsia="Times New Roman" w:hAnsi="Times New Roman" w:cs="Times New Roman"/>
          <w:color w:val="000000"/>
          <w:sz w:val="24"/>
          <w:szCs w:val="24"/>
          <w:lang w:val="ru-RU" w:eastAsia="ru-RU"/>
        </w:rPr>
        <w:t xml:space="preserve">. </w:t>
      </w:r>
    </w:p>
    <w:p w14:paraId="1ECC22A6" w14:textId="77777777" w:rsidR="00C37569" w:rsidRDefault="00C37569" w:rsidP="00C37569">
      <w:pPr>
        <w:tabs>
          <w:tab w:val="left" w:pos="993"/>
        </w:tabs>
        <w:suppressAutoHyphens/>
        <w:spacing w:before="100" w:beforeAutospacing="1" w:after="100" w:afterAutospacing="1" w:line="240" w:lineRule="auto"/>
        <w:ind w:firstLine="709"/>
        <w:contextualSpacing/>
        <w:jc w:val="both"/>
        <w:rPr>
          <w:rFonts w:ascii="Times New Roman" w:eastAsia="Calibri" w:hAnsi="Times New Roman" w:cs="Times New Roman"/>
          <w:color w:val="000000"/>
          <w:sz w:val="24"/>
          <w:szCs w:val="24"/>
          <w:lang w:eastAsia="uk-UA"/>
        </w:rPr>
      </w:pPr>
      <w:r>
        <w:rPr>
          <w:rFonts w:ascii="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усунути недоліки або замінити неякісний товар на товар належної якості.</w:t>
      </w:r>
    </w:p>
    <w:p w14:paraId="1859ECA9" w14:textId="77777777" w:rsidR="00C37569" w:rsidRDefault="00C37569" w:rsidP="00C37569">
      <w:pPr>
        <w:tabs>
          <w:tab w:val="left" w:pos="709"/>
          <w:tab w:val="left" w:pos="993"/>
        </w:tabs>
        <w:suppressAutoHyphens/>
        <w:spacing w:before="100" w:beforeAutospacing="1" w:after="100" w:afterAutospacing="1"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CD8C544" w14:textId="77777777" w:rsidR="00C37569" w:rsidRDefault="00C37569" w:rsidP="00C37569">
      <w:pPr>
        <w:widowControl w:val="0"/>
        <w:tabs>
          <w:tab w:val="left" w:pos="993"/>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85"/>
        <w:gridCol w:w="2127"/>
        <w:gridCol w:w="1275"/>
        <w:gridCol w:w="1701"/>
        <w:gridCol w:w="1701"/>
        <w:gridCol w:w="1560"/>
        <w:gridCol w:w="1134"/>
        <w:gridCol w:w="1134"/>
        <w:gridCol w:w="1701"/>
      </w:tblGrid>
      <w:tr w:rsidR="00C37569" w14:paraId="72ED3433" w14:textId="77777777" w:rsidTr="00C37569">
        <w:trPr>
          <w:trHeight w:val="418"/>
        </w:trPr>
        <w:tc>
          <w:tcPr>
            <w:tcW w:w="426" w:type="dxa"/>
            <w:vMerge w:val="restart"/>
            <w:tcBorders>
              <w:top w:val="single" w:sz="4" w:space="0" w:color="auto"/>
              <w:left w:val="single" w:sz="4" w:space="0" w:color="auto"/>
              <w:bottom w:val="single" w:sz="4" w:space="0" w:color="auto"/>
              <w:right w:val="single" w:sz="4" w:space="0" w:color="auto"/>
            </w:tcBorders>
            <w:hideMark/>
          </w:tcPr>
          <w:bookmarkEnd w:id="4"/>
          <w:p w14:paraId="3314B28C" w14:textId="77777777" w:rsidR="00C37569" w:rsidRDefault="00C37569">
            <w:pPr>
              <w:spacing w:before="100" w:beforeAutospacing="1" w:after="100" w:afterAutospacing="1" w:line="240" w:lineRule="auto"/>
              <w:ind w:right="133"/>
              <w:contextualSpacing/>
              <w:jc w:val="center"/>
              <w:textAlignment w:val="baseline"/>
              <w:rPr>
                <w:rFonts w:ascii="Times New Roman" w:eastAsia="Calibri" w:hAnsi="Times New Roman" w:cs="Times New Roman"/>
                <w:color w:val="000000"/>
                <w:sz w:val="20"/>
                <w:szCs w:val="20"/>
                <w:lang w:eastAsia="uk-UA"/>
              </w:rPr>
            </w:pPr>
            <w:r>
              <w:rPr>
                <w:rFonts w:ascii="Times New Roman" w:hAnsi="Times New Roman" w:cs="Times New Roman"/>
                <w:color w:val="000000"/>
                <w:sz w:val="20"/>
                <w:szCs w:val="20"/>
              </w:rPr>
              <w:t>№</w:t>
            </w:r>
          </w:p>
          <w:p w14:paraId="3C126D77"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з/п</w:t>
            </w:r>
          </w:p>
        </w:tc>
        <w:tc>
          <w:tcPr>
            <w:tcW w:w="7087" w:type="dxa"/>
            <w:gridSpan w:val="4"/>
            <w:tcBorders>
              <w:top w:val="single" w:sz="4" w:space="0" w:color="auto"/>
              <w:left w:val="single" w:sz="4" w:space="0" w:color="auto"/>
              <w:bottom w:val="single" w:sz="4" w:space="0" w:color="auto"/>
              <w:right w:val="single" w:sz="4" w:space="0" w:color="auto"/>
            </w:tcBorders>
            <w:hideMark/>
          </w:tcPr>
          <w:p w14:paraId="29FE4872" w14:textId="77777777" w:rsidR="00C37569" w:rsidRDefault="00C37569">
            <w:pPr>
              <w:spacing w:before="100" w:beforeAutospacing="1" w:after="100" w:afterAutospacing="1" w:line="240" w:lineRule="auto"/>
              <w:ind w:right="-108"/>
              <w:contextualSpacing/>
              <w:jc w:val="center"/>
              <w:textAlignment w:val="baseline"/>
              <w:rPr>
                <w:rFonts w:ascii="Times New Roman" w:eastAsia="Calibri" w:hAnsi="Times New Roman" w:cs="Times New Roman"/>
                <w:color w:val="000000"/>
                <w:sz w:val="20"/>
                <w:szCs w:val="20"/>
                <w:lang w:eastAsia="uk-UA"/>
              </w:rPr>
            </w:pPr>
            <w:r>
              <w:rPr>
                <w:rFonts w:ascii="Times New Roman" w:hAnsi="Times New Roman" w:cs="Times New Roman"/>
                <w:color w:val="000000"/>
                <w:sz w:val="20"/>
                <w:szCs w:val="20"/>
              </w:rPr>
              <w:t>Предмет закупівлі відповідно</w:t>
            </w:r>
          </w:p>
          <w:p w14:paraId="1B2E0B91"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тендерної документації</w:t>
            </w:r>
          </w:p>
        </w:tc>
        <w:tc>
          <w:tcPr>
            <w:tcW w:w="5529" w:type="dxa"/>
            <w:gridSpan w:val="4"/>
            <w:tcBorders>
              <w:top w:val="single" w:sz="4" w:space="0" w:color="auto"/>
              <w:left w:val="single" w:sz="4" w:space="0" w:color="auto"/>
              <w:bottom w:val="single" w:sz="4" w:space="0" w:color="auto"/>
              <w:right w:val="single" w:sz="4" w:space="0" w:color="auto"/>
            </w:tcBorders>
            <w:hideMark/>
          </w:tcPr>
          <w:p w14:paraId="507E7E76"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Предмет закупівлі відповідно</w:t>
            </w:r>
          </w:p>
          <w:p w14:paraId="1FC644F8"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тендерної пропозиції</w:t>
            </w:r>
          </w:p>
        </w:tc>
        <w:tc>
          <w:tcPr>
            <w:tcW w:w="1701" w:type="dxa"/>
            <w:tcBorders>
              <w:top w:val="single" w:sz="4" w:space="0" w:color="auto"/>
              <w:left w:val="single" w:sz="4" w:space="0" w:color="auto"/>
              <w:bottom w:val="single" w:sz="4" w:space="0" w:color="auto"/>
              <w:right w:val="single" w:sz="4" w:space="0" w:color="auto"/>
            </w:tcBorders>
            <w:hideMark/>
          </w:tcPr>
          <w:p w14:paraId="1450983E" w14:textId="77777777" w:rsidR="00C37569" w:rsidRDefault="00C37569">
            <w:pPr>
              <w:spacing w:before="100" w:beforeAutospacing="1" w:after="100" w:afterAutospacing="1" w:line="240" w:lineRule="auto"/>
              <w:ind w:left="-243" w:right="-245"/>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Відповідність</w:t>
            </w:r>
          </w:p>
        </w:tc>
      </w:tr>
      <w:tr w:rsidR="00C37569" w14:paraId="2837B8B7" w14:textId="77777777" w:rsidTr="00C37569">
        <w:trPr>
          <w:trHeight w:val="61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0F872C7" w14:textId="77777777" w:rsidR="00C37569" w:rsidRDefault="00C37569">
            <w:pPr>
              <w:spacing w:after="0"/>
              <w:rPr>
                <w:rFonts w:ascii="Times New Roman" w:hAnsi="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65805A6"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Найменування товару</w:t>
            </w:r>
          </w:p>
        </w:tc>
        <w:tc>
          <w:tcPr>
            <w:tcW w:w="2127" w:type="dxa"/>
            <w:tcBorders>
              <w:top w:val="single" w:sz="4" w:space="0" w:color="auto"/>
              <w:left w:val="single" w:sz="4" w:space="0" w:color="auto"/>
              <w:bottom w:val="single" w:sz="4" w:space="0" w:color="auto"/>
              <w:right w:val="single" w:sz="4" w:space="0" w:color="auto"/>
            </w:tcBorders>
            <w:hideMark/>
          </w:tcPr>
          <w:p w14:paraId="19DD847A"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Технічні характеристики товару</w:t>
            </w:r>
          </w:p>
        </w:tc>
        <w:tc>
          <w:tcPr>
            <w:tcW w:w="1275" w:type="dxa"/>
            <w:tcBorders>
              <w:top w:val="single" w:sz="4" w:space="0" w:color="auto"/>
              <w:left w:val="single" w:sz="4" w:space="0" w:color="auto"/>
              <w:bottom w:val="single" w:sz="4" w:space="0" w:color="auto"/>
              <w:right w:val="single" w:sz="4" w:space="0" w:color="auto"/>
            </w:tcBorders>
            <w:hideMark/>
          </w:tcPr>
          <w:p w14:paraId="6230079F" w14:textId="77777777" w:rsidR="00C37569" w:rsidRDefault="00C37569">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Од.</w:t>
            </w:r>
          </w:p>
          <w:p w14:paraId="67A14DA7" w14:textId="77777777" w:rsidR="00C37569" w:rsidRDefault="00C37569">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виміру</w:t>
            </w:r>
          </w:p>
        </w:tc>
        <w:tc>
          <w:tcPr>
            <w:tcW w:w="1701" w:type="dxa"/>
            <w:tcBorders>
              <w:top w:val="single" w:sz="4" w:space="0" w:color="auto"/>
              <w:left w:val="single" w:sz="4" w:space="0" w:color="auto"/>
              <w:bottom w:val="single" w:sz="4" w:space="0" w:color="auto"/>
              <w:right w:val="single" w:sz="4" w:space="0" w:color="auto"/>
            </w:tcBorders>
            <w:hideMark/>
          </w:tcPr>
          <w:p w14:paraId="322CF947"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0263EB11"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lang w:val="ru-RU"/>
              </w:rPr>
            </w:pPr>
            <w:r>
              <w:rPr>
                <w:rFonts w:ascii="Times New Roman" w:hAnsi="Times New Roman" w:cs="Times New Roman"/>
                <w:color w:val="000000"/>
                <w:sz w:val="20"/>
                <w:szCs w:val="20"/>
              </w:rPr>
              <w:t>Найменування товару</w:t>
            </w:r>
          </w:p>
        </w:tc>
        <w:tc>
          <w:tcPr>
            <w:tcW w:w="1560" w:type="dxa"/>
            <w:tcBorders>
              <w:top w:val="single" w:sz="4" w:space="0" w:color="auto"/>
              <w:left w:val="single" w:sz="4" w:space="0" w:color="auto"/>
              <w:bottom w:val="single" w:sz="4" w:space="0" w:color="auto"/>
              <w:right w:val="single" w:sz="4" w:space="0" w:color="auto"/>
            </w:tcBorders>
            <w:hideMark/>
          </w:tcPr>
          <w:p w14:paraId="4E3DAF96" w14:textId="77777777" w:rsidR="00C37569" w:rsidRDefault="00C37569">
            <w:pPr>
              <w:spacing w:before="100" w:beforeAutospacing="1" w:after="100" w:afterAutospacing="1" w:line="240" w:lineRule="auto"/>
              <w:ind w:left="-107" w:right="-108" w:firstLine="107"/>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F85E11E" w14:textId="77777777" w:rsidR="00C37569" w:rsidRDefault="00C37569">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Од.</w:t>
            </w:r>
          </w:p>
          <w:p w14:paraId="3E19FB4A"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виміру</w:t>
            </w:r>
          </w:p>
        </w:tc>
        <w:tc>
          <w:tcPr>
            <w:tcW w:w="1134" w:type="dxa"/>
            <w:tcBorders>
              <w:top w:val="single" w:sz="4" w:space="0" w:color="auto"/>
              <w:left w:val="single" w:sz="4" w:space="0" w:color="auto"/>
              <w:bottom w:val="single" w:sz="4" w:space="0" w:color="auto"/>
              <w:right w:val="single" w:sz="4" w:space="0" w:color="auto"/>
            </w:tcBorders>
            <w:hideMark/>
          </w:tcPr>
          <w:p w14:paraId="05CA12FD" w14:textId="77777777" w:rsidR="00C37569" w:rsidRDefault="00C37569">
            <w:pPr>
              <w:spacing w:before="100" w:beforeAutospacing="1" w:after="100" w:afterAutospacing="1" w:line="240" w:lineRule="auto"/>
              <w:ind w:right="-108" w:hanging="108"/>
              <w:contextualSpacing/>
              <w:jc w:val="center"/>
              <w:textAlignment w:val="baseline"/>
              <w:rPr>
                <w:rFonts w:ascii="Times New Roman" w:hAnsi="Times New Roman" w:cs="Times New Roman"/>
                <w:color w:val="000000"/>
                <w:sz w:val="20"/>
                <w:szCs w:val="20"/>
              </w:rPr>
            </w:pPr>
            <w:r>
              <w:rPr>
                <w:rFonts w:ascii="Times New Roman" w:hAnsi="Times New Roman" w:cs="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tcPr>
          <w:p w14:paraId="344723DE"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r>
      <w:tr w:rsidR="00C37569" w14:paraId="4D09BE4E" w14:textId="77777777" w:rsidTr="00C37569">
        <w:trPr>
          <w:trHeight w:val="196"/>
        </w:trPr>
        <w:tc>
          <w:tcPr>
            <w:tcW w:w="426" w:type="dxa"/>
            <w:tcBorders>
              <w:top w:val="single" w:sz="4" w:space="0" w:color="auto"/>
              <w:left w:val="single" w:sz="4" w:space="0" w:color="auto"/>
              <w:bottom w:val="single" w:sz="4" w:space="0" w:color="auto"/>
              <w:right w:val="single" w:sz="4" w:space="0" w:color="auto"/>
            </w:tcBorders>
            <w:hideMark/>
          </w:tcPr>
          <w:p w14:paraId="7CB61FBD"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71EC9F00" w14:textId="77777777" w:rsidR="00C37569" w:rsidRDefault="00C37569">
            <w:pPr>
              <w:spacing w:before="100" w:beforeAutospacing="1" w:after="100" w:afterAutospacing="1" w:line="240" w:lineRule="auto"/>
              <w:ind w:right="-108"/>
              <w:contextualSpacing/>
              <w:textAlignment w:val="baseline"/>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D9CC142"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1AEB701"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AF536A"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1FF03C" w14:textId="77777777" w:rsidR="00C37569" w:rsidRDefault="00C37569">
            <w:pPr>
              <w:spacing w:before="100" w:beforeAutospacing="1" w:after="100" w:afterAutospacing="1" w:line="240" w:lineRule="auto"/>
              <w:ind w:right="133"/>
              <w:contextualSpacing/>
              <w:jc w:val="center"/>
              <w:textAlignment w:val="baseline"/>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75008C3"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6CE7F2"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0B1738"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866CD3" w14:textId="77777777" w:rsidR="00C37569" w:rsidRDefault="00C37569">
            <w:pPr>
              <w:spacing w:before="100" w:beforeAutospacing="1" w:after="100" w:afterAutospacing="1" w:line="240" w:lineRule="auto"/>
              <w:ind w:right="-108"/>
              <w:contextualSpacing/>
              <w:jc w:val="center"/>
              <w:textAlignment w:val="baseline"/>
              <w:rPr>
                <w:rFonts w:ascii="Times New Roman" w:hAnsi="Times New Roman" w:cs="Times New Roman"/>
                <w:color w:val="000000"/>
                <w:sz w:val="20"/>
                <w:szCs w:val="20"/>
              </w:rPr>
            </w:pPr>
          </w:p>
        </w:tc>
      </w:tr>
    </w:tbl>
    <w:p w14:paraId="09D6A6A8" w14:textId="77777777" w:rsidR="00C37569" w:rsidRDefault="00C37569" w:rsidP="00C37569">
      <w:pPr>
        <w:tabs>
          <w:tab w:val="left" w:pos="5245"/>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Зазначені вимоги повинні бути підтверджені наступними документами:</w:t>
      </w:r>
    </w:p>
    <w:p w14:paraId="0AC4393A"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lang w:eastAsia="uk-UA"/>
        </w:rPr>
      </w:pPr>
      <w:bookmarkStart w:id="5" w:name="_Hlk153870028"/>
      <w:r>
        <w:rPr>
          <w:rFonts w:ascii="Times New Roman" w:hAnsi="Times New Roman" w:cs="Times New Roman"/>
          <w:bCs/>
          <w:color w:val="000000"/>
          <w:sz w:val="24"/>
          <w:szCs w:val="24"/>
          <w:shd w:val="clear" w:color="auto" w:fill="FFFFFF"/>
        </w:rPr>
        <w:t>1. У разі, якщо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w:t>
      </w:r>
      <w:r>
        <w:rPr>
          <w:rFonts w:ascii="Times New Roman" w:hAnsi="Times New Roman" w:cs="Times New Roman"/>
          <w:bCs/>
          <w:color w:val="000000"/>
          <w:sz w:val="24"/>
          <w:szCs w:val="24"/>
          <w:shd w:val="clear" w:color="auto" w:fill="FFFFFF"/>
          <w:lang w:val="ru-RU"/>
        </w:rPr>
        <w:t>,</w:t>
      </w:r>
      <w:r>
        <w:rPr>
          <w:rFonts w:ascii="Times New Roman" w:hAnsi="Times New Roman" w:cs="Times New Roman"/>
          <w:bCs/>
          <w:color w:val="000000"/>
          <w:sz w:val="24"/>
          <w:szCs w:val="24"/>
          <w:shd w:val="clear" w:color="auto" w:fill="FFFFFF"/>
        </w:rPr>
        <w:t xml:space="preserve"> затвердженого Постановою КМУ від 02.10.2013 р. № 753 «Про затвердження Технічного регламенту щодо медичних виробів», Постановою КМУ від 02.10.2013 р. № 754 «Про затвердження Технічного регламенту щодо медичних виробів для діагностики </w:t>
      </w:r>
      <w:proofErr w:type="spellStart"/>
      <w:r>
        <w:rPr>
          <w:rFonts w:ascii="Times New Roman" w:hAnsi="Times New Roman" w:cs="Times New Roman"/>
          <w:bCs/>
          <w:color w:val="000000"/>
          <w:sz w:val="24"/>
          <w:szCs w:val="24"/>
          <w:shd w:val="clear" w:color="auto" w:fill="FFFFFF"/>
        </w:rPr>
        <w:t>in</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vitro</w:t>
      </w:r>
      <w:proofErr w:type="spellEnd"/>
      <w:r>
        <w:rPr>
          <w:rFonts w:ascii="Times New Roman" w:hAnsi="Times New Roman" w:cs="Times New Roman"/>
          <w:bCs/>
          <w:color w:val="000000"/>
          <w:sz w:val="24"/>
          <w:szCs w:val="24"/>
          <w:shd w:val="clear" w:color="auto" w:fill="FFFFFF"/>
        </w:rPr>
        <w:t>», Учасник має надати:</w:t>
      </w:r>
    </w:p>
    <w:p w14:paraId="24D41068"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1.1. Копію декларації про відповідність запропонованого товару вимогам відповідного Технічного регламенту;</w:t>
      </w:r>
    </w:p>
    <w:p w14:paraId="7686314E"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або</w:t>
      </w:r>
    </w:p>
    <w:p w14:paraId="151E8123"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hAnsi="Times New Roman" w:cs="Times New Roman"/>
          <w:bCs/>
          <w:color w:val="000000"/>
          <w:sz w:val="24"/>
          <w:szCs w:val="24"/>
          <w:shd w:val="clear" w:color="auto" w:fill="FFFFFF"/>
        </w:rPr>
        <w:t>перевипуску</w:t>
      </w:r>
      <w:proofErr w:type="spellEnd"/>
      <w:r>
        <w:rPr>
          <w:rFonts w:ascii="Times New Roman" w:hAnsi="Times New Roman" w:cs="Times New Roman"/>
          <w:bCs/>
          <w:color w:val="000000"/>
          <w:sz w:val="24"/>
          <w:szCs w:val="24"/>
          <w:shd w:val="clear" w:color="auto" w:fill="FFFFFF"/>
        </w:rPr>
        <w:t xml:space="preserve"> тощо, які були внесені до такого сертифікату.</w:t>
      </w:r>
    </w:p>
    <w:p w14:paraId="4E4CE2AC"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або</w:t>
      </w:r>
    </w:p>
    <w:p w14:paraId="76A0BAD8"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 xml:space="preserve">1.3. </w:t>
      </w:r>
      <w:r>
        <w:rPr>
          <w:rFonts w:ascii="Times New Roman" w:hAnsi="Times New Roman" w:cs="Times New Roman"/>
          <w:bCs/>
          <w:color w:val="000000"/>
          <w:sz w:val="24"/>
          <w:szCs w:val="24"/>
          <w:shd w:val="clear" w:color="auto" w:fill="FFFFFF"/>
        </w:rPr>
        <w:tab/>
        <w:t>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0F2CF2EC"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2. У разі, якщо предмет закупівлі (або його складова у випадку, якщо така складова входить до комплекту предмета закупівлі та є окремим медичним виробом) не є медичним виробом або допоміжним засобом до нього у значенні Технічного регламенту щодо медичних виробів, Учасник має надати:</w:t>
      </w:r>
    </w:p>
    <w:p w14:paraId="4A70045A"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2.1. Лист </w:t>
      </w:r>
      <w:r>
        <w:rPr>
          <w:rFonts w:ascii="Times New Roman" w:eastAsia="Times New Roman" w:hAnsi="Times New Roman" w:cs="Times New Roman"/>
          <w:sz w:val="24"/>
          <w:szCs w:val="24"/>
          <w:lang w:eastAsia="ru-RU"/>
        </w:rPr>
        <w:t>органу з оцінки відповідності</w:t>
      </w:r>
      <w:r>
        <w:rPr>
          <w:rFonts w:ascii="Times New Roman" w:hAnsi="Times New Roman" w:cs="Times New Roman"/>
          <w:bCs/>
          <w:color w:val="000000"/>
          <w:sz w:val="24"/>
          <w:szCs w:val="24"/>
          <w:shd w:val="clear" w:color="auto" w:fill="FFFFFF"/>
        </w:rPr>
        <w:t>, який підтверджує, що запропонований товар не є медичним виробом або допоміжним засобом до нього у розумінні Технічного регламенту щодо медичних виробів.</w:t>
      </w:r>
    </w:p>
    <w:p w14:paraId="4663C883"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2.2. Документ, що підтверджує якість товару, виданий його виробником</w:t>
      </w:r>
      <w:r>
        <w:t xml:space="preserve"> </w:t>
      </w:r>
      <w:r>
        <w:rPr>
          <w:rFonts w:ascii="Times New Roman" w:hAnsi="Times New Roman" w:cs="Times New Roman"/>
          <w:bCs/>
          <w:color w:val="000000"/>
          <w:sz w:val="24"/>
          <w:szCs w:val="24"/>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cs="Times New Roman"/>
          <w:bCs/>
          <w:sz w:val="24"/>
          <w:szCs w:val="24"/>
        </w:rPr>
        <w:t>або офіційному представнику</w:t>
      </w:r>
      <w:r>
        <w:rPr>
          <w:rFonts w:ascii="Times New Roman" w:hAnsi="Times New Roman" w:cs="Times New Roman"/>
          <w:bCs/>
          <w:color w:val="000000"/>
          <w:sz w:val="24"/>
          <w:szCs w:val="24"/>
          <w:shd w:val="clear" w:color="auto" w:fill="FFFFFF"/>
        </w:rPr>
        <w:t xml:space="preserve"> товару, уповноваженими на це органами, установами, організаціями.</w:t>
      </w:r>
    </w:p>
    <w:bookmarkEnd w:id="5"/>
    <w:p w14:paraId="7D101EEE" w14:textId="77777777" w:rsidR="00C37569" w:rsidRDefault="00C37569" w:rsidP="00C37569">
      <w:pPr>
        <w:tabs>
          <w:tab w:val="left" w:pos="142"/>
        </w:tabs>
        <w:spacing w:after="0" w:line="240" w:lineRule="auto"/>
        <w:ind w:left="142" w:firstLine="567"/>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3. </w:t>
      </w:r>
      <w:r>
        <w:rPr>
          <w:rFonts w:ascii="Times New Roman" w:hAnsi="Times New Roman" w:cs="Times New Roman"/>
          <w:bCs/>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6E7F8C64" w14:textId="77777777" w:rsidR="00C37569" w:rsidRDefault="00C37569" w:rsidP="00C37569">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End w:id="3"/>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E3C7" w14:textId="77777777" w:rsidR="005800DE" w:rsidRDefault="005800DE" w:rsidP="0024553B">
      <w:pPr>
        <w:spacing w:after="0" w:line="240" w:lineRule="auto"/>
      </w:pPr>
      <w:r>
        <w:separator/>
      </w:r>
    </w:p>
  </w:endnote>
  <w:endnote w:type="continuationSeparator" w:id="0">
    <w:p w14:paraId="669561BE" w14:textId="77777777" w:rsidR="005800DE" w:rsidRDefault="005800DE"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98B59" w14:textId="77777777" w:rsidR="005800DE" w:rsidRDefault="005800DE" w:rsidP="0024553B">
      <w:pPr>
        <w:spacing w:after="0" w:line="240" w:lineRule="auto"/>
      </w:pPr>
      <w:r>
        <w:separator/>
      </w:r>
    </w:p>
  </w:footnote>
  <w:footnote w:type="continuationSeparator" w:id="0">
    <w:p w14:paraId="3D24DFEC" w14:textId="77777777" w:rsidR="005800DE" w:rsidRDefault="005800DE"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8"/>
  </w:num>
  <w:num w:numId="25">
    <w:abstractNumId w:val="18"/>
  </w:num>
  <w:num w:numId="26">
    <w:abstractNumId w:val="11"/>
  </w:num>
  <w:num w:numId="27">
    <w:abstractNumId w:val="19"/>
  </w:num>
  <w:num w:numId="28">
    <w:abstractNumId w:val="3"/>
  </w:num>
  <w:num w:numId="29">
    <w:abstractNumId w:val="29"/>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602D"/>
    <w:rsid w:val="000B6D9F"/>
    <w:rsid w:val="000C4E15"/>
    <w:rsid w:val="000C70A6"/>
    <w:rsid w:val="001055A1"/>
    <w:rsid w:val="001C1517"/>
    <w:rsid w:val="001C1668"/>
    <w:rsid w:val="00226C86"/>
    <w:rsid w:val="0024553B"/>
    <w:rsid w:val="00277EC5"/>
    <w:rsid w:val="002855F6"/>
    <w:rsid w:val="002B6E58"/>
    <w:rsid w:val="002B72AC"/>
    <w:rsid w:val="002C519E"/>
    <w:rsid w:val="002C7992"/>
    <w:rsid w:val="002D034A"/>
    <w:rsid w:val="002E2676"/>
    <w:rsid w:val="002F70F7"/>
    <w:rsid w:val="003453DF"/>
    <w:rsid w:val="00366514"/>
    <w:rsid w:val="00392139"/>
    <w:rsid w:val="00393926"/>
    <w:rsid w:val="003E7975"/>
    <w:rsid w:val="004D5770"/>
    <w:rsid w:val="0054119B"/>
    <w:rsid w:val="00570486"/>
    <w:rsid w:val="005800DE"/>
    <w:rsid w:val="00590320"/>
    <w:rsid w:val="005F6CE1"/>
    <w:rsid w:val="00607317"/>
    <w:rsid w:val="006C75C1"/>
    <w:rsid w:val="006D3EBF"/>
    <w:rsid w:val="006F1B4C"/>
    <w:rsid w:val="007622E0"/>
    <w:rsid w:val="007975BE"/>
    <w:rsid w:val="007B5C52"/>
    <w:rsid w:val="007D7682"/>
    <w:rsid w:val="007E6230"/>
    <w:rsid w:val="008201EB"/>
    <w:rsid w:val="00823139"/>
    <w:rsid w:val="0082548F"/>
    <w:rsid w:val="00837155"/>
    <w:rsid w:val="0084332E"/>
    <w:rsid w:val="00870D0C"/>
    <w:rsid w:val="00881B32"/>
    <w:rsid w:val="00882F7D"/>
    <w:rsid w:val="008F229E"/>
    <w:rsid w:val="009443DC"/>
    <w:rsid w:val="0095518A"/>
    <w:rsid w:val="0098548C"/>
    <w:rsid w:val="00A35F17"/>
    <w:rsid w:val="00A52318"/>
    <w:rsid w:val="00A71EB1"/>
    <w:rsid w:val="00A775EB"/>
    <w:rsid w:val="00AC1C0E"/>
    <w:rsid w:val="00B137D2"/>
    <w:rsid w:val="00BE1FF8"/>
    <w:rsid w:val="00C06B6A"/>
    <w:rsid w:val="00C15314"/>
    <w:rsid w:val="00C15F77"/>
    <w:rsid w:val="00C37569"/>
    <w:rsid w:val="00C60DAA"/>
    <w:rsid w:val="00CA68EE"/>
    <w:rsid w:val="00D14848"/>
    <w:rsid w:val="00D169A9"/>
    <w:rsid w:val="00D43D84"/>
    <w:rsid w:val="00D626B8"/>
    <w:rsid w:val="00D86D1C"/>
    <w:rsid w:val="00D9471A"/>
    <w:rsid w:val="00DF0278"/>
    <w:rsid w:val="00E44481"/>
    <w:rsid w:val="00E92067"/>
    <w:rsid w:val="00FA72FC"/>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12280</Words>
  <Characters>7000</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17</cp:revision>
  <dcterms:created xsi:type="dcterms:W3CDTF">2023-09-14T08:37:00Z</dcterms:created>
  <dcterms:modified xsi:type="dcterms:W3CDTF">2024-03-19T14:27:00Z</dcterms:modified>
</cp:coreProperties>
</file>