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431FE983" w:rsidR="002B72AC" w:rsidRDefault="00AD1D59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AD1D59">
        <w:rPr>
          <w:rFonts w:ascii="Times New Roman" w:hAnsi="Times New Roman"/>
          <w:b/>
          <w:bCs/>
          <w:sz w:val="24"/>
          <w:szCs w:val="24"/>
        </w:rPr>
        <w:t>ДК 021:2015: 80570000-0-Послуги з професійної підготовки у сфері підвищення кваліфікації (Навчання системі управління якістю згідно з ISO 15189:2022 «Медичні лабораторії. Вимоги до якості та компетентності»)</w:t>
      </w:r>
      <w:r w:rsidR="004D0398" w:rsidRPr="0024553B">
        <w:rPr>
          <w:rStyle w:val="a3"/>
          <w:rFonts w:ascii="Times New Roman" w:hAnsi="Times New Roman"/>
          <w:bCs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C489A22" w14:textId="3A4E19C3" w:rsidR="003E7975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AD1D59" w:rsidRPr="00AD1D59">
        <w:rPr>
          <w:rFonts w:ascii="Times New Roman" w:hAnsi="Times New Roman"/>
          <w:bCs/>
          <w:sz w:val="24"/>
          <w:szCs w:val="24"/>
        </w:rPr>
        <w:t>ДК 021:2015: 80570000-0-Послуги з професійної підготовки у сфері підвищення кваліфікації (Навчання системі управління якістю згідно з ISO 15189:2022 «Медичні лабораторії. Вимоги до якості та компетентності»)</w:t>
      </w:r>
      <w:r w:rsidR="00AD1D59">
        <w:rPr>
          <w:rFonts w:ascii="Times New Roman" w:hAnsi="Times New Roman"/>
          <w:bCs/>
          <w:sz w:val="24"/>
          <w:szCs w:val="24"/>
        </w:rPr>
        <w:t>.</w:t>
      </w:r>
    </w:p>
    <w:p w14:paraId="039A125F" w14:textId="77777777" w:rsidR="006D3EBF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</w:t>
      </w:r>
      <w:r w:rsidR="0098548C">
        <w:rPr>
          <w:rFonts w:ascii="Times New Roman" w:hAnsi="Times New Roman"/>
          <w:sz w:val="24"/>
          <w:szCs w:val="24"/>
        </w:rPr>
        <w:t>и</w:t>
      </w:r>
      <w:r w:rsidR="006D3EBF">
        <w:rPr>
          <w:rFonts w:ascii="Times New Roman" w:hAnsi="Times New Roman"/>
          <w:sz w:val="24"/>
          <w:szCs w:val="24"/>
        </w:rPr>
        <w:t xml:space="preserve"> </w:t>
      </w:r>
    </w:p>
    <w:p w14:paraId="37CF29AE" w14:textId="1FBFAA08" w:rsidR="001D3C63" w:rsidRDefault="004334D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DA">
        <w:rPr>
          <w:rFonts w:ascii="Times New Roman" w:hAnsi="Times New Roman"/>
          <w:sz w:val="24"/>
          <w:szCs w:val="24"/>
        </w:rPr>
        <w:t>UA-2024-04-26-005556-a</w:t>
      </w:r>
      <w:r>
        <w:rPr>
          <w:rFonts w:ascii="Times New Roman" w:hAnsi="Times New Roman"/>
          <w:sz w:val="24"/>
          <w:szCs w:val="24"/>
        </w:rPr>
        <w:t>.</w:t>
      </w:r>
    </w:p>
    <w:p w14:paraId="16EAB68C" w14:textId="77777777" w:rsidR="004334DA" w:rsidRPr="0024553B" w:rsidRDefault="004334DA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E9336F8" w14:textId="3FC59176" w:rsidR="002B72AC" w:rsidRPr="00425662" w:rsidRDefault="002B72AC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2B561E" w:rsidRPr="00425662">
        <w:rPr>
          <w:rFonts w:ascii="Times New Roman" w:eastAsia="Calibri" w:hAnsi="Times New Roman" w:cs="Times New Roman"/>
          <w:sz w:val="24"/>
          <w:szCs w:val="24"/>
        </w:rPr>
        <w:t>760 984,00</w:t>
      </w:r>
      <w:r w:rsidR="00BA779E" w:rsidRPr="0042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398" w:rsidRPr="00425662">
        <w:rPr>
          <w:rFonts w:ascii="Times New Roman" w:hAnsi="Times New Roman"/>
          <w:sz w:val="24"/>
          <w:szCs w:val="24"/>
        </w:rPr>
        <w:t xml:space="preserve">грн </w:t>
      </w:r>
      <w:r w:rsidR="00911E65" w:rsidRPr="00425662">
        <w:rPr>
          <w:rFonts w:ascii="Times New Roman" w:hAnsi="Times New Roman"/>
          <w:sz w:val="24"/>
          <w:szCs w:val="24"/>
        </w:rPr>
        <w:t>без</w:t>
      </w:r>
      <w:r w:rsidR="00BA779E" w:rsidRPr="00425662">
        <w:rPr>
          <w:rFonts w:ascii="Times New Roman" w:hAnsi="Times New Roman"/>
          <w:sz w:val="24"/>
          <w:szCs w:val="24"/>
        </w:rPr>
        <w:t xml:space="preserve"> </w:t>
      </w:r>
      <w:r w:rsidR="004D0398" w:rsidRPr="00425662">
        <w:rPr>
          <w:rFonts w:ascii="Times New Roman" w:hAnsi="Times New Roman"/>
          <w:sz w:val="24"/>
          <w:szCs w:val="24"/>
        </w:rPr>
        <w:t>ПДВ</w:t>
      </w:r>
      <w:r w:rsidRPr="00425662">
        <w:rPr>
          <w:rFonts w:ascii="Times New Roman" w:hAnsi="Times New Roman"/>
          <w:sz w:val="24"/>
          <w:szCs w:val="24"/>
        </w:rPr>
        <w:t xml:space="preserve">. </w:t>
      </w:r>
      <w:r w:rsidRPr="00425662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425662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425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662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25662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425662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425662" w:rsidRDefault="0024553B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43AF7BD" w:rsidR="002B72AC" w:rsidRPr="00425662" w:rsidRDefault="002B72AC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425662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425662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B561E" w:rsidRPr="00425662">
        <w:rPr>
          <w:rFonts w:ascii="Times New Roman" w:eastAsia="Calibri" w:hAnsi="Times New Roman" w:cs="Times New Roman"/>
          <w:sz w:val="24"/>
          <w:szCs w:val="24"/>
        </w:rPr>
        <w:t xml:space="preserve">760 984,00 </w:t>
      </w:r>
      <w:r w:rsidR="004D0398" w:rsidRPr="00425662">
        <w:rPr>
          <w:rFonts w:ascii="Times New Roman" w:hAnsi="Times New Roman"/>
          <w:sz w:val="24"/>
          <w:szCs w:val="24"/>
        </w:rPr>
        <w:t xml:space="preserve">грн </w:t>
      </w:r>
      <w:r w:rsidR="00911E65" w:rsidRPr="00425662">
        <w:rPr>
          <w:rFonts w:ascii="Times New Roman" w:hAnsi="Times New Roman"/>
          <w:sz w:val="24"/>
          <w:szCs w:val="24"/>
        </w:rPr>
        <w:t>без</w:t>
      </w:r>
      <w:r w:rsidR="00BA779E" w:rsidRPr="00425662">
        <w:rPr>
          <w:rFonts w:ascii="Times New Roman" w:hAnsi="Times New Roman"/>
          <w:sz w:val="24"/>
          <w:szCs w:val="24"/>
        </w:rPr>
        <w:t xml:space="preserve"> </w:t>
      </w:r>
      <w:r w:rsidR="004D0398" w:rsidRPr="00425662">
        <w:rPr>
          <w:rFonts w:ascii="Times New Roman" w:hAnsi="Times New Roman"/>
          <w:sz w:val="24"/>
          <w:szCs w:val="24"/>
        </w:rPr>
        <w:t>ПДВ</w:t>
      </w:r>
      <w:r w:rsidR="002C7992" w:rsidRPr="00425662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369371FE" w14:textId="376247B7" w:rsidR="007E6230" w:rsidRDefault="00A71EB1" w:rsidP="004D039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4256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bookmarkStart w:id="1" w:name="_Hlk164332950"/>
      <w:r w:rsidR="00911E65" w:rsidRPr="004256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кошти міжнародної технічної допомоги, виділені за проектом </w:t>
      </w:r>
      <w:r w:rsidR="002B561E" w:rsidRPr="0042566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ITF</w:t>
      </w:r>
      <w:r w:rsidR="002B561E" w:rsidRPr="002B5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профілактики», згідно з Договором про надання гранту NU2HGH000056 від 31.08.2020 року за фінансової підтримки Департаменту охорони здоров’я та соціального забезпечення США (DHHS) «Центри контролю та профілактики захворювань США» (CDC). (</w:t>
      </w:r>
      <w:proofErr w:type="spellStart"/>
      <w:r w:rsidR="002B561E" w:rsidRPr="002B5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Component</w:t>
      </w:r>
      <w:proofErr w:type="spellEnd"/>
      <w:r w:rsidR="002B561E" w:rsidRPr="002B5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1: </w:t>
      </w:r>
      <w:proofErr w:type="spellStart"/>
      <w:r w:rsidR="002B561E" w:rsidRPr="002B5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Ukraine</w:t>
      </w:r>
      <w:proofErr w:type="spellEnd"/>
      <w:r w:rsidR="002B561E" w:rsidRPr="002B5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 </w:t>
      </w:r>
      <w:proofErr w:type="spellStart"/>
      <w:r w:rsidR="002B561E" w:rsidRPr="002B5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Funding</w:t>
      </w:r>
      <w:proofErr w:type="spellEnd"/>
      <w:r w:rsidR="002B561E" w:rsidRPr="002B561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/20NU2HGH000056UKRAS).</w:t>
      </w:r>
      <w:bookmarkEnd w:id="1"/>
    </w:p>
    <w:p w14:paraId="7EEF8683" w14:textId="7DC62C03" w:rsidR="00226C86" w:rsidRPr="0024553B" w:rsidRDefault="002B72AC" w:rsidP="004D03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7FC97AE5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</w:t>
      </w:r>
      <w:r w:rsidR="00570486">
        <w:rPr>
          <w:rFonts w:ascii="Times New Roman" w:hAnsi="Times New Roman"/>
          <w:b/>
          <w:sz w:val="24"/>
          <w:szCs w:val="24"/>
        </w:rPr>
        <w:t xml:space="preserve"> з</w:t>
      </w:r>
      <w:r w:rsidR="000C70A6">
        <w:rPr>
          <w:rFonts w:ascii="Times New Roman" w:hAnsi="Times New Roman"/>
          <w:b/>
          <w:sz w:val="24"/>
          <w:szCs w:val="24"/>
        </w:rPr>
        <w:t xml:space="preserve"> технічни</w:t>
      </w:r>
      <w:r w:rsidR="00570486">
        <w:rPr>
          <w:rFonts w:ascii="Times New Roman" w:hAnsi="Times New Roman"/>
          <w:b/>
          <w:sz w:val="24"/>
          <w:szCs w:val="24"/>
        </w:rPr>
        <w:t>ми</w:t>
      </w:r>
      <w:r w:rsidR="000C70A6">
        <w:rPr>
          <w:rFonts w:ascii="Times New Roman" w:hAnsi="Times New Roman"/>
          <w:b/>
          <w:sz w:val="24"/>
          <w:szCs w:val="24"/>
        </w:rPr>
        <w:t xml:space="preserve"> вимог</w:t>
      </w:r>
      <w:r w:rsidR="00570486">
        <w:rPr>
          <w:rFonts w:ascii="Times New Roman" w:hAnsi="Times New Roman"/>
          <w:b/>
          <w:sz w:val="24"/>
          <w:szCs w:val="24"/>
        </w:rPr>
        <w:t>ами</w:t>
      </w:r>
      <w:r w:rsidR="000C70A6">
        <w:rPr>
          <w:rFonts w:ascii="Times New Roman" w:hAnsi="Times New Roman"/>
          <w:b/>
          <w:sz w:val="24"/>
          <w:szCs w:val="24"/>
        </w:rPr>
        <w:t>.</w:t>
      </w:r>
    </w:p>
    <w:p w14:paraId="14A58F76" w14:textId="24357BB2" w:rsidR="002B72AC" w:rsidRPr="0024553B" w:rsidRDefault="00BA779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79E">
        <w:rPr>
          <w:rFonts w:ascii="Times New Roman" w:hAnsi="Times New Roman"/>
          <w:sz w:val="24"/>
          <w:szCs w:val="24"/>
        </w:rPr>
        <w:lastRenderedPageBreak/>
        <w:t>Період надання послуги: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BA779E">
        <w:rPr>
          <w:rFonts w:ascii="Times New Roman" w:hAnsi="Times New Roman"/>
          <w:sz w:val="24"/>
          <w:szCs w:val="24"/>
        </w:rPr>
        <w:t xml:space="preserve">о </w:t>
      </w:r>
      <w:r w:rsidR="00B80886" w:rsidRPr="00B80886">
        <w:rPr>
          <w:rFonts w:ascii="Times New Roman" w:hAnsi="Times New Roman"/>
          <w:sz w:val="24"/>
          <w:szCs w:val="24"/>
        </w:rPr>
        <w:t>28</w:t>
      </w:r>
      <w:r w:rsidRPr="00B80886">
        <w:rPr>
          <w:rFonts w:ascii="Times New Roman" w:hAnsi="Times New Roman"/>
          <w:sz w:val="24"/>
          <w:szCs w:val="24"/>
        </w:rPr>
        <w:t xml:space="preserve"> </w:t>
      </w:r>
      <w:r w:rsidR="00B80886" w:rsidRPr="00B80886">
        <w:rPr>
          <w:rFonts w:ascii="Times New Roman" w:hAnsi="Times New Roman"/>
          <w:sz w:val="24"/>
          <w:szCs w:val="24"/>
        </w:rPr>
        <w:t>черв</w:t>
      </w:r>
      <w:r w:rsidRPr="00B80886">
        <w:rPr>
          <w:rFonts w:ascii="Times New Roman" w:hAnsi="Times New Roman"/>
          <w:sz w:val="24"/>
          <w:szCs w:val="24"/>
        </w:rPr>
        <w:t>ня 2024 року.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2F781159" w14:textId="5B91B6D3" w:rsidR="00511152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511152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3AF979F4" w14:textId="77777777" w:rsidR="00A00002" w:rsidRPr="007F40E2" w:rsidRDefault="00A00002" w:rsidP="00A00002">
      <w:pPr>
        <w:rPr>
          <w:rFonts w:ascii="Times New Roman" w:hAnsi="Times New Roman" w:cs="Times New Roman"/>
          <w:sz w:val="24"/>
          <w:szCs w:val="24"/>
        </w:rPr>
      </w:pPr>
    </w:p>
    <w:p w14:paraId="0FC85811" w14:textId="77777777" w:rsidR="00A00002" w:rsidRPr="007F40E2" w:rsidRDefault="00A00002" w:rsidP="00A000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336FF0" w14:textId="77777777" w:rsidR="00B80886" w:rsidRDefault="00B80886" w:rsidP="00B808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2" w:name="_Hlk5743264"/>
      <w:r w:rsidRPr="006866C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ІНФОРМАЦІЯ ПРО НЕОБХІДНІ ТЕХНІЧНІ, ЯКІСНІ ТА КІЛЬКІСНІ ХАРАКТЕРИСТИКИ ПРЕДМЕТА ЗАКУПІВЛІ</w:t>
      </w:r>
    </w:p>
    <w:p w14:paraId="6A5A26A6" w14:textId="77777777" w:rsidR="00B80886" w:rsidRPr="006866CA" w:rsidRDefault="00B80886" w:rsidP="00B8088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866CA">
        <w:rPr>
          <w:rFonts w:ascii="Times New Roman" w:hAnsi="Times New Roman"/>
          <w:bCs/>
          <w:sz w:val="28"/>
          <w:szCs w:val="28"/>
          <w:lang w:eastAsia="ru-RU"/>
        </w:rPr>
        <w:t>за</w:t>
      </w:r>
    </w:p>
    <w:p w14:paraId="1F898DB1" w14:textId="613F1924" w:rsidR="00B80886" w:rsidRDefault="00B80886" w:rsidP="00B8088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ДК 021:2015: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80570000-0-Послуги з професійної підготовки у сфері підвищення кваліфікації (Навчання системі управління якістю згідно з ISO 15189:2022 «Медичні лабораторії. Вимоги до якості та компетентності»)</w:t>
      </w:r>
    </w:p>
    <w:p w14:paraId="7B0D7B8A" w14:textId="77777777" w:rsidR="00B80886" w:rsidRPr="00F96D69" w:rsidRDefault="00B80886" w:rsidP="00B8088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198"/>
      </w:tblGrid>
      <w:tr w:rsidR="00B80886" w:rsidRPr="00947364" w14:paraId="2F047915" w14:textId="77777777" w:rsidTr="00B80886">
        <w:trPr>
          <w:trHeight w:val="293"/>
        </w:trPr>
        <w:tc>
          <w:tcPr>
            <w:tcW w:w="3256" w:type="dxa"/>
            <w:shd w:val="clear" w:color="auto" w:fill="auto"/>
          </w:tcPr>
          <w:p w14:paraId="4F495ED5" w14:textId="77777777" w:rsidR="00B80886" w:rsidRPr="00202385" w:rsidRDefault="00B80886" w:rsidP="00554EF6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 послуги</w:t>
            </w:r>
          </w:p>
        </w:tc>
        <w:tc>
          <w:tcPr>
            <w:tcW w:w="11198" w:type="dxa"/>
            <w:shd w:val="clear" w:color="auto" w:fill="auto"/>
          </w:tcPr>
          <w:p w14:paraId="4CC7FB67" w14:textId="4CB468F9" w:rsidR="00B80886" w:rsidRPr="00947364" w:rsidRDefault="00B80886" w:rsidP="00554E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927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Навчання системі управління якістю згідно 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ISO</w:t>
            </w:r>
            <w:r w:rsidRPr="009273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15189:2022 «Медичні лабораторії.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якості та компетентності»</w:t>
            </w:r>
          </w:p>
        </w:tc>
      </w:tr>
      <w:tr w:rsidR="00B80886" w:rsidRPr="006866CA" w14:paraId="19E4971F" w14:textId="77777777" w:rsidTr="00B80886">
        <w:trPr>
          <w:trHeight w:val="293"/>
        </w:trPr>
        <w:tc>
          <w:tcPr>
            <w:tcW w:w="3256" w:type="dxa"/>
            <w:shd w:val="clear" w:color="auto" w:fill="auto"/>
          </w:tcPr>
          <w:p w14:paraId="59A5EC39" w14:textId="77777777" w:rsidR="00B80886" w:rsidRPr="00202385" w:rsidRDefault="00B80886" w:rsidP="00554EF6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предмету закупівлі: </w:t>
            </w:r>
          </w:p>
        </w:tc>
        <w:tc>
          <w:tcPr>
            <w:tcW w:w="11198" w:type="dxa"/>
            <w:shd w:val="clear" w:color="auto" w:fill="auto"/>
          </w:tcPr>
          <w:p w14:paraId="4D643F7E" w14:textId="77777777" w:rsidR="00B80886" w:rsidRPr="00F80AA4" w:rsidRDefault="00B80886" w:rsidP="0055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62C6">
              <w:rPr>
                <w:rFonts w:ascii="Times New Roman" w:hAnsi="Times New Roman"/>
                <w:sz w:val="24"/>
                <w:szCs w:val="24"/>
                <w:lang w:eastAsia="ru-RU"/>
              </w:rPr>
              <w:t>Послуг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B80886" w:rsidRPr="006866CA" w14:paraId="0319B6D9" w14:textId="77777777" w:rsidTr="00B80886">
        <w:trPr>
          <w:trHeight w:val="293"/>
        </w:trPr>
        <w:tc>
          <w:tcPr>
            <w:tcW w:w="3256" w:type="dxa"/>
            <w:shd w:val="clear" w:color="auto" w:fill="auto"/>
          </w:tcPr>
          <w:p w14:paraId="71864BA3" w14:textId="77777777" w:rsidR="00B80886" w:rsidRPr="00202385" w:rsidRDefault="00B80886" w:rsidP="00554EF6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Класифікатор та його відповідний код:</w:t>
            </w:r>
          </w:p>
        </w:tc>
        <w:tc>
          <w:tcPr>
            <w:tcW w:w="11198" w:type="dxa"/>
            <w:shd w:val="clear" w:color="auto" w:fill="auto"/>
          </w:tcPr>
          <w:p w14:paraId="4810A214" w14:textId="77777777" w:rsidR="00B80886" w:rsidRPr="00947364" w:rsidRDefault="00B80886" w:rsidP="00554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7364">
              <w:rPr>
                <w:rFonts w:ascii="Times New Roman" w:hAnsi="Times New Roman"/>
                <w:sz w:val="24"/>
                <w:szCs w:val="24"/>
                <w:lang w:eastAsia="ru-RU"/>
              </w:rPr>
              <w:t>ДК 021:2015: 80570000-0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947364">
              <w:rPr>
                <w:rFonts w:ascii="Times New Roman" w:hAnsi="Times New Roman"/>
                <w:sz w:val="24"/>
                <w:szCs w:val="24"/>
                <w:lang w:eastAsia="ru-RU"/>
              </w:rPr>
              <w:t>Послуги з професійної підготовки у сфері підвищення    кваліфікації</w:t>
            </w:r>
          </w:p>
          <w:p w14:paraId="4126A877" w14:textId="77777777" w:rsidR="00B80886" w:rsidRPr="00F80AA4" w:rsidRDefault="00B80886" w:rsidP="00554EF6">
            <w:pPr>
              <w:spacing w:after="0" w:line="312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886" w:rsidRPr="00B6472A" w14:paraId="459A5E20" w14:textId="77777777" w:rsidTr="00B80886">
        <w:trPr>
          <w:trHeight w:val="293"/>
        </w:trPr>
        <w:tc>
          <w:tcPr>
            <w:tcW w:w="3256" w:type="dxa"/>
            <w:shd w:val="clear" w:color="auto" w:fill="auto"/>
          </w:tcPr>
          <w:p w14:paraId="0C885F9A" w14:textId="77777777" w:rsidR="00B80886" w:rsidRPr="00202385" w:rsidRDefault="00B80886" w:rsidP="00554EF6">
            <w:pPr>
              <w:tabs>
                <w:tab w:val="left" w:pos="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 предмета закупівлі та вимоги</w:t>
            </w:r>
          </w:p>
        </w:tc>
        <w:tc>
          <w:tcPr>
            <w:tcW w:w="11198" w:type="dxa"/>
            <w:shd w:val="clear" w:color="auto" w:fill="auto"/>
          </w:tcPr>
          <w:p w14:paraId="0A2979C8" w14:textId="402BEBB4" w:rsidR="00202C1D" w:rsidRDefault="00202C1D" w:rsidP="00202C1D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03C6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Навчання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буде здійснено для</w:t>
            </w:r>
            <w:r w:rsidRPr="00B03C6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керівництва, фахівців відділу організації лабораторної роботи, фахівців </w:t>
            </w:r>
            <w:proofErr w:type="spellStart"/>
            <w:r w:rsidRPr="00B03C6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референс</w:t>
            </w:r>
            <w:proofErr w:type="spellEnd"/>
            <w:r w:rsidRPr="00B03C66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-лабораторій Центру та лабораторних фахівців трьох пілотних регіонів за стандартом</w:t>
            </w:r>
            <w:r w:rsidRPr="0094736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ISO 15189:2022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14:paraId="7431A1A7" w14:textId="6FFE2AA9" w:rsidR="00202C1D" w:rsidRDefault="00202C1D" w:rsidP="00202C1D">
            <w:pPr>
              <w:spacing w:after="0" w:line="240" w:lineRule="auto"/>
              <w:ind w:firstLine="458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Додатково програма навчання повинна включати розгляд наступних стандартів, які згадуються у стандарті </w:t>
            </w:r>
            <w:r w:rsidRPr="0094736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ISO 15189:2022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14:paraId="2F13861F" w14:textId="77777777" w:rsidR="00202C1D" w:rsidRPr="002B1737" w:rsidRDefault="00202C1D" w:rsidP="00202C1D">
            <w:pPr>
              <w:pStyle w:val="af2"/>
              <w:numPr>
                <w:ilvl w:val="0"/>
                <w:numId w:val="35"/>
              </w:numPr>
              <w:ind w:left="0" w:firstLine="45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B1737">
              <w:rPr>
                <w:bCs/>
                <w:sz w:val="24"/>
                <w:szCs w:val="24"/>
                <w:shd w:val="clear" w:color="auto" w:fill="FFFFFF"/>
              </w:rPr>
              <w:t>ISO 15190:2020</w:t>
            </w:r>
            <w:r w:rsidRPr="002B1737">
              <w:rPr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Медичні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лабораторії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Вимоги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>.»;</w:t>
            </w:r>
          </w:p>
          <w:p w14:paraId="1B0D0FE2" w14:textId="77777777" w:rsidR="00202C1D" w:rsidRPr="002B1737" w:rsidRDefault="00202C1D" w:rsidP="00202C1D">
            <w:pPr>
              <w:pStyle w:val="af2"/>
              <w:numPr>
                <w:ilvl w:val="0"/>
                <w:numId w:val="35"/>
              </w:numPr>
              <w:ind w:left="0" w:firstLine="45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B1737">
              <w:rPr>
                <w:bCs/>
                <w:sz w:val="24"/>
                <w:szCs w:val="24"/>
                <w:shd w:val="clear" w:color="auto" w:fill="FFFFFF"/>
              </w:rPr>
              <w:t>ISO 22367:2020</w:t>
            </w:r>
            <w:r w:rsidRPr="002B1737">
              <w:rPr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Медичні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лабораторії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управління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ризиками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медичних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лабораторіях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>.»;</w:t>
            </w:r>
          </w:p>
          <w:p w14:paraId="5F27028D" w14:textId="77777777" w:rsidR="00202C1D" w:rsidRPr="002B1737" w:rsidRDefault="00202C1D" w:rsidP="00202C1D">
            <w:pPr>
              <w:pStyle w:val="af2"/>
              <w:numPr>
                <w:ilvl w:val="0"/>
                <w:numId w:val="35"/>
              </w:numPr>
              <w:ind w:left="0" w:firstLine="45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B1737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Вимоги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невизначеності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вимірювань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медичній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лабораторії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згідно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з ISO TS 20914:2019.»;</w:t>
            </w:r>
          </w:p>
          <w:p w14:paraId="7699D6ED" w14:textId="77777777" w:rsidR="00202C1D" w:rsidRPr="002B1737" w:rsidRDefault="00202C1D" w:rsidP="00202C1D">
            <w:pPr>
              <w:pStyle w:val="af2"/>
              <w:numPr>
                <w:ilvl w:val="0"/>
                <w:numId w:val="35"/>
              </w:numPr>
              <w:ind w:left="0" w:firstLine="45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B1737">
              <w:rPr>
                <w:bCs/>
                <w:sz w:val="24"/>
                <w:szCs w:val="24"/>
                <w:shd w:val="clear" w:color="auto" w:fill="FFFFFF"/>
              </w:rPr>
              <w:t>ISO 20658:2023</w:t>
            </w:r>
            <w:r w:rsidRPr="002B1737">
              <w:rPr>
                <w:sz w:val="24"/>
                <w:szCs w:val="24"/>
                <w:shd w:val="clear" w:color="auto" w:fill="FFFFFF"/>
              </w:rPr>
              <w:t xml:space="preserve"> 2Вимоги до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збирання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транспортування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зразків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медичних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лабораторних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досліджень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>.»;</w:t>
            </w:r>
          </w:p>
          <w:p w14:paraId="06D73E08" w14:textId="77777777" w:rsidR="00202C1D" w:rsidRPr="002B1737" w:rsidRDefault="00202C1D" w:rsidP="00202C1D">
            <w:pPr>
              <w:pStyle w:val="af2"/>
              <w:numPr>
                <w:ilvl w:val="0"/>
                <w:numId w:val="35"/>
              </w:numPr>
              <w:ind w:left="0" w:firstLine="458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2B1737">
              <w:rPr>
                <w:bCs/>
                <w:sz w:val="24"/>
                <w:szCs w:val="24"/>
                <w:shd w:val="clear" w:color="auto" w:fill="FFFFFF"/>
              </w:rPr>
              <w:t>ISO/IEC 17043:2023</w:t>
            </w:r>
            <w:r w:rsidRPr="002B1737">
              <w:rPr>
                <w:sz w:val="24"/>
                <w:szCs w:val="24"/>
                <w:shd w:val="clear" w:color="auto" w:fill="FFFFFF"/>
              </w:rPr>
              <w:t> «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Оцінка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відповідності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Загальні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вимоги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провайдерів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перевірки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1737">
              <w:rPr>
                <w:sz w:val="24"/>
                <w:szCs w:val="24"/>
                <w:shd w:val="clear" w:color="auto" w:fill="FFFFFF"/>
              </w:rPr>
              <w:t>кваліфікації</w:t>
            </w:r>
            <w:proofErr w:type="spellEnd"/>
            <w:r w:rsidRPr="002B1737">
              <w:rPr>
                <w:sz w:val="24"/>
                <w:szCs w:val="24"/>
                <w:shd w:val="clear" w:color="auto" w:fill="FFFFFF"/>
              </w:rPr>
              <w:t>.»;</w:t>
            </w:r>
            <w:r w:rsidRPr="002B1737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75B1EB3C" w14:textId="0A737D2B" w:rsidR="00B80886" w:rsidRPr="00B6472A" w:rsidRDefault="00202C1D" w:rsidP="00202C1D">
            <w:pPr>
              <w:spacing w:after="0" w:line="312" w:lineRule="atLeast"/>
              <w:ind w:firstLine="458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819B9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Навчальний курс повинен передбачати </w:t>
            </w:r>
            <w:r w:rsidRPr="00B819B9">
              <w:rPr>
                <w:rFonts w:ascii="Times New Roman" w:hAnsi="Times New Roman"/>
                <w:sz w:val="24"/>
                <w:szCs w:val="24"/>
                <w:lang w:eastAsia="ru-RU"/>
              </w:rPr>
              <w:t>надання навчальних та методичних матеріалів, презентацій тощо.</w:t>
            </w:r>
          </w:p>
        </w:tc>
      </w:tr>
      <w:tr w:rsidR="00B80886" w:rsidRPr="006866CA" w14:paraId="7FDE936B" w14:textId="77777777" w:rsidTr="00B80886">
        <w:trPr>
          <w:trHeight w:val="293"/>
        </w:trPr>
        <w:tc>
          <w:tcPr>
            <w:tcW w:w="3256" w:type="dxa"/>
            <w:shd w:val="clear" w:color="auto" w:fill="auto"/>
          </w:tcPr>
          <w:p w14:paraId="4E19B8E2" w14:textId="77777777" w:rsidR="00B80886" w:rsidRPr="00202385" w:rsidRDefault="00B80886" w:rsidP="00554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Кількість учасників навчання</w:t>
            </w:r>
          </w:p>
        </w:tc>
        <w:tc>
          <w:tcPr>
            <w:tcW w:w="11198" w:type="dxa"/>
            <w:shd w:val="clear" w:color="auto" w:fill="auto"/>
          </w:tcPr>
          <w:p w14:paraId="4BD685FA" w14:textId="77777777" w:rsidR="00B80886" w:rsidRPr="00F80AA4" w:rsidRDefault="00B80886" w:rsidP="0055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 осіб</w:t>
            </w:r>
          </w:p>
        </w:tc>
      </w:tr>
      <w:tr w:rsidR="00B80886" w:rsidRPr="006866CA" w14:paraId="0E617091" w14:textId="77777777" w:rsidTr="00B80886">
        <w:trPr>
          <w:trHeight w:val="293"/>
        </w:trPr>
        <w:tc>
          <w:tcPr>
            <w:tcW w:w="3256" w:type="dxa"/>
            <w:shd w:val="clear" w:color="auto" w:fill="auto"/>
          </w:tcPr>
          <w:p w14:paraId="18CA7AA4" w14:textId="77777777" w:rsidR="00B80886" w:rsidRPr="00202385" w:rsidRDefault="00B80886" w:rsidP="00554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Вимоги до обсягу навчальної програми</w:t>
            </w:r>
          </w:p>
        </w:tc>
        <w:tc>
          <w:tcPr>
            <w:tcW w:w="11198" w:type="dxa"/>
            <w:shd w:val="clear" w:color="auto" w:fill="auto"/>
          </w:tcPr>
          <w:p w14:paraId="2ACFA857" w14:textId="77777777" w:rsidR="00B80886" w:rsidRDefault="00B80886" w:rsidP="0055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Обсяг програми повинен складати не менше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академічних годин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(не більше 2-3 години на день)</w:t>
            </w:r>
          </w:p>
          <w:p w14:paraId="7B79E55F" w14:textId="77777777" w:rsidR="00B80886" w:rsidRPr="002D1890" w:rsidRDefault="00B80886" w:rsidP="0055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0886" w:rsidRPr="002D1890" w14:paraId="293AA9C6" w14:textId="77777777" w:rsidTr="00B80886">
        <w:trPr>
          <w:trHeight w:val="293"/>
        </w:trPr>
        <w:tc>
          <w:tcPr>
            <w:tcW w:w="3256" w:type="dxa"/>
            <w:shd w:val="clear" w:color="auto" w:fill="auto"/>
          </w:tcPr>
          <w:p w14:paraId="4B281250" w14:textId="77777777" w:rsidR="00B80886" w:rsidRPr="00202385" w:rsidRDefault="00B80886" w:rsidP="00554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Вимоги до форми навчання</w:t>
            </w:r>
          </w:p>
        </w:tc>
        <w:tc>
          <w:tcPr>
            <w:tcW w:w="11198" w:type="dxa"/>
            <w:shd w:val="clear" w:color="auto" w:fill="auto"/>
          </w:tcPr>
          <w:p w14:paraId="5B536446" w14:textId="1A3803E7" w:rsidR="00B80886" w:rsidRPr="002D1890" w:rsidRDefault="00B80886" w:rsidP="0055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Програма повинна передбачати дистанційну (онлайн) форму навчання</w:t>
            </w:r>
          </w:p>
        </w:tc>
      </w:tr>
      <w:tr w:rsidR="00B80886" w:rsidRPr="00F96D69" w14:paraId="1E0937E5" w14:textId="77777777" w:rsidTr="00B80886">
        <w:trPr>
          <w:trHeight w:val="293"/>
        </w:trPr>
        <w:tc>
          <w:tcPr>
            <w:tcW w:w="3256" w:type="dxa"/>
            <w:shd w:val="clear" w:color="auto" w:fill="auto"/>
          </w:tcPr>
          <w:p w14:paraId="4A8FCA53" w14:textId="77777777" w:rsidR="00B80886" w:rsidRPr="00FA418C" w:rsidRDefault="00B80886" w:rsidP="00554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Вимоги до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документів</w:t>
            </w:r>
            <w:r w:rsidRPr="002023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 завершення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навчання</w:t>
            </w:r>
          </w:p>
        </w:tc>
        <w:tc>
          <w:tcPr>
            <w:tcW w:w="11198" w:type="dxa"/>
            <w:shd w:val="clear" w:color="auto" w:fill="auto"/>
          </w:tcPr>
          <w:p w14:paraId="0951B13D" w14:textId="77777777" w:rsidR="00B80886" w:rsidRPr="001F2B68" w:rsidRDefault="00B80886" w:rsidP="00554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результатами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навчання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Виконавець зобов’язується видати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>, що засвідчу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є успішно 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проведену підготовку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>сертифікат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свідоцтво або інший аналогічний документ).</w:t>
            </w:r>
          </w:p>
        </w:tc>
      </w:tr>
      <w:tr w:rsidR="00B80886" w:rsidRPr="006B00CA" w14:paraId="36EFCEE5" w14:textId="77777777" w:rsidTr="00B80886">
        <w:trPr>
          <w:trHeight w:val="293"/>
        </w:trPr>
        <w:tc>
          <w:tcPr>
            <w:tcW w:w="3256" w:type="dxa"/>
            <w:shd w:val="clear" w:color="auto" w:fill="auto"/>
          </w:tcPr>
          <w:p w14:paraId="62B211A6" w14:textId="77777777" w:rsidR="00B80886" w:rsidRPr="00202385" w:rsidRDefault="00B80886" w:rsidP="00554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Строк надання Послуг</w:t>
            </w:r>
          </w:p>
        </w:tc>
        <w:tc>
          <w:tcPr>
            <w:tcW w:w="11198" w:type="dxa"/>
            <w:shd w:val="clear" w:color="auto" w:fill="auto"/>
          </w:tcPr>
          <w:p w14:paraId="645BF5C1" w14:textId="77777777" w:rsidR="00B80886" w:rsidRPr="00F80AA4" w:rsidRDefault="00B80886" w:rsidP="0055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Виконавець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повинен 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>нада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послуг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28 червня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80AA4">
              <w:rPr>
                <w:rFonts w:ascii="Times New Roman" w:hAnsi="Times New Roman"/>
                <w:sz w:val="24"/>
                <w:szCs w:val="24"/>
                <w:lang w:eastAsia="ru-RU"/>
              </w:rPr>
              <w:t> року</w:t>
            </w:r>
          </w:p>
        </w:tc>
      </w:tr>
      <w:tr w:rsidR="00B80886" w:rsidRPr="006B00CA" w14:paraId="6A3B1503" w14:textId="77777777" w:rsidTr="00B80886">
        <w:trPr>
          <w:trHeight w:val="1696"/>
        </w:trPr>
        <w:tc>
          <w:tcPr>
            <w:tcW w:w="3256" w:type="dxa"/>
            <w:shd w:val="clear" w:color="auto" w:fill="auto"/>
          </w:tcPr>
          <w:p w14:paraId="28E1029B" w14:textId="77777777" w:rsidR="00B80886" w:rsidRPr="00202385" w:rsidRDefault="00B80886" w:rsidP="00554E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23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Умови надання Послуг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5B2DBEDC" w14:textId="77777777" w:rsidR="00B80886" w:rsidRPr="006B00CA" w:rsidRDefault="00B80886" w:rsidP="00554EF6">
            <w:pPr>
              <w:pStyle w:val="14"/>
              <w:jc w:val="both"/>
              <w:rPr>
                <w:rFonts w:eastAsia="Calibri"/>
                <w:szCs w:val="24"/>
              </w:rPr>
            </w:pPr>
            <w:proofErr w:type="spellStart"/>
            <w:r w:rsidRPr="006B00CA">
              <w:rPr>
                <w:rFonts w:eastAsia="Calibri"/>
                <w:szCs w:val="24"/>
              </w:rPr>
              <w:t>Послуги</w:t>
            </w:r>
            <w:proofErr w:type="spellEnd"/>
            <w:r w:rsidRPr="006B00CA">
              <w:rPr>
                <w:rFonts w:eastAsia="Calibri"/>
                <w:szCs w:val="24"/>
              </w:rPr>
              <w:t xml:space="preserve"> </w:t>
            </w:r>
            <w:proofErr w:type="spellStart"/>
            <w:r w:rsidRPr="006B00CA">
              <w:rPr>
                <w:rFonts w:eastAsia="Calibri"/>
                <w:szCs w:val="24"/>
              </w:rPr>
              <w:t>повинні</w:t>
            </w:r>
            <w:proofErr w:type="spellEnd"/>
            <w:r w:rsidRPr="006B00CA">
              <w:rPr>
                <w:rFonts w:eastAsia="Calibri"/>
                <w:szCs w:val="24"/>
              </w:rPr>
              <w:t xml:space="preserve"> </w:t>
            </w:r>
            <w:proofErr w:type="spellStart"/>
            <w:r w:rsidRPr="006B00CA">
              <w:rPr>
                <w:rFonts w:eastAsia="Calibri"/>
                <w:szCs w:val="24"/>
              </w:rPr>
              <w:t>відповідати</w:t>
            </w:r>
            <w:proofErr w:type="spellEnd"/>
            <w:r w:rsidRPr="006B00CA">
              <w:rPr>
                <w:rFonts w:eastAsia="Calibri"/>
                <w:szCs w:val="24"/>
              </w:rPr>
              <w:t xml:space="preserve"> видам </w:t>
            </w:r>
            <w:proofErr w:type="spellStart"/>
            <w:r w:rsidRPr="006B00CA">
              <w:rPr>
                <w:rFonts w:eastAsia="Calibri"/>
                <w:szCs w:val="24"/>
              </w:rPr>
              <w:t>діяльності</w:t>
            </w:r>
            <w:proofErr w:type="spellEnd"/>
            <w:r w:rsidRPr="006B00CA">
              <w:rPr>
                <w:rFonts w:eastAsia="Calibri"/>
                <w:szCs w:val="24"/>
              </w:rPr>
              <w:t xml:space="preserve"> </w:t>
            </w:r>
            <w:proofErr w:type="spellStart"/>
            <w:r w:rsidRPr="006B00CA">
              <w:rPr>
                <w:rFonts w:eastAsia="Calibri"/>
                <w:szCs w:val="24"/>
              </w:rPr>
              <w:t>Виконавця</w:t>
            </w:r>
            <w:proofErr w:type="spellEnd"/>
            <w:r w:rsidRPr="006B00CA">
              <w:rPr>
                <w:rFonts w:eastAsia="Calibri"/>
                <w:szCs w:val="24"/>
              </w:rPr>
              <w:t xml:space="preserve">, </w:t>
            </w:r>
            <w:proofErr w:type="spellStart"/>
            <w:r w:rsidRPr="006B00CA">
              <w:rPr>
                <w:rFonts w:eastAsia="Calibri"/>
                <w:szCs w:val="24"/>
              </w:rPr>
              <w:t>передбаченим</w:t>
            </w:r>
            <w:proofErr w:type="spellEnd"/>
            <w:r w:rsidRPr="006B00CA">
              <w:rPr>
                <w:rFonts w:eastAsia="Calibri"/>
                <w:szCs w:val="24"/>
              </w:rPr>
              <w:t xml:space="preserve"> </w:t>
            </w:r>
            <w:proofErr w:type="spellStart"/>
            <w:r w:rsidRPr="006B00CA">
              <w:rPr>
                <w:rFonts w:eastAsia="Calibri"/>
                <w:szCs w:val="24"/>
              </w:rPr>
              <w:t>його</w:t>
            </w:r>
            <w:proofErr w:type="spellEnd"/>
            <w:r w:rsidRPr="006B00CA">
              <w:rPr>
                <w:rFonts w:eastAsia="Calibri"/>
                <w:szCs w:val="24"/>
              </w:rPr>
              <w:t xml:space="preserve"> статутом та документами </w:t>
            </w:r>
            <w:proofErr w:type="spellStart"/>
            <w:r w:rsidRPr="006B00CA">
              <w:rPr>
                <w:rFonts w:eastAsia="Calibri"/>
                <w:szCs w:val="24"/>
              </w:rPr>
              <w:t>дозвільного</w:t>
            </w:r>
            <w:proofErr w:type="spellEnd"/>
            <w:r w:rsidRPr="006B00CA">
              <w:rPr>
                <w:rFonts w:eastAsia="Calibri"/>
                <w:szCs w:val="24"/>
              </w:rPr>
              <w:t xml:space="preserve"> характеру.</w:t>
            </w:r>
          </w:p>
          <w:p w14:paraId="04FFF3DD" w14:textId="77777777" w:rsidR="00B80886" w:rsidRPr="00F80AA4" w:rsidRDefault="00B80886" w:rsidP="00554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0CA">
              <w:rPr>
                <w:rFonts w:ascii="Times New Roman" w:hAnsi="Times New Roman"/>
                <w:sz w:val="24"/>
                <w:szCs w:val="24"/>
                <w:lang w:eastAsia="ru-RU"/>
              </w:rPr>
              <w:t>На момент надання Послуг, Виконавець повинен мати всі необхідні дозволи, свідоцтва та інші документи, наявність яких є обов’язковою згідно законодавства України.</w:t>
            </w:r>
          </w:p>
        </w:tc>
      </w:tr>
      <w:bookmarkEnd w:id="2"/>
    </w:tbl>
    <w:p w14:paraId="4108CE23" w14:textId="77777777" w:rsidR="00A00002" w:rsidRPr="007F40E2" w:rsidRDefault="00A00002" w:rsidP="00A00002">
      <w:pPr>
        <w:tabs>
          <w:tab w:val="center" w:pos="46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5C3344" w14:textId="77777777" w:rsidR="00A00002" w:rsidRPr="007F40E2" w:rsidRDefault="00A00002" w:rsidP="00A00002">
      <w:pPr>
        <w:spacing w:after="0"/>
        <w:rPr>
          <w:rFonts w:ascii="Times New Roman" w:hAnsi="Times New Roman" w:cs="Times New Roman"/>
          <w:sz w:val="24"/>
          <w:szCs w:val="24"/>
        </w:rPr>
        <w:sectPr w:rsidR="00A00002" w:rsidRPr="007F40E2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</w:p>
    <w:p w14:paraId="0B75B1EF" w14:textId="77777777" w:rsidR="004D0398" w:rsidRPr="00570486" w:rsidRDefault="004D0398" w:rsidP="00B80886">
      <w:pPr>
        <w:widowControl w:val="0"/>
        <w:tabs>
          <w:tab w:val="center" w:pos="4680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sectPr w:rsidR="004D0398" w:rsidRPr="005704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29892" w14:textId="77777777" w:rsidR="005562BC" w:rsidRDefault="005562BC" w:rsidP="0024553B">
      <w:pPr>
        <w:spacing w:after="0" w:line="240" w:lineRule="auto"/>
      </w:pPr>
      <w:r>
        <w:separator/>
      </w:r>
    </w:p>
  </w:endnote>
  <w:endnote w:type="continuationSeparator" w:id="0">
    <w:p w14:paraId="2ABF739E" w14:textId="77777777" w:rsidR="005562BC" w:rsidRDefault="005562B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20FB0" w14:textId="77777777" w:rsidR="005562BC" w:rsidRDefault="005562BC" w:rsidP="0024553B">
      <w:pPr>
        <w:spacing w:after="0" w:line="240" w:lineRule="auto"/>
      </w:pPr>
      <w:r>
        <w:separator/>
      </w:r>
    </w:p>
  </w:footnote>
  <w:footnote w:type="continuationSeparator" w:id="0">
    <w:p w14:paraId="15F7D437" w14:textId="77777777" w:rsidR="005562BC" w:rsidRDefault="005562B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BD5"/>
    <w:multiLevelType w:val="hybridMultilevel"/>
    <w:tmpl w:val="EFA074DC"/>
    <w:lvl w:ilvl="0" w:tplc="6000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1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5" w15:restartNumberingAfterBreak="0">
    <w:nsid w:val="3A691B8C"/>
    <w:multiLevelType w:val="hybridMultilevel"/>
    <w:tmpl w:val="D7C43D54"/>
    <w:lvl w:ilvl="0" w:tplc="2C2E38E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1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5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5D413A"/>
    <w:multiLevelType w:val="hybridMultilevel"/>
    <w:tmpl w:val="0BE494EE"/>
    <w:lvl w:ilvl="0" w:tplc="0F6E462C">
      <w:start w:val="1"/>
      <w:numFmt w:val="decimal"/>
      <w:lvlText w:val="%1."/>
      <w:lvlJc w:val="left"/>
      <w:pPr>
        <w:ind w:left="70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1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3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23"/>
  </w:num>
  <w:num w:numId="3">
    <w:abstractNumId w:val="5"/>
  </w:num>
  <w:num w:numId="4">
    <w:abstractNumId w:val="11"/>
  </w:num>
  <w:num w:numId="5">
    <w:abstractNumId w:val="31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  <w:num w:numId="15">
    <w:abstractNumId w:val="18"/>
  </w:num>
  <w:num w:numId="16">
    <w:abstractNumId w:val="22"/>
  </w:num>
  <w:num w:numId="17">
    <w:abstractNumId w:val="25"/>
  </w:num>
  <w:num w:numId="18">
    <w:abstractNumId w:val="19"/>
  </w:num>
  <w:num w:numId="19">
    <w:abstractNumId w:val="9"/>
  </w:num>
  <w:num w:numId="20">
    <w:abstractNumId w:val="26"/>
  </w:num>
  <w:num w:numId="21">
    <w:abstractNumId w:val="13"/>
  </w:num>
  <w:num w:numId="22">
    <w:abstractNumId w:val="7"/>
  </w:num>
  <w:num w:numId="23">
    <w:abstractNumId w:val="16"/>
  </w:num>
  <w:num w:numId="24">
    <w:abstractNumId w:val="32"/>
  </w:num>
  <w:num w:numId="25">
    <w:abstractNumId w:val="20"/>
  </w:num>
  <w:num w:numId="26">
    <w:abstractNumId w:val="12"/>
  </w:num>
  <w:num w:numId="27">
    <w:abstractNumId w:val="21"/>
  </w:num>
  <w:num w:numId="28">
    <w:abstractNumId w:val="4"/>
  </w:num>
  <w:num w:numId="29">
    <w:abstractNumId w:val="33"/>
  </w:num>
  <w:num w:numId="30">
    <w:abstractNumId w:val="29"/>
  </w:num>
  <w:num w:numId="31">
    <w:abstractNumId w:val="17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4602D"/>
    <w:rsid w:val="00057D05"/>
    <w:rsid w:val="00082A2A"/>
    <w:rsid w:val="00082AF2"/>
    <w:rsid w:val="0009110F"/>
    <w:rsid w:val="000B6D9F"/>
    <w:rsid w:val="000C4E15"/>
    <w:rsid w:val="000C70A6"/>
    <w:rsid w:val="001055A1"/>
    <w:rsid w:val="00140926"/>
    <w:rsid w:val="001418A1"/>
    <w:rsid w:val="001C1517"/>
    <w:rsid w:val="001C1668"/>
    <w:rsid w:val="001D3C63"/>
    <w:rsid w:val="00202C1D"/>
    <w:rsid w:val="00226C86"/>
    <w:rsid w:val="0024553B"/>
    <w:rsid w:val="00277EC5"/>
    <w:rsid w:val="002855F6"/>
    <w:rsid w:val="0029734D"/>
    <w:rsid w:val="002B1737"/>
    <w:rsid w:val="002B561E"/>
    <w:rsid w:val="002B6E58"/>
    <w:rsid w:val="002B72AC"/>
    <w:rsid w:val="002C519E"/>
    <w:rsid w:val="002C7992"/>
    <w:rsid w:val="002D034A"/>
    <w:rsid w:val="002D31FB"/>
    <w:rsid w:val="002E2676"/>
    <w:rsid w:val="002F70F7"/>
    <w:rsid w:val="0034720C"/>
    <w:rsid w:val="003654AE"/>
    <w:rsid w:val="00366514"/>
    <w:rsid w:val="00392139"/>
    <w:rsid w:val="00393926"/>
    <w:rsid w:val="003E7975"/>
    <w:rsid w:val="00400EF2"/>
    <w:rsid w:val="00425662"/>
    <w:rsid w:val="004334DA"/>
    <w:rsid w:val="004A5377"/>
    <w:rsid w:val="004D0398"/>
    <w:rsid w:val="004D5770"/>
    <w:rsid w:val="00511152"/>
    <w:rsid w:val="0054119B"/>
    <w:rsid w:val="005562BC"/>
    <w:rsid w:val="00570486"/>
    <w:rsid w:val="00590320"/>
    <w:rsid w:val="005E3104"/>
    <w:rsid w:val="005F6CE1"/>
    <w:rsid w:val="00607317"/>
    <w:rsid w:val="006238B9"/>
    <w:rsid w:val="00633CA9"/>
    <w:rsid w:val="006702E5"/>
    <w:rsid w:val="006C75C1"/>
    <w:rsid w:val="006D3EBF"/>
    <w:rsid w:val="006F1B4C"/>
    <w:rsid w:val="007622E0"/>
    <w:rsid w:val="007975BE"/>
    <w:rsid w:val="007B5C52"/>
    <w:rsid w:val="007E6230"/>
    <w:rsid w:val="0082548F"/>
    <w:rsid w:val="00837155"/>
    <w:rsid w:val="0084332E"/>
    <w:rsid w:val="00870D0C"/>
    <w:rsid w:val="00881B32"/>
    <w:rsid w:val="00882F7D"/>
    <w:rsid w:val="008E1A5F"/>
    <w:rsid w:val="008F229E"/>
    <w:rsid w:val="00911E65"/>
    <w:rsid w:val="009443DC"/>
    <w:rsid w:val="0095518A"/>
    <w:rsid w:val="0098548C"/>
    <w:rsid w:val="00A00002"/>
    <w:rsid w:val="00A02870"/>
    <w:rsid w:val="00A13890"/>
    <w:rsid w:val="00A35F17"/>
    <w:rsid w:val="00A52318"/>
    <w:rsid w:val="00A71EB1"/>
    <w:rsid w:val="00A775EB"/>
    <w:rsid w:val="00AC1C0E"/>
    <w:rsid w:val="00AD1D59"/>
    <w:rsid w:val="00B137D2"/>
    <w:rsid w:val="00B80886"/>
    <w:rsid w:val="00BA779E"/>
    <w:rsid w:val="00BE1FF8"/>
    <w:rsid w:val="00C01D71"/>
    <w:rsid w:val="00C06B6A"/>
    <w:rsid w:val="00C15F77"/>
    <w:rsid w:val="00C23E13"/>
    <w:rsid w:val="00C87944"/>
    <w:rsid w:val="00CA68EE"/>
    <w:rsid w:val="00CF690E"/>
    <w:rsid w:val="00D169A9"/>
    <w:rsid w:val="00D43D84"/>
    <w:rsid w:val="00D626B8"/>
    <w:rsid w:val="00D66E43"/>
    <w:rsid w:val="00D86D1C"/>
    <w:rsid w:val="00D9471A"/>
    <w:rsid w:val="00DA3EC6"/>
    <w:rsid w:val="00DF0278"/>
    <w:rsid w:val="00E44481"/>
    <w:rsid w:val="00E5123A"/>
    <w:rsid w:val="00E92067"/>
    <w:rsid w:val="00ED22F8"/>
    <w:rsid w:val="00FA72FC"/>
    <w:rsid w:val="00FC6FE9"/>
    <w:rsid w:val="00FD5AE4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aliases w:val="EBRD List,Список уровня 2,название табл/рис,заголовок 1.1,Elenco Normale,References,Number Bullets,List Paragraph (numbered (a)),Chapter10,----,1 Буллет,List Paragraph,List Paragraph_Num123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aliases w:val="EBRD List Знак,Список уровня 2 Знак,название табл/рис Знак,заголовок 1.1 Знак,Elenco Normale Знак,References Знак,Number Bullets Знак,List Paragraph (numbered (a)) Знак,Chapter10 Знак,---- Знак,1 Буллет Знак,List Paragraph Знак"/>
    <w:link w:val="af2"/>
    <w:uiPriority w:val="34"/>
    <w:qFormat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uiPriority w:val="99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3778</Words>
  <Characters>2154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39</cp:revision>
  <dcterms:created xsi:type="dcterms:W3CDTF">2023-09-14T08:37:00Z</dcterms:created>
  <dcterms:modified xsi:type="dcterms:W3CDTF">2024-04-26T09:33:00Z</dcterms:modified>
</cp:coreProperties>
</file>