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695D06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695D06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06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695D06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695D06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695D06">
        <w:rPr>
          <w:rFonts w:ascii="Times New Roman" w:hAnsi="Times New Roman" w:cs="Times New Roman"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9DDBE32" w:rsidR="002B72AC" w:rsidRPr="00695D06" w:rsidRDefault="00840BE1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ДК 021:2015:90520000-8-Послуги у сфері поводження з радіоактивними, токсичними, медичними та небезпечними відходами (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Послуги з управління небезпечними відходами: комплекс операцій зі збирання та оброблення цих відходів,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які утворюються в результаті господарської діяльності Замовника,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 саме: збирання, зберігання, перевезення та видалення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)</w:t>
      </w:r>
      <w:r w:rsidR="00BA2D70"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2AC" w:rsidRPr="00695D0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695D0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695D0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695D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695D0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695D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695D0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489A22" w14:textId="5CABA221" w:rsidR="003E7975" w:rsidRPr="00695D06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840BE1" w:rsidRPr="00840BE1">
        <w:rPr>
          <w:rFonts w:ascii="Times New Roman" w:hAnsi="Times New Roman" w:cs="Times New Roman"/>
          <w:sz w:val="24"/>
          <w:szCs w:val="24"/>
        </w:rPr>
        <w:t>ДК 021:2015:90520000-8-Послуги у сфері поводження з радіоактивними, токсичними, медичними та небезпечними відходами (Послуги з управління небезпечними відходами: комплекс операцій зі збирання та оброблення цих відходів, які утворюються в результаті господарської діяльності Замовника, а саме: збирання, зберігання, перевезення та видалення)</w:t>
      </w:r>
    </w:p>
    <w:p w14:paraId="039A125F" w14:textId="77777777" w:rsidR="006D3EBF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695D06">
        <w:rPr>
          <w:rFonts w:ascii="Times New Roman" w:hAnsi="Times New Roman" w:cs="Times New Roman"/>
          <w:sz w:val="24"/>
          <w:szCs w:val="24"/>
        </w:rPr>
        <w:t>Відкриті торги</w:t>
      </w:r>
      <w:r w:rsidR="007B5C52" w:rsidRPr="00695D06">
        <w:rPr>
          <w:rFonts w:ascii="Times New Roman" w:hAnsi="Times New Roman" w:cs="Times New Roman"/>
          <w:sz w:val="24"/>
          <w:szCs w:val="24"/>
        </w:rPr>
        <w:t xml:space="preserve"> особливостям</w:t>
      </w:r>
      <w:r w:rsidR="0098548C" w:rsidRPr="00695D06">
        <w:rPr>
          <w:rFonts w:ascii="Times New Roman" w:hAnsi="Times New Roman" w:cs="Times New Roman"/>
          <w:sz w:val="24"/>
          <w:szCs w:val="24"/>
        </w:rPr>
        <w:t>и</w:t>
      </w:r>
      <w:r w:rsidR="006D3EBF" w:rsidRPr="00695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087BE" w14:textId="308CCEEF" w:rsidR="000146B7" w:rsidRDefault="000146B7" w:rsidP="004D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B7">
        <w:rPr>
          <w:rFonts w:ascii="Times New Roman" w:hAnsi="Times New Roman" w:cs="Times New Roman"/>
          <w:sz w:val="24"/>
          <w:szCs w:val="24"/>
        </w:rPr>
        <w:t>UA-2024-06-10-001137-a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95582EF" w14:textId="77777777" w:rsidR="000146B7" w:rsidRDefault="000146B7" w:rsidP="004D0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336F8" w14:textId="4EF43301" w:rsidR="002B72AC" w:rsidRPr="00695D06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695D06">
        <w:rPr>
          <w:rFonts w:ascii="Times New Roman" w:hAnsi="Times New Roman" w:cs="Times New Roman"/>
          <w:sz w:val="24"/>
          <w:szCs w:val="24"/>
        </w:rPr>
        <w:br/>
      </w:r>
      <w:r w:rsidR="00840BE1">
        <w:rPr>
          <w:rFonts w:ascii="Times New Roman" w:eastAsia="Calibri" w:hAnsi="Times New Roman" w:cs="Times New Roman"/>
          <w:sz w:val="24"/>
          <w:szCs w:val="24"/>
        </w:rPr>
        <w:t>70</w:t>
      </w:r>
      <w:r w:rsidR="005A7D5D" w:rsidRPr="00695D06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="005A7D5D" w:rsidRPr="00695D06">
        <w:rPr>
          <w:rFonts w:ascii="Times New Roman" w:hAnsi="Times New Roman" w:cs="Times New Roman"/>
          <w:sz w:val="24"/>
          <w:szCs w:val="24"/>
        </w:rPr>
        <w:t>грн з ПДВ</w:t>
      </w:r>
      <w:r w:rsidRPr="00695D06">
        <w:rPr>
          <w:rFonts w:ascii="Times New Roman" w:hAnsi="Times New Roman" w:cs="Times New Roman"/>
          <w:sz w:val="24"/>
          <w:szCs w:val="24"/>
        </w:rPr>
        <w:t xml:space="preserve">. </w:t>
      </w:r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695D06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695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695D06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695D06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1DE5A9A" w:rsidR="002B72AC" w:rsidRPr="00695D06" w:rsidRDefault="002B72AC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95D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B81F06">
        <w:rPr>
          <w:rFonts w:ascii="Times New Roman" w:eastAsia="Calibri" w:hAnsi="Times New Roman" w:cs="Times New Roman"/>
          <w:sz w:val="24"/>
          <w:szCs w:val="24"/>
        </w:rPr>
        <w:t>70</w:t>
      </w:r>
      <w:r w:rsidR="005A7D5D" w:rsidRPr="00695D06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="005A7D5D" w:rsidRPr="00695D06">
        <w:rPr>
          <w:rFonts w:ascii="Times New Roman" w:hAnsi="Times New Roman" w:cs="Times New Roman"/>
          <w:sz w:val="24"/>
          <w:szCs w:val="24"/>
        </w:rPr>
        <w:t xml:space="preserve">грн з </w:t>
      </w:r>
      <w:r w:rsidR="004D0398" w:rsidRPr="00695D06">
        <w:rPr>
          <w:rFonts w:ascii="Times New Roman" w:hAnsi="Times New Roman" w:cs="Times New Roman"/>
          <w:sz w:val="24"/>
          <w:szCs w:val="24"/>
        </w:rPr>
        <w:t>ПДВ</w:t>
      </w:r>
      <w:r w:rsidR="002C7992" w:rsidRPr="00695D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369371FE" w14:textId="4A101A25" w:rsidR="007E6230" w:rsidRPr="00695D06" w:rsidRDefault="00A71EB1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bookmarkStart w:id="1" w:name="_Hlk161758168"/>
      <w:r w:rsidR="00862740" w:rsidRPr="00695D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кошти Загального фонду Державного бюджету України.</w:t>
      </w:r>
      <w:bookmarkEnd w:id="1"/>
    </w:p>
    <w:p w14:paraId="7EEF8683" w14:textId="7DC62C03" w:rsidR="00226C86" w:rsidRPr="00695D06" w:rsidRDefault="002B72AC" w:rsidP="004D0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FC97AE5" w:rsidR="00590320" w:rsidRPr="00695D06" w:rsidRDefault="00590320" w:rsidP="00245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 xml:space="preserve">Кількість – 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>згідно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 xml:space="preserve"> технічни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>ми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 xml:space="preserve"> вимог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>ами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>.</w:t>
      </w:r>
    </w:p>
    <w:p w14:paraId="14A58F76" w14:textId="59438049" w:rsidR="002B72AC" w:rsidRPr="00695D06" w:rsidRDefault="00BA779E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sz w:val="24"/>
          <w:szCs w:val="24"/>
        </w:rPr>
        <w:t xml:space="preserve">Період надання послуги: до </w:t>
      </w:r>
      <w:r w:rsidR="00B81F06">
        <w:rPr>
          <w:rFonts w:ascii="Times New Roman" w:hAnsi="Times New Roman" w:cs="Times New Roman"/>
          <w:sz w:val="24"/>
          <w:szCs w:val="24"/>
        </w:rPr>
        <w:t>25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5A7D5D" w:rsidRPr="00695D06">
        <w:rPr>
          <w:rFonts w:ascii="Times New Roman" w:hAnsi="Times New Roman" w:cs="Times New Roman"/>
          <w:sz w:val="24"/>
          <w:szCs w:val="24"/>
        </w:rPr>
        <w:t>груд</w:t>
      </w:r>
      <w:r w:rsidRPr="00695D06">
        <w:rPr>
          <w:rFonts w:ascii="Times New Roman" w:hAnsi="Times New Roman" w:cs="Times New Roman"/>
          <w:sz w:val="24"/>
          <w:szCs w:val="24"/>
        </w:rPr>
        <w:t>ня 2024 року.</w:t>
      </w:r>
    </w:p>
    <w:p w14:paraId="2E7D6EF9" w14:textId="303A9C68" w:rsidR="002B72AC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695D06">
        <w:rPr>
          <w:rFonts w:ascii="Times New Roman" w:hAnsi="Times New Roman" w:cs="Times New Roman"/>
          <w:sz w:val="24"/>
          <w:szCs w:val="24"/>
        </w:rPr>
        <w:t>товару</w:t>
      </w:r>
      <w:r w:rsidRPr="00695D06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FF2C21" w:rsidRPr="00695D06">
        <w:rPr>
          <w:rFonts w:ascii="Times New Roman" w:hAnsi="Times New Roman" w:cs="Times New Roman"/>
          <w:sz w:val="24"/>
          <w:szCs w:val="24"/>
        </w:rPr>
        <w:t>установи</w:t>
      </w:r>
      <w:r w:rsidRPr="00695D06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695D06">
        <w:rPr>
          <w:rFonts w:ascii="Times New Roman" w:hAnsi="Times New Roman" w:cs="Times New Roman"/>
          <w:sz w:val="24"/>
          <w:szCs w:val="24"/>
        </w:rPr>
        <w:t xml:space="preserve">Технічні та якісні </w:t>
      </w:r>
      <w:r w:rsidR="00226C86" w:rsidRPr="00695D06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предмета закупівлі визначено з урахуванням діючих </w:t>
      </w:r>
      <w:r w:rsidR="005F6CE1" w:rsidRPr="00695D06">
        <w:rPr>
          <w:rFonts w:ascii="Times New Roman" w:hAnsi="Times New Roman" w:cs="Times New Roman"/>
          <w:sz w:val="24"/>
          <w:szCs w:val="24"/>
        </w:rPr>
        <w:t>нормативно-правовим актам</w:t>
      </w:r>
      <w:r w:rsidR="00226C86" w:rsidRPr="00695D06">
        <w:rPr>
          <w:rFonts w:ascii="Times New Roman" w:hAnsi="Times New Roman" w:cs="Times New Roman"/>
          <w:sz w:val="24"/>
          <w:szCs w:val="24"/>
        </w:rPr>
        <w:t>, яким повинен відповідати відповідний вид товару.</w:t>
      </w:r>
    </w:p>
    <w:p w14:paraId="2F781159" w14:textId="5B91B6D3" w:rsidR="00511152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1152" w:rsidRPr="00695D0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695D06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3AF979F4" w14:textId="77777777" w:rsidR="00A00002" w:rsidRPr="00695D06" w:rsidRDefault="00A00002" w:rsidP="00A00002">
      <w:pPr>
        <w:rPr>
          <w:rFonts w:ascii="Times New Roman" w:hAnsi="Times New Roman" w:cs="Times New Roman"/>
          <w:sz w:val="24"/>
          <w:szCs w:val="24"/>
        </w:rPr>
      </w:pPr>
    </w:p>
    <w:p w14:paraId="0FC85811" w14:textId="77777777" w:rsidR="00A00002" w:rsidRPr="00695D06" w:rsidRDefault="00A00002" w:rsidP="00A000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9B8571" w14:textId="77777777" w:rsidR="003859B8" w:rsidRPr="00695D06" w:rsidRDefault="003859B8" w:rsidP="003859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5743264"/>
      <w:r w:rsidRPr="00695D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7E5B0A73" w14:textId="77777777" w:rsidR="003859B8" w:rsidRPr="00695D06" w:rsidRDefault="003859B8" w:rsidP="003859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5D06"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</w:p>
    <w:p w14:paraId="05ACEC25" w14:textId="078DEDAB" w:rsidR="003859B8" w:rsidRDefault="00B81F06" w:rsidP="003859B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bookmarkStart w:id="3" w:name="_Hlk166850346"/>
      <w:bookmarkEnd w:id="2"/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ДК 021:2015:90520000-8-Послуги у сфері поводження з радіоактивними, токсичними, медичними та небезпечними відходами (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Послуги з управління небезпечними відходами: комплекс операцій зі збирання та оброблення цих відходів,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які утворюються в результаті господарської діяльності Замовника,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 саме: збирання, зберігання, перевезення та видалення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)</w:t>
      </w:r>
    </w:p>
    <w:tbl>
      <w:tblPr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63"/>
        <w:gridCol w:w="10881"/>
      </w:tblGrid>
      <w:tr w:rsidR="00403E58" w14:paraId="49487171" w14:textId="77777777" w:rsidTr="00403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4776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58E1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Розділ</w:t>
            </w:r>
            <w:proofErr w:type="spellEnd"/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6F80" w14:textId="77777777" w:rsidR="00403E58" w:rsidRDefault="00403E58">
            <w:pPr>
              <w:tabs>
                <w:tab w:val="left" w:pos="482"/>
              </w:tabs>
              <w:spacing w:line="240" w:lineRule="auto"/>
              <w:ind w:left="33" w:firstLine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якісні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 xml:space="preserve"> характеристики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послуг</w:t>
            </w:r>
            <w:proofErr w:type="spellEnd"/>
          </w:p>
        </w:tc>
      </w:tr>
      <w:tr w:rsidR="00403E58" w14:paraId="5C340477" w14:textId="77777777" w:rsidTr="00403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E446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4AC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  <w:p w14:paraId="52253C0C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6FB9" w14:textId="77777777" w:rsidR="00403E58" w:rsidRDefault="00403E58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ДК 021:2015:90520000-8-Послуги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радіоактивними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токсичними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небезпечними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небезпечними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збирання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оброблення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утворюються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господарської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Замовника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збирання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зберігання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перевезення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403E58" w14:paraId="1158B0D1" w14:textId="77777777" w:rsidTr="00403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3799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4" w:name="_lnxbz9"/>
            <w:bookmarkStart w:id="5" w:name="_35nkun2"/>
            <w:bookmarkEnd w:id="4"/>
            <w:bookmarkEnd w:id="5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D7C6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230E" w14:textId="77777777" w:rsidR="00930B17" w:rsidRDefault="00930B17" w:rsidP="00930B17">
            <w:pPr>
              <w:tabs>
                <w:tab w:val="center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себе:</w:t>
            </w:r>
          </w:p>
          <w:p w14:paraId="0A56B937" w14:textId="77777777" w:rsidR="00930B17" w:rsidRDefault="00930B17" w:rsidP="00930B17">
            <w:pPr>
              <w:pStyle w:val="af2"/>
              <w:numPr>
                <w:ilvl w:val="0"/>
                <w:numId w:val="40"/>
              </w:numPr>
              <w:tabs>
                <w:tab w:val="center" w:pos="58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Вантажно-розвантажувальні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C0C2063" w14:textId="77777777" w:rsidR="00930B17" w:rsidRDefault="00930B17" w:rsidP="00930B17">
            <w:pPr>
              <w:pStyle w:val="af2"/>
              <w:numPr>
                <w:ilvl w:val="0"/>
                <w:numId w:val="40"/>
              </w:numPr>
              <w:tabs>
                <w:tab w:val="center" w:pos="58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збирання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Відходів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84352A7" w14:textId="77777777" w:rsidR="00930B17" w:rsidRDefault="00930B17" w:rsidP="00930B17">
            <w:pPr>
              <w:pStyle w:val="af2"/>
              <w:numPr>
                <w:ilvl w:val="0"/>
                <w:numId w:val="40"/>
              </w:numPr>
              <w:tabs>
                <w:tab w:val="center" w:pos="58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перевезення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Відходів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09C69E99" w14:textId="77777777" w:rsidR="00930B17" w:rsidRDefault="00930B17" w:rsidP="00930B17">
            <w:pPr>
              <w:pStyle w:val="af2"/>
              <w:numPr>
                <w:ilvl w:val="0"/>
                <w:numId w:val="40"/>
              </w:numPr>
              <w:tabs>
                <w:tab w:val="center" w:pos="58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зберігання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Відходів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23BF0377" w14:textId="77777777" w:rsidR="00930B17" w:rsidRDefault="00930B17" w:rsidP="00930B17">
            <w:pPr>
              <w:widowControl w:val="0"/>
              <w:numPr>
                <w:ilvl w:val="0"/>
                <w:numId w:val="40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620BF53" w14:textId="71F4A253" w:rsidR="00403E58" w:rsidRPr="00F32642" w:rsidRDefault="00930B17" w:rsidP="00930B17">
            <w:pPr>
              <w:pStyle w:val="af2"/>
              <w:numPr>
                <w:ilvl w:val="0"/>
                <w:numId w:val="40"/>
              </w:numPr>
              <w:tabs>
                <w:tab w:val="center" w:pos="58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транспортувальної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3E58" w14:paraId="2568FED2" w14:textId="77777777" w:rsidTr="00403E58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F75A" w14:textId="77777777" w:rsidR="00403E58" w:rsidRDefault="00403E58">
            <w:pPr>
              <w:tabs>
                <w:tab w:val="left" w:pos="175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FEBA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highlight w:val="white"/>
                <w:lang w:val="ru-RU"/>
              </w:rPr>
              <w:t xml:space="preserve">Характеристика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highlight w:val="white"/>
                <w:lang w:val="ru-RU"/>
              </w:rPr>
              <w:t>Відходів</w:t>
            </w:r>
            <w:proofErr w:type="spellEnd"/>
            <w:proofErr w:type="gramEnd"/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06E8" w14:textId="77777777" w:rsidR="00403E58" w:rsidRDefault="00403E58">
            <w:pPr>
              <w:tabs>
                <w:tab w:val="left" w:pos="430"/>
                <w:tab w:val="left" w:pos="48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Код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Національним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переліком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«18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Відходи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пов’язані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медичним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обслуговуванням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людей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тварин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та/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проведенням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крім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кухонних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ресторанних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пов’язаних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безпосередньо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медичним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обслуговуванням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)»:</w:t>
            </w:r>
          </w:p>
          <w:p w14:paraId="381EA3F6" w14:textId="77777777" w:rsidR="00403E58" w:rsidRDefault="00403E58">
            <w:pPr>
              <w:tabs>
                <w:tab w:val="left" w:pos="430"/>
                <w:tab w:val="left" w:pos="48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-18 01 03*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збирання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обумовлено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спеціальними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вимогами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виникненню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інфекції</w:t>
            </w:r>
            <w:proofErr w:type="spellEnd"/>
          </w:p>
          <w:p w14:paraId="0A84D841" w14:textId="77777777" w:rsidR="00403E58" w:rsidRDefault="00403E58">
            <w:pPr>
              <w:tabs>
                <w:tab w:val="left" w:pos="33"/>
                <w:tab w:val="left" w:pos="4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Вага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 кг</w:t>
            </w:r>
          </w:p>
        </w:tc>
      </w:tr>
      <w:tr w:rsidR="00403E58" w14:paraId="4778DBF0" w14:textId="77777777" w:rsidTr="00403E58">
        <w:trPr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8386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7F39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9BD9" w14:textId="77777777" w:rsidR="00403E58" w:rsidRDefault="00403E58">
            <w:pPr>
              <w:shd w:val="clear" w:color="auto" w:fill="FFFFFF"/>
              <w:tabs>
                <w:tab w:val="left" w:pos="699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збирання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Ярославська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буд. 41.</w:t>
            </w:r>
          </w:p>
          <w:p w14:paraId="3956D4A2" w14:textId="77777777" w:rsidR="00403E58" w:rsidRDefault="00403E58">
            <w:pPr>
              <w:shd w:val="clear" w:color="auto" w:fill="FFFFFF"/>
              <w:tabs>
                <w:tab w:val="left" w:pos="69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розвантаження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матеріально-технічної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Виконавця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3282DFB" w14:textId="77777777" w:rsidR="00403E58" w:rsidRDefault="00403E58">
            <w:pPr>
              <w:tabs>
                <w:tab w:val="left" w:pos="317"/>
                <w:tab w:val="left" w:pos="884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Перевезення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повинно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здійснюватися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національних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стандартів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03E58" w14:paraId="474E6845" w14:textId="77777777" w:rsidTr="00403E58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534B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1433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5CBF5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договору до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2024 року.</w:t>
            </w:r>
          </w:p>
        </w:tc>
      </w:tr>
      <w:tr w:rsidR="00403E58" w14:paraId="10F1F435" w14:textId="77777777" w:rsidTr="00403E58">
        <w:trPr>
          <w:trHeight w:val="2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F8FB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8DD3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вимоги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BACED" w14:textId="77777777" w:rsidR="00403E58" w:rsidRDefault="00403E58">
            <w:pPr>
              <w:tabs>
                <w:tab w:val="left" w:pos="289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повинна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надаватись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Виконавцем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дотриманням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7135A855" w14:textId="77777777" w:rsidR="00403E58" w:rsidRDefault="00403E58" w:rsidP="00403E58">
            <w:pPr>
              <w:widowControl w:val="0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Закону України «Про управління відходами»; </w:t>
            </w:r>
          </w:p>
          <w:p w14:paraId="3287B379" w14:textId="77777777" w:rsidR="00403E58" w:rsidRDefault="00403E58" w:rsidP="00403E58">
            <w:pPr>
              <w:widowControl w:val="0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Державних санітарно-протиепідемічних правил і норм щодо поводження з медичними відходами, затверджених наказом Міністерства охорони здоров’я України від 08.06.2015 №325, зареєстрованих в Міністерстві юстиції України 07.08.2015 за № 959/27404 (далі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ДСанПіН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14:paraId="1AFD06B2" w14:textId="77777777" w:rsidR="00403E58" w:rsidRDefault="00403E58" w:rsidP="00403E58">
            <w:pPr>
              <w:widowControl w:val="0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Ліцензійних умов провадження господарської діяльності з управління небезпечними відходами, затверджених постановою Кабінету Міністрів України від 05.12.2023 № 1278, </w:t>
            </w:r>
          </w:p>
          <w:p w14:paraId="77F6970E" w14:textId="77777777" w:rsidR="00403E58" w:rsidRDefault="00403E58" w:rsidP="00403E58">
            <w:pPr>
              <w:widowControl w:val="0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видачі, відмови у видачі, анулювання дозволу на здійснення операцій з оброблення відходів, затвердженого постановою Кабінету Міністрів України від 19.12.2023 № 1328, </w:t>
            </w:r>
          </w:p>
          <w:p w14:paraId="4A0DDD5C" w14:textId="77777777" w:rsidR="00403E58" w:rsidRDefault="00403E58" w:rsidP="00403E58">
            <w:pPr>
              <w:widowControl w:val="0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 дорожнього перевезення небезпечних вантажів, затверджених наказом Міністерства внутрішніх справ України від 04.08.2018  № 656, зареєстрованих в Міністерстві юстиції України 11.09.2018 за № 1041/32493.</w:t>
            </w:r>
          </w:p>
        </w:tc>
      </w:tr>
      <w:tr w:rsidR="00403E58" w14:paraId="7C5E53A8" w14:textId="77777777" w:rsidTr="00403E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4A4E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5CE3" w14:textId="77777777" w:rsidR="00403E58" w:rsidRDefault="00403E58">
            <w:pPr>
              <w:tabs>
                <w:tab w:val="left" w:pos="0"/>
                <w:tab w:val="center" w:pos="4153"/>
                <w:tab w:val="right" w:pos="8306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Транспортувальна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тара</w:t>
            </w:r>
          </w:p>
        </w:tc>
        <w:tc>
          <w:tcPr>
            <w:tcW w:w="10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6666" w14:textId="77777777" w:rsidR="00403E58" w:rsidRDefault="00403E58">
            <w:pPr>
              <w:tabs>
                <w:tab w:val="left" w:pos="289"/>
              </w:tabs>
              <w:spacing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поліетиленовий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ємністю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50 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вивезення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утилізації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відходів</w:t>
            </w:r>
            <w:proofErr w:type="spellEnd"/>
          </w:p>
        </w:tc>
      </w:tr>
      <w:bookmarkEnd w:id="3"/>
    </w:tbl>
    <w:p w14:paraId="6AE35DAF" w14:textId="77777777" w:rsidR="00403E58" w:rsidRPr="00695D06" w:rsidRDefault="00403E58" w:rsidP="003859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sectPr w:rsidR="00403E58" w:rsidRPr="00695D06" w:rsidSect="0055055D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99C2" w14:textId="77777777" w:rsidR="007116BC" w:rsidRDefault="007116BC" w:rsidP="0024553B">
      <w:pPr>
        <w:spacing w:after="0" w:line="240" w:lineRule="auto"/>
      </w:pPr>
      <w:r>
        <w:separator/>
      </w:r>
    </w:p>
  </w:endnote>
  <w:endnote w:type="continuationSeparator" w:id="0">
    <w:p w14:paraId="293D37B8" w14:textId="77777777" w:rsidR="007116BC" w:rsidRDefault="007116B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6220E" w14:textId="77777777" w:rsidR="007116BC" w:rsidRDefault="007116BC" w:rsidP="0024553B">
      <w:pPr>
        <w:spacing w:after="0" w:line="240" w:lineRule="auto"/>
      </w:pPr>
      <w:r>
        <w:separator/>
      </w:r>
    </w:p>
  </w:footnote>
  <w:footnote w:type="continuationSeparator" w:id="0">
    <w:p w14:paraId="294BCFA1" w14:textId="77777777" w:rsidR="007116BC" w:rsidRDefault="007116B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BD5"/>
    <w:multiLevelType w:val="hybridMultilevel"/>
    <w:tmpl w:val="EFA074DC"/>
    <w:lvl w:ilvl="0" w:tplc="6000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D93625"/>
    <w:multiLevelType w:val="hybridMultilevel"/>
    <w:tmpl w:val="018EDF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2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773044"/>
    <w:multiLevelType w:val="multilevel"/>
    <w:tmpl w:val="99B413A0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7"/>
      <w:numFmt w:val="decimal"/>
      <w:lvlText w:val="%1.%2."/>
      <w:lvlJc w:val="left"/>
      <w:pPr>
        <w:ind w:left="980" w:hanging="540"/>
      </w:pPr>
    </w:lvl>
    <w:lvl w:ilvl="2">
      <w:start w:val="1"/>
      <w:numFmt w:val="decimal"/>
      <w:lvlText w:val="%1.8.%3."/>
      <w:lvlJc w:val="left"/>
      <w:pPr>
        <w:ind w:left="1160" w:hanging="720"/>
      </w:pPr>
    </w:lvl>
    <w:lvl w:ilvl="3">
      <w:start w:val="1"/>
      <w:numFmt w:val="decimal"/>
      <w:lvlText w:val="%1.%2.%3.%4."/>
      <w:lvlJc w:val="left"/>
      <w:pPr>
        <w:ind w:left="1160" w:hanging="720"/>
      </w:pPr>
    </w:lvl>
    <w:lvl w:ilvl="4">
      <w:start w:val="1"/>
      <w:numFmt w:val="decimal"/>
      <w:lvlText w:val="%1.%2.%3.%4.%5."/>
      <w:lvlJc w:val="left"/>
      <w:pPr>
        <w:ind w:left="1520" w:hanging="1080"/>
      </w:pPr>
    </w:lvl>
    <w:lvl w:ilvl="5">
      <w:start w:val="1"/>
      <w:numFmt w:val="decimal"/>
      <w:lvlText w:val="%1.%2.%3.%4.%5.%6."/>
      <w:lvlJc w:val="left"/>
      <w:pPr>
        <w:ind w:left="1520" w:hanging="1080"/>
      </w:pPr>
    </w:lvl>
    <w:lvl w:ilvl="6">
      <w:start w:val="1"/>
      <w:numFmt w:val="decimal"/>
      <w:lvlText w:val="%1.%2.%3.%4.%5.%6.%7."/>
      <w:lvlJc w:val="left"/>
      <w:pPr>
        <w:ind w:left="1880" w:hanging="1440"/>
      </w:pPr>
    </w:lvl>
    <w:lvl w:ilvl="7">
      <w:start w:val="1"/>
      <w:numFmt w:val="decimal"/>
      <w:lvlText w:val="%1.%2.%3.%4.%5.%6.%7.%8."/>
      <w:lvlJc w:val="left"/>
      <w:pPr>
        <w:ind w:left="1880" w:hanging="1440"/>
      </w:pPr>
    </w:lvl>
    <w:lvl w:ilvl="8">
      <w:start w:val="1"/>
      <w:numFmt w:val="decimal"/>
      <w:lvlText w:val="%1.%2.%3.%4.%5.%6.%7.%8.%9."/>
      <w:lvlJc w:val="left"/>
      <w:pPr>
        <w:ind w:left="2240" w:hanging="1800"/>
      </w:pPr>
    </w:lvl>
  </w:abstractNum>
  <w:abstractNum w:abstractNumId="16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7" w15:restartNumberingAfterBreak="0">
    <w:nsid w:val="381B28A4"/>
    <w:multiLevelType w:val="hybridMultilevel"/>
    <w:tmpl w:val="69A2DA1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1B8C"/>
    <w:multiLevelType w:val="hybridMultilevel"/>
    <w:tmpl w:val="D7C43D54"/>
    <w:lvl w:ilvl="0" w:tplc="2C2E38E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E6B88"/>
    <w:multiLevelType w:val="multilevel"/>
    <w:tmpl w:val="405EDA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86"/>
    <w:multiLevelType w:val="multilevel"/>
    <w:tmpl w:val="E75E8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23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6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D413A"/>
    <w:multiLevelType w:val="hybridMultilevel"/>
    <w:tmpl w:val="0BE494EE"/>
    <w:lvl w:ilvl="0" w:tplc="0F6E462C">
      <w:start w:val="1"/>
      <w:numFmt w:val="decimal"/>
      <w:lvlText w:val="%1."/>
      <w:lvlJc w:val="left"/>
      <w:pPr>
        <w:ind w:left="70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8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28"/>
  </w:num>
  <w:num w:numId="3">
    <w:abstractNumId w:val="6"/>
  </w:num>
  <w:num w:numId="4">
    <w:abstractNumId w:val="12"/>
  </w:num>
  <w:num w:numId="5">
    <w:abstractNumId w:val="36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23"/>
  </w:num>
  <w:num w:numId="16">
    <w:abstractNumId w:val="27"/>
  </w:num>
  <w:num w:numId="17">
    <w:abstractNumId w:val="30"/>
  </w:num>
  <w:num w:numId="18">
    <w:abstractNumId w:val="24"/>
  </w:num>
  <w:num w:numId="19">
    <w:abstractNumId w:val="10"/>
  </w:num>
  <w:num w:numId="20">
    <w:abstractNumId w:val="31"/>
  </w:num>
  <w:num w:numId="21">
    <w:abstractNumId w:val="14"/>
  </w:num>
  <w:num w:numId="22">
    <w:abstractNumId w:val="8"/>
  </w:num>
  <w:num w:numId="23">
    <w:abstractNumId w:val="19"/>
  </w:num>
  <w:num w:numId="24">
    <w:abstractNumId w:val="37"/>
  </w:num>
  <w:num w:numId="25">
    <w:abstractNumId w:val="25"/>
  </w:num>
  <w:num w:numId="26">
    <w:abstractNumId w:val="13"/>
  </w:num>
  <w:num w:numId="27">
    <w:abstractNumId w:val="26"/>
  </w:num>
  <w:num w:numId="28">
    <w:abstractNumId w:val="4"/>
  </w:num>
  <w:num w:numId="29">
    <w:abstractNumId w:val="38"/>
  </w:num>
  <w:num w:numId="30">
    <w:abstractNumId w:val="34"/>
  </w:num>
  <w:num w:numId="31">
    <w:abstractNumId w:val="21"/>
  </w:num>
  <w:num w:numId="32">
    <w:abstractNumId w:val="1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15A5"/>
    <w:rsid w:val="000146B7"/>
    <w:rsid w:val="0004602D"/>
    <w:rsid w:val="00057D05"/>
    <w:rsid w:val="00082A2A"/>
    <w:rsid w:val="00082AF2"/>
    <w:rsid w:val="0009110F"/>
    <w:rsid w:val="000B6D9F"/>
    <w:rsid w:val="000C4E15"/>
    <w:rsid w:val="000C70A6"/>
    <w:rsid w:val="000E5E96"/>
    <w:rsid w:val="001055A1"/>
    <w:rsid w:val="00140926"/>
    <w:rsid w:val="001C1517"/>
    <w:rsid w:val="001C1668"/>
    <w:rsid w:val="001D3C63"/>
    <w:rsid w:val="00202C1D"/>
    <w:rsid w:val="00226C86"/>
    <w:rsid w:val="0024553B"/>
    <w:rsid w:val="0025161C"/>
    <w:rsid w:val="00277EC5"/>
    <w:rsid w:val="002855F6"/>
    <w:rsid w:val="0029734D"/>
    <w:rsid w:val="002B1737"/>
    <w:rsid w:val="002B561E"/>
    <w:rsid w:val="002B6E58"/>
    <w:rsid w:val="002B72AC"/>
    <w:rsid w:val="002C519E"/>
    <w:rsid w:val="002C7992"/>
    <w:rsid w:val="002D034A"/>
    <w:rsid w:val="002D31FB"/>
    <w:rsid w:val="002E2676"/>
    <w:rsid w:val="002F70F7"/>
    <w:rsid w:val="0034720C"/>
    <w:rsid w:val="00366514"/>
    <w:rsid w:val="003859B8"/>
    <w:rsid w:val="00392139"/>
    <w:rsid w:val="00393926"/>
    <w:rsid w:val="003D52C0"/>
    <w:rsid w:val="003E7975"/>
    <w:rsid w:val="00403E58"/>
    <w:rsid w:val="004A5377"/>
    <w:rsid w:val="004D0398"/>
    <w:rsid w:val="004D5770"/>
    <w:rsid w:val="00511152"/>
    <w:rsid w:val="0054119B"/>
    <w:rsid w:val="0055055D"/>
    <w:rsid w:val="00570486"/>
    <w:rsid w:val="00590320"/>
    <w:rsid w:val="005A7D5D"/>
    <w:rsid w:val="005E3104"/>
    <w:rsid w:val="005F6CE1"/>
    <w:rsid w:val="0060145C"/>
    <w:rsid w:val="00607317"/>
    <w:rsid w:val="006238B9"/>
    <w:rsid w:val="00633CA9"/>
    <w:rsid w:val="006702E5"/>
    <w:rsid w:val="00691DF9"/>
    <w:rsid w:val="00695D06"/>
    <w:rsid w:val="006C2CA1"/>
    <w:rsid w:val="006C75C1"/>
    <w:rsid w:val="006D3EBF"/>
    <w:rsid w:val="006F1B4C"/>
    <w:rsid w:val="007116BC"/>
    <w:rsid w:val="007622E0"/>
    <w:rsid w:val="007975BE"/>
    <w:rsid w:val="007B5C52"/>
    <w:rsid w:val="007E6230"/>
    <w:rsid w:val="0082548F"/>
    <w:rsid w:val="00837155"/>
    <w:rsid w:val="00840BE1"/>
    <w:rsid w:val="0084332E"/>
    <w:rsid w:val="00862740"/>
    <w:rsid w:val="00870D0C"/>
    <w:rsid w:val="00881B32"/>
    <w:rsid w:val="00882F7D"/>
    <w:rsid w:val="008E1A5F"/>
    <w:rsid w:val="008F229E"/>
    <w:rsid w:val="00911E65"/>
    <w:rsid w:val="00914879"/>
    <w:rsid w:val="00930B17"/>
    <w:rsid w:val="009443DC"/>
    <w:rsid w:val="0095518A"/>
    <w:rsid w:val="0098548C"/>
    <w:rsid w:val="009C2D1F"/>
    <w:rsid w:val="009C72B9"/>
    <w:rsid w:val="00A00002"/>
    <w:rsid w:val="00A02870"/>
    <w:rsid w:val="00A35F17"/>
    <w:rsid w:val="00A52318"/>
    <w:rsid w:val="00A71EB1"/>
    <w:rsid w:val="00A775EB"/>
    <w:rsid w:val="00AC1C0E"/>
    <w:rsid w:val="00AD1D59"/>
    <w:rsid w:val="00AE78B8"/>
    <w:rsid w:val="00B137D2"/>
    <w:rsid w:val="00B80886"/>
    <w:rsid w:val="00B81F06"/>
    <w:rsid w:val="00BA2D70"/>
    <w:rsid w:val="00BA779E"/>
    <w:rsid w:val="00BE1FF8"/>
    <w:rsid w:val="00C0004B"/>
    <w:rsid w:val="00C01D71"/>
    <w:rsid w:val="00C06B6A"/>
    <w:rsid w:val="00C15F77"/>
    <w:rsid w:val="00C23E13"/>
    <w:rsid w:val="00C87944"/>
    <w:rsid w:val="00CA68EE"/>
    <w:rsid w:val="00D169A9"/>
    <w:rsid w:val="00D43D84"/>
    <w:rsid w:val="00D626B8"/>
    <w:rsid w:val="00D66E43"/>
    <w:rsid w:val="00D86D1C"/>
    <w:rsid w:val="00D9471A"/>
    <w:rsid w:val="00DA3EC6"/>
    <w:rsid w:val="00DE42E9"/>
    <w:rsid w:val="00DF0278"/>
    <w:rsid w:val="00E44481"/>
    <w:rsid w:val="00E45D72"/>
    <w:rsid w:val="00E5123A"/>
    <w:rsid w:val="00E92067"/>
    <w:rsid w:val="00ED22F8"/>
    <w:rsid w:val="00F32642"/>
    <w:rsid w:val="00FA72FC"/>
    <w:rsid w:val="00FC6FE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,References,Number Bullets,List Paragraph (numbered (a)),Chapter10,----,1 Буллет,List Paragraph,List Paragraph_Num123,Литература,Bullet Number,Bullet 1,lp1,lp11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aliases w:val="EBRD List Знак,Список уровня 2 Знак,название табл/рис Знак,заголовок 1.1 Знак,Elenco Normale Знак,References Знак,Number Bullets Знак,List Paragraph (numbered (a)) Знак,Chapter10 Знак,---- Знак,1 Буллет Знак,List Paragraph Знак"/>
    <w:link w:val="af2"/>
    <w:uiPriority w:val="34"/>
    <w:qFormat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3">
    <w:name w:val="11"/>
    <w:basedOn w:val="a1"/>
    <w:rsid w:val="0038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3998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45</cp:revision>
  <dcterms:created xsi:type="dcterms:W3CDTF">2023-09-14T08:37:00Z</dcterms:created>
  <dcterms:modified xsi:type="dcterms:W3CDTF">2024-06-10T06:42:00Z</dcterms:modified>
</cp:coreProperties>
</file>